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556" w:lineRule="exact"/>
        <w:ind w:left="377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drawing>
          <wp:inline distT="0" distB="0" distL="0" distR="0">
            <wp:extent cx="1520922" cy="98859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520922" cy="988599"/>
                    </a:xfrm>
                    <a:prstGeom prst="rect">
                      <a:avLst/>
                    </a:prstGeom>
                  </pic:spPr>
                </pic:pic>
              </a:graphicData>
            </a:graphic>
          </wp:inline>
        </w:drawing>
      </w:r>
      <w:r>
        <w:rPr>
          <w:rFonts w:ascii="Times New Roman" w:hAnsi="Times New Roman" w:cs="Times New Roman" w:eastAsia="Times New Roman" w:hint="default"/>
          <w:position w:val="-30"/>
          <w:sz w:val="20"/>
          <w:szCs w:val="20"/>
        </w:rPr>
      </w:r>
    </w:p>
    <w:p>
      <w:pPr>
        <w:spacing w:line="240" w:lineRule="auto" w:before="7"/>
        <w:rPr>
          <w:rFonts w:ascii="Times New Roman" w:hAnsi="Times New Roman" w:cs="Times New Roman" w:eastAsia="Times New Roman" w:hint="default"/>
          <w:sz w:val="13"/>
          <w:szCs w:val="13"/>
        </w:rPr>
      </w:pPr>
    </w:p>
    <w:p>
      <w:pPr>
        <w:spacing w:line="460" w:lineRule="exact" w:before="0"/>
        <w:ind w:left="2421" w:right="2425" w:firstLine="0"/>
        <w:jc w:val="center"/>
        <w:rPr>
          <w:rFonts w:ascii="宋体" w:hAnsi="宋体" w:cs="宋体" w:eastAsia="宋体" w:hint="default"/>
          <w:sz w:val="36"/>
          <w:szCs w:val="36"/>
        </w:rPr>
      </w:pPr>
      <w:r>
        <w:rPr>
          <w:rFonts w:ascii="宋体" w:hAnsi="宋体" w:cs="宋体" w:eastAsia="宋体" w:hint="default"/>
          <w:b/>
          <w:bCs/>
          <w:sz w:val="36"/>
          <w:szCs w:val="36"/>
        </w:rPr>
        <w:t>河北先河环保科技股份有限公司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1" w:right="242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48"/>
          <w:szCs w:val="48"/>
        </w:rPr>
      </w:pPr>
    </w:p>
    <w:p>
      <w:pPr>
        <w:spacing w:before="0"/>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08"/>
        <w:jc w:val="left"/>
        <w:rPr>
          <w:b w:val="0"/>
          <w:bCs w:val="0"/>
        </w:rPr>
      </w:pPr>
      <w:bookmarkStart w:name="_TOC_250009"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251"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before="162"/>
        <w:ind w:left="714" w:right="108"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2"/>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李玉国</w:t>
            </w:r>
          </w:p>
        </w:tc>
      </w:tr>
    </w:tbl>
    <w:p>
      <w:pPr>
        <w:spacing w:line="240" w:lineRule="auto" w:before="2"/>
        <w:rPr>
          <w:rFonts w:ascii="宋体" w:hAnsi="宋体" w:cs="宋体" w:eastAsia="宋体" w:hint="default"/>
          <w:b/>
          <w:bCs/>
          <w:sz w:val="13"/>
          <w:szCs w:val="13"/>
        </w:rPr>
      </w:pPr>
    </w:p>
    <w:p>
      <w:pPr>
        <w:spacing w:line="408" w:lineRule="auto" w:before="14"/>
        <w:ind w:left="152" w:right="2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对任何投资者及相关人士的承诺，投资者及相关人士均应对此保持足够的风险</w:t>
      </w:r>
      <w:r>
        <w:rPr>
          <w:rFonts w:ascii="宋体" w:hAnsi="宋体" w:cs="宋体" w:eastAsia="宋体" w:hint="default"/>
          <w:b/>
          <w:bCs/>
          <w:w w:val="99"/>
          <w:sz w:val="28"/>
          <w:szCs w:val="28"/>
        </w:rPr>
        <w:t> </w:t>
      </w:r>
      <w:r>
        <w:rPr>
          <w:rFonts w:ascii="宋体" w:hAnsi="宋体" w:cs="宋体" w:eastAsia="宋体" w:hint="default"/>
          <w:b/>
          <w:bCs/>
          <w:sz w:val="28"/>
          <w:szCs w:val="28"/>
        </w:rPr>
        <w:t>意识，并且应当理解计划、预测与承诺之间的差异。</w:t>
      </w:r>
      <w:r>
        <w:rPr>
          <w:rFonts w:ascii="宋体" w:hAnsi="宋体" w:cs="宋体" w:eastAsia="宋体" w:hint="default"/>
          <w:sz w:val="28"/>
          <w:szCs w:val="28"/>
        </w:rPr>
      </w:r>
    </w:p>
    <w:p>
      <w:pPr>
        <w:spacing w:line="408" w:lineRule="auto" w:before="162"/>
        <w:ind w:left="152" w:right="108" w:firstLine="562"/>
        <w:jc w:val="left"/>
        <w:rPr>
          <w:rFonts w:ascii="宋体" w:hAnsi="宋体" w:cs="宋体" w:eastAsia="宋体" w:hint="default"/>
          <w:sz w:val="28"/>
          <w:szCs w:val="28"/>
        </w:rPr>
      </w:pPr>
      <w:r>
        <w:rPr>
          <w:rFonts w:ascii="宋体" w:hAnsi="宋体" w:cs="宋体" w:eastAsia="宋体" w:hint="default"/>
          <w:b/>
          <w:bCs/>
          <w:spacing w:val="2"/>
          <w:sz w:val="28"/>
          <w:szCs w:val="28"/>
        </w:rPr>
        <w:t>公司负责人李玉国先生、主管会计工作负责人陈荣强先生及会计机构负责</w:t>
      </w:r>
      <w:r>
        <w:rPr>
          <w:rFonts w:ascii="宋体" w:hAnsi="宋体" w:cs="宋体" w:eastAsia="宋体" w:hint="default"/>
          <w:b/>
          <w:bCs/>
          <w:w w:val="99"/>
          <w:sz w:val="28"/>
          <w:szCs w:val="28"/>
        </w:rPr>
        <w:t> </w:t>
      </w:r>
      <w:r>
        <w:rPr>
          <w:rFonts w:ascii="宋体" w:hAnsi="宋体" w:cs="宋体" w:eastAsia="宋体" w:hint="default"/>
          <w:b/>
          <w:bCs/>
          <w:spacing w:val="-7"/>
          <w:sz w:val="28"/>
          <w:szCs w:val="28"/>
        </w:rPr>
        <w:t>人</w:t>
      </w:r>
      <w:r>
        <w:rPr>
          <w:rFonts w:ascii="Times New Roman" w:hAnsi="Times New Roman" w:cs="Times New Roman" w:eastAsia="Times New Roman" w:hint="default"/>
          <w:b/>
          <w:bCs/>
          <w:spacing w:val="-7"/>
          <w:sz w:val="28"/>
          <w:szCs w:val="28"/>
        </w:rPr>
        <w:t>(</w:t>
      </w:r>
      <w:r>
        <w:rPr>
          <w:rFonts w:ascii="宋体" w:hAnsi="宋体" w:cs="宋体" w:eastAsia="宋体" w:hint="default"/>
          <w:b/>
          <w:bCs/>
          <w:spacing w:val="-7"/>
          <w:sz w:val="28"/>
          <w:szCs w:val="28"/>
        </w:rPr>
        <w:t>会计主管人员</w:t>
      </w:r>
      <w:r>
        <w:rPr>
          <w:rFonts w:ascii="Times New Roman" w:hAnsi="Times New Roman" w:cs="Times New Roman" w:eastAsia="Times New Roman" w:hint="default"/>
          <w:b/>
          <w:bCs/>
          <w:spacing w:val="-7"/>
          <w:sz w:val="28"/>
          <w:szCs w:val="28"/>
        </w:rPr>
        <w:t>)</w:t>
      </w:r>
      <w:r>
        <w:rPr>
          <w:rFonts w:ascii="宋体" w:hAnsi="宋体" w:cs="宋体" w:eastAsia="宋体" w:hint="default"/>
          <w:b/>
          <w:bCs/>
          <w:spacing w:val="-7"/>
          <w:sz w:val="28"/>
          <w:szCs w:val="28"/>
        </w:rPr>
        <w:t>吴江女士声明：保证年度报告中财务报告的真实、准确、完整。</w:t>
      </w:r>
      <w:r>
        <w:rPr>
          <w:rFonts w:ascii="宋体" w:hAnsi="宋体" w:cs="宋体" w:eastAsia="宋体" w:hint="default"/>
          <w:spacing w:val="-7"/>
          <w:sz w:val="28"/>
          <w:szCs w:val="28"/>
        </w:rPr>
      </w:r>
    </w:p>
    <w:p>
      <w:pPr>
        <w:spacing w:after="0" w:line="408" w:lineRule="auto"/>
        <w:jc w:val="left"/>
        <w:rPr>
          <w:rFonts w:ascii="宋体" w:hAnsi="宋体" w:cs="宋体" w:eastAsia="宋体" w:hint="default"/>
          <w:sz w:val="28"/>
          <w:szCs w:val="28"/>
        </w:rPr>
        <w:sectPr>
          <w:footerReference w:type="default" r:id="rId8"/>
          <w:pgSz w:w="11910" w:h="16840"/>
          <w:pgMar w:footer="980" w:header="745" w:top="1060" w:bottom="116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421"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8">
            <w:r>
              <w:rPr/>
              <w:t>第二节</w:t>
            </w:r>
            <w:r>
              <w:rPr>
                <w:spacing w:val="1"/>
              </w:rPr>
              <w:t> </w:t>
            </w:r>
            <w:r>
              <w:rPr/>
              <w:t>公司基本情况简介</w:t>
            </w:r>
            <w:r>
              <w:rPr>
                <w:rFonts w:ascii="Times New Roman" w:hAnsi="Times New Roman" w:cs="Times New Roman" w:eastAsia="Times New Roman" w:hint="default"/>
              </w:rPr>
              <w:tab/>
              <w:t>5</w:t>
            </w:r>
          </w:hyperlink>
        </w:p>
        <w:p>
          <w:pPr>
            <w:pStyle w:val="TOC1"/>
            <w:tabs>
              <w:tab w:pos="9782" w:val="right" w:leader="dot"/>
            </w:tabs>
            <w:spacing w:line="240" w:lineRule="auto" w:before="102"/>
            <w:ind w:right="0"/>
            <w:jc w:val="left"/>
            <w:rPr>
              <w:rFonts w:ascii="Times New Roman" w:hAnsi="Times New Roman" w:cs="Times New Roman" w:eastAsia="Times New Roman" w:hint="default"/>
            </w:rPr>
          </w:pPr>
          <w:hyperlink w:history="true" w:anchor="_TOC_250007">
            <w:r>
              <w:rPr/>
              <w:t>第三节</w:t>
            </w:r>
            <w:r>
              <w:rPr>
                <w:spacing w:val="1"/>
              </w:rPr>
              <w:t> </w:t>
            </w:r>
            <w:r>
              <w:rPr/>
              <w:t>会计数据和财务指标摘要</w:t>
            </w:r>
            <w:r>
              <w:rPr>
                <w:rFonts w:ascii="Times New Roman" w:hAnsi="Times New Roman" w:cs="Times New Roman" w:eastAsia="Times New Roman" w:hint="default"/>
              </w:rPr>
              <w:tab/>
              <w:t>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6">
            <w:r>
              <w:rPr/>
              <w:t>第四节</w:t>
            </w:r>
            <w:r>
              <w:rPr>
                <w:spacing w:val="1"/>
              </w:rPr>
              <w:t> </w:t>
            </w:r>
            <w:r>
              <w:rPr/>
              <w:t>董事会报告</w:t>
            </w:r>
            <w:r>
              <w:rPr>
                <w:rFonts w:ascii="Times New Roman" w:hAnsi="Times New Roman" w:cs="Times New Roman" w:eastAsia="Times New Roman" w:hint="default"/>
              </w:rPr>
              <w:tab/>
              <w:t>10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5">
            <w:r>
              <w:rPr/>
              <w:t>第五节</w:t>
            </w:r>
            <w:r>
              <w:rPr>
                <w:spacing w:val="1"/>
              </w:rPr>
              <w:t> </w:t>
            </w:r>
            <w:r>
              <w:rPr/>
              <w:t>重要事项</w:t>
            </w:r>
            <w:r>
              <w:rPr>
                <w:rFonts w:ascii="Times New Roman" w:hAnsi="Times New Roman" w:cs="Times New Roman" w:eastAsia="Times New Roman" w:hint="default"/>
              </w:rPr>
              <w:tab/>
              <w:t>30</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TOC_250004">
            <w:r>
              <w:rPr/>
              <w:t>第六节</w:t>
            </w:r>
            <w:r>
              <w:rPr>
                <w:spacing w:val="1"/>
              </w:rPr>
              <w:t> </w:t>
            </w:r>
            <w:r>
              <w:rPr/>
              <w:t>股份变动及股东情况</w:t>
            </w:r>
            <w:r>
              <w:rPr>
                <w:rFonts w:ascii="Times New Roman" w:hAnsi="Times New Roman" w:cs="Times New Roman" w:eastAsia="Times New Roman" w:hint="default"/>
              </w:rPr>
              <w:tab/>
              <w:t>37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3">
            <w:r>
              <w:rPr/>
              <w:t>第七节</w:t>
            </w:r>
            <w:r>
              <w:rPr>
                <w:spacing w:val="1"/>
              </w:rPr>
              <w:t> </w:t>
            </w:r>
            <w:r>
              <w:rPr/>
              <w:t>董事、监事、高级管理人员和员工情况</w:t>
            </w:r>
            <w:r>
              <w:rPr>
                <w:rFonts w:ascii="Times New Roman" w:hAnsi="Times New Roman" w:cs="Times New Roman" w:eastAsia="Times New Roman" w:hint="default"/>
              </w:rPr>
              <w:tab/>
              <w:t>41</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2">
            <w:r>
              <w:rPr/>
              <w:t>第八节</w:t>
            </w:r>
            <w:r>
              <w:rPr>
                <w:spacing w:val="1"/>
              </w:rPr>
              <w:t> </w:t>
            </w:r>
            <w:r>
              <w:rPr/>
              <w:t>公司治理</w:t>
            </w:r>
            <w:r>
              <w:rPr>
                <w:rFonts w:ascii="Times New Roman" w:hAnsi="Times New Roman" w:cs="Times New Roman" w:eastAsia="Times New Roman" w:hint="default"/>
              </w:rPr>
              <w:tab/>
              <w:t>47</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TOC_250001">
            <w:r>
              <w:rPr/>
              <w:t>第九节</w:t>
            </w:r>
            <w:r>
              <w:rPr>
                <w:spacing w:val="1"/>
              </w:rPr>
              <w:t> </w:t>
            </w:r>
            <w:r>
              <w:rPr/>
              <w:t>财务报告</w:t>
            </w:r>
            <w:r>
              <w:rPr>
                <w:rFonts w:ascii="Times New Roman" w:hAnsi="Times New Roman" w:cs="Times New Roman" w:eastAsia="Times New Roman" w:hint="default"/>
              </w:rPr>
              <w:tab/>
              <w:t>50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0">
            <w:r>
              <w:rPr/>
              <w:t>第十节</w:t>
            </w:r>
            <w:r>
              <w:rPr>
                <w:spacing w:val="1"/>
              </w:rPr>
              <w:t> </w:t>
            </w:r>
            <w:r>
              <w:rPr/>
              <w:t>备查文件目录</w:t>
            </w:r>
            <w:r>
              <w:rPr>
                <w:rFonts w:ascii="Times New Roman" w:hAnsi="Times New Roman" w:cs="Times New Roman" w:eastAsia="Times New Roman" w:hint="default"/>
              </w:rPr>
              <w:tab/>
              <w:t>123</w:t>
            </w:r>
          </w:hyperlink>
        </w:p>
        <w:p>
          <w:pPr/>
          <w:r>
            <w:fldChar w:fldCharType="end"/>
          </w:r>
        </w:p>
      </w:sdtContent>
    </w:sdt>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3"/>
        <w:rPr>
          <w:rFonts w:ascii="Times New Roman" w:hAnsi="Times New Roman" w:cs="Times New Roman" w:eastAsia="Times New Roman" w:hint="default"/>
          <w:sz w:val="30"/>
          <w:szCs w:val="30"/>
        </w:rPr>
      </w:pPr>
    </w:p>
    <w:p>
      <w:pPr>
        <w:spacing w:before="0"/>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11"/>
        <w:gridCol w:w="5436"/>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本公司、先河环保或公司</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河北先河环保科技股份有限公司股东大会</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河北先河环保科技股份有限公司董事会</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河北先河环保科技股份有限公司监事会</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河北先河环保科技股份有限公司章程</w:t>
            </w:r>
          </w:p>
        </w:tc>
      </w:tr>
      <w:tr>
        <w:trPr>
          <w:trHeight w:val="317"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环境监测</w:t>
            </w:r>
          </w:p>
        </w:tc>
        <w:tc>
          <w:tcPr>
            <w:tcW w:w="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运用现代科学技术手段对代表环境污染和环境质量的各种环境要素</w:t>
            </w:r>
          </w:p>
          <w:p>
            <w:pPr>
              <w:pStyle w:val="TableParagraph"/>
              <w:spacing w:line="316" w:lineRule="auto" w:before="74"/>
              <w:ind w:left="28" w:right="20"/>
              <w:jc w:val="left"/>
              <w:rPr>
                <w:rFonts w:ascii="宋体" w:hAnsi="宋体" w:cs="宋体" w:eastAsia="宋体" w:hint="default"/>
                <w:sz w:val="18"/>
                <w:szCs w:val="18"/>
              </w:rPr>
            </w:pPr>
            <w:r>
              <w:rPr>
                <w:rFonts w:ascii="宋体" w:hAnsi="宋体" w:cs="宋体" w:eastAsia="宋体" w:hint="default"/>
                <w:spacing w:val="-2"/>
                <w:sz w:val="18"/>
                <w:szCs w:val="18"/>
              </w:rPr>
              <w:t>（环境污染物）的监视、监控和测定，从而科学评价环境质量及其变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化趋势的操作过程</w:t>
            </w:r>
          </w:p>
        </w:tc>
      </w:tr>
      <w:tr>
        <w:trPr>
          <w:trHeight w:val="391" w:hRule="exact"/>
        </w:trPr>
        <w:tc>
          <w:tcPr>
            <w:tcW w:w="3524" w:type="dxa"/>
            <w:vMerge/>
            <w:tcBorders>
              <w:left w:val="single" w:sz="4" w:space="0" w:color="000000"/>
              <w:right w:val="single" w:sz="9" w:space="0" w:color="D2D2D2"/>
            </w:tcBorders>
          </w:tcPr>
          <w:p>
            <w:pPr/>
          </w:p>
        </w:tc>
        <w:tc>
          <w:tcPr>
            <w:tcW w:w="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24" w:type="dxa"/>
            <w:vMerge/>
            <w:tcBorders>
              <w:left w:val="single" w:sz="4" w:space="0" w:color="000000"/>
              <w:bottom w:val="single" w:sz="4" w:space="0" w:color="000000"/>
              <w:right w:val="single" w:sz="9" w:space="0" w:color="D2D2D2"/>
            </w:tcBorders>
          </w:tcPr>
          <w:p>
            <w:pPr/>
          </w:p>
        </w:tc>
        <w:tc>
          <w:tcPr>
            <w:tcW w:w="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空气质量连续自动监测系统（</w:t>
            </w:r>
            <w:r>
              <w:rPr>
                <w:rFonts w:ascii="Times New Roman" w:hAnsi="Times New Roman" w:cs="Times New Roman" w:eastAsia="Times New Roman" w:hint="default"/>
                <w:sz w:val="18"/>
                <w:szCs w:val="18"/>
              </w:rPr>
              <w:t>AQMS</w:t>
            </w:r>
            <w:r>
              <w:rPr>
                <w:rFonts w:ascii="宋体" w:hAnsi="宋体" w:cs="宋体" w:eastAsia="宋体" w:hint="default"/>
                <w:sz w:val="18"/>
                <w:szCs w:val="18"/>
              </w:rPr>
              <w:t>）</w:t>
            </w:r>
          </w:p>
        </w:tc>
        <w:tc>
          <w:tcPr>
            <w:tcW w:w="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2"/>
              <w:jc w:val="both"/>
              <w:rPr>
                <w:rFonts w:ascii="宋体" w:hAnsi="宋体" w:cs="宋体" w:eastAsia="宋体" w:hint="default"/>
                <w:sz w:val="18"/>
                <w:szCs w:val="18"/>
              </w:rPr>
            </w:pPr>
            <w:r>
              <w:rPr>
                <w:rFonts w:ascii="宋体" w:hAnsi="宋体" w:cs="宋体" w:eastAsia="宋体" w:hint="default"/>
                <w:spacing w:val="-2"/>
                <w:sz w:val="18"/>
                <w:szCs w:val="18"/>
              </w:rPr>
              <w:t>对空气质量进行自动监测系统，由中心站和若干个子站构成，两者有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机结合，协调整个监测系统的运行，完成对各种监测仪器的数据采集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和远程通讯控制及数据处理，并形成报告</w:t>
            </w:r>
          </w:p>
        </w:tc>
      </w:tr>
      <w:tr>
        <w:trPr>
          <w:trHeight w:val="394" w:hRule="exact"/>
        </w:trPr>
        <w:tc>
          <w:tcPr>
            <w:tcW w:w="3524" w:type="dxa"/>
            <w:vMerge/>
            <w:tcBorders>
              <w:left w:val="single" w:sz="4" w:space="0" w:color="000000"/>
              <w:right w:val="single" w:sz="9" w:space="0" w:color="D2D2D2"/>
            </w:tcBorders>
          </w:tcPr>
          <w:p>
            <w:pPr/>
          </w:p>
        </w:tc>
        <w:tc>
          <w:tcPr>
            <w:tcW w:w="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24" w:type="dxa"/>
            <w:vMerge/>
            <w:tcBorders>
              <w:left w:val="single" w:sz="4" w:space="0" w:color="000000"/>
              <w:bottom w:val="single" w:sz="4" w:space="0" w:color="000000"/>
              <w:right w:val="single" w:sz="9" w:space="0" w:color="D2D2D2"/>
            </w:tcBorders>
          </w:tcPr>
          <w:p>
            <w:pPr/>
          </w:p>
        </w:tc>
        <w:tc>
          <w:tcPr>
            <w:tcW w:w="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水质连续自动监测系统（</w:t>
            </w:r>
            <w:r>
              <w:rPr>
                <w:rFonts w:ascii="Times New Roman" w:hAnsi="Times New Roman" w:cs="Times New Roman" w:eastAsia="Times New Roman" w:hint="default"/>
                <w:sz w:val="18"/>
                <w:szCs w:val="18"/>
              </w:rPr>
              <w:t>WQMS</w:t>
            </w:r>
            <w:r>
              <w:rPr>
                <w:rFonts w:ascii="宋体" w:hAnsi="宋体" w:cs="宋体" w:eastAsia="宋体" w:hint="default"/>
                <w:sz w:val="18"/>
                <w:szCs w:val="18"/>
              </w:rPr>
              <w:t>）</w:t>
            </w:r>
          </w:p>
        </w:tc>
        <w:tc>
          <w:tcPr>
            <w:tcW w:w="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8"/>
              <w:jc w:val="left"/>
              <w:rPr>
                <w:rFonts w:ascii="宋体" w:hAnsi="宋体" w:cs="宋体" w:eastAsia="宋体" w:hint="default"/>
                <w:sz w:val="18"/>
                <w:szCs w:val="18"/>
              </w:rPr>
            </w:pPr>
            <w:r>
              <w:rPr>
                <w:rFonts w:ascii="宋体" w:hAnsi="宋体" w:cs="宋体" w:eastAsia="宋体" w:hint="default"/>
                <w:spacing w:val="-1"/>
                <w:sz w:val="18"/>
                <w:szCs w:val="18"/>
              </w:rPr>
              <w:t>以在线自动分析仪器为核心，运用现代传感技术、自动测量技术、计</w:t>
            </w:r>
            <w:r>
              <w:rPr>
                <w:rFonts w:ascii="宋体" w:hAnsi="宋体" w:cs="宋体" w:eastAsia="宋体" w:hint="default"/>
                <w:sz w:val="18"/>
                <w:szCs w:val="18"/>
              </w:rPr>
              <w:t> 算机应用技术以及相关的专业分析软件和通讯网络所组成的一个综 合性的地表水质量在线自动监测体系</w:t>
            </w:r>
          </w:p>
        </w:tc>
      </w:tr>
      <w:tr>
        <w:trPr>
          <w:trHeight w:val="391" w:hRule="exact"/>
        </w:trPr>
        <w:tc>
          <w:tcPr>
            <w:tcW w:w="3524" w:type="dxa"/>
            <w:vMerge/>
            <w:tcBorders>
              <w:left w:val="single" w:sz="4" w:space="0" w:color="000000"/>
              <w:right w:val="single" w:sz="9" w:space="0" w:color="D2D2D2"/>
            </w:tcBorders>
          </w:tcPr>
          <w:p>
            <w:pPr/>
          </w:p>
        </w:tc>
        <w:tc>
          <w:tcPr>
            <w:tcW w:w="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24" w:type="dxa"/>
            <w:vMerge/>
            <w:tcBorders>
              <w:left w:val="single" w:sz="4" w:space="0" w:color="000000"/>
              <w:bottom w:val="single" w:sz="4" w:space="0" w:color="000000"/>
              <w:right w:val="single" w:sz="9" w:space="0" w:color="D2D2D2"/>
            </w:tcBorders>
          </w:tcPr>
          <w:p>
            <w:pPr/>
          </w:p>
        </w:tc>
        <w:tc>
          <w:tcPr>
            <w:tcW w:w="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PM2.5</w:t>
            </w:r>
          </w:p>
        </w:tc>
        <w:tc>
          <w:tcPr>
            <w:tcW w:w="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34"/>
              <w:jc w:val="left"/>
              <w:rPr>
                <w:rFonts w:ascii="宋体" w:hAnsi="宋体" w:cs="宋体" w:eastAsia="宋体" w:hint="default"/>
                <w:sz w:val="18"/>
                <w:szCs w:val="18"/>
              </w:rPr>
            </w:pPr>
            <w:r>
              <w:rPr>
                <w:rFonts w:ascii="宋体" w:hAnsi="宋体" w:cs="宋体" w:eastAsia="宋体" w:hint="default"/>
                <w:sz w:val="18"/>
                <w:szCs w:val="18"/>
              </w:rPr>
              <w:t>空气动力学粒径在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微米以下的颗粒物，又称为细颗粒物或大气细 粒子。</w:t>
            </w:r>
          </w:p>
        </w:tc>
      </w:tr>
      <w:tr>
        <w:trPr>
          <w:trHeight w:val="394" w:hRule="exact"/>
        </w:trPr>
        <w:tc>
          <w:tcPr>
            <w:tcW w:w="3524" w:type="dxa"/>
            <w:vMerge/>
            <w:tcBorders>
              <w:left w:val="single" w:sz="4" w:space="0" w:color="000000"/>
              <w:right w:val="single" w:sz="9" w:space="0" w:color="D2D2D2"/>
            </w:tcBorders>
          </w:tcPr>
          <w:p>
            <w:pPr/>
          </w:p>
        </w:tc>
        <w:tc>
          <w:tcPr>
            <w:tcW w:w="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2D2D2"/>
            </w:tcBorders>
          </w:tcPr>
          <w:p>
            <w:pPr/>
          </w:p>
        </w:tc>
        <w:tc>
          <w:tcPr>
            <w:tcW w:w="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125" w:right="0"/>
        <w:jc w:val="left"/>
        <w:rPr>
          <w:b w:val="0"/>
          <w:bCs w:val="0"/>
        </w:rPr>
      </w:pPr>
      <w:bookmarkStart w:name="_TOC_250008" w:id="2"/>
      <w:r>
        <w:rPr/>
        <w:t>第二节</w:t>
      </w:r>
      <w:r>
        <w:rPr>
          <w:spacing w:val="-6"/>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909"/>
        <w:gridCol w:w="2327"/>
        <w:gridCol w:w="2135"/>
        <w:gridCol w:w="2188"/>
      </w:tblGrid>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先河环保</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300137</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先河环保</w:t>
            </w:r>
          </w:p>
        </w:tc>
      </w:tr>
      <w:tr>
        <w:trPr>
          <w:trHeight w:val="404"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Hebei Sailhero Environmental Protection    High-tech</w:t>
            </w:r>
            <w:r>
              <w:rPr>
                <w:rFonts w:ascii="Times New Roman"/>
                <w:spacing w:val="-16"/>
                <w:sz w:val="18"/>
              </w:rPr>
              <w:t> </w:t>
            </w:r>
            <w:r>
              <w:rPr>
                <w:rFonts w:ascii="Times New Roman"/>
                <w:sz w:val="18"/>
              </w:rPr>
              <w:t>Co.,ltd.</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SailheroEnviroprotec</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李玉国</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 </w:t>
            </w:r>
            <w:r>
              <w:rPr>
                <w:rFonts w:ascii="宋体" w:hAnsi="宋体" w:cs="宋体" w:eastAsia="宋体" w:hint="default"/>
                <w:sz w:val="18"/>
                <w:szCs w:val="18"/>
              </w:rPr>
              <w:t>号</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050035</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 </w:t>
            </w:r>
            <w:r>
              <w:rPr>
                <w:rFonts w:ascii="宋体" w:hAnsi="宋体" w:cs="宋体" w:eastAsia="宋体" w:hint="default"/>
                <w:sz w:val="18"/>
                <w:szCs w:val="18"/>
              </w:rPr>
              <w:t>号</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050035</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http://www.sailhero.com.cn</w:t>
              </w:r>
            </w:hyperlink>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xhzq@sailhero.com.cn</w:t>
              </w:r>
            </w:hyperlink>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中磊会计师事务所有限责任公司</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北京丰台区星火路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号昌宁大厦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层</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祖鹏飞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王少军</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251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0311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85323905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0311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85323900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0311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85329383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0311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85329383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zupengfei@sina.com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hebeiwsj@126.com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《证券日报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号公司三楼（公司证券部）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四、公司历史沿革</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石家庄市湘江道</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251 </w:t>
            </w:r>
            <w:r>
              <w:rPr>
                <w:rFonts w:ascii="宋体" w:hAnsi="宋体" w:cs="宋体" w:eastAsia="宋体" w:hint="default"/>
                <w:sz w:val="18"/>
                <w:szCs w:val="18"/>
              </w:rPr>
              <w:t>号</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130000000008742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3"/>
                <w:sz w:val="18"/>
              </w:rPr>
              <w:t>130111104363113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10436311-3</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经营范围变更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石家庄市湘江道</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251 </w:t>
            </w:r>
            <w:r>
              <w:rPr>
                <w:rFonts w:ascii="宋体" w:hAnsi="宋体" w:cs="宋体" w:eastAsia="宋体" w:hint="default"/>
                <w:sz w:val="18"/>
                <w:szCs w:val="18"/>
              </w:rPr>
              <w:t>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130000000008742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5"/>
              <w:jc w:val="right"/>
              <w:rPr>
                <w:rFonts w:ascii="Times New Roman" w:hAnsi="Times New Roman" w:cs="Times New Roman" w:eastAsia="Times New Roman" w:hint="default"/>
                <w:sz w:val="18"/>
                <w:szCs w:val="18"/>
              </w:rPr>
            </w:pPr>
            <w:r>
              <w:rPr>
                <w:rFonts w:ascii="Times New Roman"/>
                <w:spacing w:val="-3"/>
                <w:sz w:val="18"/>
              </w:rPr>
              <w:t>130111104363113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10436311-3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TOC_250007"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line="338" w:lineRule="auto" w:before="117"/>
        <w:ind w:left="152" w:right="8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主要会计数据</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608"/>
        <w:gridCol w:w="1749"/>
        <w:gridCol w:w="1740"/>
        <w:gridCol w:w="1738"/>
        <w:gridCol w:w="1735"/>
      </w:tblGrid>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210,402,129.15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146,557,775.63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171,696,987.32</w:t>
            </w:r>
          </w:p>
        </w:tc>
      </w:tr>
      <w:tr>
        <w:trPr>
          <w:trHeight w:val="404"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42,435,751.58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34,677,388.73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41,831,633.17</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54,804,017.48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47,307,095.53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54,226,362.87</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46,516,519.52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40,209,990.19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46,661,426.10</w:t>
            </w:r>
          </w:p>
        </w:tc>
      </w:tr>
      <w:tr>
        <w:trPr>
          <w:trHeight w:val="71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40,195,935.08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35,461,439.71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41,764,874.97</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-12,313,573.01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-39,104,641.80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14,665,269.29</w:t>
            </w:r>
          </w:p>
        </w:tc>
      </w:tr>
      <w:tr>
        <w:trPr>
          <w:trHeight w:val="161" w:hRule="exact"/>
        </w:trPr>
        <w:tc>
          <w:tcPr>
            <w:tcW w:w="2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608"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996,576,683.77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922,201,239.98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895,557,080.45</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88,668,746.96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52,879,309.42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66,427,626.91</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907,577,760.66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868,861,241.14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828,651,250.95</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主要财务指标</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01"/>
        <w:gridCol w:w="1749"/>
        <w:gridCol w:w="1736"/>
        <w:gridCol w:w="1738"/>
        <w:gridCol w:w="1735"/>
      </w:tblGrid>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w:t>
            </w:r>
          </w:p>
        </w:tc>
      </w:tr>
      <w:tr>
        <w:trPr>
          <w:trHeight w:val="715"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0.27</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16.47%</w:t>
            </w:r>
          </w:p>
        </w:tc>
      </w:tr>
      <w:tr>
        <w:trPr>
          <w:trHeight w:val="71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4"/>
        <w:gridCol w:w="1738"/>
        <w:gridCol w:w="1736"/>
        <w:gridCol w:w="1738"/>
        <w:gridCol w:w="1735"/>
      </w:tblGrid>
      <w:tr>
        <w:trPr>
          <w:trHeight w:val="36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-0.0789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-0.2507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0.1222</w:t>
            </w:r>
          </w:p>
        </w:tc>
      </w:tr>
      <w:tr>
        <w:trPr>
          <w:trHeight w:val="161" w:hRule="exact"/>
        </w:trPr>
        <w:tc>
          <w:tcPr>
            <w:tcW w:w="2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624" w:type="dxa"/>
            <w:tcBorders>
              <w:top w:val="nil" w:sz="6" w:space="0" w:color="auto"/>
              <w:left w:val="single" w:sz="4" w:space="0" w:color="000000"/>
              <w:bottom w:val="nil" w:sz="6" w:space="0" w:color="auto"/>
              <w:right w:val="single" w:sz="4" w:space="0" w:color="000000"/>
            </w:tcBorders>
            <w:shd w:val="clear" w:color="auto" w:fill="D2D2D2"/>
          </w:tcPr>
          <w:p>
            <w:pP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5.8178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6.9054</w:t>
            </w:r>
          </w:p>
        </w:tc>
      </w:tr>
      <w:tr>
        <w:trPr>
          <w:trHeight w:val="40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85"/>
        <w:gridCol w:w="1741"/>
        <w:gridCol w:w="2004"/>
        <w:gridCol w:w="1769"/>
        <w:gridCol w:w="1771"/>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0"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46,516,519.52</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40,209,990.19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907,577,760.66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868,861,241.14</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85"/>
        <w:gridCol w:w="1729"/>
        <w:gridCol w:w="2004"/>
        <w:gridCol w:w="1769"/>
        <w:gridCol w:w="1771"/>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2"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33"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55" w:right="0"/>
              <w:jc w:val="left"/>
              <w:rPr>
                <w:rFonts w:ascii="Times New Roman" w:hAnsi="Times New Roman" w:cs="Times New Roman" w:eastAsia="Times New Roman" w:hint="default"/>
                <w:sz w:val="18"/>
                <w:szCs w:val="18"/>
              </w:rPr>
            </w:pPr>
            <w:r>
              <w:rPr>
                <w:rFonts w:ascii="Times New Roman"/>
                <w:sz w:val="18"/>
              </w:rPr>
              <w:t>46,516,519.52</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40,209,990.19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907,577,760.66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868,861,241.14</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三、报告期内非经常性损益的项目及金额</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7,183,921.70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6,005,237.51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5,760,766.04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252,060.00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-383,749.20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1,115,397.26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900,785.63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864,114.91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-27,847.80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6,320,584.44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4,748,550.48</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4,896,551.13</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52" w:firstLine="0"/>
        <w:jc w:val="both"/>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四、重大风险提示</w:t>
      </w:r>
      <w:r>
        <w:rPr>
          <w:b w:val="0"/>
          <w:bCs w:val="0"/>
        </w:rPr>
      </w:r>
    </w:p>
    <w:p>
      <w:pPr>
        <w:spacing w:line="240" w:lineRule="auto" w:before="12"/>
        <w:rPr>
          <w:rFonts w:ascii="宋体" w:hAnsi="宋体" w:cs="宋体" w:eastAsia="宋体" w:hint="default"/>
          <w:b/>
          <w:bCs/>
          <w:sz w:val="24"/>
          <w:szCs w:val="24"/>
        </w:rPr>
      </w:pPr>
    </w:p>
    <w:p>
      <w:pPr>
        <w:pStyle w:val="BodyText"/>
        <w:spacing w:line="259" w:lineRule="auto"/>
        <w:ind w:left="573" w:right="0"/>
        <w:jc w:val="left"/>
      </w:pPr>
      <w:r>
        <w:rPr/>
        <w:t>（</w:t>
      </w:r>
      <w:r>
        <w:rPr>
          <w:rFonts w:ascii="Times New Roman" w:hAnsi="Times New Roman" w:cs="Times New Roman" w:eastAsia="Times New Roman" w:hint="default"/>
        </w:rPr>
        <w:t>1</w:t>
      </w:r>
      <w:r>
        <w:rPr/>
        <w:t>）内部管理的风险</w:t>
      </w:r>
      <w:r>
        <w:rPr>
          <w:w w:val="100"/>
        </w:rPr>
        <w:t> </w:t>
      </w:r>
      <w:r>
        <w:rPr>
          <w:spacing w:val="-2"/>
        </w:rPr>
        <w:t>随着募集资金投资项目的实施，公司资产、业务、机构和人员进一步扩张。公司在战略规划、制度建</w:t>
      </w:r>
    </w:p>
    <w:p>
      <w:pPr>
        <w:pStyle w:val="BodyText"/>
        <w:spacing w:line="268" w:lineRule="auto" w:before="20"/>
        <w:ind w:right="125"/>
        <w:jc w:val="both"/>
      </w:pPr>
      <w:r>
        <w:rPr>
          <w:spacing w:val="-2"/>
        </w:rPr>
        <w:t>设、组织设置、运营管理、资金管理和内部控制等方面将面临更大的挑战，公司经营规模的跳跃式增长，</w:t>
      </w:r>
      <w:r>
        <w:rPr>
          <w:spacing w:val="-21"/>
        </w:rPr>
        <w:t> </w:t>
      </w:r>
      <w:r>
        <w:rPr>
          <w:spacing w:val="-21"/>
        </w:rPr>
      </w:r>
      <w:r>
        <w:rPr>
          <w:spacing w:val="2"/>
        </w:rPr>
        <w:t>给公司建立适应企业发展需要的管理体系和制度及在新的条件下完善激励和约束机制带来管理方面的压</w:t>
      </w:r>
      <w:r>
        <w:rPr>
          <w:spacing w:val="-30"/>
        </w:rPr>
        <w:t> </w:t>
      </w:r>
      <w:r>
        <w:rPr>
          <w:spacing w:val="-30"/>
        </w:rPr>
      </w:r>
      <w:r>
        <w:rPr>
          <w:spacing w:val="-2"/>
        </w:rPr>
        <w:t>力。尽管本公司已积累了较为丰富的企业管理经验，建立了规范的法人治理结构、质量管理体系，生产经</w:t>
      </w:r>
      <w:r>
        <w:rPr>
          <w:spacing w:val="-47"/>
        </w:rPr>
        <w:t> </w:t>
      </w:r>
      <w:r>
        <w:rPr>
          <w:spacing w:val="-47"/>
        </w:rPr>
      </w:r>
      <w:r>
        <w:rPr>
          <w:spacing w:val="-3"/>
        </w:rPr>
        <w:t>营能保持有序运行，但存在现有管理体系不能完全适应未来公司快速扩张的可能性</w:t>
      </w:r>
      <w:r>
        <w:rPr>
          <w:rFonts w:ascii="Times New Roman" w:hAnsi="Times New Roman" w:cs="Times New Roman" w:eastAsia="Times New Roman" w:hint="default"/>
          <w:spacing w:val="-3"/>
        </w:rPr>
        <w:t>,</w:t>
      </w:r>
      <w:r>
        <w:rPr>
          <w:spacing w:val="-3"/>
        </w:rPr>
        <w:t>给企业正常的生产经营</w:t>
      </w:r>
      <w:r>
        <w:rPr>
          <w:spacing w:val="-49"/>
        </w:rPr>
        <w:t> </w:t>
      </w:r>
      <w:r>
        <w:rPr>
          <w:spacing w:val="-49"/>
        </w:rPr>
      </w:r>
      <w:r>
        <w:rPr/>
        <w:t>带来风险。</w:t>
      </w:r>
    </w:p>
    <w:p>
      <w:pPr>
        <w:pStyle w:val="BodyText"/>
        <w:spacing w:line="256" w:lineRule="auto" w:before="12"/>
        <w:ind w:left="573" w:right="0"/>
        <w:jc w:val="left"/>
      </w:pPr>
      <w:r>
        <w:rPr/>
        <w:t>（</w:t>
      </w:r>
      <w:r>
        <w:rPr>
          <w:rFonts w:ascii="Times New Roman" w:hAnsi="Times New Roman" w:cs="Times New Roman" w:eastAsia="Times New Roman" w:hint="default"/>
        </w:rPr>
        <w:t>2</w:t>
      </w:r>
      <w:r>
        <w:rPr/>
        <w:t>）市场风险</w:t>
      </w:r>
      <w:r>
        <w:rPr>
          <w:w w:val="100"/>
        </w:rPr>
        <w:t> </w:t>
      </w:r>
      <w:r>
        <w:rPr>
          <w:spacing w:val="-2"/>
        </w:rPr>
        <w:t>公司产品的性能和质量处于国内领先水平，在国内市场已经部分取代国外竞争对手的同类产品；但与</w:t>
      </w:r>
    </w:p>
    <w:p>
      <w:pPr>
        <w:pStyle w:val="BodyText"/>
        <w:spacing w:line="273" w:lineRule="auto" w:before="22"/>
        <w:ind w:right="146"/>
        <w:jc w:val="both"/>
      </w:pPr>
      <w:r>
        <w:rPr>
          <w:spacing w:val="-2"/>
        </w:rPr>
        <w:t>国际竞争对手相比，本公司存在起步相对较晚，技术上仍须完善提高等不利因素。在环境监测领域，近年</w:t>
      </w:r>
      <w:r>
        <w:rPr>
          <w:spacing w:val="-47"/>
        </w:rPr>
        <w:t> </w:t>
      </w:r>
      <w:r>
        <w:rPr>
          <w:spacing w:val="-47"/>
        </w:rPr>
      </w:r>
      <w:r>
        <w:rPr>
          <w:spacing w:val="-2"/>
        </w:rPr>
        <w:t>来业内的厂家数量不断增加，竞争趋于激烈。虽然大部分竞争对手从经营规模、技术水准等方面对公司的</w:t>
      </w:r>
      <w:r>
        <w:rPr>
          <w:spacing w:val="-43"/>
        </w:rPr>
        <w:t> </w:t>
      </w:r>
      <w:r>
        <w:rPr>
          <w:spacing w:val="-43"/>
        </w:rPr>
      </w:r>
      <w:r>
        <w:rPr/>
        <w:t>长远发展不构成影响，但短期内可能对公司的经营业绩造成一定冲击。</w:t>
      </w:r>
    </w:p>
    <w:p>
      <w:pPr>
        <w:pStyle w:val="BodyText"/>
        <w:spacing w:line="240" w:lineRule="auto" w:before="7"/>
        <w:ind w:left="573" w:right="0"/>
        <w:jc w:val="left"/>
      </w:pPr>
      <w:r>
        <w:rPr/>
        <w:t>（</w:t>
      </w:r>
      <w:r>
        <w:rPr>
          <w:rFonts w:ascii="Times New Roman" w:hAnsi="Times New Roman" w:cs="Times New Roman" w:eastAsia="Times New Roman" w:hint="default"/>
        </w:rPr>
        <w:t>3</w:t>
      </w:r>
      <w:r>
        <w:rPr/>
        <w:t>）募资资金使用的风险</w:t>
      </w:r>
    </w:p>
    <w:p>
      <w:pPr>
        <w:pStyle w:val="BodyText"/>
        <w:spacing w:line="268" w:lineRule="auto" w:before="21"/>
        <w:ind w:right="146" w:firstLine="336"/>
        <w:jc w:val="both"/>
      </w:pPr>
      <w:r>
        <w:rPr>
          <w:rFonts w:ascii="Times New Roman" w:hAnsi="Times New Roman" w:cs="Times New Roman" w:eastAsia="Times New Roman" w:hint="default"/>
          <w:spacing w:val="-2"/>
        </w:rPr>
        <w:t>2012</w:t>
      </w:r>
      <w:r>
        <w:rPr>
          <w:spacing w:val="-2"/>
        </w:rPr>
        <w:t>年公司募集资金投资项目大部分建设完成后，公司固定资产规模将大幅增加，每年将新增一定数</w:t>
      </w:r>
      <w:r>
        <w:rPr>
          <w:w w:val="100"/>
        </w:rPr>
        <w:t> </w:t>
      </w:r>
      <w:r>
        <w:rPr>
          <w:spacing w:val="-2"/>
        </w:rPr>
        <w:t>量的固定资产折旧。虽然公司募集资金投资项目相关产品饮用水监测市场前景广阔，但如果未来几年公司</w:t>
      </w:r>
      <w:r>
        <w:rPr>
          <w:spacing w:val="-43"/>
        </w:rPr>
        <w:t> </w:t>
      </w:r>
      <w:r>
        <w:rPr>
          <w:spacing w:val="-43"/>
        </w:rPr>
      </w:r>
      <w:r>
        <w:rPr>
          <w:spacing w:val="-2"/>
        </w:rPr>
        <w:t>市场开拓不力，募集资金投资项目所扩张的产能将会出现部分闲置，公司可能存在着净资产收益率下降的</w:t>
      </w:r>
      <w:r>
        <w:rPr>
          <w:spacing w:val="-43"/>
        </w:rPr>
        <w:t> </w:t>
      </w:r>
      <w:r>
        <w:rPr>
          <w:spacing w:val="-43"/>
        </w:rPr>
      </w:r>
      <w:r>
        <w:rPr>
          <w:spacing w:val="-2"/>
        </w:rPr>
        <w:t>风险及费用增加的风险。公司应当加强募投项目管理，同时进一步开拓市场，增加市场占有率；加快新产</w:t>
      </w:r>
      <w:r>
        <w:rPr>
          <w:spacing w:val="-47"/>
        </w:rPr>
        <w:t> </w:t>
      </w:r>
      <w:r>
        <w:rPr>
          <w:spacing w:val="-47"/>
        </w:rPr>
      </w:r>
      <w:r>
        <w:rPr/>
        <w:t>品研发进度，有更多的新产品投放市场。</w:t>
      </w:r>
    </w:p>
    <w:p>
      <w:pPr>
        <w:spacing w:after="0" w:line="268"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0" w:right="3651"/>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一、管理层讨论与分析</w:t>
      </w:r>
      <w:r>
        <w:rPr>
          <w:b w:val="0"/>
          <w:bCs w:val="0"/>
        </w:rPr>
      </w:r>
    </w:p>
    <w:p>
      <w:pPr>
        <w:spacing w:line="240" w:lineRule="auto" w:before="12"/>
        <w:rPr>
          <w:rFonts w:ascii="宋体" w:hAnsi="宋体" w:cs="宋体" w:eastAsia="宋体" w:hint="default"/>
          <w:b/>
          <w:bCs/>
          <w:sz w:val="24"/>
          <w:szCs w:val="24"/>
        </w:rPr>
      </w:pPr>
    </w:p>
    <w:p>
      <w:pPr>
        <w:pStyle w:val="BodyText"/>
        <w:spacing w:line="261" w:lineRule="auto"/>
        <w:ind w:right="101" w:firstLine="420"/>
        <w:jc w:val="left"/>
      </w:pPr>
      <w:r>
        <w:rPr>
          <w:rFonts w:ascii="Times New Roman" w:hAnsi="Times New Roman" w:cs="Times New Roman" w:eastAsia="Times New Roman" w:hint="default"/>
          <w:spacing w:val="-5"/>
        </w:rPr>
        <w:t>2012</w:t>
      </w:r>
      <w:r>
        <w:rPr>
          <w:spacing w:val="-5"/>
        </w:rPr>
        <w:t>年，是先河战略调整、布局后初见成效的一年。在公司董事会的正确领导下，经营班子超前谋划，</w:t>
      </w:r>
      <w:r>
        <w:rPr>
          <w:w w:val="100"/>
        </w:rPr>
        <w:t> </w:t>
      </w:r>
      <w:r>
        <w:rPr>
          <w:spacing w:val="-2"/>
        </w:rPr>
        <w:t>积极应对，狠抓落实，努力克服各种困难，推进差异化营销模式和激励机制，不断优化和完善科研和生产</w:t>
      </w:r>
      <w:r>
        <w:rPr>
          <w:spacing w:val="-46"/>
        </w:rPr>
        <w:t> </w:t>
      </w:r>
      <w:r>
        <w:rPr>
          <w:spacing w:val="-46"/>
        </w:rPr>
      </w:r>
      <w:r>
        <w:rPr/>
        <w:t>发展平台，突出抓好</w:t>
      </w:r>
      <w:r>
        <w:rPr>
          <w:rFonts w:ascii="Times New Roman" w:hAnsi="Times New Roman" w:cs="Times New Roman" w:eastAsia="Times New Roman" w:hint="default"/>
        </w:rPr>
        <w:t>pm2.5</w:t>
      </w:r>
      <w:r>
        <w:rPr/>
        <w:t>重大专项攻关，努力提升运营业务水平，加快企业高速成长的步伐，各项工作</w:t>
      </w:r>
      <w:r>
        <w:rPr>
          <w:spacing w:val="-30"/>
        </w:rPr>
        <w:t> </w:t>
      </w:r>
      <w:r>
        <w:rPr>
          <w:spacing w:val="-30"/>
        </w:rPr>
      </w:r>
      <w:r>
        <w:rPr/>
        <w:t>取得了阶段性成效。报告期内，公司实现营业收入</w:t>
      </w:r>
      <w:r>
        <w:rPr>
          <w:rFonts w:ascii="Times New Roman" w:hAnsi="Times New Roman" w:cs="Times New Roman" w:eastAsia="Times New Roman" w:hint="default"/>
        </w:rPr>
        <w:t>210,402,129.15 </w:t>
      </w:r>
      <w:r>
        <w:rPr/>
        <w:t>元，营业利润</w:t>
      </w:r>
      <w:r>
        <w:rPr>
          <w:rFonts w:ascii="Times New Roman" w:hAnsi="Times New Roman" w:cs="Times New Roman" w:eastAsia="Times New Roman" w:hint="default"/>
        </w:rPr>
        <w:t>42,435,751.58</w:t>
      </w:r>
      <w:r>
        <w:rPr/>
        <w:t>元，归属于</w:t>
      </w:r>
      <w:r>
        <w:rPr>
          <w:spacing w:val="-29"/>
        </w:rPr>
        <w:t> </w:t>
      </w:r>
      <w:r>
        <w:rPr>
          <w:spacing w:val="-29"/>
        </w:rPr>
      </w:r>
      <w:r>
        <w:rPr/>
        <w:t>上市公司股东的净利润</w:t>
      </w:r>
      <w:r>
        <w:rPr>
          <w:rFonts w:ascii="Times New Roman" w:hAnsi="Times New Roman" w:cs="Times New Roman" w:eastAsia="Times New Roman" w:hint="default"/>
        </w:rPr>
        <w:t>46,516,519.52</w:t>
      </w:r>
      <w:r>
        <w:rPr/>
        <w:t>元，分别较上年同期增长</w:t>
      </w:r>
      <w:r>
        <w:rPr>
          <w:rFonts w:ascii="Times New Roman" w:hAnsi="Times New Roman" w:cs="Times New Roman" w:eastAsia="Times New Roman" w:hint="default"/>
        </w:rPr>
        <w:t>43.56%</w:t>
      </w:r>
      <w:r>
        <w:rPr/>
        <w:t>、</w:t>
      </w:r>
      <w:r>
        <w:rPr>
          <w:rFonts w:ascii="Times New Roman" w:hAnsi="Times New Roman" w:cs="Times New Roman" w:eastAsia="Times New Roman" w:hint="default"/>
        </w:rPr>
        <w:t>22.37%</w:t>
      </w:r>
      <w:r>
        <w:rPr/>
        <w:t>、</w:t>
      </w:r>
      <w:r>
        <w:rPr>
          <w:rFonts w:ascii="Times New Roman" w:hAnsi="Times New Roman" w:cs="Times New Roman" w:eastAsia="Times New Roman" w:hint="default"/>
        </w:rPr>
        <w:t>15.68%</w:t>
      </w:r>
      <w:r>
        <w:rPr/>
        <w:t>。</w:t>
      </w:r>
    </w:p>
    <w:p>
      <w:pPr>
        <w:pStyle w:val="BodyText"/>
        <w:spacing w:line="240" w:lineRule="auto"/>
        <w:ind w:left="573" w:right="101"/>
        <w:jc w:val="left"/>
      </w:pPr>
      <w:r>
        <w:rPr/>
        <w:t>（</w:t>
      </w:r>
      <w:r>
        <w:rPr>
          <w:rFonts w:ascii="宋体" w:hAnsi="宋体" w:cs="宋体" w:eastAsia="宋体" w:hint="default"/>
        </w:rPr>
        <w:t>1</w:t>
      </w:r>
      <w:r>
        <w:rPr/>
        <w:t>）推进差异化营销，抢抓政策机遇，实现营销工作新突破</w:t>
      </w:r>
    </w:p>
    <w:p>
      <w:pPr>
        <w:pStyle w:val="BodyText"/>
        <w:spacing w:line="264" w:lineRule="auto" w:before="37"/>
        <w:ind w:right="101" w:firstLine="547"/>
        <w:jc w:val="left"/>
      </w:pPr>
      <w:r>
        <w:rPr>
          <w:rFonts w:ascii="Times New Roman" w:hAnsi="Times New Roman" w:cs="Times New Roman" w:eastAsia="Times New Roman" w:hint="default"/>
        </w:rPr>
        <w:t>2012</w:t>
      </w:r>
      <w:r>
        <w:rPr/>
        <w:t>年公司以市场为导向、以效益为中心，针对不同地区的不同需求，实施差异化营销策略。按照</w:t>
      </w:r>
      <w:r>
        <w:rPr>
          <w:w w:val="100"/>
        </w:rPr>
        <w:t> </w:t>
      </w:r>
      <w:r>
        <w:rPr>
          <w:spacing w:val="-2"/>
        </w:rPr>
        <w:t>责、权、利对等原则，各区域板块独立运营，把个人收入同区域业绩、回款挂钩，充分调动了业务人员的</w:t>
      </w:r>
      <w:r>
        <w:rPr>
          <w:spacing w:val="-45"/>
        </w:rPr>
        <w:t> </w:t>
      </w:r>
      <w:r>
        <w:rPr>
          <w:spacing w:val="-45"/>
        </w:rPr>
      </w:r>
      <w:r>
        <w:rPr>
          <w:spacing w:val="-2"/>
        </w:rPr>
        <w:t>积极性，市场占有率得到大幅提升。在经济发达的华南地区，高端产品需求巨大，公司积极谋划，调整产</w:t>
      </w:r>
      <w:r>
        <w:rPr>
          <w:spacing w:val="-43"/>
        </w:rPr>
        <w:t> </w:t>
      </w:r>
      <w:r>
        <w:rPr>
          <w:spacing w:val="-43"/>
        </w:rPr>
      </w:r>
      <w:r>
        <w:rPr>
          <w:spacing w:val="-5"/>
        </w:rPr>
        <w:t>品和营销策略，迅速打破销售瓶颈，拓展了华南市场。如在江苏省实现了零的突破，取得了</w:t>
      </w:r>
      <w:r>
        <w:rPr>
          <w:rFonts w:ascii="Times New Roman" w:hAnsi="Times New Roman" w:cs="Times New Roman" w:eastAsia="Times New Roman" w:hint="default"/>
          <w:spacing w:val="-5"/>
        </w:rPr>
        <w:t>1030</w:t>
      </w:r>
      <w:r>
        <w:rPr>
          <w:spacing w:val="-5"/>
        </w:rPr>
        <w:t>万合同额；</w:t>
      </w:r>
      <w:r>
        <w:rPr>
          <w:spacing w:val="-2"/>
        </w:rPr>
        <w:t> </w:t>
      </w:r>
      <w:r>
        <w:rPr>
          <w:spacing w:val="-2"/>
        </w:rPr>
        <w:t>在广东省成功中标</w:t>
      </w:r>
      <w:r>
        <w:rPr>
          <w:rFonts w:ascii="Times New Roman" w:hAnsi="Times New Roman" w:cs="Times New Roman" w:eastAsia="Times New Roman" w:hint="default"/>
          <w:spacing w:val="-2"/>
        </w:rPr>
        <w:t>1888</w:t>
      </w:r>
      <w:r>
        <w:rPr>
          <w:spacing w:val="-2"/>
        </w:rPr>
        <w:t>万元大单。针对西南西北偏远市场，环保投资少，竞争激烈，公司制定符合当地需</w:t>
      </w:r>
      <w:r>
        <w:rPr>
          <w:spacing w:val="-43"/>
        </w:rPr>
        <w:t> </w:t>
      </w:r>
      <w:r>
        <w:rPr>
          <w:spacing w:val="-43"/>
        </w:rPr>
      </w:r>
      <w:r>
        <w:rPr/>
        <w:t>求的营销方案，积极运作。在贵州成功中标空气项目，实现销售额</w:t>
      </w:r>
      <w:r>
        <w:rPr>
          <w:rFonts w:ascii="Times New Roman" w:hAnsi="Times New Roman" w:cs="Times New Roman" w:eastAsia="Times New Roman" w:hint="default"/>
        </w:rPr>
        <w:t>870</w:t>
      </w:r>
      <w:r>
        <w:rPr/>
        <w:t>万元；甘肃实现</w:t>
      </w:r>
      <w:r>
        <w:rPr>
          <w:rFonts w:ascii="Times New Roman" w:hAnsi="Times New Roman" w:cs="Times New Roman" w:eastAsia="Times New Roman" w:hint="default"/>
        </w:rPr>
        <w:t>1000</w:t>
      </w:r>
      <w:r>
        <w:rPr/>
        <w:t>万元合同额。</w:t>
      </w:r>
    </w:p>
    <w:p>
      <w:pPr>
        <w:pStyle w:val="BodyText"/>
        <w:spacing w:line="256" w:lineRule="auto"/>
        <w:ind w:right="209" w:firstLine="336"/>
        <w:jc w:val="both"/>
      </w:pPr>
      <w:r>
        <w:rPr>
          <w:rFonts w:ascii="Times New Roman" w:hAnsi="Times New Roman" w:cs="Times New Roman" w:eastAsia="Times New Roman" w:hint="default"/>
          <w:spacing w:val="-2"/>
        </w:rPr>
        <w:t>PM2.5</w:t>
      </w:r>
      <w:r>
        <w:rPr>
          <w:spacing w:val="-2"/>
        </w:rPr>
        <w:t>事件发生后，公司审时度势，公司通过积极运作，抓住了</w:t>
      </w:r>
      <w:r>
        <w:rPr>
          <w:rFonts w:ascii="Times New Roman" w:hAnsi="Times New Roman" w:cs="Times New Roman" w:eastAsia="Times New Roman" w:hint="default"/>
          <w:spacing w:val="-2"/>
        </w:rPr>
        <w:t>PM2.5</w:t>
      </w:r>
      <w:r>
        <w:rPr>
          <w:spacing w:val="-2"/>
        </w:rPr>
        <w:t>市场的机遇，带动了公司业绩的</w:t>
      </w:r>
      <w:r>
        <w:rPr>
          <w:w w:val="100"/>
        </w:rPr>
        <w:t> </w:t>
      </w:r>
      <w:r>
        <w:rPr>
          <w:spacing w:val="-1"/>
        </w:rPr>
        <w:t>全面提升。公司立足技术储备及产业化基础，快速形成了</w:t>
      </w:r>
      <w:r>
        <w:rPr>
          <w:rFonts w:ascii="Times New Roman" w:hAnsi="Times New Roman" w:cs="Times New Roman" w:eastAsia="Times New Roman" w:hint="default"/>
          <w:spacing w:val="-1"/>
        </w:rPr>
        <w:t>PM2.5</w:t>
      </w:r>
      <w:r>
        <w:rPr>
          <w:spacing w:val="-1"/>
        </w:rPr>
        <w:t>批量生产能力，并在宁夏、安徽、山西、</w:t>
      </w:r>
      <w:r>
        <w:rPr>
          <w:spacing w:val="-16"/>
        </w:rPr>
        <w:t> </w:t>
      </w:r>
      <w:r>
        <w:rPr>
          <w:spacing w:val="-16"/>
        </w:rPr>
      </w:r>
      <w:r>
        <w:rPr>
          <w:spacing w:val="-2"/>
        </w:rPr>
        <w:t>新疆、河北、四川等地成功实现销售，应用效果良好。尤其是在国家首批部署的重点地区</w:t>
      </w:r>
      <w:r>
        <w:rPr>
          <w:rFonts w:ascii="Times New Roman" w:hAnsi="Times New Roman" w:cs="Times New Roman" w:eastAsia="Times New Roman" w:hint="default"/>
          <w:spacing w:val="-2"/>
        </w:rPr>
        <w:t>---</w:t>
      </w:r>
      <w:r>
        <w:rPr>
          <w:spacing w:val="-2"/>
        </w:rPr>
        <w:t>京津冀的监测</w:t>
      </w:r>
      <w:r>
        <w:rPr>
          <w:spacing w:val="-47"/>
        </w:rPr>
        <w:t> </w:t>
      </w:r>
      <w:r>
        <w:rPr>
          <w:spacing w:val="-47"/>
        </w:rPr>
      </w:r>
      <w:r>
        <w:rPr>
          <w:spacing w:val="-1"/>
        </w:rPr>
        <w:t>能力建设中，公司</w:t>
      </w:r>
      <w:r>
        <w:rPr>
          <w:rFonts w:ascii="Times New Roman" w:hAnsi="Times New Roman" w:cs="Times New Roman" w:eastAsia="Times New Roman" w:hint="default"/>
          <w:spacing w:val="-1"/>
        </w:rPr>
        <w:t>PM2.5</w:t>
      </w:r>
      <w:r>
        <w:rPr>
          <w:spacing w:val="-1"/>
        </w:rPr>
        <w:t>在监测网点最多的河北省得到全省范围内应用，对在全国推广国产化具有示范意</w:t>
      </w:r>
      <w:r>
        <w:rPr>
          <w:spacing w:val="-15"/>
        </w:rPr>
        <w:t> </w:t>
      </w:r>
      <w:r>
        <w:rPr>
          <w:spacing w:val="-15"/>
        </w:rPr>
      </w:r>
      <w:r>
        <w:rPr/>
        <w:t>义。河北新空气能力建设项目合同额达</w:t>
      </w:r>
      <w:r>
        <w:rPr>
          <w:rFonts w:ascii="Times New Roman" w:hAnsi="Times New Roman" w:cs="Times New Roman" w:eastAsia="Times New Roman" w:hint="default"/>
        </w:rPr>
        <w:t>7388.6</w:t>
      </w:r>
      <w:r>
        <w:rPr/>
        <w:t>万元，创公司单一项目销售额历史最高记录。</w:t>
      </w:r>
    </w:p>
    <w:p>
      <w:pPr>
        <w:pStyle w:val="BodyText"/>
        <w:spacing w:line="240" w:lineRule="auto" w:before="5"/>
        <w:ind w:left="544" w:right="101"/>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w:t>
      </w:r>
      <w:r>
        <w:rPr/>
        <w:t>加大科研投入，研发实力显著提升，成功中标多个国家项目</w:t>
      </w:r>
    </w:p>
    <w:p>
      <w:pPr>
        <w:pStyle w:val="BodyText"/>
        <w:spacing w:line="261" w:lineRule="auto" w:before="37"/>
        <w:ind w:right="207" w:firstLine="391"/>
        <w:jc w:val="both"/>
      </w:pPr>
      <w:r>
        <w:rPr>
          <w:rFonts w:ascii="Times New Roman" w:hAnsi="Times New Roman" w:cs="Times New Roman" w:eastAsia="Times New Roman" w:hint="default"/>
          <w:spacing w:val="-2"/>
        </w:rPr>
        <w:t>2012</w:t>
      </w:r>
      <w:r>
        <w:rPr>
          <w:spacing w:val="-2"/>
        </w:rPr>
        <w:t>年，公司投入大量资金用于研发设备的购置，配套了气相色谱仪、原子吸收分光光度计、荧光分</w:t>
      </w:r>
      <w:r>
        <w:rPr>
          <w:w w:val="100"/>
        </w:rPr>
        <w:t> </w:t>
      </w:r>
      <w:r>
        <w:rPr>
          <w:spacing w:val="-2"/>
        </w:rPr>
        <w:t>光光度仪、红外分光光度计、电化学工作站、流动注射分析仪、顺序注射分析仪等大型设备，完成大型仪</w:t>
      </w:r>
      <w:r>
        <w:rPr>
          <w:spacing w:val="-43"/>
        </w:rPr>
        <w:t> </w:t>
      </w:r>
      <w:r>
        <w:rPr>
          <w:spacing w:val="-43"/>
        </w:rPr>
      </w:r>
      <w:r>
        <w:rPr>
          <w:spacing w:val="-3"/>
        </w:rPr>
        <w:t>器实验室、理化实验室等基础实验室的建设工作，建设了一流的实验条件；引进并建设了</w:t>
      </w:r>
      <w:r>
        <w:rPr>
          <w:rFonts w:ascii="Times New Roman" w:hAnsi="Times New Roman" w:cs="Times New Roman" w:eastAsia="Times New Roman" w:hint="default"/>
          <w:spacing w:val="-3"/>
        </w:rPr>
        <w:t>PLM</w:t>
      </w:r>
      <w:r>
        <w:rPr>
          <w:spacing w:val="-3"/>
        </w:rPr>
        <w:t>产品全生命</w:t>
      </w:r>
      <w:r>
        <w:rPr>
          <w:spacing w:val="-8"/>
        </w:rPr>
        <w:t> </w:t>
      </w:r>
      <w:r>
        <w:rPr>
          <w:spacing w:val="-8"/>
        </w:rPr>
      </w:r>
      <w:r>
        <w:rPr/>
        <w:t>周期管理系统，提高了产品设计质量和设计工作效率。</w:t>
      </w:r>
    </w:p>
    <w:p>
      <w:pPr>
        <w:pStyle w:val="BodyText"/>
        <w:spacing w:line="256" w:lineRule="auto" w:before="18"/>
        <w:ind w:right="211" w:firstLine="336"/>
        <w:jc w:val="both"/>
      </w:pPr>
      <w:r>
        <w:rPr/>
        <w:t>新产品开发方面，先河自主研发的</w:t>
      </w:r>
      <w:r>
        <w:rPr>
          <w:rFonts w:ascii="Times New Roman" w:hAnsi="Times New Roman" w:cs="Times New Roman" w:eastAsia="Times New Roman" w:hint="default"/>
        </w:rPr>
        <w:t>PM2.5</w:t>
      </w:r>
      <w:r>
        <w:rPr/>
        <w:t>监测仪以优异的性能通过环境总站组织的四个阶段的比对测</w:t>
      </w:r>
      <w:r>
        <w:rPr>
          <w:w w:val="100"/>
        </w:rPr>
        <w:t> </w:t>
      </w:r>
      <w:r>
        <w:rPr>
          <w:spacing w:val="-1"/>
        </w:rPr>
        <w:t>试，在济南、重庆、上海等试点运行稳定、数据准确，特别是在持续灰霾天气中，河北各点位的</w:t>
      </w:r>
      <w:r>
        <w:rPr>
          <w:rFonts w:ascii="Times New Roman" w:hAnsi="Times New Roman" w:cs="Times New Roman" w:eastAsia="Times New Roman" w:hint="default"/>
          <w:spacing w:val="-1"/>
        </w:rPr>
        <w:t>PM2.5</w:t>
      </w:r>
      <w:r>
        <w:rPr>
          <w:spacing w:val="-1"/>
        </w:rPr>
        <w:t>监</w:t>
      </w:r>
      <w:r>
        <w:rPr>
          <w:spacing w:val="-18"/>
        </w:rPr>
        <w:t> </w:t>
      </w:r>
      <w:r>
        <w:rPr/>
        <w:t>测仪质量可靠，经受住了持续灰霾天气的考验。</w:t>
      </w:r>
    </w:p>
    <w:p>
      <w:pPr>
        <w:pStyle w:val="BodyText"/>
        <w:spacing w:line="261" w:lineRule="auto" w:before="22"/>
        <w:ind w:right="101" w:firstLine="336"/>
        <w:jc w:val="left"/>
      </w:pPr>
      <w:r>
        <w:rPr/>
        <w:t>通过积极谋划，公司本年度成功中标国家项目</w:t>
      </w:r>
      <w:r>
        <w:rPr>
          <w:rFonts w:ascii="Times New Roman" w:hAnsi="Times New Roman" w:cs="Times New Roman" w:eastAsia="Times New Roman" w:hint="default"/>
        </w:rPr>
        <w:t>3</w:t>
      </w:r>
      <w:r>
        <w:rPr/>
        <w:t>项。</w:t>
      </w:r>
      <w:r>
        <w:rPr>
          <w:rFonts w:ascii="Times New Roman" w:hAnsi="Times New Roman" w:cs="Times New Roman" w:eastAsia="Times New Roman" w:hint="default"/>
        </w:rPr>
        <w:t>PM2.5</w:t>
      </w:r>
      <w:r>
        <w:rPr/>
        <w:t>事件发生后，国家科技部设立了国家重大科</w:t>
      </w:r>
      <w:r>
        <w:rPr>
          <w:w w:val="100"/>
        </w:rPr>
        <w:t> </w:t>
      </w:r>
      <w:r>
        <w:rPr/>
        <w:t>学仪器设备开发专项</w:t>
      </w:r>
      <w:r>
        <w:rPr>
          <w:rFonts w:ascii="Times New Roman" w:hAnsi="Times New Roman" w:cs="Times New Roman" w:eastAsia="Times New Roman" w:hint="default"/>
        </w:rPr>
        <w:t>“</w:t>
      </w:r>
      <w:r>
        <w:rPr/>
        <w:t>环境大气中细粒子（</w:t>
      </w:r>
      <w:r>
        <w:rPr>
          <w:rFonts w:ascii="Times New Roman" w:hAnsi="Times New Roman" w:cs="Times New Roman" w:eastAsia="Times New Roman" w:hint="default"/>
        </w:rPr>
        <w:t>PM2.5</w:t>
      </w:r>
      <w:r>
        <w:rPr/>
        <w:t>）监测设备开发与应用</w:t>
      </w:r>
      <w:r>
        <w:rPr>
          <w:rFonts w:ascii="Times New Roman" w:hAnsi="Times New Roman" w:cs="Times New Roman" w:eastAsia="Times New Roman" w:hint="default"/>
        </w:rPr>
        <w:t>”</w:t>
      </w:r>
      <w:r>
        <w:rPr/>
        <w:t>项目，组织国家权威部门、科研</w:t>
      </w:r>
      <w:r>
        <w:rPr>
          <w:spacing w:val="-42"/>
        </w:rPr>
        <w:t> </w:t>
      </w:r>
      <w:r>
        <w:rPr>
          <w:spacing w:val="-42"/>
        </w:rPr>
      </w:r>
      <w:r>
        <w:rPr>
          <w:spacing w:val="-2"/>
        </w:rPr>
        <w:t>院所及行业内公司进行技术攻关，经科技部、环保部谨慎评估，决定由先河环保作为项目牵头单位，联合</w:t>
      </w:r>
      <w:r>
        <w:rPr>
          <w:spacing w:val="-47"/>
        </w:rPr>
        <w:t> </w:t>
      </w:r>
      <w:r>
        <w:rPr>
          <w:spacing w:val="-47"/>
        </w:rPr>
      </w:r>
      <w:r>
        <w:rPr>
          <w:spacing w:val="-3"/>
        </w:rPr>
        <w:t>国家环境监测总站、清华大学、北京大学、及</w:t>
      </w:r>
      <w:r>
        <w:rPr>
          <w:rFonts w:ascii="Times New Roman" w:hAnsi="Times New Roman" w:cs="Times New Roman" w:eastAsia="Times New Roman" w:hint="default"/>
          <w:spacing w:val="-3"/>
        </w:rPr>
        <w:t>10</w:t>
      </w:r>
      <w:r>
        <w:rPr>
          <w:spacing w:val="-3"/>
        </w:rPr>
        <w:t>家省级监测站，进行</w:t>
      </w:r>
      <w:r>
        <w:rPr>
          <w:rFonts w:ascii="Times New Roman" w:hAnsi="Times New Roman" w:cs="Times New Roman" w:eastAsia="Times New Roman" w:hint="default"/>
          <w:spacing w:val="-3"/>
        </w:rPr>
        <w:t>PM2.5</w:t>
      </w:r>
      <w:r>
        <w:rPr>
          <w:spacing w:val="-3"/>
        </w:rPr>
        <w:t>产品创新研制、国家标准体系、</w:t>
      </w:r>
      <w:r>
        <w:rPr>
          <w:spacing w:val="-33"/>
        </w:rPr>
        <w:t> </w:t>
      </w:r>
      <w:r>
        <w:rPr>
          <w:spacing w:val="-33"/>
        </w:rPr>
      </w:r>
      <w:r>
        <w:rPr/>
        <w:t>质控体系的研究。</w:t>
      </w:r>
    </w:p>
    <w:p>
      <w:pPr>
        <w:pStyle w:val="BodyText"/>
        <w:spacing w:line="273" w:lineRule="auto" w:before="18"/>
        <w:ind w:left="573" w:right="101" w:hanging="70"/>
        <w:jc w:val="left"/>
      </w:pPr>
      <w:r>
        <w:rPr>
          <w:rFonts w:ascii="宋体" w:hAnsi="宋体" w:cs="宋体" w:eastAsia="宋体" w:hint="default"/>
        </w:rPr>
        <w:t>(3)</w:t>
      </w:r>
      <w:r>
        <w:rPr/>
        <w:t>生产条件大幅改善，技术装备水平和产业化能力迅速提升</w:t>
      </w:r>
      <w:r>
        <w:rPr>
          <w:w w:val="100"/>
        </w:rPr>
        <w:t> </w:t>
      </w:r>
      <w:r>
        <w:rPr>
          <w:spacing w:val="-2"/>
        </w:rPr>
        <w:t>随着募投基础建设项目的实施，公司的生产水平得到了大幅提升。公司投资了</w:t>
      </w:r>
      <w:r>
        <w:rPr>
          <w:rFonts w:ascii="Times New Roman" w:hAnsi="Times New Roman" w:cs="Times New Roman" w:eastAsia="Times New Roman" w:hint="default"/>
          <w:spacing w:val="-2"/>
        </w:rPr>
        <w:t>SMT</w:t>
      </w:r>
      <w:r>
        <w:rPr>
          <w:spacing w:val="-2"/>
        </w:rPr>
        <w:t>线、焊接生产线、</w:t>
      </w:r>
    </w:p>
    <w:p>
      <w:pPr>
        <w:pStyle w:val="BodyText"/>
        <w:spacing w:line="268" w:lineRule="auto"/>
        <w:ind w:right="206"/>
        <w:jc w:val="both"/>
      </w:pPr>
      <w:r>
        <w:rPr>
          <w:spacing w:val="-2"/>
        </w:rPr>
        <w:t>电路板检测线、机装部件流水线、滚珠式整机装配线等一大批先进的生产设备及生产线，自动化程度得到</w:t>
      </w:r>
      <w:r>
        <w:rPr>
          <w:spacing w:val="-43"/>
        </w:rPr>
        <w:t> </w:t>
      </w:r>
      <w:r>
        <w:rPr>
          <w:spacing w:val="-43"/>
        </w:rPr>
      </w:r>
      <w:r>
        <w:rPr>
          <w:spacing w:val="-2"/>
        </w:rPr>
        <w:t>了大幅的提高。同时，公司增加了步入式高低温湿热试验箱、盐雾试验箱、紫外光耐气候实验箱、臭氧老</w:t>
      </w:r>
      <w:r>
        <w:rPr>
          <w:spacing w:val="-43"/>
        </w:rPr>
        <w:t> </w:t>
      </w:r>
      <w:r>
        <w:rPr>
          <w:spacing w:val="-43"/>
        </w:rPr>
      </w:r>
      <w:r>
        <w:rPr>
          <w:spacing w:val="-2"/>
        </w:rPr>
        <w:t>化试验箱等环境实验设备，大大提升了环境适应性检测能力；引入了三坐标测试仪、工具显微镜、安捷伦</w:t>
      </w:r>
      <w:r>
        <w:rPr>
          <w:spacing w:val="-47"/>
        </w:rPr>
        <w:t> </w:t>
      </w:r>
      <w:r>
        <w:rPr>
          <w:spacing w:val="-47"/>
        </w:rPr>
      </w:r>
      <w:r>
        <w:rPr/>
        <w:t>数字示波器、</w:t>
      </w:r>
      <w:r>
        <w:rPr>
          <w:rFonts w:ascii="Times New Roman" w:hAnsi="Times New Roman" w:cs="Times New Roman" w:eastAsia="Times New Roman" w:hint="default"/>
        </w:rPr>
        <w:t>bois</w:t>
      </w:r>
      <w:r>
        <w:rPr/>
        <w:t>干式流量计等许多精密测量设备，有效提高了产品的检验能力。生产线及检验、检测工</w:t>
      </w:r>
      <w:r>
        <w:rPr>
          <w:spacing w:val="-54"/>
        </w:rPr>
        <w:t> </w:t>
      </w:r>
      <w:r>
        <w:rPr>
          <w:spacing w:val="-2"/>
        </w:rPr>
        <w:t>装的建设，提升了技术装备水平和产业化能力，为公司产业扩张及持续创新奠定了基础。针对新车间启用</w:t>
      </w:r>
      <w:r>
        <w:rPr>
          <w:spacing w:val="-43"/>
        </w:rPr>
        <w:t> </w:t>
      </w:r>
      <w:r>
        <w:rPr>
          <w:spacing w:val="-43"/>
        </w:rPr>
      </w:r>
      <w:r>
        <w:rPr>
          <w:spacing w:val="-2"/>
        </w:rPr>
        <w:t>及新增的设备，生产系统重新梳理了工艺流程，增加了新的质量控制点，提高了产品质量控制能力，大大</w:t>
      </w:r>
    </w:p>
    <w:p>
      <w:pPr>
        <w:spacing w:after="0" w:line="268" w:lineRule="auto"/>
        <w:jc w:val="both"/>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left="510" w:right="3354" w:hanging="359"/>
        <w:jc w:val="left"/>
      </w:pPr>
      <w:r>
        <w:rPr/>
        <w:t>提升了公司的产业化水平。</w:t>
      </w:r>
      <w:r>
        <w:rPr>
          <w:w w:val="100"/>
        </w:rPr>
        <w:t> </w:t>
      </w:r>
      <w:r>
        <w:rPr>
          <w:rFonts w:ascii="宋体" w:hAnsi="宋体" w:cs="宋体" w:eastAsia="宋体" w:hint="default"/>
          <w:b/>
          <w:bCs/>
          <w:spacing w:val="-2"/>
        </w:rPr>
        <w:t>(4)</w:t>
      </w:r>
      <w:r>
        <w:rPr>
          <w:spacing w:val="-2"/>
        </w:rPr>
        <w:t>运营管理模式日趋成熟，运营水平不断提升</w:t>
      </w:r>
    </w:p>
    <w:p>
      <w:pPr>
        <w:pStyle w:val="BodyText"/>
        <w:spacing w:line="264" w:lineRule="auto" w:before="7"/>
        <w:ind w:right="101" w:firstLine="336"/>
        <w:jc w:val="left"/>
      </w:pPr>
      <w:r>
        <w:rPr>
          <w:rFonts w:ascii="Times New Roman" w:hAnsi="Times New Roman" w:cs="Times New Roman" w:eastAsia="Times New Roman" w:hint="default"/>
        </w:rPr>
        <w:t>2012</w:t>
      </w:r>
      <w:r>
        <w:rPr/>
        <w:t>年运营服务工作总结河北省重点污染源运营的经验，完善了运营服务的管理措施，保障了运营服</w:t>
      </w:r>
      <w:r>
        <w:rPr>
          <w:w w:val="100"/>
        </w:rPr>
        <w:t> </w:t>
      </w:r>
      <w:r>
        <w:rPr>
          <w:spacing w:val="-2"/>
        </w:rPr>
        <w:t>务市场的突破性进展，运营管理模式日趋成熟并实现创新。</w:t>
      </w:r>
      <w:r>
        <w:rPr>
          <w:rFonts w:ascii="Times New Roman" w:hAnsi="Times New Roman" w:cs="Times New Roman" w:eastAsia="Times New Roman" w:hint="default"/>
          <w:spacing w:val="-2"/>
        </w:rPr>
        <w:t>2012</w:t>
      </w:r>
      <w:r>
        <w:rPr>
          <w:spacing w:val="-2"/>
        </w:rPr>
        <w:t>年在河北省重点污染源运营中，公司不断</w:t>
      </w:r>
      <w:r>
        <w:rPr>
          <w:spacing w:val="-39"/>
        </w:rPr>
        <w:t> </w:t>
      </w:r>
      <w:r>
        <w:rPr>
          <w:spacing w:val="-39"/>
        </w:rPr>
      </w:r>
      <w:r>
        <w:rPr>
          <w:spacing w:val="-2"/>
        </w:rPr>
        <w:t>完善运营体系，制定了现场检查办法、报告作业指导书、现场作业指导书等多种指导性文件，对运行现场</w:t>
      </w:r>
      <w:r>
        <w:rPr>
          <w:spacing w:val="-50"/>
        </w:rPr>
        <w:t> </w:t>
      </w:r>
      <w:r>
        <w:rPr>
          <w:spacing w:val="-50"/>
        </w:rPr>
      </w:r>
      <w:r>
        <w:rPr>
          <w:spacing w:val="-5"/>
        </w:rPr>
        <w:t>工作进行规范。根据河北区域售后仪器、运营设备的分布状况、在岗人员技能状况以及对实际技能的需求，</w:t>
      </w:r>
      <w:r>
        <w:rPr>
          <w:spacing w:val="-4"/>
        </w:rPr>
        <w:t> </w:t>
      </w:r>
      <w:r>
        <w:rPr>
          <w:spacing w:val="-4"/>
        </w:rPr>
      </w:r>
      <w:r>
        <w:rPr/>
        <w:t>建立了</w:t>
      </w:r>
      <w:r>
        <w:rPr>
          <w:rFonts w:ascii="Times New Roman" w:hAnsi="Times New Roman" w:cs="Times New Roman" w:eastAsia="Times New Roman" w:hint="default"/>
        </w:rPr>
        <w:t>“</w:t>
      </w:r>
      <w:r>
        <w:rPr/>
        <w:t>以石家庄为培训基地，各办事处为培训一线，每周培训</w:t>
      </w:r>
      <w:r>
        <w:rPr>
          <w:rFonts w:ascii="Times New Roman" w:hAnsi="Times New Roman" w:cs="Times New Roman" w:eastAsia="Times New Roman" w:hint="default"/>
        </w:rPr>
        <w:t>”</w:t>
      </w:r>
      <w:r>
        <w:rPr/>
        <w:t>的机制，将培训纳入日常工作管理，采用</w:t>
      </w:r>
      <w:r>
        <w:rPr>
          <w:w w:val="100"/>
        </w:rPr>
        <w:t> </w:t>
      </w:r>
      <w:r>
        <w:rPr>
          <w:spacing w:val="-2"/>
        </w:rPr>
        <w:t>小规模集中培训、强制轮训、以老带新等多种方式交叉进行，促进新员工能够很快融入工作环境，通过培</w:t>
      </w:r>
      <w:r>
        <w:rPr>
          <w:spacing w:val="-50"/>
        </w:rPr>
        <w:t> </w:t>
      </w:r>
      <w:r>
        <w:rPr>
          <w:spacing w:val="-50"/>
        </w:rPr>
      </w:r>
      <w:r>
        <w:rPr/>
        <w:t>训及规范管理带动了运营整体水平的提升。</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2"/>
        <w:spacing w:line="240" w:lineRule="auto"/>
        <w:ind w:right="101"/>
        <w:jc w:val="left"/>
        <w:rPr>
          <w:b w:val="0"/>
          <w:bCs w:val="0"/>
        </w:rPr>
      </w:pPr>
      <w:r>
        <w:rPr/>
        <w:t>二、报告期内主要经营情况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1"/>
        <w:jc w:val="left"/>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1"/>
        <w:jc w:val="left"/>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204" w:firstLine="0"/>
        <w:jc w:val="left"/>
        <w:rPr>
          <w:rFonts w:ascii="宋体" w:hAnsi="宋体" w:cs="宋体" w:eastAsia="宋体" w:hint="default"/>
          <w:sz w:val="18"/>
          <w:szCs w:val="18"/>
        </w:rPr>
      </w:pPr>
      <w:r>
        <w:rPr>
          <w:rFonts w:ascii="宋体" w:hAnsi="宋体" w:cs="宋体" w:eastAsia="宋体" w:hint="default"/>
          <w:sz w:val="18"/>
          <w:szCs w:val="18"/>
        </w:rPr>
        <w:t>说明 报告期内，公司营业收入较去年同比增长</w:t>
      </w:r>
      <w:r>
        <w:rPr>
          <w:rFonts w:ascii="宋体" w:hAnsi="宋体" w:cs="宋体" w:eastAsia="宋体" w:hint="default"/>
          <w:sz w:val="18"/>
          <w:szCs w:val="18"/>
        </w:rPr>
        <w:t>43.56%</w:t>
      </w:r>
      <w:r>
        <w:rPr>
          <w:rFonts w:ascii="宋体" w:hAnsi="宋体" w:cs="宋体" w:eastAsia="宋体" w:hint="default"/>
          <w:sz w:val="18"/>
          <w:szCs w:val="18"/>
        </w:rPr>
        <w:t>，受益于国家环保“十二五”规划的逐步落实以及空气</w:t>
      </w:r>
      <w:r>
        <w:rPr>
          <w:rFonts w:ascii="宋体" w:hAnsi="宋体" w:cs="宋体" w:eastAsia="宋体" w:hint="default"/>
          <w:sz w:val="18"/>
          <w:szCs w:val="18"/>
        </w:rPr>
        <w:t>PM2.5</w:t>
      </w:r>
      <w:r>
        <w:rPr>
          <w:rFonts w:ascii="宋体" w:hAnsi="宋体" w:cs="宋体" w:eastAsia="宋体" w:hint="default"/>
          <w:sz w:val="18"/>
          <w:szCs w:val="18"/>
        </w:rPr>
        <w:t>及其他新增参 数扩项工作的快速开展。</w:t>
      </w:r>
    </w:p>
    <w:p>
      <w:pPr>
        <w:spacing w:before="43"/>
        <w:ind w:left="152" w:right="101"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28" w:lineRule="auto" w:before="117"/>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w:t>
      </w:r>
      <w:r>
        <w:rPr>
          <w:rFonts w:ascii="宋体" w:hAnsi="宋体" w:cs="宋体" w:eastAsia="宋体" w:hint="default"/>
          <w:spacing w:val="-2"/>
          <w:sz w:val="18"/>
          <w:szCs w:val="18"/>
        </w:rPr>
        <w:t>公司主要业务包括生产、销售环境监测仪器以及提供环境监测仪器运营服务。环境监测仪器系统根据监测指标的不同，包含</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不同种类的监测仪器。</w:t>
      </w:r>
    </w:p>
    <w:p>
      <w:pPr>
        <w:spacing w:before="50"/>
        <w:ind w:left="152" w:right="101"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38" w:lineRule="auto" w:before="103"/>
        <w:ind w:left="152" w:right="7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公司重大的在手订单情况</w:t>
      </w:r>
    </w:p>
    <w:p>
      <w:pPr>
        <w:spacing w:line="340" w:lineRule="auto" w:before="43"/>
        <w:ind w:left="152" w:right="8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数量分散的订单情况</w:t>
      </w:r>
    </w:p>
    <w:p>
      <w:pPr>
        <w:spacing w:line="340" w:lineRule="auto" w:before="39"/>
        <w:ind w:left="152" w:right="5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公司报告期内产品或服务发生重大变化或调整有关情况</w:t>
      </w:r>
    </w:p>
    <w:p>
      <w:pPr>
        <w:spacing w:before="41"/>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01"/>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5"/>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环境监测行业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104,214,691.10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99.81%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65,184,328.97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0.19%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44"/>
        <w:ind w:left="0" w:right="159" w:firstLine="0"/>
        <w:jc w:val="right"/>
        <w:rPr>
          <w:rFonts w:ascii="宋体" w:hAnsi="宋体" w:cs="宋体" w:eastAsia="宋体" w:hint="default"/>
          <w:sz w:val="18"/>
          <w:szCs w:val="18"/>
        </w:rPr>
      </w:pPr>
      <w:r>
        <w:rPr/>
        <w:pict>
          <v:shape style="position:absolute;margin-left:57pt;margin-top:-112.328285pt;width:478.7pt;height:147.9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4"/>
                    <w:gridCol w:w="1637"/>
                    <w:gridCol w:w="1637"/>
                    <w:gridCol w:w="1462"/>
                    <w:gridCol w:w="2919"/>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32,334,222.94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26,529,159.40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21.88%</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报告期内，公司加大了市场开拓的力</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度，造成销售费用同比增加。</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30,497,228.21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21,929,290.69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39.07%</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报告期内，人员工资、研发投入增加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89" w:right="0"/>
                          <w:jc w:val="left"/>
                          <w:rPr>
                            <w:rFonts w:ascii="Times New Roman" w:hAnsi="Times New Roman" w:cs="Times New Roman" w:eastAsia="Times New Roman" w:hint="default"/>
                            <w:sz w:val="18"/>
                            <w:szCs w:val="18"/>
                          </w:rPr>
                        </w:pPr>
                        <w:r>
                          <w:rPr>
                            <w:rFonts w:ascii="Times New Roman"/>
                            <w:sz w:val="18"/>
                          </w:rPr>
                          <w:t>-8,280,817.73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8" w:right="0"/>
                          <w:jc w:val="left"/>
                          <w:rPr>
                            <w:rFonts w:ascii="Times New Roman" w:hAnsi="Times New Roman" w:cs="Times New Roman" w:eastAsia="Times New Roman" w:hint="default"/>
                            <w:sz w:val="18"/>
                            <w:szCs w:val="18"/>
                          </w:rPr>
                        </w:pPr>
                        <w:r>
                          <w:rPr>
                            <w:rFonts w:ascii="Times New Roman"/>
                            <w:sz w:val="18"/>
                          </w:rPr>
                          <w:t>-11,439,372.33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3" w:right="0"/>
                          <w:jc w:val="left"/>
                          <w:rPr>
                            <w:rFonts w:ascii="Times New Roman" w:hAnsi="Times New Roman" w:cs="Times New Roman" w:eastAsia="Times New Roman" w:hint="default"/>
                            <w:sz w:val="18"/>
                            <w:szCs w:val="18"/>
                          </w:rPr>
                        </w:pPr>
                        <w:r>
                          <w:rPr>
                            <w:rFonts w:ascii="Times New Roman"/>
                            <w:sz w:val="18"/>
                          </w:rPr>
                          <w:t>-27.61%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主要原因为银行存款减少所致</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8,418,011.23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7,114,618.51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18.32%</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pacing w:val="-7"/>
                            <w:sz w:val="18"/>
                            <w:szCs w:val="18"/>
                          </w:rPr>
                          <w:t>报告期内，公司收入增加，利润增加</w:t>
                        </w:r>
                        <w:r>
                          <w:rPr>
                            <w:rFonts w:ascii="宋体" w:hAnsi="宋体" w:cs="宋体" w:eastAsia="宋体" w:hint="default"/>
                            <w:sz w:val="18"/>
                            <w:szCs w:val="18"/>
                          </w:rPr>
                          <w:t> 造成所得税同比增加。</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5"/>
        <w:ind w:right="0"/>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668"/>
        <w:gridCol w:w="1951"/>
        <w:gridCol w:w="1642"/>
        <w:gridCol w:w="1421"/>
        <w:gridCol w:w="1766"/>
        <w:gridCol w:w="1630"/>
      </w:tblGrid>
      <w:tr>
        <w:trPr>
          <w:trHeight w:val="348"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8" w:right="0"/>
              <w:jc w:val="left"/>
              <w:rPr>
                <w:rFonts w:ascii="宋体" w:hAnsi="宋体" w:cs="宋体" w:eastAsia="宋体" w:hint="default"/>
                <w:sz w:val="18"/>
                <w:szCs w:val="18"/>
              </w:rPr>
            </w:pPr>
            <w:r>
              <w:rPr>
                <w:rFonts w:ascii="宋体" w:hAnsi="宋体" w:cs="宋体" w:eastAsia="宋体" w:hint="default"/>
                <w:sz w:val="18"/>
                <w:szCs w:val="18"/>
              </w:rPr>
              <w:t>正在研发的项目</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用途</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41"/>
              <w:jc w:val="right"/>
              <w:rPr>
                <w:rFonts w:ascii="宋体" w:hAnsi="宋体" w:cs="宋体" w:eastAsia="宋体" w:hint="default"/>
                <w:sz w:val="18"/>
                <w:szCs w:val="18"/>
              </w:rPr>
            </w:pPr>
            <w:r>
              <w:rPr>
                <w:rFonts w:ascii="宋体" w:hAnsi="宋体" w:cs="宋体" w:eastAsia="宋体" w:hint="default"/>
                <w:sz w:val="18"/>
                <w:szCs w:val="18"/>
              </w:rPr>
              <w:t>进展情况</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目标</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项目来源</w:t>
            </w:r>
          </w:p>
        </w:tc>
      </w:tr>
      <w:tr>
        <w:trPr>
          <w:trHeight w:val="1596"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1</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38" w:right="65" w:hanging="269"/>
              <w:jc w:val="left"/>
              <w:rPr>
                <w:rFonts w:ascii="宋体" w:hAnsi="宋体" w:cs="宋体" w:eastAsia="宋体" w:hint="default"/>
                <w:sz w:val="18"/>
                <w:szCs w:val="18"/>
              </w:rPr>
            </w:pPr>
            <w:r>
              <w:rPr>
                <w:rFonts w:ascii="宋体" w:hAnsi="宋体" w:cs="宋体" w:eastAsia="宋体" w:hint="default"/>
                <w:sz w:val="18"/>
                <w:szCs w:val="18"/>
              </w:rPr>
              <w:t>污水石油类污染紫外荧 光现场监测设备</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54" w:right="3" w:hanging="452"/>
              <w:jc w:val="left"/>
              <w:rPr>
                <w:rFonts w:ascii="宋体" w:hAnsi="宋体" w:cs="宋体" w:eastAsia="宋体" w:hint="default"/>
                <w:sz w:val="18"/>
                <w:szCs w:val="18"/>
              </w:rPr>
            </w:pPr>
            <w:r>
              <w:rPr>
                <w:rFonts w:ascii="宋体" w:hAnsi="宋体" w:cs="宋体" w:eastAsia="宋体" w:hint="default"/>
                <w:sz w:val="18"/>
                <w:szCs w:val="18"/>
              </w:rPr>
              <w:t>污染源石油类污染的 在线监测</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23" w:right="70" w:hanging="449"/>
              <w:jc w:val="left"/>
              <w:rPr>
                <w:rFonts w:ascii="宋体" w:hAnsi="宋体" w:cs="宋体" w:eastAsia="宋体" w:hint="default"/>
                <w:sz w:val="18"/>
                <w:szCs w:val="18"/>
              </w:rPr>
            </w:pPr>
            <w:r>
              <w:rPr>
                <w:rFonts w:ascii="宋体" w:hAnsi="宋体" w:cs="宋体" w:eastAsia="宋体" w:hint="default"/>
                <w:sz w:val="18"/>
                <w:szCs w:val="18"/>
              </w:rPr>
              <w:t>产业化示范运行 阶段</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hanging="3"/>
              <w:jc w:val="center"/>
              <w:rPr>
                <w:rFonts w:ascii="宋体" w:hAnsi="宋体" w:cs="宋体" w:eastAsia="宋体" w:hint="default"/>
                <w:sz w:val="18"/>
                <w:szCs w:val="18"/>
              </w:rPr>
            </w:pPr>
            <w:r>
              <w:rPr>
                <w:rFonts w:ascii="宋体" w:hAnsi="宋体" w:cs="宋体" w:eastAsia="宋体" w:hint="default"/>
                <w:sz w:val="18"/>
                <w:szCs w:val="18"/>
              </w:rPr>
              <w:t>开发具有先进水平的 污水中石油类污染物 </w:t>
            </w:r>
            <w:r>
              <w:rPr>
                <w:rFonts w:ascii="宋体" w:hAnsi="宋体" w:cs="宋体" w:eastAsia="宋体" w:hint="default"/>
                <w:spacing w:val="-6"/>
                <w:sz w:val="18"/>
                <w:szCs w:val="18"/>
              </w:rPr>
              <w:t>在线检测设备，完成样</w:t>
            </w:r>
            <w:r>
              <w:rPr>
                <w:rFonts w:ascii="宋体" w:hAnsi="宋体" w:cs="宋体" w:eastAsia="宋体" w:hint="default"/>
                <w:sz w:val="18"/>
                <w:szCs w:val="18"/>
              </w:rPr>
              <w:t> 机示范运行和对比试 验，实现产业化。</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718" w:right="36" w:hanging="675"/>
              <w:jc w:val="left"/>
              <w:rPr>
                <w:rFonts w:ascii="宋体" w:hAnsi="宋体" w:cs="宋体" w:eastAsia="宋体" w:hint="default"/>
                <w:sz w:val="18"/>
                <w:szCs w:val="18"/>
              </w:rPr>
            </w:pPr>
            <w:r>
              <w:rPr>
                <w:rFonts w:ascii="宋体" w:hAnsi="宋体" w:cs="宋体" w:eastAsia="宋体" w:hint="default"/>
                <w:sz w:val="18"/>
                <w:szCs w:val="18"/>
              </w:rPr>
              <w:t>国家“</w:t>
            </w:r>
            <w:r>
              <w:rPr>
                <w:rFonts w:ascii="宋体" w:hAnsi="宋体" w:cs="宋体" w:eastAsia="宋体" w:hint="default"/>
                <w:sz w:val="18"/>
                <w:szCs w:val="18"/>
              </w:rPr>
              <w:t>863</w:t>
            </w:r>
            <w:r>
              <w:rPr>
                <w:rFonts w:ascii="宋体" w:hAnsi="宋体" w:cs="宋体" w:eastAsia="宋体" w:hint="default"/>
                <w:sz w:val="18"/>
                <w:szCs w:val="18"/>
              </w:rPr>
              <w:t>”计划项</w:t>
            </w:r>
            <w:r>
              <w:rPr>
                <w:rFonts w:ascii="宋体" w:hAnsi="宋体" w:cs="宋体" w:eastAsia="宋体" w:hint="default"/>
                <w:spacing w:val="-87"/>
                <w:sz w:val="18"/>
                <w:szCs w:val="18"/>
              </w:rPr>
              <w:t> </w:t>
            </w:r>
            <w:r>
              <w:rPr>
                <w:rFonts w:ascii="宋体" w:hAnsi="宋体" w:cs="宋体" w:eastAsia="宋体" w:hint="default"/>
                <w:sz w:val="18"/>
                <w:szCs w:val="18"/>
              </w:rPr>
              <w:t>目</w:t>
            </w:r>
          </w:p>
        </w:tc>
      </w:tr>
      <w:tr>
        <w:trPr>
          <w:trHeight w:val="2218"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2</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49" w:right="65" w:hanging="180"/>
              <w:jc w:val="left"/>
              <w:rPr>
                <w:rFonts w:ascii="宋体" w:hAnsi="宋体" w:cs="宋体" w:eastAsia="宋体" w:hint="default"/>
                <w:sz w:val="18"/>
                <w:szCs w:val="18"/>
              </w:rPr>
            </w:pPr>
            <w:r>
              <w:rPr>
                <w:rFonts w:ascii="宋体" w:hAnsi="宋体" w:cs="宋体" w:eastAsia="宋体" w:hint="default"/>
                <w:sz w:val="18"/>
                <w:szCs w:val="18"/>
              </w:rPr>
              <w:t>免化学试剂在线水质检 测系统研发与应用</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3"/>
              <w:jc w:val="center"/>
              <w:rPr>
                <w:rFonts w:ascii="宋体" w:hAnsi="宋体" w:cs="宋体" w:eastAsia="宋体" w:hint="default"/>
                <w:sz w:val="18"/>
                <w:szCs w:val="18"/>
              </w:rPr>
            </w:pPr>
            <w:r>
              <w:rPr>
                <w:rFonts w:ascii="宋体" w:hAnsi="宋体" w:cs="宋体" w:eastAsia="宋体" w:hint="default"/>
                <w:sz w:val="18"/>
                <w:szCs w:val="18"/>
              </w:rPr>
              <w:t>对饮用水源地及饮用 水水质进行在线分析 和预警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23" w:right="70" w:hanging="449"/>
              <w:jc w:val="left"/>
              <w:rPr>
                <w:rFonts w:ascii="宋体" w:hAnsi="宋体" w:cs="宋体" w:eastAsia="宋体" w:hint="default"/>
                <w:sz w:val="18"/>
                <w:szCs w:val="18"/>
              </w:rPr>
            </w:pPr>
            <w:r>
              <w:rPr>
                <w:rFonts w:ascii="宋体" w:hAnsi="宋体" w:cs="宋体" w:eastAsia="宋体" w:hint="default"/>
                <w:sz w:val="18"/>
                <w:szCs w:val="18"/>
              </w:rPr>
              <w:t>产业化示范运行 阶段</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hanging="3"/>
              <w:jc w:val="center"/>
              <w:rPr>
                <w:rFonts w:ascii="宋体" w:hAnsi="宋体" w:cs="宋体" w:eastAsia="宋体" w:hint="default"/>
                <w:sz w:val="18"/>
                <w:szCs w:val="18"/>
              </w:rPr>
            </w:pPr>
            <w:r>
              <w:rPr>
                <w:rFonts w:ascii="宋体" w:hAnsi="宋体" w:cs="宋体" w:eastAsia="宋体" w:hint="default"/>
                <w:sz w:val="18"/>
                <w:szCs w:val="18"/>
              </w:rPr>
              <w:t>研发具有国际先进水 </w:t>
            </w:r>
            <w:r>
              <w:rPr>
                <w:rFonts w:ascii="宋体" w:hAnsi="宋体" w:cs="宋体" w:eastAsia="宋体" w:hint="default"/>
                <w:spacing w:val="-6"/>
                <w:sz w:val="18"/>
                <w:szCs w:val="18"/>
              </w:rPr>
              <w:t>平的、适合中国国情的</w:t>
            </w:r>
            <w:r>
              <w:rPr>
                <w:rFonts w:ascii="宋体" w:hAnsi="宋体" w:cs="宋体" w:eastAsia="宋体" w:hint="default"/>
                <w:sz w:val="18"/>
                <w:szCs w:val="18"/>
              </w:rPr>
              <w:t> 具有自主知识产权的 </w:t>
            </w:r>
            <w:r>
              <w:rPr>
                <w:rFonts w:ascii="宋体" w:hAnsi="宋体" w:cs="宋体" w:eastAsia="宋体" w:hint="default"/>
                <w:spacing w:val="-6"/>
                <w:sz w:val="18"/>
                <w:szCs w:val="18"/>
              </w:rPr>
              <w:t>集成式免试剂、易维护</w:t>
            </w:r>
            <w:r>
              <w:rPr>
                <w:rFonts w:ascii="宋体" w:hAnsi="宋体" w:cs="宋体" w:eastAsia="宋体" w:hint="default"/>
                <w:sz w:val="18"/>
                <w:szCs w:val="18"/>
              </w:rPr>
              <w:t> 的饮用水质在线水质 监测仪器及水质监测 预警系统</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国家建设部水专项</w:t>
            </w:r>
          </w:p>
        </w:tc>
      </w:tr>
      <w:tr>
        <w:trPr>
          <w:trHeight w:val="1596"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3</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center"/>
              <w:rPr>
                <w:rFonts w:ascii="宋体" w:hAnsi="宋体" w:cs="宋体" w:eastAsia="宋体" w:hint="default"/>
                <w:sz w:val="18"/>
                <w:szCs w:val="18"/>
              </w:rPr>
            </w:pPr>
            <w:r>
              <w:rPr>
                <w:rFonts w:ascii="宋体" w:hAnsi="宋体" w:cs="宋体" w:eastAsia="宋体" w:hint="default"/>
                <w:spacing w:val="-5"/>
                <w:sz w:val="18"/>
                <w:szCs w:val="18"/>
              </w:rPr>
              <w:t>水体中重金属、藻毒素有</w:t>
            </w:r>
            <w:r>
              <w:rPr>
                <w:rFonts w:ascii="宋体" w:hAnsi="宋体" w:cs="宋体" w:eastAsia="宋体" w:hint="default"/>
                <w:sz w:val="18"/>
                <w:szCs w:val="18"/>
              </w:rPr>
              <w:t> 毒有机污染物现场快速 检测仪器的研发</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4" w:right="3" w:hanging="92"/>
              <w:jc w:val="left"/>
              <w:rPr>
                <w:rFonts w:ascii="宋体" w:hAnsi="宋体" w:cs="宋体" w:eastAsia="宋体" w:hint="default"/>
                <w:sz w:val="18"/>
                <w:szCs w:val="18"/>
              </w:rPr>
            </w:pPr>
            <w:r>
              <w:rPr>
                <w:rFonts w:ascii="宋体" w:hAnsi="宋体" w:cs="宋体" w:eastAsia="宋体" w:hint="default"/>
                <w:sz w:val="18"/>
                <w:szCs w:val="18"/>
              </w:rPr>
              <w:t>对水体中重金属及藻 毒素实现快速检测</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23" w:right="70" w:hanging="449"/>
              <w:jc w:val="left"/>
              <w:rPr>
                <w:rFonts w:ascii="宋体" w:hAnsi="宋体" w:cs="宋体" w:eastAsia="宋体" w:hint="default"/>
                <w:sz w:val="18"/>
                <w:szCs w:val="18"/>
              </w:rPr>
            </w:pPr>
            <w:r>
              <w:rPr>
                <w:rFonts w:ascii="宋体" w:hAnsi="宋体" w:cs="宋体" w:eastAsia="宋体" w:hint="default"/>
                <w:sz w:val="18"/>
                <w:szCs w:val="18"/>
              </w:rPr>
              <w:t>产业化示范运行 阶段</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hanging="3"/>
              <w:jc w:val="center"/>
              <w:rPr>
                <w:rFonts w:ascii="宋体" w:hAnsi="宋体" w:cs="宋体" w:eastAsia="宋体" w:hint="default"/>
                <w:sz w:val="18"/>
                <w:szCs w:val="18"/>
              </w:rPr>
            </w:pPr>
            <w:r>
              <w:rPr>
                <w:rFonts w:ascii="宋体" w:hAnsi="宋体" w:cs="宋体" w:eastAsia="宋体" w:hint="default"/>
                <w:sz w:val="18"/>
                <w:szCs w:val="18"/>
              </w:rPr>
              <w:t>研制出针对环境水体 </w:t>
            </w:r>
            <w:r>
              <w:rPr>
                <w:rFonts w:ascii="宋体" w:hAnsi="宋体" w:cs="宋体" w:eastAsia="宋体" w:hint="default"/>
                <w:spacing w:val="-6"/>
                <w:sz w:val="18"/>
                <w:szCs w:val="18"/>
              </w:rPr>
              <w:t>中重金属、藻毒素有毒</w:t>
            </w:r>
            <w:r>
              <w:rPr>
                <w:rFonts w:ascii="宋体" w:hAnsi="宋体" w:cs="宋体" w:eastAsia="宋体" w:hint="default"/>
                <w:sz w:val="18"/>
                <w:szCs w:val="18"/>
              </w:rPr>
              <w:t> 有机污染物的现场快 速检测仪器以及示范 化</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国家环保部水专项</w:t>
            </w:r>
          </w:p>
        </w:tc>
      </w:tr>
      <w:tr>
        <w:trPr>
          <w:trHeight w:val="1906"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4</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4" w:right="19"/>
              <w:jc w:val="center"/>
              <w:rPr>
                <w:rFonts w:ascii="宋体" w:hAnsi="宋体" w:cs="宋体" w:eastAsia="宋体" w:hint="default"/>
                <w:sz w:val="18"/>
                <w:szCs w:val="18"/>
              </w:rPr>
            </w:pPr>
            <w:r>
              <w:rPr>
                <w:rFonts w:ascii="宋体" w:hAnsi="宋体" w:cs="宋体" w:eastAsia="宋体" w:hint="default"/>
                <w:sz w:val="18"/>
                <w:szCs w:val="18"/>
              </w:rPr>
              <w:t>基于脉冲紫外</w:t>
            </w:r>
            <w:r>
              <w:rPr>
                <w:rFonts w:ascii="宋体" w:hAnsi="宋体" w:cs="宋体" w:eastAsia="宋体" w:hint="default"/>
                <w:sz w:val="18"/>
                <w:szCs w:val="18"/>
              </w:rPr>
              <w:t>-</w:t>
            </w:r>
            <w:r>
              <w:rPr>
                <w:rFonts w:ascii="宋体" w:hAnsi="宋体" w:cs="宋体" w:eastAsia="宋体" w:hint="default"/>
                <w:sz w:val="18"/>
                <w:szCs w:val="18"/>
              </w:rPr>
              <w:t>可见光谱 技术的现场原位水质分 析仪研制与产业化</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3"/>
              <w:jc w:val="center"/>
              <w:rPr>
                <w:rFonts w:ascii="宋体" w:hAnsi="宋体" w:cs="宋体" w:eastAsia="宋体" w:hint="default"/>
                <w:sz w:val="18"/>
                <w:szCs w:val="18"/>
              </w:rPr>
            </w:pPr>
            <w:r>
              <w:rPr>
                <w:rFonts w:ascii="宋体" w:hAnsi="宋体" w:cs="宋体" w:eastAsia="宋体" w:hint="default"/>
                <w:sz w:val="18"/>
                <w:szCs w:val="18"/>
              </w:rPr>
              <w:t>实现针对不用水质及 应用场合的原位在线 监测</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41"/>
              <w:jc w:val="right"/>
              <w:rPr>
                <w:rFonts w:ascii="宋体" w:hAnsi="宋体" w:cs="宋体" w:eastAsia="宋体" w:hint="default"/>
                <w:sz w:val="18"/>
                <w:szCs w:val="18"/>
              </w:rPr>
            </w:pPr>
            <w:r>
              <w:rPr>
                <w:rFonts w:ascii="宋体" w:hAnsi="宋体" w:cs="宋体" w:eastAsia="宋体" w:hint="default"/>
                <w:sz w:val="18"/>
                <w:szCs w:val="18"/>
              </w:rPr>
              <w:t>研制阶段</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0" w:hanging="3"/>
              <w:jc w:val="center"/>
              <w:rPr>
                <w:rFonts w:ascii="宋体" w:hAnsi="宋体" w:cs="宋体" w:eastAsia="宋体" w:hint="default"/>
                <w:sz w:val="18"/>
                <w:szCs w:val="18"/>
              </w:rPr>
            </w:pPr>
            <w:r>
              <w:rPr>
                <w:rFonts w:ascii="宋体" w:hAnsi="宋体" w:cs="宋体" w:eastAsia="宋体" w:hint="default"/>
                <w:sz w:val="18"/>
                <w:szCs w:val="18"/>
              </w:rPr>
              <w:t>研制开发基于脉冲紫 外分析技术的水质原 </w:t>
            </w:r>
            <w:r>
              <w:rPr>
                <w:rFonts w:ascii="宋体" w:hAnsi="宋体" w:cs="宋体" w:eastAsia="宋体" w:hint="default"/>
                <w:spacing w:val="-6"/>
                <w:sz w:val="18"/>
                <w:szCs w:val="18"/>
              </w:rPr>
              <w:t>位分析仪器，为水质环</w:t>
            </w:r>
            <w:r>
              <w:rPr>
                <w:rFonts w:ascii="宋体" w:hAnsi="宋体" w:cs="宋体" w:eastAsia="宋体" w:hint="default"/>
                <w:sz w:val="18"/>
                <w:szCs w:val="18"/>
              </w:rPr>
              <w:t> 境检测提供稳定可靠 </w:t>
            </w:r>
            <w:r>
              <w:rPr>
                <w:rFonts w:ascii="宋体" w:hAnsi="宋体" w:cs="宋体" w:eastAsia="宋体" w:hint="default"/>
                <w:spacing w:val="-6"/>
                <w:sz w:val="18"/>
                <w:szCs w:val="18"/>
              </w:rPr>
              <w:t>的监测装备，并建立生</w:t>
            </w:r>
            <w:r>
              <w:rPr>
                <w:rFonts w:ascii="宋体" w:hAnsi="宋体" w:cs="宋体" w:eastAsia="宋体" w:hint="default"/>
                <w:sz w:val="18"/>
                <w:szCs w:val="18"/>
              </w:rPr>
              <w:t> 产示范性基地。</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629" w:right="86" w:hanging="541"/>
              <w:jc w:val="left"/>
              <w:rPr>
                <w:rFonts w:ascii="宋体" w:hAnsi="宋体" w:cs="宋体" w:eastAsia="宋体" w:hint="default"/>
                <w:sz w:val="18"/>
                <w:szCs w:val="18"/>
              </w:rPr>
            </w:pPr>
            <w:r>
              <w:rPr>
                <w:rFonts w:ascii="宋体" w:hAnsi="宋体" w:cs="宋体" w:eastAsia="宋体" w:hint="default"/>
                <w:sz w:val="18"/>
                <w:szCs w:val="18"/>
              </w:rPr>
              <w:t>国家重大科学仪器 专项</w:t>
            </w:r>
          </w:p>
        </w:tc>
      </w:tr>
      <w:tr>
        <w:trPr>
          <w:trHeight w:val="1284"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5</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9" w:right="65"/>
              <w:jc w:val="both"/>
              <w:rPr>
                <w:rFonts w:ascii="宋体" w:hAnsi="宋体" w:cs="宋体" w:eastAsia="宋体" w:hint="default"/>
                <w:sz w:val="18"/>
                <w:szCs w:val="18"/>
              </w:rPr>
            </w:pPr>
            <w:r>
              <w:rPr>
                <w:rFonts w:ascii="宋体" w:hAnsi="宋体" w:cs="宋体" w:eastAsia="宋体" w:hint="default"/>
                <w:sz w:val="18"/>
                <w:szCs w:val="18"/>
              </w:rPr>
              <w:t>南水北调中线工程水质 传感网的多载体检测与 自适应网技术研究与示</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firstLine="271"/>
              <w:jc w:val="left"/>
              <w:rPr>
                <w:rFonts w:ascii="宋体" w:hAnsi="宋体" w:cs="宋体" w:eastAsia="宋体" w:hint="default"/>
                <w:sz w:val="18"/>
                <w:szCs w:val="18"/>
              </w:rPr>
            </w:pPr>
            <w:r>
              <w:rPr>
                <w:rFonts w:ascii="宋体" w:hAnsi="宋体" w:cs="宋体" w:eastAsia="宋体" w:hint="default"/>
                <w:sz w:val="18"/>
                <w:szCs w:val="18"/>
              </w:rPr>
              <w:t>建立立体水质 监测传感网络，实现 多载体水质监测有机 融合及集成创新，为</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41"/>
              <w:jc w:val="right"/>
              <w:rPr>
                <w:rFonts w:ascii="宋体" w:hAnsi="宋体" w:cs="宋体" w:eastAsia="宋体" w:hint="default"/>
                <w:sz w:val="18"/>
                <w:szCs w:val="18"/>
              </w:rPr>
            </w:pPr>
            <w:r>
              <w:rPr>
                <w:rFonts w:ascii="宋体" w:hAnsi="宋体" w:cs="宋体" w:eastAsia="宋体" w:hint="default"/>
                <w:sz w:val="18"/>
                <w:szCs w:val="18"/>
              </w:rPr>
              <w:t>研制阶段</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firstLine="62"/>
              <w:jc w:val="left"/>
              <w:rPr>
                <w:rFonts w:ascii="宋体" w:hAnsi="宋体" w:cs="宋体" w:eastAsia="宋体" w:hint="default"/>
                <w:sz w:val="18"/>
                <w:szCs w:val="18"/>
              </w:rPr>
            </w:pPr>
            <w:r>
              <w:rPr>
                <w:rFonts w:ascii="宋体" w:hAnsi="宋体" w:cs="宋体" w:eastAsia="宋体" w:hint="default"/>
                <w:sz w:val="18"/>
                <w:szCs w:val="18"/>
              </w:rPr>
              <w:t>研发和集成多载体水 </w:t>
            </w:r>
            <w:r>
              <w:rPr>
                <w:rFonts w:ascii="宋体" w:hAnsi="宋体" w:cs="宋体" w:eastAsia="宋体" w:hint="default"/>
                <w:spacing w:val="-6"/>
                <w:sz w:val="18"/>
                <w:szCs w:val="18"/>
              </w:rPr>
              <w:t>质监测传感器，发展固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定监测台站、生物毒性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预警、浮标、智能监测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国家科技支撑计划</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668"/>
        <w:gridCol w:w="1951"/>
        <w:gridCol w:w="1642"/>
        <w:gridCol w:w="1421"/>
        <w:gridCol w:w="1766"/>
        <w:gridCol w:w="1630"/>
      </w:tblGrid>
      <w:tr>
        <w:trPr>
          <w:trHeight w:val="1908" w:hRule="exact"/>
        </w:trPr>
        <w:tc>
          <w:tcPr>
            <w:tcW w:w="668" w:type="dxa"/>
            <w:tcBorders>
              <w:top w:val="single" w:sz="6" w:space="0" w:color="000000"/>
              <w:left w:val="single" w:sz="6" w:space="0" w:color="000000"/>
              <w:bottom w:val="single" w:sz="6" w:space="0" w:color="000000"/>
              <w:right w:val="single" w:sz="6" w:space="0" w:color="000000"/>
            </w:tcBorders>
          </w:tcPr>
          <w:p>
            <w:pPr/>
          </w:p>
        </w:tc>
        <w:tc>
          <w:tcPr>
            <w:tcW w:w="1951" w:type="dxa"/>
            <w:tcBorders>
              <w:top w:val="single" w:sz="6" w:space="0" w:color="000000"/>
              <w:left w:val="single" w:sz="6" w:space="0" w:color="000000"/>
              <w:bottom w:val="single" w:sz="6" w:space="0" w:color="000000"/>
              <w:right w:val="single" w:sz="6" w:space="0" w:color="000000"/>
            </w:tcBorders>
          </w:tcPr>
          <w:p>
            <w:pP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3" w:firstLine="3"/>
              <w:jc w:val="center"/>
              <w:rPr>
                <w:rFonts w:ascii="宋体" w:hAnsi="宋体" w:cs="宋体" w:eastAsia="宋体" w:hint="default"/>
                <w:sz w:val="18"/>
                <w:szCs w:val="18"/>
              </w:rPr>
            </w:pPr>
            <w:r>
              <w:rPr>
                <w:rFonts w:ascii="宋体" w:hAnsi="宋体" w:cs="宋体" w:eastAsia="宋体" w:hint="default"/>
                <w:sz w:val="18"/>
                <w:szCs w:val="18"/>
              </w:rPr>
              <w:t>南水北调 中线工程水质监测网 构建提供关键技术支 撑和业务化示范。</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center"/>
              <w:rPr>
                <w:rFonts w:ascii="宋体" w:hAnsi="宋体" w:cs="宋体" w:eastAsia="宋体" w:hint="default"/>
                <w:sz w:val="18"/>
                <w:szCs w:val="18"/>
              </w:rPr>
            </w:pPr>
            <w:r>
              <w:rPr>
                <w:rFonts w:ascii="宋体" w:hAnsi="宋体" w:cs="宋体" w:eastAsia="宋体" w:hint="default"/>
                <w:spacing w:val="-6"/>
                <w:sz w:val="18"/>
                <w:szCs w:val="18"/>
              </w:rPr>
              <w:t>车（船）、水下仿生机</w:t>
            </w:r>
            <w:r>
              <w:rPr>
                <w:rFonts w:ascii="宋体" w:hAnsi="宋体" w:cs="宋体" w:eastAsia="宋体" w:hint="default"/>
                <w:sz w:val="18"/>
                <w:szCs w:val="18"/>
              </w:rPr>
              <w:t> 器人、卫星遥感等多 </w:t>
            </w:r>
            <w:r>
              <w:rPr>
                <w:rFonts w:ascii="宋体" w:hAnsi="宋体" w:cs="宋体" w:eastAsia="宋体" w:hint="default"/>
                <w:spacing w:val="-6"/>
                <w:sz w:val="18"/>
                <w:szCs w:val="18"/>
              </w:rPr>
              <w:t>目标、多尺度的水质智</w:t>
            </w:r>
            <w:r>
              <w:rPr>
                <w:rFonts w:ascii="宋体" w:hAnsi="宋体" w:cs="宋体" w:eastAsia="宋体" w:hint="default"/>
                <w:sz w:val="18"/>
                <w:szCs w:val="18"/>
              </w:rPr>
              <w:t> </w:t>
            </w:r>
            <w:r>
              <w:rPr>
                <w:rFonts w:ascii="宋体" w:hAnsi="宋体" w:cs="宋体" w:eastAsia="宋体" w:hint="default"/>
                <w:spacing w:val="-6"/>
                <w:sz w:val="18"/>
                <w:szCs w:val="18"/>
              </w:rPr>
              <w:t>能感知节点，优化和构</w:t>
            </w:r>
            <w:r>
              <w:rPr>
                <w:rFonts w:ascii="宋体" w:hAnsi="宋体" w:cs="宋体" w:eastAsia="宋体" w:hint="default"/>
                <w:sz w:val="18"/>
                <w:szCs w:val="18"/>
              </w:rPr>
              <w:t> 建中线工程水质信息 智能化感知系统。</w:t>
            </w: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218"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6</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69" w:right="65"/>
              <w:jc w:val="center"/>
              <w:rPr>
                <w:rFonts w:ascii="宋体" w:hAnsi="宋体" w:cs="宋体" w:eastAsia="宋体" w:hint="default"/>
                <w:sz w:val="18"/>
                <w:szCs w:val="18"/>
              </w:rPr>
            </w:pPr>
            <w:r>
              <w:rPr>
                <w:rFonts w:ascii="宋体" w:hAnsi="宋体" w:cs="宋体" w:eastAsia="宋体" w:hint="default"/>
                <w:sz w:val="18"/>
                <w:szCs w:val="18"/>
              </w:rPr>
              <w:t>大气复合污染高精度自 动监测仪及系统集成联 合研发</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3"/>
              <w:jc w:val="center"/>
              <w:rPr>
                <w:rFonts w:ascii="宋体" w:hAnsi="宋体" w:cs="宋体" w:eastAsia="宋体" w:hint="default"/>
                <w:sz w:val="18"/>
                <w:szCs w:val="18"/>
              </w:rPr>
            </w:pPr>
            <w:r>
              <w:rPr>
                <w:rFonts w:ascii="宋体" w:hAnsi="宋体" w:cs="宋体" w:eastAsia="宋体" w:hint="default"/>
                <w:sz w:val="18"/>
                <w:szCs w:val="18"/>
              </w:rPr>
              <w:t>实现对以灰霾为主的 区域大气复合污染进 行及时、准确的监测 和预测预报。</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23" w:right="70" w:hanging="449"/>
              <w:jc w:val="left"/>
              <w:rPr>
                <w:rFonts w:ascii="宋体" w:hAnsi="宋体" w:cs="宋体" w:eastAsia="宋体" w:hint="default"/>
                <w:sz w:val="18"/>
                <w:szCs w:val="18"/>
              </w:rPr>
            </w:pPr>
            <w:r>
              <w:rPr>
                <w:rFonts w:ascii="宋体" w:hAnsi="宋体" w:cs="宋体" w:eastAsia="宋体" w:hint="default"/>
                <w:sz w:val="18"/>
                <w:szCs w:val="18"/>
              </w:rPr>
              <w:t>产业化示范运行 阶段</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0" w:hanging="3"/>
              <w:jc w:val="center"/>
              <w:rPr>
                <w:rFonts w:ascii="宋体" w:hAnsi="宋体" w:cs="宋体" w:eastAsia="宋体" w:hint="default"/>
                <w:sz w:val="18"/>
                <w:szCs w:val="18"/>
              </w:rPr>
            </w:pPr>
            <w:r>
              <w:rPr>
                <w:rFonts w:ascii="宋体" w:hAnsi="宋体" w:cs="宋体" w:eastAsia="宋体" w:hint="default"/>
                <w:sz w:val="18"/>
                <w:szCs w:val="18"/>
              </w:rPr>
              <w:t>通过合作开发大气复 合污染高精度自动监 </w:t>
            </w:r>
            <w:r>
              <w:rPr>
                <w:rFonts w:ascii="宋体" w:hAnsi="宋体" w:cs="宋体" w:eastAsia="宋体" w:hint="default"/>
                <w:spacing w:val="-6"/>
                <w:sz w:val="18"/>
                <w:szCs w:val="18"/>
              </w:rPr>
              <w:t>测仪及系统，提高我国</w:t>
            </w:r>
            <w:r>
              <w:rPr>
                <w:rFonts w:ascii="宋体" w:hAnsi="宋体" w:cs="宋体" w:eastAsia="宋体" w:hint="default"/>
                <w:sz w:val="18"/>
                <w:szCs w:val="18"/>
              </w:rPr>
              <w:t> 大气复合污染监测技 </w:t>
            </w:r>
            <w:r>
              <w:rPr>
                <w:rFonts w:ascii="宋体" w:hAnsi="宋体" w:cs="宋体" w:eastAsia="宋体" w:hint="default"/>
                <w:spacing w:val="-6"/>
                <w:sz w:val="18"/>
                <w:szCs w:val="18"/>
              </w:rPr>
              <w:t>术、设备水平和大气环</w:t>
            </w:r>
            <w:r>
              <w:rPr>
                <w:rFonts w:ascii="宋体" w:hAnsi="宋体" w:cs="宋体" w:eastAsia="宋体" w:hint="default"/>
                <w:sz w:val="18"/>
                <w:szCs w:val="18"/>
              </w:rPr>
              <w:t> 境行业的整体监测能 力。</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629" w:right="86" w:hanging="541"/>
              <w:jc w:val="left"/>
              <w:rPr>
                <w:rFonts w:ascii="宋体" w:hAnsi="宋体" w:cs="宋体" w:eastAsia="宋体" w:hint="default"/>
                <w:sz w:val="18"/>
                <w:szCs w:val="18"/>
              </w:rPr>
            </w:pPr>
            <w:r>
              <w:rPr>
                <w:rFonts w:ascii="宋体" w:hAnsi="宋体" w:cs="宋体" w:eastAsia="宋体" w:hint="default"/>
                <w:sz w:val="18"/>
                <w:szCs w:val="18"/>
              </w:rPr>
              <w:t>国家国际科技合作 专项</w:t>
            </w:r>
          </w:p>
        </w:tc>
      </w:tr>
      <w:tr>
        <w:trPr>
          <w:trHeight w:val="972"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7</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9" w:right="65"/>
              <w:jc w:val="center"/>
              <w:rPr>
                <w:rFonts w:ascii="宋体" w:hAnsi="宋体" w:cs="宋体" w:eastAsia="宋体" w:hint="default"/>
                <w:sz w:val="18"/>
                <w:szCs w:val="18"/>
              </w:rPr>
            </w:pPr>
            <w:r>
              <w:rPr>
                <w:rFonts w:ascii="宋体" w:hAnsi="宋体" w:cs="宋体" w:eastAsia="宋体" w:hint="default"/>
                <w:sz w:val="18"/>
                <w:szCs w:val="18"/>
              </w:rPr>
              <w:t>地表水饮用水源地水质 安全监控预警综合技术 研究</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54" w:right="3" w:hanging="452"/>
              <w:jc w:val="left"/>
              <w:rPr>
                <w:rFonts w:ascii="宋体" w:hAnsi="宋体" w:cs="宋体" w:eastAsia="宋体" w:hint="default"/>
                <w:sz w:val="18"/>
                <w:szCs w:val="18"/>
              </w:rPr>
            </w:pPr>
            <w:r>
              <w:rPr>
                <w:rFonts w:ascii="宋体" w:hAnsi="宋体" w:cs="宋体" w:eastAsia="宋体" w:hint="default"/>
                <w:sz w:val="18"/>
                <w:szCs w:val="18"/>
              </w:rPr>
              <w:t>饮用水源水质安全监 测和预警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41"/>
              <w:jc w:val="right"/>
              <w:rPr>
                <w:rFonts w:ascii="宋体" w:hAnsi="宋体" w:cs="宋体" w:eastAsia="宋体" w:hint="default"/>
                <w:sz w:val="18"/>
                <w:szCs w:val="18"/>
              </w:rPr>
            </w:pPr>
            <w:r>
              <w:rPr>
                <w:rFonts w:ascii="宋体" w:hAnsi="宋体" w:cs="宋体" w:eastAsia="宋体" w:hint="default"/>
                <w:sz w:val="18"/>
                <w:szCs w:val="18"/>
              </w:rPr>
              <w:t>批量生产</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both"/>
              <w:rPr>
                <w:rFonts w:ascii="宋体" w:hAnsi="宋体" w:cs="宋体" w:eastAsia="宋体" w:hint="default"/>
                <w:sz w:val="18"/>
                <w:szCs w:val="18"/>
              </w:rPr>
            </w:pPr>
            <w:r>
              <w:rPr>
                <w:rFonts w:ascii="宋体" w:hAnsi="宋体" w:cs="宋体" w:eastAsia="宋体" w:hint="default"/>
                <w:spacing w:val="-6"/>
                <w:sz w:val="18"/>
                <w:szCs w:val="18"/>
              </w:rPr>
              <w:t>研究水质生物毒性、浊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度、叶绿素等自动监测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仪器研制及预警技术</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18" w:right="86" w:hanging="630"/>
              <w:jc w:val="left"/>
              <w:rPr>
                <w:rFonts w:ascii="宋体" w:hAnsi="宋体" w:cs="宋体" w:eastAsia="宋体" w:hint="default"/>
                <w:sz w:val="18"/>
                <w:szCs w:val="18"/>
              </w:rPr>
            </w:pPr>
            <w:r>
              <w:rPr>
                <w:rFonts w:ascii="宋体" w:hAnsi="宋体" w:cs="宋体" w:eastAsia="宋体" w:hint="default"/>
                <w:sz w:val="18"/>
                <w:szCs w:val="18"/>
              </w:rPr>
              <w:t>河北省科技支撑计 划</w:t>
            </w:r>
          </w:p>
        </w:tc>
      </w:tr>
      <w:tr>
        <w:trPr>
          <w:trHeight w:val="970"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8</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49" w:right="0"/>
              <w:jc w:val="left"/>
              <w:rPr>
                <w:rFonts w:ascii="宋体" w:hAnsi="宋体" w:cs="宋体" w:eastAsia="宋体" w:hint="default"/>
                <w:sz w:val="18"/>
                <w:szCs w:val="18"/>
              </w:rPr>
            </w:pPr>
            <w:r>
              <w:rPr>
                <w:rFonts w:ascii="宋体" w:hAnsi="宋体" w:cs="宋体" w:eastAsia="宋体" w:hint="default"/>
                <w:sz w:val="18"/>
                <w:szCs w:val="18"/>
              </w:rPr>
              <w:t>颗粒物自动监测仪</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83" w:right="3" w:hanging="181"/>
              <w:jc w:val="left"/>
              <w:rPr>
                <w:rFonts w:ascii="宋体" w:hAnsi="宋体" w:cs="宋体" w:eastAsia="宋体" w:hint="default"/>
                <w:sz w:val="18"/>
                <w:szCs w:val="18"/>
              </w:rPr>
            </w:pPr>
            <w:r>
              <w:rPr>
                <w:rFonts w:ascii="宋体" w:hAnsi="宋体" w:cs="宋体" w:eastAsia="宋体" w:hint="default"/>
                <w:sz w:val="18"/>
                <w:szCs w:val="18"/>
              </w:rPr>
              <w:t>实现对大气中颗粒物 浓度的准确监测</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41"/>
              <w:jc w:val="right"/>
              <w:rPr>
                <w:rFonts w:ascii="宋体" w:hAnsi="宋体" w:cs="宋体" w:eastAsia="宋体" w:hint="default"/>
                <w:sz w:val="18"/>
                <w:szCs w:val="18"/>
              </w:rPr>
            </w:pPr>
            <w:r>
              <w:rPr>
                <w:rFonts w:ascii="宋体" w:hAnsi="宋体" w:cs="宋体" w:eastAsia="宋体" w:hint="default"/>
                <w:sz w:val="18"/>
                <w:szCs w:val="18"/>
              </w:rPr>
              <w:t>批量生产</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9" w:right="17"/>
              <w:jc w:val="center"/>
              <w:rPr>
                <w:rFonts w:ascii="宋体" w:hAnsi="宋体" w:cs="宋体" w:eastAsia="宋体" w:hint="default"/>
                <w:sz w:val="18"/>
                <w:szCs w:val="18"/>
              </w:rPr>
            </w:pPr>
            <w:r>
              <w:rPr>
                <w:rFonts w:ascii="宋体" w:hAnsi="宋体" w:cs="宋体" w:eastAsia="宋体" w:hint="default"/>
                <w:sz w:val="18"/>
                <w:szCs w:val="18"/>
              </w:rPr>
              <w:t>研制出测量大气中 </w:t>
            </w:r>
            <w:r>
              <w:rPr>
                <w:rFonts w:ascii="宋体" w:hAnsi="宋体" w:cs="宋体" w:eastAsia="宋体" w:hint="default"/>
                <w:sz w:val="18"/>
                <w:szCs w:val="18"/>
              </w:rPr>
              <w:t>PM10</w:t>
            </w:r>
            <w:r>
              <w:rPr>
                <w:rFonts w:ascii="宋体" w:hAnsi="宋体" w:cs="宋体" w:eastAsia="宋体" w:hint="default"/>
                <w:sz w:val="18"/>
                <w:szCs w:val="18"/>
              </w:rPr>
              <w:t>、</w:t>
            </w:r>
            <w:r>
              <w:rPr>
                <w:rFonts w:ascii="宋体" w:hAnsi="宋体" w:cs="宋体" w:eastAsia="宋体" w:hint="default"/>
                <w:sz w:val="18"/>
                <w:szCs w:val="18"/>
              </w:rPr>
              <w:t>PM2.5</w:t>
            </w:r>
            <w:r>
              <w:rPr>
                <w:rFonts w:ascii="宋体" w:hAnsi="宋体" w:cs="宋体" w:eastAsia="宋体" w:hint="default"/>
                <w:sz w:val="18"/>
                <w:szCs w:val="18"/>
              </w:rPr>
              <w:t>颗粒物浓 度的监测仪</w:t>
            </w:r>
          </w:p>
        </w:tc>
        <w:tc>
          <w:tcPr>
            <w:tcW w:w="1630" w:type="dxa"/>
            <w:vMerge w:val="restart"/>
            <w:tcBorders>
              <w:top w:val="single" w:sz="6" w:space="0" w:color="000000"/>
              <w:left w:val="single" w:sz="6" w:space="0" w:color="000000"/>
              <w:right w:val="single" w:sz="6" w:space="0" w:color="000000"/>
            </w:tcBorders>
          </w:tcPr>
          <w:p>
            <w:pPr>
              <w:pStyle w:val="TableParagraph"/>
              <w:spacing w:line="316" w:lineRule="auto" w:before="17"/>
              <w:ind w:left="43" w:right="36" w:hanging="3"/>
              <w:jc w:val="center"/>
              <w:rPr>
                <w:rFonts w:ascii="宋体" w:hAnsi="宋体" w:cs="宋体" w:eastAsia="宋体" w:hint="default"/>
                <w:sz w:val="18"/>
                <w:szCs w:val="18"/>
              </w:rPr>
            </w:pPr>
            <w:r>
              <w:rPr>
                <w:rFonts w:ascii="宋体" w:hAnsi="宋体" w:cs="宋体" w:eastAsia="宋体" w:hint="default"/>
                <w:sz w:val="18"/>
                <w:szCs w:val="18"/>
              </w:rPr>
              <w:t>国家重大科学仪器 专项</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PM2.5</w:t>
            </w:r>
            <w:r>
              <w:rPr>
                <w:rFonts w:ascii="宋体" w:hAnsi="宋体" w:cs="宋体" w:eastAsia="宋体" w:hint="default"/>
                <w:sz w:val="18"/>
                <w:szCs w:val="18"/>
              </w:rPr>
              <w:t>监测设 备开发与应用</w:t>
            </w:r>
          </w:p>
        </w:tc>
      </w:tr>
      <w:tr>
        <w:trPr>
          <w:trHeight w:val="972"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9</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878" w:right="65" w:hanging="809"/>
              <w:jc w:val="left"/>
              <w:rPr>
                <w:rFonts w:ascii="宋体" w:hAnsi="宋体" w:cs="宋体" w:eastAsia="宋体" w:hint="default"/>
                <w:sz w:val="18"/>
                <w:szCs w:val="18"/>
              </w:rPr>
            </w:pPr>
            <w:r>
              <w:rPr>
                <w:rFonts w:ascii="宋体" w:hAnsi="宋体" w:cs="宋体" w:eastAsia="宋体" w:hint="default"/>
                <w:sz w:val="18"/>
                <w:szCs w:val="18"/>
              </w:rPr>
              <w:t>双通道颗粒物自动监测 仪</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hanging="6"/>
              <w:jc w:val="center"/>
              <w:rPr>
                <w:rFonts w:ascii="宋体" w:hAnsi="宋体" w:cs="宋体" w:eastAsia="宋体" w:hint="default"/>
                <w:sz w:val="18"/>
                <w:szCs w:val="18"/>
              </w:rPr>
            </w:pPr>
            <w:r>
              <w:rPr>
                <w:rFonts w:ascii="宋体" w:hAnsi="宋体" w:cs="宋体" w:eastAsia="宋体" w:hint="default"/>
                <w:sz w:val="18"/>
                <w:szCs w:val="18"/>
              </w:rPr>
              <w:t>实现对大气中颗粒物 </w:t>
            </w:r>
            <w:r>
              <w:rPr>
                <w:rFonts w:ascii="宋体" w:hAnsi="宋体" w:cs="宋体" w:eastAsia="宋体" w:hint="default"/>
                <w:spacing w:val="-7"/>
                <w:sz w:val="18"/>
                <w:szCs w:val="18"/>
              </w:rPr>
              <w:t>PM10</w:t>
            </w:r>
            <w:r>
              <w:rPr>
                <w:rFonts w:ascii="宋体" w:hAnsi="宋体" w:cs="宋体" w:eastAsia="宋体" w:hint="default"/>
                <w:spacing w:val="-7"/>
                <w:sz w:val="18"/>
                <w:szCs w:val="18"/>
              </w:rPr>
              <w:t>、</w:t>
            </w:r>
            <w:r>
              <w:rPr>
                <w:rFonts w:ascii="宋体" w:hAnsi="宋体" w:cs="宋体" w:eastAsia="宋体" w:hint="default"/>
                <w:spacing w:val="-7"/>
                <w:sz w:val="18"/>
                <w:szCs w:val="18"/>
              </w:rPr>
              <w:t>PM2.5</w:t>
            </w:r>
            <w:r>
              <w:rPr>
                <w:rFonts w:ascii="宋体" w:hAnsi="宋体" w:cs="宋体" w:eastAsia="宋体" w:hint="default"/>
                <w:spacing w:val="-7"/>
                <w:sz w:val="18"/>
                <w:szCs w:val="18"/>
              </w:rPr>
              <w:t>浓度同时</w:t>
            </w:r>
            <w:r>
              <w:rPr>
                <w:rFonts w:ascii="宋体" w:hAnsi="宋体" w:cs="宋体" w:eastAsia="宋体" w:hint="default"/>
                <w:sz w:val="18"/>
                <w:szCs w:val="18"/>
              </w:rPr>
              <w:t> 监测</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23" w:right="70" w:hanging="449"/>
              <w:jc w:val="left"/>
              <w:rPr>
                <w:rFonts w:ascii="宋体" w:hAnsi="宋体" w:cs="宋体" w:eastAsia="宋体" w:hint="default"/>
                <w:sz w:val="18"/>
                <w:szCs w:val="18"/>
              </w:rPr>
            </w:pPr>
            <w:r>
              <w:rPr>
                <w:rFonts w:ascii="宋体" w:hAnsi="宋体" w:cs="宋体" w:eastAsia="宋体" w:hint="default"/>
                <w:sz w:val="18"/>
                <w:szCs w:val="18"/>
              </w:rPr>
              <w:t>产业化示范运行 阶段</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9" w:right="17" w:hanging="3"/>
              <w:jc w:val="center"/>
              <w:rPr>
                <w:rFonts w:ascii="宋体" w:hAnsi="宋体" w:cs="宋体" w:eastAsia="宋体" w:hint="default"/>
                <w:sz w:val="18"/>
                <w:szCs w:val="18"/>
              </w:rPr>
            </w:pPr>
            <w:r>
              <w:rPr>
                <w:rFonts w:ascii="宋体" w:hAnsi="宋体" w:cs="宋体" w:eastAsia="宋体" w:hint="default"/>
                <w:sz w:val="18"/>
                <w:szCs w:val="18"/>
              </w:rPr>
              <w:t>研制出同时测量大气 中</w:t>
            </w:r>
            <w:r>
              <w:rPr>
                <w:rFonts w:ascii="宋体" w:hAnsi="宋体" w:cs="宋体" w:eastAsia="宋体" w:hint="default"/>
                <w:sz w:val="18"/>
                <w:szCs w:val="18"/>
              </w:rPr>
              <w:t>PM10</w:t>
            </w:r>
            <w:r>
              <w:rPr>
                <w:rFonts w:ascii="宋体" w:hAnsi="宋体" w:cs="宋体" w:eastAsia="宋体" w:hint="default"/>
                <w:sz w:val="18"/>
                <w:szCs w:val="18"/>
              </w:rPr>
              <w:t>、</w:t>
            </w:r>
            <w:r>
              <w:rPr>
                <w:rFonts w:ascii="宋体" w:hAnsi="宋体" w:cs="宋体" w:eastAsia="宋体" w:hint="default"/>
                <w:sz w:val="18"/>
                <w:szCs w:val="18"/>
              </w:rPr>
              <w:t>PM2.5</w:t>
            </w:r>
            <w:r>
              <w:rPr>
                <w:rFonts w:ascii="宋体" w:hAnsi="宋体" w:cs="宋体" w:eastAsia="宋体" w:hint="default"/>
                <w:sz w:val="18"/>
                <w:szCs w:val="18"/>
              </w:rPr>
              <w:t>颗粒物 浓度的监测仪</w:t>
            </w:r>
          </w:p>
        </w:tc>
        <w:tc>
          <w:tcPr>
            <w:tcW w:w="1630" w:type="dxa"/>
            <w:vMerge/>
            <w:tcBorders>
              <w:left w:val="single" w:sz="6" w:space="0" w:color="000000"/>
              <w:right w:val="single" w:sz="6" w:space="0" w:color="000000"/>
            </w:tcBorders>
          </w:tcPr>
          <w:p>
            <w:pPr/>
          </w:p>
        </w:tc>
      </w:tr>
      <w:tr>
        <w:trPr>
          <w:trHeight w:val="1282"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10</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609" w:right="65" w:hanging="540"/>
              <w:jc w:val="left"/>
              <w:rPr>
                <w:rFonts w:ascii="宋体" w:hAnsi="宋体" w:cs="宋体" w:eastAsia="宋体" w:hint="default"/>
                <w:sz w:val="18"/>
                <w:szCs w:val="18"/>
              </w:rPr>
            </w:pPr>
            <w:r>
              <w:rPr>
                <w:rFonts w:ascii="宋体" w:hAnsi="宋体" w:cs="宋体" w:eastAsia="宋体" w:hint="default"/>
                <w:sz w:val="18"/>
                <w:szCs w:val="18"/>
              </w:rPr>
              <w:t>光散射融合型颗粒物自 动监测仪</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183" w:right="3" w:hanging="181"/>
              <w:jc w:val="left"/>
              <w:rPr>
                <w:rFonts w:ascii="宋体" w:hAnsi="宋体" w:cs="宋体" w:eastAsia="宋体" w:hint="default"/>
                <w:sz w:val="18"/>
                <w:szCs w:val="18"/>
              </w:rPr>
            </w:pPr>
            <w:r>
              <w:rPr>
                <w:rFonts w:ascii="宋体" w:hAnsi="宋体" w:cs="宋体" w:eastAsia="宋体" w:hint="default"/>
                <w:sz w:val="18"/>
                <w:szCs w:val="18"/>
              </w:rPr>
              <w:t>实现对大气中颗粒物 浓度的准确监测</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41"/>
              <w:jc w:val="right"/>
              <w:rPr>
                <w:rFonts w:ascii="宋体" w:hAnsi="宋体" w:cs="宋体" w:eastAsia="宋体" w:hint="default"/>
                <w:sz w:val="18"/>
                <w:szCs w:val="18"/>
              </w:rPr>
            </w:pPr>
            <w:r>
              <w:rPr>
                <w:rFonts w:ascii="宋体" w:hAnsi="宋体" w:cs="宋体" w:eastAsia="宋体" w:hint="default"/>
                <w:sz w:val="18"/>
                <w:szCs w:val="18"/>
              </w:rPr>
              <w:t>研制阶段</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19" w:right="17"/>
              <w:jc w:val="center"/>
              <w:rPr>
                <w:rFonts w:ascii="宋体" w:hAnsi="宋体" w:cs="宋体" w:eastAsia="宋体" w:hint="default"/>
                <w:sz w:val="18"/>
                <w:szCs w:val="18"/>
              </w:rPr>
            </w:pPr>
            <w:r>
              <w:rPr>
                <w:rFonts w:ascii="宋体" w:hAnsi="宋体" w:cs="宋体" w:eastAsia="宋体" w:hint="default"/>
                <w:sz w:val="18"/>
                <w:szCs w:val="18"/>
              </w:rPr>
              <w:t>研制出测量大气中 </w:t>
            </w:r>
            <w:r>
              <w:rPr>
                <w:rFonts w:ascii="宋体" w:hAnsi="宋体" w:cs="宋体" w:eastAsia="宋体" w:hint="default"/>
                <w:sz w:val="18"/>
                <w:szCs w:val="18"/>
              </w:rPr>
              <w:t>PM10</w:t>
            </w:r>
            <w:r>
              <w:rPr>
                <w:rFonts w:ascii="宋体" w:hAnsi="宋体" w:cs="宋体" w:eastAsia="宋体" w:hint="default"/>
                <w:sz w:val="18"/>
                <w:szCs w:val="18"/>
              </w:rPr>
              <w:t>、</w:t>
            </w:r>
            <w:r>
              <w:rPr>
                <w:rFonts w:ascii="宋体" w:hAnsi="宋体" w:cs="宋体" w:eastAsia="宋体" w:hint="default"/>
                <w:sz w:val="18"/>
                <w:szCs w:val="18"/>
              </w:rPr>
              <w:t>PM2.5</w:t>
            </w:r>
            <w:r>
              <w:rPr>
                <w:rFonts w:ascii="宋体" w:hAnsi="宋体" w:cs="宋体" w:eastAsia="宋体" w:hint="default"/>
                <w:sz w:val="18"/>
                <w:szCs w:val="18"/>
              </w:rPr>
              <w:t>颗粒物浓 度的光散射方法的自 动监测仪</w:t>
            </w:r>
          </w:p>
        </w:tc>
        <w:tc>
          <w:tcPr>
            <w:tcW w:w="1630" w:type="dxa"/>
            <w:vMerge/>
            <w:tcBorders>
              <w:left w:val="single" w:sz="6" w:space="0" w:color="000000"/>
              <w:bottom w:val="single" w:sz="6" w:space="0" w:color="000000"/>
              <w:right w:val="single" w:sz="6" w:space="0" w:color="000000"/>
            </w:tcBorders>
          </w:tcPr>
          <w:p>
            <w:pPr/>
          </w:p>
        </w:tc>
      </w:tr>
      <w:tr>
        <w:trPr>
          <w:trHeight w:val="1284"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11</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8" w:right="0"/>
              <w:jc w:val="left"/>
              <w:rPr>
                <w:rFonts w:ascii="宋体" w:hAnsi="宋体" w:cs="宋体" w:eastAsia="宋体" w:hint="default"/>
                <w:sz w:val="18"/>
                <w:szCs w:val="18"/>
              </w:rPr>
            </w:pPr>
            <w:r>
              <w:rPr>
                <w:rFonts w:ascii="宋体" w:hAnsi="宋体" w:cs="宋体" w:eastAsia="宋体" w:hint="default"/>
                <w:sz w:val="18"/>
                <w:szCs w:val="18"/>
              </w:rPr>
              <w:t>能见度拍照系统</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center"/>
              <w:rPr>
                <w:rFonts w:ascii="宋体" w:hAnsi="宋体" w:cs="宋体" w:eastAsia="宋体" w:hint="default"/>
                <w:sz w:val="18"/>
                <w:szCs w:val="18"/>
              </w:rPr>
            </w:pPr>
            <w:r>
              <w:rPr>
                <w:rFonts w:ascii="宋体" w:hAnsi="宋体" w:cs="宋体" w:eastAsia="宋体" w:hint="default"/>
                <w:sz w:val="18"/>
                <w:szCs w:val="18"/>
              </w:rPr>
              <w:t>实现对大气污染能见 度实时监测和数据采 集</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41"/>
              <w:jc w:val="right"/>
              <w:rPr>
                <w:rFonts w:ascii="宋体" w:hAnsi="宋体" w:cs="宋体" w:eastAsia="宋体" w:hint="default"/>
                <w:sz w:val="18"/>
                <w:szCs w:val="18"/>
              </w:rPr>
            </w:pPr>
            <w:r>
              <w:rPr>
                <w:rFonts w:ascii="宋体" w:hAnsi="宋体" w:cs="宋体" w:eastAsia="宋体" w:hint="default"/>
                <w:sz w:val="18"/>
                <w:szCs w:val="18"/>
              </w:rPr>
              <w:t>批量生产</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hanging="3"/>
              <w:jc w:val="center"/>
              <w:rPr>
                <w:rFonts w:ascii="宋体" w:hAnsi="宋体" w:cs="宋体" w:eastAsia="宋体" w:hint="default"/>
                <w:sz w:val="18"/>
                <w:szCs w:val="18"/>
              </w:rPr>
            </w:pPr>
            <w:r>
              <w:rPr>
                <w:rFonts w:ascii="宋体" w:hAnsi="宋体" w:cs="宋体" w:eastAsia="宋体" w:hint="default"/>
                <w:sz w:val="18"/>
                <w:szCs w:val="18"/>
              </w:rPr>
              <w:t>研制出能见度拍照系 </w:t>
            </w:r>
            <w:r>
              <w:rPr>
                <w:rFonts w:ascii="宋体" w:hAnsi="宋体" w:cs="宋体" w:eastAsia="宋体" w:hint="default"/>
                <w:spacing w:val="-6"/>
                <w:sz w:val="18"/>
                <w:szCs w:val="18"/>
              </w:rPr>
              <w:t>统，为空气监测扩充能</w:t>
            </w:r>
            <w:r>
              <w:rPr>
                <w:rFonts w:ascii="宋体" w:hAnsi="宋体" w:cs="宋体" w:eastAsia="宋体" w:hint="default"/>
                <w:sz w:val="18"/>
                <w:szCs w:val="18"/>
              </w:rPr>
              <w:t> 见度监测参数提供仪 器</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自立</w:t>
            </w:r>
          </w:p>
        </w:tc>
      </w:tr>
      <w:tr>
        <w:trPr>
          <w:trHeight w:val="972"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12</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5"/>
              <w:jc w:val="right"/>
              <w:rPr>
                <w:rFonts w:ascii="宋体" w:hAnsi="宋体" w:cs="宋体" w:eastAsia="宋体" w:hint="default"/>
                <w:sz w:val="18"/>
                <w:szCs w:val="18"/>
              </w:rPr>
            </w:pPr>
            <w:r>
              <w:rPr>
                <w:rFonts w:ascii="宋体" w:hAnsi="宋体" w:cs="宋体" w:eastAsia="宋体" w:hint="default"/>
                <w:sz w:val="18"/>
                <w:szCs w:val="18"/>
              </w:rPr>
              <w:t>温室气体在线监测项目</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8" w:right="43"/>
              <w:jc w:val="center"/>
              <w:rPr>
                <w:rFonts w:ascii="宋体" w:hAnsi="宋体" w:cs="宋体" w:eastAsia="宋体" w:hint="default"/>
                <w:sz w:val="18"/>
                <w:szCs w:val="18"/>
              </w:rPr>
            </w:pPr>
            <w:r>
              <w:rPr>
                <w:rFonts w:ascii="宋体" w:hAnsi="宋体" w:cs="宋体" w:eastAsia="宋体" w:hint="default"/>
                <w:sz w:val="18"/>
                <w:szCs w:val="18"/>
              </w:rPr>
              <w:t>实现对空气中</w:t>
            </w:r>
            <w:r>
              <w:rPr>
                <w:rFonts w:ascii="宋体" w:hAnsi="宋体" w:cs="宋体" w:eastAsia="宋体" w:hint="default"/>
                <w:sz w:val="18"/>
                <w:szCs w:val="18"/>
              </w:rPr>
              <w:t>CH4</w:t>
            </w:r>
            <w:r>
              <w:rPr>
                <w:rFonts w:ascii="宋体" w:hAnsi="宋体" w:cs="宋体" w:eastAsia="宋体" w:hint="default"/>
                <w:sz w:val="18"/>
                <w:szCs w:val="18"/>
              </w:rPr>
              <w:t>、 </w:t>
            </w:r>
            <w:r>
              <w:rPr>
                <w:rFonts w:ascii="宋体" w:hAnsi="宋体" w:cs="宋体" w:eastAsia="宋体" w:hint="default"/>
                <w:sz w:val="18"/>
                <w:szCs w:val="18"/>
              </w:rPr>
              <w:t>CO2</w:t>
            </w:r>
            <w:r>
              <w:rPr>
                <w:rFonts w:ascii="宋体" w:hAnsi="宋体" w:cs="宋体" w:eastAsia="宋体" w:hint="default"/>
                <w:sz w:val="18"/>
                <w:szCs w:val="18"/>
              </w:rPr>
              <w:t>、</w:t>
            </w:r>
            <w:r>
              <w:rPr>
                <w:rFonts w:ascii="宋体" w:hAnsi="宋体" w:cs="宋体" w:eastAsia="宋体" w:hint="default"/>
                <w:sz w:val="18"/>
                <w:szCs w:val="18"/>
              </w:rPr>
              <w:t>N2O</w:t>
            </w:r>
            <w:r>
              <w:rPr>
                <w:rFonts w:ascii="宋体" w:hAnsi="宋体" w:cs="宋体" w:eastAsia="宋体" w:hint="default"/>
                <w:sz w:val="18"/>
                <w:szCs w:val="18"/>
              </w:rPr>
              <w:t>、</w:t>
            </w:r>
            <w:r>
              <w:rPr>
                <w:rFonts w:ascii="宋体" w:hAnsi="宋体" w:cs="宋体" w:eastAsia="宋体" w:hint="default"/>
                <w:sz w:val="18"/>
                <w:szCs w:val="18"/>
              </w:rPr>
              <w:t>H2O</w:t>
            </w:r>
            <w:r>
              <w:rPr>
                <w:rFonts w:ascii="宋体" w:hAnsi="宋体" w:cs="宋体" w:eastAsia="宋体" w:hint="default"/>
                <w:sz w:val="18"/>
                <w:szCs w:val="18"/>
              </w:rPr>
              <w:t>和</w:t>
            </w:r>
            <w:r>
              <w:rPr>
                <w:rFonts w:ascii="宋体" w:hAnsi="宋体" w:cs="宋体" w:eastAsia="宋体" w:hint="default"/>
                <w:sz w:val="18"/>
                <w:szCs w:val="18"/>
              </w:rPr>
              <w:t>O3</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的监测。</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23" w:right="0" w:hanging="519"/>
              <w:jc w:val="left"/>
              <w:rPr>
                <w:rFonts w:ascii="宋体" w:hAnsi="宋体" w:cs="宋体" w:eastAsia="宋体" w:hint="default"/>
                <w:sz w:val="18"/>
                <w:szCs w:val="18"/>
              </w:rPr>
            </w:pPr>
            <w:r>
              <w:rPr>
                <w:rFonts w:ascii="宋体" w:hAnsi="宋体" w:cs="宋体" w:eastAsia="宋体" w:hint="default"/>
                <w:spacing w:val="-6"/>
                <w:sz w:val="18"/>
                <w:szCs w:val="18"/>
              </w:rPr>
              <w:t>系统集成，已批量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生产</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hanging="3"/>
              <w:jc w:val="center"/>
              <w:rPr>
                <w:rFonts w:ascii="宋体" w:hAnsi="宋体" w:cs="宋体" w:eastAsia="宋体" w:hint="default"/>
                <w:sz w:val="18"/>
                <w:szCs w:val="18"/>
              </w:rPr>
            </w:pPr>
            <w:r>
              <w:rPr>
                <w:rFonts w:ascii="宋体" w:hAnsi="宋体" w:cs="宋体" w:eastAsia="宋体" w:hint="default"/>
                <w:sz w:val="18"/>
                <w:szCs w:val="18"/>
              </w:rPr>
              <w:t>研制出监测空气中温 </w:t>
            </w:r>
            <w:r>
              <w:rPr>
                <w:rFonts w:ascii="宋体" w:hAnsi="宋体" w:cs="宋体" w:eastAsia="宋体" w:hint="default"/>
                <w:spacing w:val="-6"/>
                <w:sz w:val="18"/>
                <w:szCs w:val="18"/>
              </w:rPr>
              <w:t>室气体的整套系统，并</w:t>
            </w:r>
            <w:r>
              <w:rPr>
                <w:rFonts w:ascii="宋体" w:hAnsi="宋体" w:cs="宋体" w:eastAsia="宋体" w:hint="default"/>
                <w:sz w:val="18"/>
                <w:szCs w:val="18"/>
              </w:rPr>
              <w:t> 实现数据采集和管理</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自立</w:t>
            </w:r>
          </w:p>
        </w:tc>
      </w:tr>
      <w:tr>
        <w:trPr>
          <w:trHeight w:val="970"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13</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8"/>
              <w:jc w:val="right"/>
              <w:rPr>
                <w:rFonts w:ascii="宋体" w:hAnsi="宋体" w:cs="宋体" w:eastAsia="宋体" w:hint="default"/>
                <w:sz w:val="18"/>
                <w:szCs w:val="18"/>
              </w:rPr>
            </w:pPr>
            <w:r>
              <w:rPr>
                <w:rFonts w:ascii="宋体" w:hAnsi="宋体" w:cs="宋体" w:eastAsia="宋体" w:hint="default"/>
                <w:sz w:val="18"/>
                <w:szCs w:val="18"/>
              </w:rPr>
              <w:t>大气</w:t>
            </w:r>
            <w:r>
              <w:rPr>
                <w:rFonts w:ascii="宋体" w:hAnsi="宋体" w:cs="宋体" w:eastAsia="宋体" w:hint="default"/>
                <w:sz w:val="18"/>
                <w:szCs w:val="18"/>
              </w:rPr>
              <w:t>VOC</w:t>
            </w:r>
            <w:r>
              <w:rPr>
                <w:rFonts w:ascii="宋体" w:hAnsi="宋体" w:cs="宋体" w:eastAsia="宋体" w:hint="default"/>
                <w:sz w:val="18"/>
                <w:szCs w:val="18"/>
              </w:rPr>
              <w:t>在线监测项目</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3" w:firstLine="46"/>
              <w:jc w:val="left"/>
              <w:rPr>
                <w:rFonts w:ascii="宋体" w:hAnsi="宋体" w:cs="宋体" w:eastAsia="宋体" w:hint="default"/>
                <w:sz w:val="18"/>
                <w:szCs w:val="18"/>
              </w:rPr>
            </w:pPr>
            <w:r>
              <w:rPr>
                <w:rFonts w:ascii="宋体" w:hAnsi="宋体" w:cs="宋体" w:eastAsia="宋体" w:hint="default"/>
                <w:sz w:val="18"/>
                <w:szCs w:val="18"/>
              </w:rPr>
              <w:t>实现对空气中</w:t>
            </w:r>
            <w:r>
              <w:rPr>
                <w:rFonts w:ascii="宋体" w:hAnsi="宋体" w:cs="宋体" w:eastAsia="宋体" w:hint="default"/>
                <w:sz w:val="18"/>
                <w:szCs w:val="18"/>
              </w:rPr>
              <w:t>VOC</w:t>
            </w:r>
            <w:r>
              <w:rPr>
                <w:rFonts w:ascii="宋体" w:hAnsi="宋体" w:cs="宋体" w:eastAsia="宋体" w:hint="default"/>
                <w:sz w:val="18"/>
                <w:szCs w:val="18"/>
              </w:rPr>
              <w:t>的 在线监测和数据采集</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523" w:right="0" w:hanging="519"/>
              <w:jc w:val="left"/>
              <w:rPr>
                <w:rFonts w:ascii="宋体" w:hAnsi="宋体" w:cs="宋体" w:eastAsia="宋体" w:hint="default"/>
                <w:sz w:val="18"/>
                <w:szCs w:val="18"/>
              </w:rPr>
            </w:pPr>
            <w:r>
              <w:rPr>
                <w:rFonts w:ascii="宋体" w:hAnsi="宋体" w:cs="宋体" w:eastAsia="宋体" w:hint="default"/>
                <w:spacing w:val="-6"/>
                <w:sz w:val="18"/>
                <w:szCs w:val="18"/>
              </w:rPr>
              <w:t>系统集成，已全面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推广</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0" w:hanging="1"/>
              <w:jc w:val="center"/>
              <w:rPr>
                <w:rFonts w:ascii="宋体" w:hAnsi="宋体" w:cs="宋体" w:eastAsia="宋体" w:hint="default"/>
                <w:sz w:val="18"/>
                <w:szCs w:val="18"/>
              </w:rPr>
            </w:pPr>
            <w:r>
              <w:rPr>
                <w:rFonts w:ascii="宋体" w:hAnsi="宋体" w:cs="宋体" w:eastAsia="宋体" w:hint="default"/>
                <w:sz w:val="18"/>
                <w:szCs w:val="18"/>
              </w:rPr>
              <w:t>研制出监测空气中</w:t>
            </w:r>
            <w:r>
              <w:rPr>
                <w:rFonts w:ascii="宋体" w:hAnsi="宋体" w:cs="宋体" w:eastAsia="宋体" w:hint="default"/>
                <w:sz w:val="18"/>
                <w:szCs w:val="18"/>
              </w:rPr>
              <w:t>VOC</w:t>
            </w:r>
            <w:r>
              <w:rPr>
                <w:rFonts w:ascii="宋体" w:hAnsi="宋体" w:cs="宋体" w:eastAsia="宋体" w:hint="default"/>
                <w:spacing w:val="1"/>
                <w:sz w:val="18"/>
                <w:szCs w:val="18"/>
              </w:rPr>
              <w:t> </w:t>
            </w:r>
            <w:r>
              <w:rPr>
                <w:rFonts w:ascii="宋体" w:hAnsi="宋体" w:cs="宋体" w:eastAsia="宋体" w:hint="default"/>
                <w:spacing w:val="-6"/>
                <w:sz w:val="18"/>
                <w:szCs w:val="18"/>
              </w:rPr>
              <w:t>气体的整套系统，并实</w:t>
            </w:r>
            <w:r>
              <w:rPr>
                <w:rFonts w:ascii="宋体" w:hAnsi="宋体" w:cs="宋体" w:eastAsia="宋体" w:hint="default"/>
                <w:sz w:val="18"/>
                <w:szCs w:val="18"/>
              </w:rPr>
              <w:t> 现数据采集和管理</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自立</w:t>
            </w:r>
          </w:p>
        </w:tc>
      </w:tr>
      <w:tr>
        <w:trPr>
          <w:trHeight w:val="1284"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14</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2"/>
              <w:jc w:val="right"/>
              <w:rPr>
                <w:rFonts w:ascii="宋体" w:hAnsi="宋体" w:cs="宋体" w:eastAsia="宋体" w:hint="default"/>
                <w:sz w:val="18"/>
                <w:szCs w:val="18"/>
              </w:rPr>
            </w:pPr>
            <w:r>
              <w:rPr>
                <w:rFonts w:ascii="宋体" w:hAnsi="宋体" w:cs="宋体" w:eastAsia="宋体" w:hint="default"/>
                <w:sz w:val="18"/>
                <w:szCs w:val="18"/>
              </w:rPr>
              <w:t>CO</w:t>
            </w:r>
            <w:r>
              <w:rPr>
                <w:rFonts w:ascii="宋体" w:hAnsi="宋体" w:cs="宋体" w:eastAsia="宋体" w:hint="default"/>
                <w:sz w:val="18"/>
                <w:szCs w:val="18"/>
              </w:rPr>
              <w:t>、</w:t>
            </w:r>
            <w:r>
              <w:rPr>
                <w:rFonts w:ascii="宋体" w:hAnsi="宋体" w:cs="宋体" w:eastAsia="宋体" w:hint="default"/>
                <w:sz w:val="18"/>
                <w:szCs w:val="18"/>
              </w:rPr>
              <w:t>O3</w:t>
            </w:r>
            <w:r>
              <w:rPr>
                <w:rFonts w:ascii="宋体" w:hAnsi="宋体" w:cs="宋体" w:eastAsia="宋体" w:hint="default"/>
                <w:sz w:val="18"/>
                <w:szCs w:val="18"/>
              </w:rPr>
              <w:t>自动监测仪项目</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4" w:right="3" w:hanging="92"/>
              <w:jc w:val="left"/>
              <w:rPr>
                <w:rFonts w:ascii="宋体" w:hAnsi="宋体" w:cs="宋体" w:eastAsia="宋体" w:hint="default"/>
                <w:sz w:val="18"/>
                <w:szCs w:val="18"/>
              </w:rPr>
            </w:pPr>
            <w:r>
              <w:rPr>
                <w:rFonts w:ascii="宋体" w:hAnsi="宋体" w:cs="宋体" w:eastAsia="宋体" w:hint="default"/>
                <w:sz w:val="18"/>
                <w:szCs w:val="18"/>
              </w:rPr>
              <w:t>实现对大气扩充参数 </w:t>
            </w:r>
            <w:r>
              <w:rPr>
                <w:rFonts w:ascii="宋体" w:hAnsi="宋体" w:cs="宋体" w:eastAsia="宋体" w:hint="default"/>
                <w:sz w:val="18"/>
                <w:szCs w:val="18"/>
              </w:rPr>
              <w:t>CO</w:t>
            </w:r>
            <w:r>
              <w:rPr>
                <w:rFonts w:ascii="宋体" w:hAnsi="宋体" w:cs="宋体" w:eastAsia="宋体" w:hint="default"/>
                <w:sz w:val="18"/>
                <w:szCs w:val="18"/>
              </w:rPr>
              <w:t>和</w:t>
            </w:r>
            <w:r>
              <w:rPr>
                <w:rFonts w:ascii="宋体" w:hAnsi="宋体" w:cs="宋体" w:eastAsia="宋体" w:hint="default"/>
                <w:sz w:val="18"/>
                <w:szCs w:val="18"/>
              </w:rPr>
              <w:t>O3</w:t>
            </w:r>
            <w:r>
              <w:rPr>
                <w:rFonts w:ascii="宋体" w:hAnsi="宋体" w:cs="宋体" w:eastAsia="宋体" w:hint="default"/>
                <w:sz w:val="18"/>
                <w:szCs w:val="18"/>
              </w:rPr>
              <w:t>浓度的监测</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41"/>
              <w:jc w:val="right"/>
              <w:rPr>
                <w:rFonts w:ascii="宋体" w:hAnsi="宋体" w:cs="宋体" w:eastAsia="宋体" w:hint="default"/>
                <w:sz w:val="18"/>
                <w:szCs w:val="18"/>
              </w:rPr>
            </w:pPr>
            <w:r>
              <w:rPr>
                <w:rFonts w:ascii="宋体" w:hAnsi="宋体" w:cs="宋体" w:eastAsia="宋体" w:hint="default"/>
                <w:sz w:val="18"/>
                <w:szCs w:val="18"/>
              </w:rPr>
              <w:t>批量生产</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hanging="3"/>
              <w:jc w:val="center"/>
              <w:rPr>
                <w:rFonts w:ascii="宋体" w:hAnsi="宋体" w:cs="宋体" w:eastAsia="宋体" w:hint="default"/>
                <w:sz w:val="18"/>
                <w:szCs w:val="18"/>
              </w:rPr>
            </w:pPr>
            <w:r>
              <w:rPr>
                <w:rFonts w:ascii="宋体" w:hAnsi="宋体" w:cs="宋体" w:eastAsia="宋体" w:hint="default"/>
                <w:sz w:val="18"/>
                <w:szCs w:val="18"/>
              </w:rPr>
              <w:t>研制出</w:t>
            </w:r>
            <w:r>
              <w:rPr>
                <w:rFonts w:ascii="宋体" w:hAnsi="宋体" w:cs="宋体" w:eastAsia="宋体" w:hint="default"/>
                <w:sz w:val="18"/>
                <w:szCs w:val="18"/>
              </w:rPr>
              <w:t>CO</w:t>
            </w:r>
            <w:r>
              <w:rPr>
                <w:rFonts w:ascii="宋体" w:hAnsi="宋体" w:cs="宋体" w:eastAsia="宋体" w:hint="default"/>
                <w:sz w:val="18"/>
                <w:szCs w:val="18"/>
              </w:rPr>
              <w:t>自动监测仪 </w:t>
            </w:r>
            <w:r>
              <w:rPr>
                <w:rFonts w:ascii="宋体" w:hAnsi="宋体" w:cs="宋体" w:eastAsia="宋体" w:hint="default"/>
                <w:spacing w:val="-5"/>
                <w:sz w:val="18"/>
                <w:szCs w:val="18"/>
              </w:rPr>
              <w:t>和</w:t>
            </w:r>
            <w:r>
              <w:rPr>
                <w:rFonts w:ascii="宋体" w:hAnsi="宋体" w:cs="宋体" w:eastAsia="宋体" w:hint="default"/>
                <w:spacing w:val="-5"/>
                <w:sz w:val="18"/>
                <w:szCs w:val="18"/>
              </w:rPr>
              <w:t>O3</w:t>
            </w:r>
            <w:r>
              <w:rPr>
                <w:rFonts w:ascii="宋体" w:hAnsi="宋体" w:cs="宋体" w:eastAsia="宋体" w:hint="default"/>
                <w:spacing w:val="-5"/>
                <w:sz w:val="18"/>
                <w:szCs w:val="18"/>
              </w:rPr>
              <w:t>自动监测仪，为空</w:t>
            </w:r>
            <w:r>
              <w:rPr>
                <w:rFonts w:ascii="宋体" w:hAnsi="宋体" w:cs="宋体" w:eastAsia="宋体" w:hint="default"/>
                <w:sz w:val="18"/>
                <w:szCs w:val="18"/>
              </w:rPr>
              <w:t> 气监测参数扩充提供 仪器</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自立</w:t>
            </w:r>
          </w:p>
        </w:tc>
      </w:tr>
      <w:tr>
        <w:trPr>
          <w:trHeight w:val="972"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15</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38" w:right="0"/>
              <w:jc w:val="left"/>
              <w:rPr>
                <w:rFonts w:ascii="宋体" w:hAnsi="宋体" w:cs="宋体" w:eastAsia="宋体" w:hint="default"/>
                <w:sz w:val="18"/>
                <w:szCs w:val="18"/>
              </w:rPr>
            </w:pPr>
            <w:r>
              <w:rPr>
                <w:rFonts w:ascii="宋体" w:hAnsi="宋体" w:cs="宋体" w:eastAsia="宋体" w:hint="default"/>
                <w:sz w:val="18"/>
                <w:szCs w:val="18"/>
              </w:rPr>
              <w:t>地下水监测系统</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94" w:right="3" w:hanging="92"/>
              <w:jc w:val="left"/>
              <w:rPr>
                <w:rFonts w:ascii="宋体" w:hAnsi="宋体" w:cs="宋体" w:eastAsia="宋体" w:hint="default"/>
                <w:sz w:val="18"/>
                <w:szCs w:val="18"/>
              </w:rPr>
            </w:pPr>
            <w:r>
              <w:rPr>
                <w:rFonts w:ascii="宋体" w:hAnsi="宋体" w:cs="宋体" w:eastAsia="宋体" w:hint="default"/>
                <w:sz w:val="18"/>
                <w:szCs w:val="18"/>
              </w:rPr>
              <w:t>配合南水北调项目提 供地下水监测系统</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41"/>
              <w:jc w:val="right"/>
              <w:rPr>
                <w:rFonts w:ascii="宋体" w:hAnsi="宋体" w:cs="宋体" w:eastAsia="宋体" w:hint="default"/>
                <w:sz w:val="18"/>
                <w:szCs w:val="18"/>
              </w:rPr>
            </w:pPr>
            <w:r>
              <w:rPr>
                <w:rFonts w:ascii="宋体" w:hAnsi="宋体" w:cs="宋体" w:eastAsia="宋体" w:hint="default"/>
                <w:sz w:val="18"/>
                <w:szCs w:val="18"/>
              </w:rPr>
              <w:t>批量生产</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64" w:right="65"/>
              <w:jc w:val="center"/>
              <w:rPr>
                <w:rFonts w:ascii="宋体" w:hAnsi="宋体" w:cs="宋体" w:eastAsia="宋体" w:hint="default"/>
                <w:sz w:val="18"/>
                <w:szCs w:val="18"/>
              </w:rPr>
            </w:pPr>
            <w:r>
              <w:rPr>
                <w:rFonts w:ascii="宋体" w:hAnsi="宋体" w:cs="宋体" w:eastAsia="宋体" w:hint="default"/>
                <w:sz w:val="18"/>
                <w:szCs w:val="18"/>
              </w:rPr>
              <w:t>研制出地下水监测的 各参数仪器以及配套 系统的开发</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自立</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668"/>
        <w:gridCol w:w="1951"/>
        <w:gridCol w:w="1642"/>
        <w:gridCol w:w="1421"/>
        <w:gridCol w:w="1766"/>
        <w:gridCol w:w="1630"/>
      </w:tblGrid>
      <w:tr>
        <w:trPr>
          <w:trHeight w:val="1596"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16</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698" w:right="65" w:hanging="629"/>
              <w:jc w:val="left"/>
              <w:rPr>
                <w:rFonts w:ascii="宋体" w:hAnsi="宋体" w:cs="宋体" w:eastAsia="宋体" w:hint="default"/>
                <w:sz w:val="18"/>
                <w:szCs w:val="18"/>
              </w:rPr>
            </w:pPr>
            <w:r>
              <w:rPr>
                <w:rFonts w:ascii="宋体" w:hAnsi="宋体" w:cs="宋体" w:eastAsia="宋体" w:hint="default"/>
                <w:sz w:val="18"/>
                <w:szCs w:val="18"/>
              </w:rPr>
              <w:t>中石油环境应急监测管 理软件</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3"/>
              <w:jc w:val="both"/>
              <w:rPr>
                <w:rFonts w:ascii="宋体" w:hAnsi="宋体" w:cs="宋体" w:eastAsia="宋体" w:hint="default"/>
                <w:sz w:val="18"/>
                <w:szCs w:val="18"/>
              </w:rPr>
            </w:pPr>
            <w:r>
              <w:rPr>
                <w:rFonts w:ascii="宋体" w:hAnsi="宋体" w:cs="宋体" w:eastAsia="宋体" w:hint="default"/>
                <w:sz w:val="18"/>
                <w:szCs w:val="18"/>
              </w:rPr>
              <w:t>为中石油提供一套大 气和水质环境应急监 测的综合管理平台</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41"/>
              <w:jc w:val="right"/>
              <w:rPr>
                <w:rFonts w:ascii="宋体" w:hAnsi="宋体" w:cs="宋体" w:eastAsia="宋体" w:hint="default"/>
                <w:sz w:val="18"/>
                <w:szCs w:val="18"/>
              </w:rPr>
            </w:pPr>
            <w:r>
              <w:rPr>
                <w:rFonts w:ascii="宋体" w:hAnsi="宋体" w:cs="宋体" w:eastAsia="宋体" w:hint="default"/>
                <w:sz w:val="18"/>
                <w:szCs w:val="18"/>
              </w:rPr>
              <w:t>研制阶段</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0" w:hanging="3"/>
              <w:jc w:val="center"/>
              <w:rPr>
                <w:rFonts w:ascii="宋体" w:hAnsi="宋体" w:cs="宋体" w:eastAsia="宋体" w:hint="default"/>
                <w:sz w:val="18"/>
                <w:szCs w:val="18"/>
              </w:rPr>
            </w:pPr>
            <w:r>
              <w:rPr>
                <w:rFonts w:ascii="宋体" w:hAnsi="宋体" w:cs="宋体" w:eastAsia="宋体" w:hint="default"/>
                <w:sz w:val="18"/>
                <w:szCs w:val="18"/>
              </w:rPr>
              <w:t>研制一套大气和水质 环境应急监测的综合 </w:t>
            </w:r>
            <w:r>
              <w:rPr>
                <w:rFonts w:ascii="宋体" w:hAnsi="宋体" w:cs="宋体" w:eastAsia="宋体" w:hint="default"/>
                <w:spacing w:val="-6"/>
                <w:sz w:val="18"/>
                <w:szCs w:val="18"/>
              </w:rPr>
              <w:t>管理平台软件，为中石</w:t>
            </w:r>
            <w:r>
              <w:rPr>
                <w:rFonts w:ascii="宋体" w:hAnsi="宋体" w:cs="宋体" w:eastAsia="宋体" w:hint="default"/>
                <w:sz w:val="18"/>
                <w:szCs w:val="18"/>
              </w:rPr>
              <w:t> 油提供环境应急管理 解决方案。</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自立</w:t>
            </w:r>
          </w:p>
        </w:tc>
      </w:tr>
      <w:tr>
        <w:trPr>
          <w:trHeight w:val="1594"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17</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大气环境自动监测信息 </w:t>
            </w:r>
            <w:r>
              <w:rPr>
                <w:rFonts w:ascii="宋体" w:hAnsi="宋体" w:cs="宋体" w:eastAsia="宋体" w:hint="default"/>
                <w:spacing w:val="-5"/>
                <w:sz w:val="18"/>
                <w:szCs w:val="18"/>
              </w:rPr>
              <w:t>综合管理、预报预警及决</w:t>
            </w:r>
            <w:r>
              <w:rPr>
                <w:rFonts w:ascii="宋体" w:hAnsi="宋体" w:cs="宋体" w:eastAsia="宋体" w:hint="default"/>
                <w:sz w:val="18"/>
                <w:szCs w:val="18"/>
              </w:rPr>
              <w:t> 策支持系统管理软件</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3"/>
              <w:jc w:val="center"/>
              <w:rPr>
                <w:rFonts w:ascii="宋体" w:hAnsi="宋体" w:cs="宋体" w:eastAsia="宋体" w:hint="default"/>
                <w:sz w:val="18"/>
                <w:szCs w:val="18"/>
              </w:rPr>
            </w:pPr>
            <w:r>
              <w:rPr>
                <w:rFonts w:ascii="宋体" w:hAnsi="宋体" w:cs="宋体" w:eastAsia="宋体" w:hint="default"/>
                <w:sz w:val="18"/>
                <w:szCs w:val="18"/>
              </w:rPr>
              <w:t>为大气复合污染以及 区域联防联控提供一 套管理软件平台</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41"/>
              <w:jc w:val="right"/>
              <w:rPr>
                <w:rFonts w:ascii="宋体" w:hAnsi="宋体" w:cs="宋体" w:eastAsia="宋体" w:hint="default"/>
                <w:sz w:val="18"/>
                <w:szCs w:val="18"/>
              </w:rPr>
            </w:pPr>
            <w:r>
              <w:rPr>
                <w:rFonts w:ascii="宋体" w:hAnsi="宋体" w:cs="宋体" w:eastAsia="宋体" w:hint="default"/>
                <w:sz w:val="18"/>
                <w:szCs w:val="18"/>
              </w:rPr>
              <w:t>研制阶段</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hanging="3"/>
              <w:jc w:val="center"/>
              <w:rPr>
                <w:rFonts w:ascii="宋体" w:hAnsi="宋体" w:cs="宋体" w:eastAsia="宋体" w:hint="default"/>
                <w:sz w:val="18"/>
                <w:szCs w:val="18"/>
              </w:rPr>
            </w:pPr>
            <w:r>
              <w:rPr>
                <w:rFonts w:ascii="宋体" w:hAnsi="宋体" w:cs="宋体" w:eastAsia="宋体" w:hint="default"/>
                <w:sz w:val="18"/>
                <w:szCs w:val="18"/>
              </w:rPr>
              <w:t>研制一套大气复合污 </w:t>
            </w:r>
            <w:r>
              <w:rPr>
                <w:rFonts w:ascii="宋体" w:hAnsi="宋体" w:cs="宋体" w:eastAsia="宋体" w:hint="default"/>
                <w:spacing w:val="-6"/>
                <w:sz w:val="18"/>
                <w:szCs w:val="18"/>
              </w:rPr>
              <w:t>染的管理平台软件，包</w:t>
            </w:r>
            <w:r>
              <w:rPr>
                <w:rFonts w:ascii="宋体" w:hAnsi="宋体" w:cs="宋体" w:eastAsia="宋体" w:hint="default"/>
                <w:sz w:val="18"/>
                <w:szCs w:val="18"/>
              </w:rPr>
              <w:t> </w:t>
            </w:r>
            <w:r>
              <w:rPr>
                <w:rFonts w:ascii="宋体" w:hAnsi="宋体" w:cs="宋体" w:eastAsia="宋体" w:hint="default"/>
                <w:spacing w:val="-6"/>
                <w:sz w:val="18"/>
                <w:szCs w:val="18"/>
              </w:rPr>
              <w:t>括污染扩散模型、预警</w:t>
            </w:r>
            <w:r>
              <w:rPr>
                <w:rFonts w:ascii="宋体" w:hAnsi="宋体" w:cs="宋体" w:eastAsia="宋体" w:hint="default"/>
                <w:sz w:val="18"/>
                <w:szCs w:val="18"/>
              </w:rPr>
              <w:t> 预报和决策支持等功 能。</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自立</w:t>
            </w:r>
          </w:p>
        </w:tc>
      </w:tr>
      <w:tr>
        <w:trPr>
          <w:trHeight w:val="2221"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18</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水环境自动监测信息综 </w:t>
            </w:r>
            <w:r>
              <w:rPr>
                <w:rFonts w:ascii="宋体" w:hAnsi="宋体" w:cs="宋体" w:eastAsia="宋体" w:hint="default"/>
                <w:spacing w:val="-5"/>
                <w:sz w:val="18"/>
                <w:szCs w:val="18"/>
              </w:rPr>
              <w:t>合管理、预报预警及决策</w:t>
            </w:r>
            <w:r>
              <w:rPr>
                <w:rFonts w:ascii="宋体" w:hAnsi="宋体" w:cs="宋体" w:eastAsia="宋体" w:hint="default"/>
                <w:sz w:val="18"/>
                <w:szCs w:val="18"/>
              </w:rPr>
              <w:t> 支持系统管理软件</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3"/>
              <w:jc w:val="center"/>
              <w:rPr>
                <w:rFonts w:ascii="宋体" w:hAnsi="宋体" w:cs="宋体" w:eastAsia="宋体" w:hint="default"/>
                <w:sz w:val="18"/>
                <w:szCs w:val="18"/>
              </w:rPr>
            </w:pPr>
            <w:r>
              <w:rPr>
                <w:rFonts w:ascii="宋体" w:hAnsi="宋体" w:cs="宋体" w:eastAsia="宋体" w:hint="default"/>
                <w:sz w:val="18"/>
                <w:szCs w:val="18"/>
              </w:rPr>
              <w:t>为水质污染监测提供 一套综合管理软件平 台</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41"/>
              <w:jc w:val="right"/>
              <w:rPr>
                <w:rFonts w:ascii="宋体" w:hAnsi="宋体" w:cs="宋体" w:eastAsia="宋体" w:hint="default"/>
                <w:sz w:val="18"/>
                <w:szCs w:val="18"/>
              </w:rPr>
            </w:pPr>
            <w:r>
              <w:rPr>
                <w:rFonts w:ascii="宋体" w:hAnsi="宋体" w:cs="宋体" w:eastAsia="宋体" w:hint="default"/>
                <w:sz w:val="18"/>
                <w:szCs w:val="18"/>
              </w:rPr>
              <w:t>研制阶段</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0" w:hanging="3"/>
              <w:jc w:val="center"/>
              <w:rPr>
                <w:rFonts w:ascii="宋体" w:hAnsi="宋体" w:cs="宋体" w:eastAsia="宋体" w:hint="default"/>
                <w:sz w:val="18"/>
                <w:szCs w:val="18"/>
              </w:rPr>
            </w:pPr>
            <w:r>
              <w:rPr>
                <w:rFonts w:ascii="宋体" w:hAnsi="宋体" w:cs="宋体" w:eastAsia="宋体" w:hint="default"/>
                <w:sz w:val="18"/>
                <w:szCs w:val="18"/>
              </w:rPr>
              <w:t>研制一套水质综合污 </w:t>
            </w:r>
            <w:r>
              <w:rPr>
                <w:rFonts w:ascii="宋体" w:hAnsi="宋体" w:cs="宋体" w:eastAsia="宋体" w:hint="default"/>
                <w:spacing w:val="-6"/>
                <w:sz w:val="18"/>
                <w:szCs w:val="18"/>
              </w:rPr>
              <w:t>染的管理平台软件，包</w:t>
            </w:r>
            <w:r>
              <w:rPr>
                <w:rFonts w:ascii="宋体" w:hAnsi="宋体" w:cs="宋体" w:eastAsia="宋体" w:hint="default"/>
                <w:sz w:val="18"/>
                <w:szCs w:val="18"/>
              </w:rPr>
              <w:t> </w:t>
            </w:r>
            <w:r>
              <w:rPr>
                <w:rFonts w:ascii="宋体" w:hAnsi="宋体" w:cs="宋体" w:eastAsia="宋体" w:hint="default"/>
                <w:spacing w:val="-6"/>
                <w:sz w:val="18"/>
                <w:szCs w:val="18"/>
              </w:rPr>
              <w:t>括污染扩散模型、预警</w:t>
            </w:r>
            <w:r>
              <w:rPr>
                <w:rFonts w:ascii="宋体" w:hAnsi="宋体" w:cs="宋体" w:eastAsia="宋体" w:hint="default"/>
                <w:sz w:val="18"/>
                <w:szCs w:val="18"/>
              </w:rPr>
              <w:t> 预报和决策支持等功 </w:t>
            </w:r>
            <w:r>
              <w:rPr>
                <w:rFonts w:ascii="宋体" w:hAnsi="宋体" w:cs="宋体" w:eastAsia="宋体" w:hint="default"/>
                <w:spacing w:val="-6"/>
                <w:sz w:val="18"/>
                <w:szCs w:val="18"/>
              </w:rPr>
              <w:t>能。业务范围包括地下</w:t>
            </w:r>
            <w:r>
              <w:rPr>
                <w:rFonts w:ascii="宋体" w:hAnsi="宋体" w:cs="宋体" w:eastAsia="宋体" w:hint="default"/>
                <w:sz w:val="18"/>
                <w:szCs w:val="18"/>
              </w:rPr>
              <w:t> </w:t>
            </w:r>
            <w:r>
              <w:rPr>
                <w:rFonts w:ascii="宋体" w:hAnsi="宋体" w:cs="宋体" w:eastAsia="宋体" w:hint="default"/>
                <w:spacing w:val="-6"/>
                <w:sz w:val="18"/>
                <w:szCs w:val="18"/>
              </w:rPr>
              <w:t>水、饮用水、地表水等</w:t>
            </w:r>
            <w:r>
              <w:rPr>
                <w:rFonts w:ascii="宋体" w:hAnsi="宋体" w:cs="宋体" w:eastAsia="宋体" w:hint="default"/>
                <w:sz w:val="18"/>
                <w:szCs w:val="18"/>
              </w:rPr>
              <w:t> 监测管理。</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自立</w:t>
            </w:r>
          </w:p>
        </w:tc>
      </w:tr>
      <w:tr>
        <w:trPr>
          <w:trHeight w:val="4090"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19</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29" w:right="65" w:hanging="360"/>
              <w:jc w:val="left"/>
              <w:rPr>
                <w:rFonts w:ascii="宋体" w:hAnsi="宋体" w:cs="宋体" w:eastAsia="宋体" w:hint="default"/>
                <w:sz w:val="18"/>
                <w:szCs w:val="18"/>
              </w:rPr>
            </w:pPr>
            <w:r>
              <w:rPr>
                <w:rFonts w:ascii="宋体" w:hAnsi="宋体" w:cs="宋体" w:eastAsia="宋体" w:hint="default"/>
                <w:sz w:val="18"/>
                <w:szCs w:val="18"/>
              </w:rPr>
              <w:t>省环境监测仪器工程实 验室建设项目</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3"/>
              <w:jc w:val="center"/>
              <w:rPr>
                <w:rFonts w:ascii="宋体" w:hAnsi="宋体" w:cs="宋体" w:eastAsia="宋体" w:hint="default"/>
                <w:sz w:val="18"/>
                <w:szCs w:val="18"/>
              </w:rPr>
            </w:pPr>
            <w:r>
              <w:rPr>
                <w:rFonts w:ascii="宋体" w:hAnsi="宋体" w:cs="宋体" w:eastAsia="宋体" w:hint="default"/>
                <w:sz w:val="18"/>
                <w:szCs w:val="18"/>
              </w:rPr>
              <w:t>建设以水环境、大气 环境为主的环境监测 技术与仪器研发实验 平台，提高我国环境 污染监测装备的技术 水平和监测能力</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41"/>
              <w:jc w:val="right"/>
              <w:rPr>
                <w:rFonts w:ascii="宋体" w:hAnsi="宋体" w:cs="宋体" w:eastAsia="宋体" w:hint="default"/>
                <w:sz w:val="18"/>
                <w:szCs w:val="18"/>
              </w:rPr>
            </w:pPr>
            <w:r>
              <w:rPr>
                <w:rFonts w:ascii="宋体" w:hAnsi="宋体" w:cs="宋体" w:eastAsia="宋体" w:hint="default"/>
                <w:sz w:val="18"/>
                <w:szCs w:val="18"/>
              </w:rPr>
              <w:t>完成建设</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51" w:firstLine="259"/>
              <w:jc w:val="left"/>
              <w:rPr>
                <w:rFonts w:ascii="宋体" w:hAnsi="宋体" w:cs="宋体" w:eastAsia="宋体" w:hint="default"/>
                <w:sz w:val="18"/>
                <w:szCs w:val="18"/>
              </w:rPr>
            </w:pPr>
            <w:r>
              <w:rPr>
                <w:rFonts w:ascii="宋体" w:hAnsi="宋体" w:cs="宋体" w:eastAsia="宋体" w:hint="default"/>
                <w:sz w:val="18"/>
                <w:szCs w:val="18"/>
              </w:rPr>
              <w:t>打造国际一流的环 境监测仪器研发试验 </w:t>
            </w:r>
            <w:r>
              <w:rPr>
                <w:rFonts w:ascii="宋体" w:hAnsi="宋体" w:cs="宋体" w:eastAsia="宋体" w:hint="default"/>
                <w:spacing w:val="-6"/>
                <w:sz w:val="18"/>
                <w:szCs w:val="18"/>
              </w:rPr>
              <w:t>平台。重点进行研发平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台建设和试验平台建 设。购置必要仪器设 </w:t>
            </w:r>
            <w:r>
              <w:rPr>
                <w:rFonts w:ascii="宋体" w:hAnsi="宋体" w:cs="宋体" w:eastAsia="宋体" w:hint="default"/>
                <w:spacing w:val="-6"/>
                <w:sz w:val="18"/>
                <w:szCs w:val="18"/>
              </w:rPr>
              <w:t>备，加强新技术、新产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品的原理试验、关键部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件试验、中间试验和小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批量试制的体系建设 </w:t>
            </w:r>
            <w:r>
              <w:rPr>
                <w:rFonts w:ascii="宋体" w:hAnsi="宋体" w:cs="宋体" w:eastAsia="宋体" w:hint="default"/>
                <w:spacing w:val="-6"/>
                <w:sz w:val="18"/>
                <w:szCs w:val="18"/>
              </w:rPr>
              <w:t>和能力建设。提高工艺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设计试验、电气试验、 光学试验、化学试验、</w:t>
            </w:r>
          </w:p>
          <w:p>
            <w:pPr>
              <w:pStyle w:val="TableParagraph"/>
              <w:spacing w:line="240" w:lineRule="auto" w:before="19"/>
              <w:ind w:left="156" w:right="0"/>
              <w:jc w:val="left"/>
              <w:rPr>
                <w:rFonts w:ascii="宋体" w:hAnsi="宋体" w:cs="宋体" w:eastAsia="宋体" w:hint="default"/>
                <w:sz w:val="18"/>
                <w:szCs w:val="18"/>
              </w:rPr>
            </w:pPr>
            <w:r>
              <w:rPr>
                <w:rFonts w:ascii="宋体" w:hAnsi="宋体" w:cs="宋体" w:eastAsia="宋体" w:hint="default"/>
                <w:sz w:val="18"/>
                <w:szCs w:val="18"/>
              </w:rPr>
              <w:t>环境试验的能力。</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河北省发改委</w:t>
            </w:r>
          </w:p>
        </w:tc>
      </w:tr>
      <w:tr>
        <w:trPr>
          <w:trHeight w:val="1597"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20</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878" w:right="65" w:hanging="809"/>
              <w:jc w:val="left"/>
              <w:rPr>
                <w:rFonts w:ascii="宋体" w:hAnsi="宋体" w:cs="宋体" w:eastAsia="宋体" w:hint="default"/>
                <w:sz w:val="18"/>
                <w:szCs w:val="18"/>
              </w:rPr>
            </w:pPr>
            <w:r>
              <w:rPr>
                <w:rFonts w:ascii="宋体" w:hAnsi="宋体" w:cs="宋体" w:eastAsia="宋体" w:hint="default"/>
                <w:sz w:val="18"/>
                <w:szCs w:val="18"/>
              </w:rPr>
              <w:t>饮用水预警系统外观项 目</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center"/>
              <w:rPr>
                <w:rFonts w:ascii="宋体" w:hAnsi="宋体" w:cs="宋体" w:eastAsia="宋体" w:hint="default"/>
                <w:sz w:val="18"/>
                <w:szCs w:val="18"/>
              </w:rPr>
            </w:pPr>
            <w:r>
              <w:rPr>
                <w:rFonts w:ascii="宋体" w:hAnsi="宋体" w:cs="宋体" w:eastAsia="宋体" w:hint="default"/>
                <w:sz w:val="18"/>
                <w:szCs w:val="18"/>
              </w:rPr>
              <w:t>为饮用水产品设计一 套全新的高品质的外 观</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41"/>
              <w:jc w:val="right"/>
              <w:rPr>
                <w:rFonts w:ascii="宋体" w:hAnsi="宋体" w:cs="宋体" w:eastAsia="宋体" w:hint="default"/>
                <w:sz w:val="18"/>
                <w:szCs w:val="18"/>
              </w:rPr>
            </w:pPr>
            <w:r>
              <w:rPr>
                <w:rFonts w:ascii="宋体" w:hAnsi="宋体" w:cs="宋体" w:eastAsia="宋体" w:hint="default"/>
                <w:sz w:val="18"/>
                <w:szCs w:val="18"/>
              </w:rPr>
              <w:t>研制阶段</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hanging="3"/>
              <w:jc w:val="center"/>
              <w:rPr>
                <w:rFonts w:ascii="宋体" w:hAnsi="宋体" w:cs="宋体" w:eastAsia="宋体" w:hint="default"/>
                <w:sz w:val="18"/>
                <w:szCs w:val="18"/>
              </w:rPr>
            </w:pPr>
            <w:r>
              <w:rPr>
                <w:rFonts w:ascii="宋体" w:hAnsi="宋体" w:cs="宋体" w:eastAsia="宋体" w:hint="default"/>
                <w:sz w:val="18"/>
                <w:szCs w:val="18"/>
              </w:rPr>
              <w:t>委托专业设计公司进 行饮用水系列产品全 新外观和仪器结构的 </w:t>
            </w:r>
            <w:r>
              <w:rPr>
                <w:rFonts w:ascii="宋体" w:hAnsi="宋体" w:cs="宋体" w:eastAsia="宋体" w:hint="default"/>
                <w:spacing w:val="-6"/>
                <w:sz w:val="18"/>
                <w:szCs w:val="18"/>
              </w:rPr>
              <w:t>设计，提升产品的制造</w:t>
            </w:r>
            <w:r>
              <w:rPr>
                <w:rFonts w:ascii="宋体" w:hAnsi="宋体" w:cs="宋体" w:eastAsia="宋体" w:hint="default"/>
                <w:sz w:val="18"/>
                <w:szCs w:val="18"/>
              </w:rPr>
              <w:t> 和工艺水平。</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自立项目</w:t>
            </w:r>
          </w:p>
        </w:tc>
      </w:tr>
      <w:tr>
        <w:trPr>
          <w:trHeight w:val="2532" w:hRule="exact"/>
        </w:trPr>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21</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58" w:right="65" w:hanging="89"/>
              <w:jc w:val="left"/>
              <w:rPr>
                <w:rFonts w:ascii="宋体" w:hAnsi="宋体" w:cs="宋体" w:eastAsia="宋体" w:hint="default"/>
                <w:sz w:val="18"/>
                <w:szCs w:val="18"/>
              </w:rPr>
            </w:pPr>
            <w:r>
              <w:rPr>
                <w:rFonts w:ascii="宋体" w:hAnsi="宋体" w:cs="宋体" w:eastAsia="宋体" w:hint="default"/>
                <w:sz w:val="18"/>
                <w:szCs w:val="18"/>
              </w:rPr>
              <w:t>浮标系统与饮用水系统 定型示范及推广项目</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地表水水质环境监测</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41"/>
              <w:jc w:val="right"/>
              <w:rPr>
                <w:rFonts w:ascii="宋体" w:hAnsi="宋体" w:cs="宋体" w:eastAsia="宋体" w:hint="default"/>
                <w:sz w:val="18"/>
                <w:szCs w:val="18"/>
              </w:rPr>
            </w:pPr>
            <w:r>
              <w:rPr>
                <w:rFonts w:ascii="宋体" w:hAnsi="宋体" w:cs="宋体" w:eastAsia="宋体" w:hint="default"/>
                <w:sz w:val="18"/>
                <w:szCs w:val="18"/>
              </w:rPr>
              <w:t>批量生产</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51" w:hanging="56"/>
              <w:jc w:val="center"/>
              <w:rPr>
                <w:rFonts w:ascii="宋体" w:hAnsi="宋体" w:cs="宋体" w:eastAsia="宋体" w:hint="default"/>
                <w:sz w:val="18"/>
                <w:szCs w:val="18"/>
              </w:rPr>
            </w:pPr>
            <w:r>
              <w:rPr>
                <w:rFonts w:ascii="宋体" w:hAnsi="宋体" w:cs="宋体" w:eastAsia="宋体" w:hint="default"/>
                <w:sz w:val="18"/>
                <w:szCs w:val="18"/>
              </w:rPr>
              <w:t>研制出适合大面积江 河湖泊等水体中有机 物、硝酸盐、叶绿素、 水中油、化学需氧量、 </w:t>
            </w:r>
            <w:r>
              <w:rPr>
                <w:rFonts w:ascii="宋体" w:hAnsi="宋体" w:cs="宋体" w:eastAsia="宋体" w:hint="default"/>
                <w:spacing w:val="-6"/>
                <w:sz w:val="18"/>
                <w:szCs w:val="18"/>
              </w:rPr>
              <w:t>溶解氧、生化需氧量等</w:t>
            </w:r>
            <w:r>
              <w:rPr>
                <w:rFonts w:ascii="宋体" w:hAnsi="宋体" w:cs="宋体" w:eastAsia="宋体" w:hint="default"/>
                <w:sz w:val="18"/>
                <w:szCs w:val="18"/>
              </w:rPr>
              <w:t> 污染参数的布点监测 和长距离巡航实时监 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自立项目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after="0"/>
        <w:jc w:val="left"/>
        <w:rPr>
          <w:rFonts w:ascii="宋体" w:hAnsi="宋体" w:cs="宋体" w:eastAsia="宋体" w:hint="default"/>
          <w:sz w:val="18"/>
          <w:szCs w:val="18"/>
        </w:rPr>
        <w:sectPr>
          <w:footerReference w:type="default" r:id="rId14"/>
          <w:pgSz w:w="11910" w:h="16840"/>
          <w:pgMar w:footer="980" w:header="745" w:top="1060" w:bottom="1160" w:left="980" w:right="980"/>
          <w:pgNumType w:start="14"/>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1037"/>
        <w:gridCol w:w="1366"/>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414" w:right="0"/>
              <w:jc w:val="left"/>
              <w:rPr>
                <w:rFonts w:ascii="Times New Roman" w:hAnsi="Times New Roman" w:cs="Times New Roman" w:eastAsia="Times New Roman" w:hint="default"/>
                <w:sz w:val="18"/>
                <w:szCs w:val="18"/>
              </w:rPr>
            </w:pPr>
            <w:r>
              <w:rPr>
                <w:rFonts w:ascii="Times New Roman"/>
                <w:sz w:val="18"/>
              </w:rPr>
              <w:t>8,626,487.30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6,514,658.96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6,950,025.00</w:t>
            </w:r>
          </w:p>
        </w:tc>
      </w:tr>
      <w:tr>
        <w:trPr>
          <w:trHeight w:val="403" w:hRule="exact"/>
        </w:trPr>
        <w:tc>
          <w:tcPr>
            <w:tcW w:w="236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1037" w:type="dxa"/>
            <w:tcBorders>
              <w:top w:val="single" w:sz="4" w:space="0" w:color="000000"/>
              <w:left w:val="single" w:sz="23" w:space="0" w:color="FFFFFF"/>
              <w:bottom w:val="single" w:sz="4" w:space="0" w:color="000000"/>
              <w:right w:val="nil" w:sz="6" w:space="0" w:color="auto"/>
            </w:tcBorders>
          </w:tcPr>
          <w:p>
            <w:pPr/>
          </w:p>
        </w:tc>
        <w:tc>
          <w:tcPr>
            <w:tcW w:w="1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pict>
          <v:shape style="position:absolute;margin-left:170.300003pt;margin-top:-32.736343pt;width:124.25pt;height:19.6pt;mso-position-horizontal-relative:page;mso-position-vertical-relative:paragraph;z-index:-66721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77.740005pt;margin-top:-32.736343pt;width:116.8pt;height:19.6pt;mso-position-horizontal-relative:page;mso-position-vertical-relative:paragraph;z-index:-667168" coordorigin="3555,-655" coordsize="2336,392">
            <v:shape style="position:absolute;left:3555;top:-655;width:2336;height:392" coordorigin="3555,-655" coordsize="2336,392" path="m3555,-264l5890,-264,5890,-655,3555,-655,3555,-264xe" filled="true" fillcolor="#ffffff" stroked="false">
              <v:path arrowok="t"/>
              <v:fill type="solid"/>
            </v:shape>
            <w10:wrap type="none"/>
          </v:group>
        </w:pict>
      </w:r>
      <w:r>
        <w:rPr/>
        <w:t>（</w:t>
      </w: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276,970,336.80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120,694,310.36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129.48%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289,283,909.81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159,798,952.16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81.03%</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-12,313,573.01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-39,104,641.80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68.51%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68,137,604.69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65,034,531.92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-68,137,604.69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-65,034,531.92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53,707,860.77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281.99%</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-13,707,860.77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-94,159,038.47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-118,199,173.72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20.34%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00" w:lineRule="auto" w:before="103"/>
        <w:ind w:left="152" w:right="1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）经营活动现金流入、经营活动现金流出、经营活动产生的现金流量净额较上期同比大幅增加，主要系公司主营业务有 较大幅度增长以及货款回收增加所致。</w:t>
      </w:r>
    </w:p>
    <w:p>
      <w:pPr>
        <w:spacing w:line="340" w:lineRule="auto" w:before="31"/>
        <w:ind w:left="152" w:right="38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）筹资活动现金流入增加</w:t>
      </w:r>
      <w:r>
        <w:rPr>
          <w:rFonts w:ascii="Times New Roman" w:hAnsi="Times New Roman" w:cs="Times New Roman" w:eastAsia="Times New Roman" w:hint="default"/>
          <w:sz w:val="18"/>
          <w:szCs w:val="18"/>
        </w:rPr>
        <w:t>4000</w:t>
      </w:r>
      <w:r>
        <w:rPr>
          <w:rFonts w:ascii="宋体" w:hAnsi="宋体" w:cs="宋体" w:eastAsia="宋体" w:hint="default"/>
          <w:sz w:val="18"/>
          <w:szCs w:val="18"/>
        </w:rPr>
        <w:t>万元，主要系银行借款增加所致。 报告期内公司经营活动的现金流量与本年度净利润存在重大差异的原因说明</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57,426,731.62</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27.35%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40" w:lineRule="auto" w:before="101"/>
        <w:ind w:left="152" w:right="8154" w:firstLine="0"/>
        <w:jc w:val="left"/>
        <w:rPr>
          <w:rFonts w:ascii="宋体" w:hAnsi="宋体" w:cs="宋体" w:eastAsia="宋体" w:hint="default"/>
          <w:sz w:val="18"/>
          <w:szCs w:val="18"/>
        </w:rPr>
      </w:pPr>
      <w:r>
        <w:rPr/>
        <w:pict>
          <v:shape style="position:absolute;margin-left:263.570007pt;margin-top:60.437717pt;width:270.2pt;height:19.6pt;mso-position-horizontal-relative:page;mso-position-vertical-relative:paragraph;z-index:-66719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71.010010pt;margin-top:60.437717pt;width:262.75pt;height:19.6pt;mso-position-horizontal-relative:page;mso-position-vertical-relative:paragraph;z-index:-667144" coordorigin="5420,1209" coordsize="5255,392">
            <v:shape style="position:absolute;left:5420;top:1209;width:5255;height:392" coordorigin="5420,1209" coordsize="5255,392" path="m5420,1600l10675,1600,10675,1209,5420,1209,5420,1600xe" filled="true" fillcolor="#ffffff" stroked="false">
              <v:path arrowok="t"/>
              <v:fill type="solid"/>
            </v:shape>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48,029,226.99</w:t>
            </w:r>
          </w:p>
        </w:tc>
      </w:tr>
      <w:tr>
        <w:trPr>
          <w:trHeight w:val="403"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sz w:val="18"/>
          <w:szCs w:val="18"/>
        </w:rPr>
        <w:t>向单一供应商采购比例超过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before="104"/>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首次公开发行招股说明书中披露的未来发展与规划在本报告期的实施情况</w:t>
      </w:r>
    </w:p>
    <w:p>
      <w:pPr>
        <w:spacing w:line="340" w:lineRule="auto" w:before="117"/>
        <w:ind w:left="152" w:right="4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公司回顾总结前期披露的发展战略和经营计划在报告期内的进展情况</w:t>
      </w:r>
    </w:p>
    <w:p>
      <w:pPr>
        <w:spacing w:line="312" w:lineRule="auto" w:before="39"/>
        <w:ind w:left="152" w:right="153" w:firstLine="0"/>
        <w:jc w:val="both"/>
        <w:rPr>
          <w:rFonts w:ascii="宋体" w:hAnsi="宋体" w:cs="宋体" w:eastAsia="宋体" w:hint="default"/>
          <w:sz w:val="18"/>
          <w:szCs w:val="18"/>
        </w:rPr>
      </w:pPr>
      <w:r>
        <w:rPr>
          <w:rFonts w:ascii="宋体" w:hAnsi="宋体" w:cs="宋体" w:eastAsia="宋体" w:hint="default"/>
          <w:spacing w:val="-2"/>
          <w:sz w:val="18"/>
          <w:szCs w:val="18"/>
        </w:rPr>
        <w:t>报告期内，公司根据拟定的发展战略和经营计划，抢抓政策和市场机遇，及时调整销售策略，加大营销投入，引进国际战略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合作，加快运营业务的拓展，强化人才队伍建设，实现了业绩的稳步增长，提高了公司盈利能力。报告期内，公司依法规范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运作，健全法人治理结构，公司募集资金投资项目按计划推进（具体实施进度详见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本节五、投资状况分析</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），各方面实施</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情况与前期披露的发展战略和经营计划一致。</w:t>
      </w:r>
    </w:p>
    <w:p>
      <w:pPr>
        <w:spacing w:line="240" w:lineRule="auto" w:before="0"/>
        <w:rPr>
          <w:rFonts w:ascii="宋体" w:hAnsi="宋体" w:cs="宋体" w:eastAsia="宋体" w:hint="default"/>
          <w:sz w:val="18"/>
          <w:szCs w:val="18"/>
        </w:rPr>
      </w:pPr>
    </w:p>
    <w:p>
      <w:pPr>
        <w:spacing w:before="140"/>
        <w:ind w:left="152" w:right="0" w:firstLine="0"/>
        <w:jc w:val="both"/>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环境监测行业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209,951,797.77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104,214,691.10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污水在线自动监 测系统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4,367,895.74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2,271,303.89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空气质量连续自 动监测系统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127,873,431.77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67,897,638.92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水质连续自动监 测系统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11,115,865.81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6,154,944.43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烟气在线自动监 测系统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3,795,235.04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2,026,533.21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12,836,588.55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4,488,514.09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49,962,780.86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21,375,756.56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136,873,455.39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67,394,473.97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19,047,356.64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10,588,909.15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3,186,504.91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1,446,872.14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3,468,624.76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2,026,937.85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47,375,856.07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22,757,497.99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51.96%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100.88%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5" w:right="0"/>
              <w:jc w:val="left"/>
              <w:rPr>
                <w:rFonts w:ascii="Times New Roman" w:hAnsi="Times New Roman" w:cs="Times New Roman" w:eastAsia="Times New Roman" w:hint="default"/>
                <w:sz w:val="18"/>
                <w:szCs w:val="18"/>
              </w:rPr>
            </w:pPr>
            <w:r>
              <w:rPr>
                <w:rFonts w:ascii="Times New Roman"/>
                <w:sz w:val="18"/>
              </w:rPr>
              <w:t>114.08%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3" w:right="0"/>
              <w:jc w:val="left"/>
              <w:rPr>
                <w:rFonts w:ascii="Times New Roman" w:hAnsi="Times New Roman" w:cs="Times New Roman" w:eastAsia="Times New Roman" w:hint="default"/>
                <w:sz w:val="18"/>
                <w:szCs w:val="18"/>
              </w:rPr>
            </w:pPr>
            <w:r>
              <w:rPr>
                <w:rFonts w:ascii="Times New Roman"/>
                <w:sz w:val="18"/>
              </w:rPr>
              <w:t>-2.96%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0"/>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0"/>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472,586,244.6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47.42%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563,981,846.75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61.16%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-13.74%</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167,426,061.7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16.8%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166,264,090.42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18.03%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-1.23%</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76,296,955.65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41,025,925.31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153,271,715.4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15.38%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39,786,215.97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4.31%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11.07%</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3,418,893.00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59,963,176.27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5"/>
        <w:rPr>
          <w:rFonts w:ascii="宋体" w:hAnsi="宋体" w:cs="宋体" w:eastAsia="宋体" w:hint="default"/>
          <w:b/>
          <w:bCs/>
          <w:sz w:val="29"/>
          <w:szCs w:val="29"/>
        </w:rPr>
      </w:pPr>
    </w:p>
    <w:p>
      <w:pPr>
        <w:spacing w:line="372" w:lineRule="auto" w:before="0"/>
        <w:ind w:left="152" w:right="151" w:firstLine="420"/>
        <w:jc w:val="both"/>
        <w:rPr>
          <w:rFonts w:ascii="宋体" w:hAnsi="宋体" w:cs="宋体" w:eastAsia="宋体" w:hint="default"/>
          <w:sz w:val="23"/>
          <w:szCs w:val="23"/>
        </w:rPr>
      </w:pPr>
      <w:r>
        <w:rPr>
          <w:rFonts w:ascii="宋体" w:hAnsi="宋体" w:cs="宋体" w:eastAsia="宋体" w:hint="default"/>
          <w:spacing w:val="-2"/>
          <w:sz w:val="21"/>
          <w:szCs w:val="21"/>
        </w:rPr>
        <w:t>报告期内，公司持续加强技术与研发方面的优势，</w:t>
      </w:r>
      <w:r>
        <w:rPr>
          <w:rFonts w:ascii="宋体" w:hAnsi="宋体" w:cs="宋体" w:eastAsia="宋体" w:hint="default"/>
          <w:spacing w:val="-2"/>
          <w:sz w:val="23"/>
          <w:szCs w:val="23"/>
        </w:rPr>
        <w:t>核心技术人员保持稳定，公司核心竞争力得到</w:t>
      </w:r>
      <w:r>
        <w:rPr>
          <w:rFonts w:ascii="宋体" w:hAnsi="宋体" w:cs="宋体" w:eastAsia="宋体" w:hint="default"/>
          <w:w w:val="100"/>
          <w:sz w:val="23"/>
          <w:szCs w:val="23"/>
        </w:rPr>
        <w:t> </w:t>
      </w:r>
      <w:r>
        <w:rPr>
          <w:rFonts w:ascii="宋体" w:hAnsi="宋体" w:cs="宋体" w:eastAsia="宋体" w:hint="default"/>
          <w:sz w:val="23"/>
          <w:szCs w:val="23"/>
        </w:rPr>
        <w:t>了进一步提升。</w:t>
      </w:r>
    </w:p>
    <w:p>
      <w:pPr>
        <w:pStyle w:val="BodyText"/>
        <w:spacing w:line="386" w:lineRule="auto" w:before="56"/>
        <w:ind w:left="573" w:right="0"/>
        <w:jc w:val="left"/>
      </w:pPr>
      <w:r>
        <w:rPr>
          <w:rFonts w:ascii="Times New Roman" w:hAnsi="Times New Roman" w:cs="Times New Roman" w:eastAsia="Times New Roman" w:hint="default"/>
        </w:rPr>
        <w:t>1</w:t>
      </w:r>
      <w:r>
        <w:rPr/>
        <w:t>、技术优势</w:t>
      </w:r>
      <w:r>
        <w:rPr>
          <w:w w:val="100"/>
        </w:rPr>
        <w:t> </w:t>
      </w:r>
      <w:r>
        <w:rPr>
          <w:spacing w:val="-2"/>
        </w:rPr>
        <w:t>公司技术创新多数属于集成创新，如城市空气质量连续自动监测系统、水质在线连续自动监测系统、</w:t>
      </w:r>
    </w:p>
    <w:p>
      <w:pPr>
        <w:pStyle w:val="BodyText"/>
        <w:spacing w:line="403" w:lineRule="auto" w:before="65"/>
        <w:ind w:right="146"/>
        <w:jc w:val="both"/>
      </w:pPr>
      <w:r>
        <w:rPr>
          <w:spacing w:val="-2"/>
        </w:rPr>
        <w:t>烟气排放连续自动监测系统、污水在线自动监测系统、降雨在线监测系统等，其中城市空气质量连续自动</w:t>
      </w:r>
      <w:r>
        <w:rPr>
          <w:spacing w:val="-43"/>
        </w:rPr>
        <w:t> </w:t>
      </w:r>
      <w:r>
        <w:rPr>
          <w:spacing w:val="-43"/>
        </w:rPr>
      </w:r>
      <w:r>
        <w:rPr>
          <w:spacing w:val="-2"/>
        </w:rPr>
        <w:t>监测系统、水质在线连续自动监测系统和酸雨在线自动监测系统三大系统为国内第一套拥有自主知识产权</w:t>
      </w:r>
      <w:r>
        <w:rPr>
          <w:spacing w:val="-43"/>
        </w:rPr>
        <w:t> </w:t>
      </w:r>
      <w:r>
        <w:rPr>
          <w:spacing w:val="-43"/>
        </w:rPr>
      </w:r>
      <w:r>
        <w:rPr>
          <w:spacing w:val="-1"/>
        </w:rPr>
        <w:t>的自主创新产品，填补了国内空白。先河自主研发的</w:t>
      </w:r>
      <w:r>
        <w:rPr>
          <w:rFonts w:ascii="Times New Roman" w:hAnsi="Times New Roman" w:cs="Times New Roman" w:eastAsia="Times New Roman" w:hint="default"/>
          <w:spacing w:val="-1"/>
        </w:rPr>
        <w:t>PM2.5</w:t>
      </w:r>
      <w:r>
        <w:rPr>
          <w:spacing w:val="-1"/>
        </w:rPr>
        <w:t>监测仪以优异的性能通过环境总站组织的四个</w:t>
      </w:r>
      <w:r>
        <w:rPr>
          <w:spacing w:val="-15"/>
        </w:rPr>
        <w:t> </w:t>
      </w:r>
      <w:r>
        <w:rPr>
          <w:spacing w:val="-15"/>
        </w:rPr>
      </w:r>
      <w:r>
        <w:rPr>
          <w:spacing w:val="-2"/>
        </w:rPr>
        <w:t>阶段的比对测试，在济南、重庆、上海等试点运行稳定、数据准确，特别是在持续灰霾天气中，河北各点</w:t>
      </w:r>
      <w:r>
        <w:rPr>
          <w:spacing w:val="-42"/>
        </w:rPr>
        <w:t> </w:t>
      </w:r>
      <w:r>
        <w:rPr>
          <w:spacing w:val="-42"/>
        </w:rPr>
      </w:r>
      <w:r>
        <w:rPr/>
        <w:t>位的</w:t>
      </w:r>
      <w:r>
        <w:rPr>
          <w:rFonts w:ascii="Times New Roman" w:hAnsi="Times New Roman" w:cs="Times New Roman" w:eastAsia="Times New Roman" w:hint="default"/>
        </w:rPr>
        <w:t>PM2.5</w:t>
      </w:r>
      <w:r>
        <w:rPr/>
        <w:t>监测仪质量可靠，经受住了持续灰霾天气的考验。</w:t>
      </w:r>
    </w:p>
    <w:p>
      <w:pPr>
        <w:pStyle w:val="BodyText"/>
        <w:spacing w:line="386" w:lineRule="auto" w:before="19"/>
        <w:ind w:right="148" w:firstLine="420"/>
        <w:jc w:val="both"/>
      </w:pPr>
      <w:r>
        <w:rPr>
          <w:spacing w:val="-2"/>
        </w:rPr>
        <w:t>报告期内，公司拥有软件著作权</w:t>
      </w:r>
      <w:r>
        <w:rPr>
          <w:rFonts w:ascii="Times New Roman" w:hAnsi="Times New Roman" w:cs="Times New Roman" w:eastAsia="Times New Roman" w:hint="default"/>
          <w:spacing w:val="-2"/>
        </w:rPr>
        <w:t>10</w:t>
      </w:r>
      <w:r>
        <w:rPr>
          <w:spacing w:val="-2"/>
        </w:rPr>
        <w:t>项，专利</w:t>
      </w:r>
      <w:r>
        <w:rPr>
          <w:rFonts w:ascii="Times New Roman" w:hAnsi="Times New Roman" w:cs="Times New Roman" w:eastAsia="Times New Roman" w:hint="default"/>
          <w:spacing w:val="-2"/>
        </w:rPr>
        <w:t>38</w:t>
      </w:r>
      <w:r>
        <w:rPr>
          <w:spacing w:val="-2"/>
        </w:rPr>
        <w:t>项，其中新取得专利</w:t>
      </w:r>
      <w:r>
        <w:rPr>
          <w:rFonts w:ascii="Times New Roman" w:hAnsi="Times New Roman" w:cs="Times New Roman" w:eastAsia="Times New Roman" w:hint="default"/>
          <w:spacing w:val="-2"/>
        </w:rPr>
        <w:t>5</w:t>
      </w:r>
      <w:r>
        <w:rPr>
          <w:spacing w:val="-2"/>
        </w:rPr>
        <w:t>项。正在申请的专利</w:t>
      </w:r>
      <w:r>
        <w:rPr>
          <w:rFonts w:ascii="Times New Roman" w:hAnsi="Times New Roman" w:cs="Times New Roman" w:eastAsia="Times New Roman" w:hint="default"/>
          <w:spacing w:val="-2"/>
        </w:rPr>
        <w:t>10</w:t>
      </w:r>
      <w:r>
        <w:rPr>
          <w:spacing w:val="-2"/>
        </w:rPr>
        <w:t>项，其中</w:t>
      </w:r>
      <w:r>
        <w:rPr>
          <w:rFonts w:ascii="Times New Roman" w:hAnsi="Times New Roman" w:cs="Times New Roman" w:eastAsia="Times New Roman" w:hint="default"/>
          <w:spacing w:val="-2"/>
        </w:rPr>
        <w:t>9</w:t>
      </w:r>
      <w:r>
        <w:rPr>
          <w:rFonts w:ascii="Times New Roman" w:hAnsi="Times New Roman" w:cs="Times New Roman" w:eastAsia="Times New Roman" w:hint="default"/>
          <w:w w:val="100"/>
        </w:rPr>
        <w:t> </w:t>
      </w:r>
      <w:r>
        <w:rPr/>
        <w:t>项发明专利，</w:t>
      </w:r>
      <w:r>
        <w:rPr>
          <w:rFonts w:ascii="Times New Roman" w:hAnsi="Times New Roman" w:cs="Times New Roman" w:eastAsia="Times New Roman" w:hint="default"/>
        </w:rPr>
        <w:t>1</w:t>
      </w:r>
      <w:r>
        <w:rPr/>
        <w:t>项实用新型专利。公司拥有的非专利技术（即公司已鉴定的技术成果）有</w:t>
      </w:r>
      <w:r>
        <w:rPr>
          <w:rFonts w:ascii="Times New Roman" w:hAnsi="Times New Roman" w:cs="Times New Roman" w:eastAsia="Times New Roman" w:hint="default"/>
        </w:rPr>
        <w:t>19</w:t>
      </w:r>
      <w:r>
        <w:rPr/>
        <w:t>项，新增加非</w:t>
      </w:r>
      <w:r>
        <w:rPr>
          <w:spacing w:val="-21"/>
        </w:rPr>
        <w:t> </w:t>
      </w:r>
      <w:r>
        <w:rPr>
          <w:spacing w:val="-21"/>
        </w:rPr>
      </w:r>
      <w:r>
        <w:rPr>
          <w:spacing w:val="-1"/>
        </w:rPr>
        <w:t>专利技术</w:t>
      </w:r>
      <w:r>
        <w:rPr>
          <w:rFonts w:ascii="Times New Roman" w:hAnsi="Times New Roman" w:cs="Times New Roman" w:eastAsia="Times New Roman" w:hint="default"/>
          <w:spacing w:val="-1"/>
        </w:rPr>
        <w:t>1</w:t>
      </w:r>
      <w:r>
        <w:rPr>
          <w:spacing w:val="-1"/>
        </w:rPr>
        <w:t>项。报告期内，公司本年度成功中标国家项目</w:t>
      </w:r>
      <w:r>
        <w:rPr>
          <w:rFonts w:ascii="Times New Roman" w:hAnsi="Times New Roman" w:cs="Times New Roman" w:eastAsia="Times New Roman" w:hint="default"/>
          <w:spacing w:val="-1"/>
        </w:rPr>
        <w:t>3</w:t>
      </w:r>
      <w:r>
        <w:rPr>
          <w:spacing w:val="-1"/>
        </w:rPr>
        <w:t>项。</w:t>
      </w:r>
      <w:r>
        <w:rPr>
          <w:rFonts w:ascii="Times New Roman" w:hAnsi="Times New Roman" w:cs="Times New Roman" w:eastAsia="Times New Roman" w:hint="default"/>
          <w:spacing w:val="-1"/>
        </w:rPr>
        <w:t>PM2.5</w:t>
      </w:r>
      <w:r>
        <w:rPr>
          <w:spacing w:val="-1"/>
        </w:rPr>
        <w:t>事件发生后，国家科技部设立了国家</w:t>
      </w:r>
    </w:p>
    <w:p>
      <w:pPr>
        <w:spacing w:after="0" w:line="386"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393" w:lineRule="auto" w:before="175"/>
        <w:ind w:right="101"/>
        <w:jc w:val="left"/>
      </w:pPr>
      <w:r>
        <w:rPr>
          <w:spacing w:val="-3"/>
        </w:rPr>
        <w:t>重大科学仪器设备开发专项</w:t>
      </w:r>
      <w:r>
        <w:rPr>
          <w:rFonts w:ascii="Times New Roman" w:hAnsi="Times New Roman" w:cs="Times New Roman" w:eastAsia="Times New Roman" w:hint="default"/>
          <w:spacing w:val="-3"/>
        </w:rPr>
        <w:t>“</w:t>
      </w:r>
      <w:r>
        <w:rPr>
          <w:spacing w:val="-3"/>
        </w:rPr>
        <w:t>环境大气中细粒子（</w:t>
      </w:r>
      <w:r>
        <w:rPr>
          <w:rFonts w:ascii="Times New Roman" w:hAnsi="Times New Roman" w:cs="Times New Roman" w:eastAsia="Times New Roman" w:hint="default"/>
          <w:spacing w:val="-3"/>
        </w:rPr>
        <w:t>PM2.5</w:t>
      </w:r>
      <w:r>
        <w:rPr>
          <w:spacing w:val="-3"/>
        </w:rPr>
        <w:t>）监测设备开发与应用</w:t>
      </w:r>
      <w:r>
        <w:rPr>
          <w:rFonts w:ascii="Times New Roman" w:hAnsi="Times New Roman" w:cs="Times New Roman" w:eastAsia="Times New Roman" w:hint="default"/>
          <w:spacing w:val="-3"/>
        </w:rPr>
        <w:t>”</w:t>
      </w:r>
      <w:r>
        <w:rPr>
          <w:spacing w:val="-3"/>
        </w:rPr>
        <w:t>项目，组织国家权威部门、</w:t>
      </w:r>
      <w:r>
        <w:rPr>
          <w:spacing w:val="-8"/>
        </w:rPr>
        <w:t> </w:t>
      </w:r>
      <w:r>
        <w:rPr>
          <w:spacing w:val="-8"/>
        </w:rPr>
      </w:r>
      <w:r>
        <w:rPr/>
        <w:t>科研院所及行业内公司进行技术攻关，经科技部、环保部谨慎评估，决定由先河环保作为项目牵头单位，</w:t>
      </w:r>
      <w:r>
        <w:rPr>
          <w:w w:val="100"/>
        </w:rPr>
        <w:t> </w:t>
      </w:r>
      <w:r>
        <w:rPr/>
        <w:t>联合国家环境监测总站、清华大学、北京大学、及</w:t>
      </w:r>
      <w:r>
        <w:rPr>
          <w:rFonts w:ascii="Times New Roman" w:hAnsi="Times New Roman" w:cs="Times New Roman" w:eastAsia="Times New Roman" w:hint="default"/>
        </w:rPr>
        <w:t>10</w:t>
      </w:r>
      <w:r>
        <w:rPr/>
        <w:t>家省级监测站，进行</w:t>
      </w:r>
      <w:r>
        <w:rPr>
          <w:rFonts w:ascii="Times New Roman" w:hAnsi="Times New Roman" w:cs="Times New Roman" w:eastAsia="Times New Roman" w:hint="default"/>
        </w:rPr>
        <w:t>PM2.5</w:t>
      </w:r>
      <w:r>
        <w:rPr/>
        <w:t>产品创新研制、国家标准</w:t>
      </w:r>
      <w:r>
        <w:rPr>
          <w:spacing w:val="-63"/>
        </w:rPr>
        <w:t> </w:t>
      </w:r>
      <w:r>
        <w:rPr>
          <w:spacing w:val="-63"/>
        </w:rPr>
      </w:r>
      <w:r>
        <w:rPr/>
        <w:t>体系、质控体系的研究。</w:t>
      </w:r>
    </w:p>
    <w:p>
      <w:pPr>
        <w:pStyle w:val="BodyText"/>
        <w:spacing w:line="386" w:lineRule="auto" w:before="58"/>
        <w:ind w:left="489" w:right="101" w:firstLine="84"/>
        <w:jc w:val="left"/>
      </w:pPr>
      <w:r>
        <w:rPr>
          <w:rFonts w:ascii="Times New Roman" w:hAnsi="Times New Roman" w:cs="Times New Roman" w:eastAsia="Times New Roman" w:hint="default"/>
        </w:rPr>
        <w:t>2</w:t>
      </w:r>
      <w:r>
        <w:rPr/>
        <w:t>、优异的人才优势</w:t>
      </w:r>
      <w:r>
        <w:rPr>
          <w:w w:val="100"/>
        </w:rPr>
        <w:t> </w:t>
      </w:r>
      <w:r>
        <w:rPr>
          <w:spacing w:val="-3"/>
        </w:rPr>
        <w:t>公司拥有一批高素质研发和技术人员，其中河北省有突出贡献专家</w:t>
      </w:r>
      <w:r>
        <w:rPr>
          <w:rFonts w:ascii="Times New Roman" w:hAnsi="Times New Roman" w:cs="Times New Roman" w:eastAsia="Times New Roman" w:hint="default"/>
          <w:spacing w:val="-3"/>
        </w:rPr>
        <w:t>2</w:t>
      </w:r>
      <w:r>
        <w:rPr>
          <w:spacing w:val="-3"/>
        </w:rPr>
        <w:t>名，石家庄市有突出贡献专家</w:t>
      </w:r>
      <w:r>
        <w:rPr>
          <w:rFonts w:ascii="Times New Roman" w:hAnsi="Times New Roman" w:cs="Times New Roman" w:eastAsia="Times New Roman" w:hint="default"/>
          <w:spacing w:val="-3"/>
        </w:rPr>
        <w:t>2</w:t>
      </w:r>
      <w:r>
        <w:rPr>
          <w:spacing w:val="-3"/>
        </w:rPr>
        <w:t>名，</w:t>
      </w:r>
      <w:r>
        <w:rPr/>
      </w:r>
    </w:p>
    <w:p>
      <w:pPr>
        <w:pStyle w:val="BodyText"/>
        <w:spacing w:line="403" w:lineRule="auto" w:before="35"/>
        <w:ind w:right="206"/>
        <w:jc w:val="both"/>
      </w:pPr>
      <w:r>
        <w:rPr>
          <w:spacing w:val="-2"/>
        </w:rPr>
        <w:t>石家庄市管青年拔尖人才</w:t>
      </w:r>
      <w:r>
        <w:rPr>
          <w:rFonts w:ascii="Times New Roman" w:hAnsi="Times New Roman" w:cs="Times New Roman" w:eastAsia="Times New Roman" w:hint="default"/>
          <w:spacing w:val="-2"/>
        </w:rPr>
        <w:t>1</w:t>
      </w:r>
      <w:r>
        <w:rPr>
          <w:spacing w:val="-2"/>
        </w:rPr>
        <w:t>名，教授级高级工程师</w:t>
      </w:r>
      <w:r>
        <w:rPr>
          <w:rFonts w:ascii="Times New Roman" w:hAnsi="Times New Roman" w:cs="Times New Roman" w:eastAsia="Times New Roman" w:hint="default"/>
          <w:spacing w:val="-2"/>
        </w:rPr>
        <w:t>3</w:t>
      </w:r>
      <w:r>
        <w:rPr>
          <w:spacing w:val="-2"/>
        </w:rPr>
        <w:t>名，高级工程师</w:t>
      </w:r>
      <w:r>
        <w:rPr>
          <w:rFonts w:ascii="Times New Roman" w:hAnsi="Times New Roman" w:cs="Times New Roman" w:eastAsia="Times New Roman" w:hint="default"/>
          <w:spacing w:val="-2"/>
        </w:rPr>
        <w:t>10</w:t>
      </w:r>
      <w:r>
        <w:rPr>
          <w:spacing w:val="-2"/>
        </w:rPr>
        <w:t>名。同时，通过多年来对国家级、省</w:t>
      </w:r>
      <w:r>
        <w:rPr>
          <w:spacing w:val="-45"/>
        </w:rPr>
        <w:t> </w:t>
      </w:r>
      <w:r>
        <w:rPr>
          <w:spacing w:val="-45"/>
        </w:rPr>
      </w:r>
      <w:r>
        <w:rPr>
          <w:spacing w:val="-2"/>
        </w:rPr>
        <w:t>部级重大技术项目的承接研制，公司培养了一批高素质的研究人员，特别是拥有了一批学术带头人，包括</w:t>
      </w:r>
      <w:r>
        <w:rPr>
          <w:spacing w:val="-43"/>
        </w:rPr>
        <w:t> </w:t>
      </w:r>
      <w:r>
        <w:rPr>
          <w:spacing w:val="-43"/>
        </w:rPr>
      </w:r>
      <w:r>
        <w:rPr/>
        <w:t>李玉国、范朝、张香计等。</w:t>
      </w:r>
      <w:r>
        <w:rPr>
          <w:rFonts w:ascii="Times New Roman" w:hAnsi="Times New Roman" w:cs="Times New Roman" w:eastAsia="Times New Roman" w:hint="default"/>
        </w:rPr>
        <w:t>2012</w:t>
      </w:r>
      <w:r>
        <w:rPr/>
        <w:t>年公司成功入选</w:t>
      </w:r>
      <w:r>
        <w:rPr>
          <w:rFonts w:ascii="Times New Roman" w:hAnsi="Times New Roman" w:cs="Times New Roman" w:eastAsia="Times New Roman" w:hint="default"/>
        </w:rPr>
        <w:t>“</w:t>
      </w:r>
      <w:r>
        <w:rPr/>
        <w:t>河北省</w:t>
      </w:r>
      <w:r>
        <w:rPr>
          <w:rFonts w:ascii="Times New Roman" w:hAnsi="Times New Roman" w:cs="Times New Roman" w:eastAsia="Times New Roman" w:hint="default"/>
        </w:rPr>
        <w:t>„</w:t>
      </w:r>
      <w:r>
        <w:rPr/>
        <w:t>巨人计划</w:t>
      </w:r>
      <w:r>
        <w:rPr>
          <w:rFonts w:ascii="Times New Roman" w:hAnsi="Times New Roman" w:cs="Times New Roman" w:eastAsia="Times New Roman" w:hint="default"/>
        </w:rPr>
        <w:t>‟</w:t>
      </w:r>
      <w:r>
        <w:rPr/>
        <w:t>首批创新创业团队</w:t>
      </w:r>
      <w:r>
        <w:rPr>
          <w:rFonts w:ascii="Times New Roman" w:hAnsi="Times New Roman" w:cs="Times New Roman" w:eastAsia="Times New Roman" w:hint="default"/>
        </w:rPr>
        <w:t>”</w:t>
      </w:r>
      <w:r>
        <w:rPr/>
        <w:t>，在未来的创新能</w:t>
      </w:r>
      <w:r>
        <w:rPr>
          <w:spacing w:val="-82"/>
        </w:rPr>
        <w:t> </w:t>
      </w:r>
      <w:r>
        <w:rPr>
          <w:spacing w:val="-82"/>
        </w:rPr>
      </w:r>
      <w:r>
        <w:rPr>
          <w:spacing w:val="-2"/>
        </w:rPr>
        <w:t>力建设上获得省委省政府的全方位支持。报告期内，公司被博管委正式授予博士后创新实践基地，通过此</w:t>
      </w:r>
      <w:r>
        <w:rPr>
          <w:spacing w:val="-45"/>
        </w:rPr>
        <w:t> </w:t>
      </w:r>
      <w:r>
        <w:rPr>
          <w:spacing w:val="-45"/>
        </w:rPr>
      </w:r>
      <w:r>
        <w:rPr>
          <w:spacing w:val="-2"/>
        </w:rPr>
        <w:t>平台，与博士后流动站有针对性的联合培养博士后，在储备人才的同时，也进一步提升了公司的核心竞争</w:t>
      </w:r>
      <w:r>
        <w:rPr>
          <w:spacing w:val="-44"/>
        </w:rPr>
        <w:t> </w:t>
      </w:r>
      <w:r>
        <w:rPr>
          <w:spacing w:val="-44"/>
        </w:rPr>
      </w:r>
      <w:r>
        <w:rPr>
          <w:spacing w:val="-2"/>
        </w:rPr>
        <w:t>力。公司依托逐步完善的创新平台，重点加速了核心业务和关键岗位上人员结构的优化，积极引进高端技</w:t>
      </w:r>
      <w:r>
        <w:rPr>
          <w:spacing w:val="-43"/>
        </w:rPr>
        <w:t> </w:t>
      </w:r>
      <w:r>
        <w:rPr>
          <w:spacing w:val="-43"/>
        </w:rPr>
      </w:r>
      <w:r>
        <w:rPr>
          <w:spacing w:val="-2"/>
        </w:rPr>
        <w:t>术人才，提升研发能力。本年度研发人员储备的数量和质量均有所增加，全面提升了公司的研发、创新能</w:t>
      </w:r>
      <w:r>
        <w:rPr>
          <w:spacing w:val="-47"/>
        </w:rPr>
        <w:t> </w:t>
      </w:r>
      <w:r>
        <w:rPr>
          <w:spacing w:val="-47"/>
        </w:rPr>
      </w:r>
      <w:r>
        <w:rPr/>
        <w:t>力，为不断提升核心竞争力打下了坚实的基础。</w:t>
      </w:r>
    </w:p>
    <w:p>
      <w:pPr>
        <w:spacing w:line="240" w:lineRule="auto" w:before="12"/>
        <w:rPr>
          <w:rFonts w:ascii="宋体" w:hAnsi="宋体" w:cs="宋体" w:eastAsia="宋体" w:hint="default"/>
          <w:sz w:val="20"/>
          <w:szCs w:val="20"/>
        </w:rPr>
      </w:pPr>
    </w:p>
    <w:p>
      <w:pPr>
        <w:pStyle w:val="Heading3"/>
        <w:spacing w:line="240" w:lineRule="auto"/>
        <w:ind w:right="101"/>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2"/>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44"/>
        <w:ind w:left="0" w:right="218" w:firstLine="0"/>
        <w:jc w:val="right"/>
        <w:rPr>
          <w:rFonts w:ascii="宋体" w:hAnsi="宋体" w:cs="宋体" w:eastAsia="宋体" w:hint="default"/>
          <w:sz w:val="18"/>
          <w:szCs w:val="18"/>
        </w:rPr>
      </w:pPr>
      <w:r>
        <w:rPr/>
        <w:pict>
          <v:shape style="position:absolute;margin-left:56.400002pt;margin-top:-156.998276pt;width:479.3pt;height:239.3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1"/>
                  </w:tblGrid>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62,650.33</w:t>
                        </w:r>
                      </w:p>
                    </w:tc>
                  </w:tr>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16,192.01</w:t>
                        </w:r>
                      </w:p>
                    </w:tc>
                  </w:tr>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32,761.46</w:t>
                        </w:r>
                      </w:p>
                    </w:tc>
                  </w:tr>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1402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文核准，首</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次公开发行人民币普通股（</w:t>
                        </w:r>
                        <w:r>
                          <w:rPr>
                            <w:rFonts w:ascii="Times New Roman" w:hAnsi="Times New Roman" w:cs="Times New Roman" w:eastAsia="Times New Roman" w:hint="default"/>
                            <w:spacing w:val="-3"/>
                            <w:sz w:val="18"/>
                            <w:szCs w:val="18"/>
                          </w:rPr>
                          <w:t>A</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股）</w:t>
                        </w:r>
                        <w:r>
                          <w:rPr>
                            <w:rFonts w:ascii="Times New Roman" w:hAnsi="Times New Roman" w:cs="Times New Roman" w:eastAsia="Times New Roman" w:hint="default"/>
                            <w:spacing w:val="-6"/>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万股，发行价格每股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元，于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日在深圳证券交易所创业板上市</w:t>
                        </w:r>
                      </w:p>
                      <w:p>
                        <w:pPr>
                          <w:pStyle w:val="TableParagraph"/>
                          <w:spacing w:line="240" w:lineRule="auto" w:before="63"/>
                          <w:ind w:left="24" w:right="-5"/>
                          <w:jc w:val="left"/>
                          <w:rPr>
                            <w:rFonts w:ascii="宋体" w:hAnsi="宋体" w:cs="宋体" w:eastAsia="宋体" w:hint="default"/>
                            <w:sz w:val="18"/>
                            <w:szCs w:val="18"/>
                          </w:rPr>
                        </w:pPr>
                        <w:r>
                          <w:rPr>
                            <w:rFonts w:ascii="宋体" w:hAnsi="宋体" w:cs="宋体" w:eastAsia="宋体" w:hint="default"/>
                            <w:sz w:val="18"/>
                            <w:szCs w:val="18"/>
                          </w:rPr>
                          <w:t>向社会公众公开发行人民币普通股后增加注册资本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万元，共募集资金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3,349.67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公司募集资金净额为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62,650.33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42673.49 </w:t>
                        </w:r>
                        <w:r>
                          <w:rPr>
                            <w:rFonts w:ascii="宋体" w:hAnsi="宋体" w:cs="宋体" w:eastAsia="宋体" w:hint="default"/>
                            <w:sz w:val="18"/>
                            <w:szCs w:val="18"/>
                          </w:rPr>
                          <w:t>万元。该募集资金已由中磊会计事务所有限责任公司以中磊验</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号《验资报告》验证确认。截止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日，公司已累计投入募集资金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32,761.45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万元，募集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资金剩余为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pacing w:val="-3"/>
                            <w:sz w:val="18"/>
                            <w:szCs w:val="18"/>
                          </w:rPr>
                          <w:t>含</w:t>
                        </w:r>
                        <w:r>
                          <w:rPr>
                            <w:rFonts w:ascii="宋体" w:hAnsi="宋体" w:cs="宋体" w:eastAsia="宋体" w:hint="default"/>
                            <w:sz w:val="18"/>
                            <w:szCs w:val="18"/>
                          </w:rPr>
                          <w:t>利息</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920"/>
        </w:sectPr>
      </w:pPr>
    </w:p>
    <w:p>
      <w:pPr>
        <w:spacing w:line="240" w:lineRule="auto" w:before="10"/>
        <w:rPr>
          <w:rFonts w:ascii="宋体" w:hAnsi="宋体" w:cs="宋体" w:eastAsia="宋体" w:hint="default"/>
          <w:sz w:val="24"/>
          <w:szCs w:val="24"/>
        </w:rPr>
      </w:pPr>
      <w:r>
        <w:rPr/>
        <w:pict>
          <v:shape style="position:absolute;margin-left:139.100006pt;margin-top:473.349976pt;width:43.7pt;height:19.6pt;mso-position-horizontal-relative:page;mso-position-vertical-relative:page;z-index:-66709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139.100006pt;margin-top:493.389984pt;width:43.7pt;height:19.7pt;mso-position-horizontal-relative:page;mso-position-vertical-relative:page;z-index:-66707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饮用水水质安全在线 监测系统及预警信息 管理装备产业化项目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10,337.84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10,337.84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4,351.09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9,968.31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水质安全在线监测系 统技术改造项目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2,393.72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3,779.98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环境监测设施市场化 运营服务项目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1,713.17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19,976.84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19,976.84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8,192.01</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15,461.46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投资设立山东先河环 保科技有限公司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山东空气自动站</w:t>
            </w:r>
            <w:r>
              <w:rPr>
                <w:rFonts w:ascii="Times New Roman" w:hAnsi="Times New Roman" w:cs="Times New Roman" w:eastAsia="Times New Roman" w:hint="default"/>
                <w:sz w:val="18"/>
                <w:szCs w:val="18"/>
              </w:rPr>
              <w:t>“</w:t>
            </w:r>
            <w:r>
              <w:rPr>
                <w:rFonts w:ascii="宋体" w:hAnsi="宋体" w:cs="宋体" w:eastAsia="宋体" w:hint="default"/>
                <w:sz w:val="18"/>
                <w:szCs w:val="18"/>
              </w:rPr>
              <w:t>转让</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经营</w:t>
            </w:r>
            <w:r>
              <w:rPr>
                <w:rFonts w:ascii="Times New Roman" w:hAnsi="Times New Roman" w:cs="Times New Roman" w:eastAsia="Times New Roman" w:hint="default"/>
                <w:sz w:val="18"/>
                <w:szCs w:val="18"/>
              </w:rPr>
              <w:t>”</w:t>
            </w:r>
            <w:r>
              <w:rPr>
                <w:rFonts w:ascii="宋体" w:hAnsi="宋体" w:cs="宋体" w:eastAsia="宋体" w:hint="default"/>
                <w:sz w:val="18"/>
                <w:szCs w:val="18"/>
              </w:rPr>
              <w:t>推广项目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2,035.22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2,035.22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4,800</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11,700</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19,335.22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19,335.22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17,300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39,312.06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16,192.01</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32,761.46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253"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日，根据第一届董事会第十八次会议决议，公司延长</w:t>
            </w:r>
            <w:r>
              <w:rPr>
                <w:rFonts w:ascii="Times New Roman" w:hAnsi="Times New Roman" w:cs="Times New Roman" w:eastAsia="Times New Roman" w:hint="default"/>
                <w:sz w:val="18"/>
                <w:szCs w:val="18"/>
              </w:rPr>
              <w:t>“</w:t>
            </w:r>
            <w:r>
              <w:rPr>
                <w:rFonts w:ascii="宋体" w:hAnsi="宋体" w:cs="宋体" w:eastAsia="宋体" w:hint="default"/>
                <w:sz w:val="18"/>
                <w:szCs w:val="18"/>
              </w:rPr>
              <w:t>饮用水水质安全在线监测系统</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及预警信息管理装备产业化项目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建设时间</w:t>
            </w:r>
            <w:r>
              <w:rPr>
                <w:rFonts w:ascii="宋体" w:hAnsi="宋体" w:cs="宋体" w:eastAsia="宋体" w:hint="default"/>
                <w:spacing w:val="-77"/>
                <w:sz w:val="18"/>
                <w:szCs w:val="18"/>
              </w:rPr>
              <w:t>，</w:t>
            </w:r>
            <w:r>
              <w:rPr>
                <w:rFonts w:ascii="宋体" w:hAnsi="宋体" w:cs="宋体" w:eastAsia="宋体" w:hint="default"/>
                <w:sz w:val="18"/>
                <w:szCs w:val="18"/>
              </w:rPr>
              <w:t>将项目预计达到可使用状态时间由</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长至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日；延长</w:t>
            </w:r>
            <w:r>
              <w:rPr>
                <w:rFonts w:ascii="Times New Roman" w:hAnsi="Times New Roman" w:cs="Times New Roman" w:eastAsia="Times New Roman" w:hint="default"/>
                <w:sz w:val="18"/>
                <w:szCs w:val="18"/>
              </w:rPr>
              <w:t>“</w:t>
            </w:r>
            <w:r>
              <w:rPr>
                <w:rFonts w:ascii="宋体" w:hAnsi="宋体" w:cs="宋体" w:eastAsia="宋体" w:hint="default"/>
                <w:sz w:val="18"/>
                <w:szCs w:val="18"/>
              </w:rPr>
              <w:t>水质安全在线监测系统技术改造项目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建设时间，将项目预计达到可</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使用状态时间由</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日延长至</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0"/>
                <w:sz w:val="18"/>
                <w:szCs w:val="18"/>
              </w:rPr>
              <w:t>；</w:t>
            </w:r>
            <w:r>
              <w:rPr>
                <w:rFonts w:ascii="宋体" w:hAnsi="宋体" w:cs="宋体" w:eastAsia="宋体" w:hint="default"/>
                <w:sz w:val="18"/>
                <w:szCs w:val="18"/>
              </w:rPr>
              <w:t>延长</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环境监测设施市场化运营服务项</w:t>
            </w:r>
          </w:p>
          <w:p>
            <w:pPr>
              <w:pStyle w:val="TableParagraph"/>
              <w:spacing w:line="304" w:lineRule="auto" w:before="63"/>
              <w:ind w:left="16" w:right="17"/>
              <w:jc w:val="both"/>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建设时间，将项目预计达到可使用状态时间由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日延长至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pacing w:val="-10"/>
                <w:sz w:val="18"/>
                <w:szCs w:val="18"/>
              </w:rPr>
              <w:t>日。造成</w:t>
            </w:r>
            <w:r>
              <w:rPr>
                <w:rFonts w:ascii="宋体" w:hAnsi="宋体" w:cs="宋体" w:eastAsia="宋体" w:hint="default"/>
                <w:sz w:val="18"/>
                <w:szCs w:val="18"/>
              </w:rPr>
              <w:t> </w:t>
            </w:r>
            <w:r>
              <w:rPr>
                <w:rFonts w:ascii="宋体" w:hAnsi="宋体" w:cs="宋体" w:eastAsia="宋体" w:hint="default"/>
                <w:spacing w:val="-3"/>
                <w:sz w:val="18"/>
                <w:szCs w:val="18"/>
              </w:rPr>
              <w:t>上述募投项目延期的主要原因为：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、公司募投项目资金到位晚于公司的预期，由于自有资金较为紧</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张，募投项目资金到账后，才陆续开展募投项目基建建设。</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、雨水和气候的原因也是影响基建工程</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进度的一个因素。</w:t>
            </w:r>
            <w:r>
              <w:rPr>
                <w:rFonts w:ascii="Times New Roman" w:hAnsi="Times New Roman" w:cs="Times New Roman" w:eastAsia="Times New Roman" w:hint="default"/>
                <w:sz w:val="18"/>
                <w:szCs w:val="18"/>
              </w:rPr>
              <w:t>3</w:t>
            </w:r>
            <w:r>
              <w:rPr>
                <w:rFonts w:ascii="宋体" w:hAnsi="宋体" w:cs="宋体" w:eastAsia="宋体" w:hint="default"/>
                <w:sz w:val="18"/>
                <w:szCs w:val="18"/>
              </w:rPr>
              <w:t>、运营项目部分市场启动晚于公司预期。截至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日，饮用水水质 安全在线监测系统及预警信息管理装备产业化项目、水质安全在线监测系统技术改造项目已经达到 预定可使用状态；环境监测设施市场化运营服务项目部分区域项目已开展，并产生了效益，一些区 域项目公司已经中标，即将开展。</w:t>
            </w:r>
          </w:p>
        </w:tc>
      </w:tr>
      <w:tr>
        <w:trPr>
          <w:trHeight w:val="101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1253"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报告期内公司项目可行性未发生重大变化</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0" w:right="158" w:firstLine="0"/>
        <w:jc w:val="right"/>
        <w:rPr>
          <w:rFonts w:ascii="宋体" w:hAnsi="宋体" w:cs="宋体" w:eastAsia="宋体" w:hint="default"/>
          <w:sz w:val="18"/>
          <w:szCs w:val="18"/>
        </w:rPr>
      </w:pPr>
      <w:r>
        <w:rPr/>
        <w:pict>
          <v:shape style="position:absolute;margin-left:56.459999pt;margin-top:-147.788284pt;width:479.2pt;height:596.1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1"/>
                          <w:jc w:val="both"/>
                          <w:rPr>
                            <w:rFonts w:ascii="宋体" w:hAnsi="宋体" w:cs="宋体" w:eastAsia="宋体" w:hint="default"/>
                            <w:sz w:val="18"/>
                            <w:szCs w:val="18"/>
                          </w:rPr>
                        </w:pPr>
                        <w:r>
                          <w:rPr>
                            <w:rFonts w:ascii="宋体" w:hAnsi="宋体" w:cs="宋体" w:eastAsia="宋体" w:hint="default"/>
                            <w:sz w:val="18"/>
                            <w:szCs w:val="18"/>
                          </w:rPr>
                          <w:t>公司历次使用超募资金的情况：</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日，公司第一届董事会第八次会议审议通过了关于 </w:t>
                        </w:r>
                        <w:r>
                          <w:rPr>
                            <w:rFonts w:ascii="宋体" w:hAnsi="宋体" w:cs="宋体" w:eastAsia="宋体" w:hint="default"/>
                            <w:spacing w:val="-5"/>
                            <w:sz w:val="18"/>
                            <w:szCs w:val="18"/>
                          </w:rPr>
                          <w:t>使用部分其他与主营业务相关的营运资金永久性补充流动资金的议案》，使用部分其他与主营业务相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关的营运资金永久性补充流动资金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万元永久性补充流动资金；审议通过了《关于使用部分其</w:t>
                        </w:r>
                      </w:p>
                      <w:p>
                        <w:pPr>
                          <w:pStyle w:val="TableParagraph"/>
                          <w:spacing w:line="240" w:lineRule="auto" w:before="7"/>
                          <w:ind w:left="24" w:right="0"/>
                          <w:jc w:val="both"/>
                          <w:rPr>
                            <w:rFonts w:ascii="宋体" w:hAnsi="宋体" w:cs="宋体" w:eastAsia="宋体" w:hint="default"/>
                            <w:sz w:val="18"/>
                            <w:szCs w:val="18"/>
                          </w:rPr>
                        </w:pPr>
                        <w:r>
                          <w:rPr>
                            <w:rFonts w:ascii="宋体" w:hAnsi="宋体" w:cs="宋体" w:eastAsia="宋体" w:hint="default"/>
                            <w:sz w:val="18"/>
                            <w:szCs w:val="18"/>
                          </w:rPr>
                          <w:t>他与主营业务相关的营运资金偿还借款的议案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使用部分</w:t>
                        </w:r>
                        <w:r>
                          <w:rPr>
                            <w:rFonts w:ascii="宋体" w:hAnsi="宋体" w:cs="宋体" w:eastAsia="宋体" w:hint="default"/>
                            <w:spacing w:val="2"/>
                            <w:sz w:val="18"/>
                            <w:szCs w:val="18"/>
                          </w:rPr>
                          <w:t>其</w:t>
                        </w:r>
                        <w:r>
                          <w:rPr>
                            <w:rFonts w:ascii="宋体" w:hAnsi="宋体" w:cs="宋体" w:eastAsia="宋体" w:hint="default"/>
                            <w:sz w:val="18"/>
                            <w:szCs w:val="18"/>
                          </w:rPr>
                          <w:t>他与主营业务</w:t>
                        </w:r>
                        <w:r>
                          <w:rPr>
                            <w:rFonts w:ascii="宋体" w:hAnsi="宋体" w:cs="宋体" w:eastAsia="宋体" w:hint="default"/>
                            <w:spacing w:val="1"/>
                            <w:sz w:val="18"/>
                            <w:szCs w:val="18"/>
                          </w:rPr>
                          <w:t>相</w:t>
                        </w:r>
                        <w:r>
                          <w:rPr>
                            <w:rFonts w:ascii="宋体" w:hAnsi="宋体" w:cs="宋体" w:eastAsia="宋体" w:hint="default"/>
                            <w:sz w:val="18"/>
                            <w:szCs w:val="18"/>
                          </w:rPr>
                          <w:t>关的营运资金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元偿还借款。</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日，第一届董事会第十三次会议审议通过使用超募资金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设立山东先河环保科技有限公司。</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日，公司第一届董事会第十九次会议审议通过了</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《关于使用部分超募资金永久性补充流动资金的议案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w:t>
                        </w:r>
                        <w:r>
                          <w:rPr>
                            <w:rFonts w:ascii="宋体" w:hAnsi="宋体" w:cs="宋体" w:eastAsia="宋体" w:hint="default"/>
                            <w:spacing w:val="2"/>
                            <w:sz w:val="18"/>
                            <w:szCs w:val="18"/>
                          </w:rPr>
                          <w:t>意</w:t>
                        </w:r>
                        <w:r>
                          <w:rPr>
                            <w:rFonts w:ascii="宋体" w:hAnsi="宋体" w:cs="宋体" w:eastAsia="宋体" w:hint="default"/>
                            <w:sz w:val="18"/>
                            <w:szCs w:val="18"/>
                          </w:rPr>
                          <w:t>公司使用超募资金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永久性补</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充流动资金。</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日，公司第二届董事会第三次会议审议通过了《关于使用超募资金开</w:t>
                        </w:r>
                      </w:p>
                      <w:p>
                        <w:pPr>
                          <w:pStyle w:val="TableParagraph"/>
                          <w:spacing w:line="300" w:lineRule="auto" w:before="63"/>
                          <w:ind w:left="24" w:right="62"/>
                          <w:jc w:val="both"/>
                          <w:rPr>
                            <w:rFonts w:ascii="宋体" w:hAnsi="宋体" w:cs="宋体" w:eastAsia="宋体" w:hint="default"/>
                            <w:sz w:val="18"/>
                            <w:szCs w:val="18"/>
                          </w:rPr>
                        </w:pPr>
                        <w:r>
                          <w:rPr>
                            <w:rFonts w:ascii="宋体" w:hAnsi="宋体" w:cs="宋体" w:eastAsia="宋体" w:hint="default"/>
                            <w:spacing w:val="-6"/>
                            <w:w w:val="100"/>
                            <w:sz w:val="18"/>
                            <w:szCs w:val="18"/>
                          </w:rPr>
                          <w:t>展山东空气自动站</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转让</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经营</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推广项目的议案》，同意使用超募资金</w:t>
                        </w:r>
                        <w:r>
                          <w:rPr>
                            <w:rFonts w:ascii="宋体" w:hAnsi="宋体" w:cs="宋体" w:eastAsia="宋体" w:hint="default"/>
                            <w:spacing w:val="-35"/>
                            <w:w w:val="100"/>
                            <w:sz w:val="18"/>
                            <w:szCs w:val="18"/>
                          </w:rPr>
                          <w:t> </w:t>
                        </w:r>
                        <w:r>
                          <w:rPr>
                            <w:rFonts w:ascii="Times New Roman" w:hAnsi="Times New Roman" w:cs="Times New Roman" w:eastAsia="Times New Roman" w:hint="default"/>
                            <w:spacing w:val="-1"/>
                            <w:sz w:val="18"/>
                            <w:szCs w:val="18"/>
                          </w:rPr>
                          <w:t>2,035.22</w:t>
                        </w:r>
                        <w:r>
                          <w:rPr>
                            <w:rFonts w:ascii="Times New Roman" w:hAnsi="Times New Roman" w:cs="Times New Roman" w:eastAsia="Times New Roman" w:hint="default"/>
                            <w:spacing w:val="12"/>
                            <w:sz w:val="18"/>
                            <w:szCs w:val="18"/>
                          </w:rPr>
                          <w:t> </w:t>
                        </w:r>
                        <w:r>
                          <w:rPr>
                            <w:rFonts w:ascii="宋体" w:hAnsi="宋体" w:cs="宋体" w:eastAsia="宋体" w:hint="default"/>
                            <w:spacing w:val="-10"/>
                            <w:sz w:val="18"/>
                            <w:szCs w:val="18"/>
                          </w:rPr>
                          <w:t>万元购买淄博、莱芜</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东营、德州、聊城等地市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个空气站点。截止报告期末，公司已决议使用超募资金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335.22 </w:t>
                        </w:r>
                        <w:r>
                          <w:rPr>
                            <w:rFonts w:ascii="宋体" w:hAnsi="宋体" w:cs="宋体" w:eastAsia="宋体" w:hint="default"/>
                            <w:sz w:val="18"/>
                            <w:szCs w:val="18"/>
                          </w:rPr>
                          <w:t>万 元，剩余超募资金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23,338.27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w:t>
                        </w:r>
                        <w:r>
                          <w:rPr>
                            <w:rFonts w:ascii="宋体" w:hAnsi="宋体" w:cs="宋体" w:eastAsia="宋体" w:hint="default"/>
                            <w:sz w:val="18"/>
                            <w:szCs w:val="18"/>
                          </w:rPr>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日，第一届董事会第八次会议决议通过，经中磊会计师事务所有限责任公司出具中</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磊审核字【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号《关于河北先河环保科技股份有限公司以自筹资金预先投入募投项目</w:t>
                        </w:r>
                      </w:p>
                      <w:p>
                        <w:pPr>
                          <w:pStyle w:val="TableParagraph"/>
                          <w:spacing w:line="300" w:lineRule="auto" w:before="63"/>
                          <w:ind w:left="24" w:right="65"/>
                          <w:jc w:val="left"/>
                          <w:rPr>
                            <w:rFonts w:ascii="宋体" w:hAnsi="宋体" w:cs="宋体" w:eastAsia="宋体" w:hint="default"/>
                            <w:sz w:val="18"/>
                            <w:szCs w:val="18"/>
                          </w:rPr>
                        </w:pPr>
                        <w:r>
                          <w:rPr>
                            <w:rFonts w:ascii="宋体" w:hAnsi="宋体" w:cs="宋体" w:eastAsia="宋体" w:hint="default"/>
                            <w:spacing w:val="-7"/>
                            <w:sz w:val="18"/>
                            <w:szCs w:val="18"/>
                          </w:rPr>
                          <w:t>的鉴证报告》，公司以募集资金</w:t>
                        </w:r>
                        <w:r>
                          <w:rPr>
                            <w:rFonts w:ascii="宋体" w:hAnsi="宋体" w:cs="宋体" w:eastAsia="宋体" w:hint="default"/>
                            <w:spacing w:val="-30"/>
                            <w:sz w:val="18"/>
                            <w:szCs w:val="18"/>
                          </w:rPr>
                          <w:t> </w:t>
                        </w:r>
                        <w:r>
                          <w:rPr>
                            <w:rFonts w:ascii="Times New Roman" w:hAnsi="Times New Roman" w:cs="Times New Roman" w:eastAsia="Times New Roman" w:hint="default"/>
                            <w:spacing w:val="-1"/>
                            <w:sz w:val="18"/>
                            <w:szCs w:val="18"/>
                          </w:rPr>
                          <w:t>981.30</w:t>
                        </w:r>
                        <w:r>
                          <w:rPr>
                            <w:rFonts w:ascii="Times New Roman" w:hAnsi="Times New Roman" w:cs="Times New Roman" w:eastAsia="Times New Roman" w:hint="default"/>
                            <w:spacing w:val="16"/>
                            <w:sz w:val="18"/>
                            <w:szCs w:val="18"/>
                          </w:rPr>
                          <w:t> </w:t>
                        </w:r>
                        <w:r>
                          <w:rPr>
                            <w:rFonts w:ascii="宋体" w:hAnsi="宋体" w:cs="宋体" w:eastAsia="宋体" w:hint="default"/>
                            <w:spacing w:val="-1"/>
                            <w:sz w:val="18"/>
                            <w:szCs w:val="18"/>
                          </w:rPr>
                          <w:t>万元置换预先已投入募集资金投资项目的自筹资金，相关资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金已完成置换。</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日，经公司第一届董事会第十一次会议审议通过，公司使用闲置募集资金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暂时补充流动资金，使用期限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已将上述用于暂时补充流动资金的闲置募集资金</w:t>
                        </w:r>
                        <w:r>
                          <w:rPr>
                            <w:rFonts w:ascii="宋体" w:hAnsi="宋体" w:cs="宋体" w:eastAsia="宋体" w:hint="default"/>
                            <w:spacing w:val="-63"/>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全</w:t>
                        </w:r>
                        <w:r>
                          <w:rPr>
                            <w:rFonts w:ascii="宋体" w:hAnsi="宋体" w:cs="宋体" w:eastAsia="宋体" w:hint="default"/>
                            <w:sz w:val="18"/>
                            <w:szCs w:val="18"/>
                          </w:rPr>
                          <w:t>部归还至公司募集资金专用账户</w:t>
                        </w:r>
                        <w:r>
                          <w:rPr>
                            <w:rFonts w:ascii="宋体" w:hAnsi="宋体" w:cs="宋体" w:eastAsia="宋体" w:hint="default"/>
                            <w:spacing w:val="-9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日，经公司第一届董事会第十六次会议审议通过，公司使用闲置募集资金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万元暂时</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补充流动资金</w:t>
                        </w:r>
                        <w:r>
                          <w:rPr>
                            <w:rFonts w:ascii="宋体" w:hAnsi="宋体" w:cs="宋体" w:eastAsia="宋体" w:hint="default"/>
                            <w:spacing w:val="-87"/>
                            <w:sz w:val="18"/>
                            <w:szCs w:val="18"/>
                          </w:rPr>
                          <w:t>，</w:t>
                        </w:r>
                        <w:r>
                          <w:rPr>
                            <w:rFonts w:ascii="宋体" w:hAnsi="宋体" w:cs="宋体" w:eastAsia="宋体" w:hint="default"/>
                            <w:sz w:val="18"/>
                            <w:szCs w:val="18"/>
                          </w:rPr>
                          <w:t>使用期限</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7"/>
                            <w:sz w:val="18"/>
                            <w:szCs w:val="18"/>
                          </w:rPr>
                          <w:t>。</w:t>
                        </w:r>
                        <w:r>
                          <w:rPr>
                            <w:rFonts w:ascii="宋体" w:hAnsi="宋体" w:cs="宋体" w:eastAsia="宋体" w:hint="default"/>
                            <w:sz w:val="18"/>
                            <w:szCs w:val="18"/>
                          </w:rPr>
                          <w:t>公司实际使用该闲置募集资金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万元暂时性补充流动资金，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万元归还至募集资金专户。</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尚未使用的募集资金均存放在公司银行募集资金专户中。</w:t>
                        </w:r>
                      </w:p>
                    </w:tc>
                  </w:tr>
                  <w:tr>
                    <w:trPr>
                      <w:trHeight w:val="102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报告期内公司募集资金使用及披露不存在问题。</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pict>
          <v:group style="position:absolute;margin-left:55.200001pt;margin-top:47.46772pt;width:483.25pt;height:1.45pt;mso-position-horizontal-relative:page;mso-position-vertical-relative:paragraph;z-index:-667048" coordorigin="1104,949" coordsize="9665,29">
            <v:group style="position:absolute;left:1118;top:964;width:1635;height:2" coordorigin="1118,964" coordsize="1635,2">
              <v:shape style="position:absolute;left:1118;top:964;width:1635;height:2" coordorigin="1118,964" coordsize="1635,0" path="m1118,964l2753,964e" filled="false" stroked="true" strokeweight="1.44pt" strokecolor="#000000">
                <v:path arrowok="t"/>
              </v:shape>
            </v:group>
            <v:group style="position:absolute;left:2739;top:964;width:29;height:2" coordorigin="2739,964" coordsize="29,2">
              <v:shape style="position:absolute;left:2739;top:964;width:29;height:2" coordorigin="2739,964" coordsize="29,0" path="m2739,964l2768,964e" filled="false" stroked="true" strokeweight="1.44pt" strokecolor="#000000">
                <v:path arrowok="t"/>
              </v:shape>
            </v:group>
            <v:group style="position:absolute;left:2768;top:964;width:1067;height:2" coordorigin="2768,964" coordsize="1067,2">
              <v:shape style="position:absolute;left:2768;top:964;width:1067;height:2" coordorigin="2768,964" coordsize="1067,0" path="m2768,964l3834,964e" filled="false" stroked="true" strokeweight="1.44pt" strokecolor="#000000">
                <v:path arrowok="t"/>
              </v:shape>
            </v:group>
            <v:group style="position:absolute;left:3819;top:964;width:29;height:2" coordorigin="3819,964" coordsize="29,2">
              <v:shape style="position:absolute;left:3819;top:964;width:29;height:2" coordorigin="3819,964" coordsize="29,0" path="m3819,964l3848,964e" filled="false" stroked="true" strokeweight="1.44pt" strokecolor="#000000">
                <v:path arrowok="t"/>
              </v:shape>
            </v:group>
            <v:group style="position:absolute;left:3848;top:964;width:1066;height:2" coordorigin="3848,964" coordsize="1066,2">
              <v:shape style="position:absolute;left:3848;top:964;width:1066;height:2" coordorigin="3848,964" coordsize="1066,0" path="m3848,964l4914,964e" filled="false" stroked="true" strokeweight="1.44pt" strokecolor="#000000">
                <v:path arrowok="t"/>
              </v:shape>
            </v:group>
            <v:group style="position:absolute;left:4899;top:964;width:29;height:2" coordorigin="4899,964" coordsize="29,2">
              <v:shape style="position:absolute;left:4899;top:964;width:29;height:2" coordorigin="4899,964" coordsize="29,0" path="m4899,964l4928,964e" filled="false" stroked="true" strokeweight="1.44pt" strokecolor="#000000">
                <v:path arrowok="t"/>
              </v:shape>
            </v:group>
            <v:group style="position:absolute;left:4928;top:964;width:1265;height:2" coordorigin="4928,964" coordsize="1265,2">
              <v:shape style="position:absolute;left:4928;top:964;width:1265;height:2" coordorigin="4928,964" coordsize="1265,0" path="m4928,964l6193,964e" filled="false" stroked="true" strokeweight="1.44pt" strokecolor="#000000">
                <v:path arrowok="t"/>
              </v:shape>
            </v:group>
            <v:group style="position:absolute;left:6179;top:964;width:29;height:2" coordorigin="6179,964" coordsize="29,2">
              <v:shape style="position:absolute;left:6179;top:964;width:29;height:2" coordorigin="6179,964" coordsize="29,0" path="m6179,964l6207,964e" filled="false" stroked="true" strokeweight="1.44pt" strokecolor="#000000">
                <v:path arrowok="t"/>
              </v:shape>
            </v:group>
            <v:group style="position:absolute;left:6207;top:964;width:1388;height:2" coordorigin="6207,964" coordsize="1388,2">
              <v:shape style="position:absolute;left:6207;top:964;width:1388;height:2" coordorigin="6207,964" coordsize="1388,0" path="m6207,964l7595,964e" filled="false" stroked="true" strokeweight="1.44pt" strokecolor="#000000">
                <v:path arrowok="t"/>
              </v:shape>
            </v:group>
            <v:group style="position:absolute;left:7581;top:964;width:29;height:2" coordorigin="7581,964" coordsize="29,2">
              <v:shape style="position:absolute;left:7581;top:964;width:29;height:2" coordorigin="7581,964" coordsize="29,0" path="m7581,964l7609,964e" filled="false" stroked="true" strokeweight="1.44pt" strokecolor="#000000">
                <v:path arrowok="t"/>
              </v:shape>
            </v:group>
            <v:group style="position:absolute;left:7609;top:964;width:1506;height:2" coordorigin="7609,964" coordsize="1506,2">
              <v:shape style="position:absolute;left:7609;top:964;width:1506;height:2" coordorigin="7609,964" coordsize="1506,0" path="m7609,964l9115,964e" filled="false" stroked="true" strokeweight="1.44pt" strokecolor="#000000">
                <v:path arrowok="t"/>
              </v:shape>
            </v:group>
            <v:group style="position:absolute;left:9100;top:964;width:29;height:2" coordorigin="9100,964" coordsize="29,2">
              <v:shape style="position:absolute;left:9100;top:964;width:29;height:2" coordorigin="9100,964" coordsize="29,0" path="m9100,964l9129,964e" filled="false" stroked="true" strokeweight="1.44pt" strokecolor="#000000">
                <v:path arrowok="t"/>
              </v:shape>
            </v:group>
            <v:group style="position:absolute;left:9129;top:964;width:1625;height:2" coordorigin="9129,964" coordsize="1625,2">
              <v:shape style="position:absolute;left:9129;top:964;width:1625;height:2" coordorigin="9129,964" coordsize="1625,0" path="m9129,964l10754,964e" filled="false" stroked="true" strokeweight="1.44pt" strokecolor="#000000">
                <v:path arrowok="t"/>
              </v:shape>
            </v:group>
            <w10:wrap type="none"/>
          </v:group>
        </w:pic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）目前，公司拥有</w:t>
      </w:r>
      <w:r>
        <w:rPr>
          <w:rFonts w:ascii="Times New Roman" w:hAnsi="Times New Roman" w:cs="Times New Roman" w:eastAsia="Times New Roman" w:hint="default"/>
          <w:sz w:val="18"/>
          <w:szCs w:val="18"/>
        </w:rPr>
        <w:t>4</w:t>
      </w:r>
      <w:r>
        <w:rPr>
          <w:rFonts w:ascii="宋体" w:hAnsi="宋体" w:cs="宋体" w:eastAsia="宋体" w:hint="default"/>
          <w:sz w:val="18"/>
          <w:szCs w:val="18"/>
        </w:rPr>
        <w:t>家控股子公司</w:t>
      </w:r>
    </w:p>
    <w:p>
      <w:pPr>
        <w:spacing w:line="240" w:lineRule="auto" w:before="10"/>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502"/>
        <w:gridCol w:w="1306"/>
        <w:gridCol w:w="995"/>
        <w:gridCol w:w="1140"/>
        <w:gridCol w:w="1579"/>
        <w:gridCol w:w="1685"/>
        <w:gridCol w:w="1373"/>
      </w:tblGrid>
      <w:tr>
        <w:trPr>
          <w:trHeight w:val="587"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180" w:lineRule="exact"/>
              <w:ind w:left="374"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180" w:lineRule="exact"/>
              <w:ind w:left="224" w:right="0"/>
              <w:jc w:val="left"/>
              <w:rPr>
                <w:rFonts w:ascii="宋体" w:hAnsi="宋体" w:cs="宋体" w:eastAsia="宋体" w:hint="default"/>
                <w:sz w:val="18"/>
                <w:szCs w:val="18"/>
              </w:rPr>
            </w:pPr>
            <w:r>
              <w:rPr>
                <w:rFonts w:ascii="宋体" w:hAnsi="宋体" w:cs="宋体" w:eastAsia="宋体" w:hint="default"/>
                <w:b/>
                <w:bCs/>
                <w:sz w:val="18"/>
                <w:szCs w:val="18"/>
              </w:rPr>
              <w:t>子公司类型</w:t>
            </w:r>
            <w:r>
              <w:rPr>
                <w:rFonts w:ascii="宋体" w:hAnsi="宋体" w:cs="宋体" w:eastAsia="宋体" w:hint="default"/>
                <w:sz w:val="18"/>
                <w:szCs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180" w:lineRule="exact"/>
              <w:ind w:left="179"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140" w:type="dxa"/>
            <w:tcBorders>
              <w:top w:val="nil" w:sz="6" w:space="0" w:color="auto"/>
              <w:left w:val="nil" w:sz="6" w:space="0" w:color="auto"/>
              <w:bottom w:val="nil" w:sz="6" w:space="0" w:color="auto"/>
              <w:right w:val="nil" w:sz="6" w:space="0" w:color="auto"/>
            </w:tcBorders>
          </w:tcPr>
          <w:p>
            <w:pPr>
              <w:pStyle w:val="TableParagraph"/>
              <w:spacing w:line="180" w:lineRule="exact"/>
              <w:ind w:left="273"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579" w:type="dxa"/>
            <w:tcBorders>
              <w:top w:val="nil" w:sz="6" w:space="0" w:color="auto"/>
              <w:left w:val="nil" w:sz="6" w:space="0" w:color="auto"/>
              <w:bottom w:val="nil" w:sz="6" w:space="0" w:color="auto"/>
              <w:right w:val="nil" w:sz="6" w:space="0" w:color="auto"/>
            </w:tcBorders>
          </w:tcPr>
          <w:p>
            <w:pPr>
              <w:pStyle w:val="TableParagraph"/>
              <w:spacing w:line="180" w:lineRule="exact"/>
              <w:ind w:left="144" w:right="-10"/>
              <w:jc w:val="left"/>
              <w:rPr>
                <w:rFonts w:ascii="宋体" w:hAnsi="宋体" w:cs="宋体" w:eastAsia="宋体" w:hint="default"/>
                <w:sz w:val="18"/>
                <w:szCs w:val="18"/>
              </w:rPr>
            </w:pPr>
            <w:r>
              <w:rPr>
                <w:rFonts w:ascii="宋体" w:hAnsi="宋体" w:cs="宋体" w:eastAsia="宋体" w:hint="default"/>
                <w:b/>
                <w:bCs/>
                <w:w w:val="95"/>
                <w:sz w:val="18"/>
                <w:szCs w:val="18"/>
              </w:rPr>
              <w:t>注册资本（万元）</w:t>
            </w:r>
            <w:r>
              <w:rPr>
                <w:rFonts w:ascii="宋体" w:hAnsi="宋体" w:cs="宋体" w:eastAsia="宋体" w:hint="default"/>
                <w:sz w:val="18"/>
                <w:szCs w:val="18"/>
              </w:rPr>
            </w:r>
          </w:p>
        </w:tc>
        <w:tc>
          <w:tcPr>
            <w:tcW w:w="1685" w:type="dxa"/>
            <w:tcBorders>
              <w:top w:val="nil" w:sz="6" w:space="0" w:color="auto"/>
              <w:left w:val="nil" w:sz="6" w:space="0" w:color="auto"/>
              <w:bottom w:val="nil" w:sz="6" w:space="0" w:color="auto"/>
              <w:right w:val="nil" w:sz="6" w:space="0" w:color="auto"/>
            </w:tcBorders>
          </w:tcPr>
          <w:p>
            <w:pPr>
              <w:pStyle w:val="TableParagraph"/>
              <w:spacing w:line="180" w:lineRule="exact"/>
              <w:ind w:left="-10" w:right="248"/>
              <w:jc w:val="center"/>
              <w:rPr>
                <w:rFonts w:ascii="宋体" w:hAnsi="宋体" w:cs="宋体" w:eastAsia="宋体" w:hint="default"/>
                <w:sz w:val="18"/>
                <w:szCs w:val="18"/>
              </w:rPr>
            </w:pPr>
            <w:r>
              <w:rPr>
                <w:rFonts w:ascii="宋体" w:hAnsi="宋体" w:cs="宋体" w:eastAsia="宋体" w:hint="default"/>
                <w:b/>
                <w:bCs/>
                <w:w w:val="95"/>
                <w:sz w:val="18"/>
                <w:szCs w:val="18"/>
              </w:rPr>
              <w:t>期末实际投资金额</w:t>
            </w:r>
            <w:r>
              <w:rPr>
                <w:rFonts w:ascii="宋体" w:hAnsi="宋体" w:cs="宋体" w:eastAsia="宋体" w:hint="default"/>
                <w:sz w:val="18"/>
                <w:szCs w:val="18"/>
              </w:rPr>
            </w:r>
          </w:p>
          <w:p>
            <w:pPr>
              <w:pStyle w:val="TableParagraph"/>
              <w:spacing w:line="240" w:lineRule="auto" w:before="76"/>
              <w:ind w:right="254"/>
              <w:jc w:val="center"/>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373" w:type="dxa"/>
            <w:tcBorders>
              <w:top w:val="nil" w:sz="6" w:space="0" w:color="auto"/>
              <w:left w:val="nil" w:sz="6" w:space="0" w:color="auto"/>
              <w:bottom w:val="nil" w:sz="6" w:space="0" w:color="auto"/>
              <w:right w:val="nil" w:sz="6" w:space="0" w:color="auto"/>
            </w:tcBorders>
          </w:tcPr>
          <w:p>
            <w:pPr>
              <w:pStyle w:val="TableParagraph"/>
              <w:spacing w:line="180" w:lineRule="exact"/>
              <w:ind w:left="250"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04"/>
        <w:gridCol w:w="1072"/>
        <w:gridCol w:w="951"/>
        <w:gridCol w:w="1686"/>
        <w:gridCol w:w="1109"/>
        <w:gridCol w:w="1184"/>
        <w:gridCol w:w="2026"/>
      </w:tblGrid>
      <w:tr>
        <w:trPr>
          <w:trHeight w:val="1299" w:hRule="exact"/>
        </w:trPr>
        <w:tc>
          <w:tcPr>
            <w:tcW w:w="1704"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319" w:lineRule="auto"/>
              <w:ind w:left="40" w:right="59"/>
              <w:jc w:val="left"/>
              <w:rPr>
                <w:rFonts w:ascii="宋体" w:hAnsi="宋体" w:cs="宋体" w:eastAsia="宋体" w:hint="default"/>
                <w:sz w:val="18"/>
                <w:szCs w:val="18"/>
              </w:rPr>
            </w:pPr>
            <w:r>
              <w:rPr>
                <w:rFonts w:ascii="宋体" w:hAnsi="宋体" w:cs="宋体" w:eastAsia="宋体" w:hint="default"/>
                <w:sz w:val="18"/>
                <w:szCs w:val="18"/>
              </w:rPr>
              <w:t>河</w:t>
            </w:r>
            <w:r>
              <w:rPr>
                <w:rFonts w:ascii="宋体" w:hAnsi="宋体" w:cs="宋体" w:eastAsia="宋体" w:hint="default"/>
                <w:spacing w:val="-67"/>
                <w:sz w:val="18"/>
                <w:szCs w:val="18"/>
              </w:rPr>
              <w:t> </w:t>
            </w:r>
            <w:r>
              <w:rPr>
                <w:rFonts w:ascii="宋体" w:hAnsi="宋体" w:cs="宋体" w:eastAsia="宋体" w:hint="default"/>
                <w:sz w:val="18"/>
                <w:szCs w:val="18"/>
              </w:rPr>
              <w:t>北</w:t>
            </w:r>
            <w:r>
              <w:rPr>
                <w:rFonts w:ascii="宋体" w:hAnsi="宋体" w:cs="宋体" w:eastAsia="宋体" w:hint="default"/>
                <w:spacing w:val="-67"/>
                <w:sz w:val="18"/>
                <w:szCs w:val="18"/>
              </w:rPr>
              <w:t> </w:t>
            </w:r>
            <w:r>
              <w:rPr>
                <w:rFonts w:ascii="宋体" w:hAnsi="宋体" w:cs="宋体" w:eastAsia="宋体" w:hint="default"/>
                <w:spacing w:val="10"/>
                <w:sz w:val="18"/>
                <w:szCs w:val="18"/>
              </w:rPr>
              <w:t>先河</w:t>
            </w:r>
            <w:r>
              <w:rPr>
                <w:rFonts w:ascii="宋体" w:hAnsi="宋体" w:cs="宋体" w:eastAsia="宋体" w:hint="default"/>
                <w:spacing w:val="-67"/>
                <w:sz w:val="18"/>
                <w:szCs w:val="18"/>
              </w:rPr>
              <w:t> </w:t>
            </w:r>
            <w:r>
              <w:rPr>
                <w:rFonts w:ascii="宋体" w:hAnsi="宋体" w:cs="宋体" w:eastAsia="宋体" w:hint="default"/>
                <w:spacing w:val="10"/>
                <w:sz w:val="18"/>
                <w:szCs w:val="18"/>
              </w:rPr>
              <w:t>中翼</w:t>
            </w:r>
            <w:r>
              <w:rPr>
                <w:rFonts w:ascii="宋体" w:hAnsi="宋体" w:cs="宋体" w:eastAsia="宋体" w:hint="default"/>
                <w:spacing w:val="-67"/>
                <w:sz w:val="18"/>
                <w:szCs w:val="18"/>
              </w:rPr>
              <w:t> </w:t>
            </w:r>
            <w:r>
              <w:rPr>
                <w:rFonts w:ascii="宋体" w:hAnsi="宋体" w:cs="宋体" w:eastAsia="宋体" w:hint="default"/>
                <w:sz w:val="18"/>
                <w:szCs w:val="18"/>
              </w:rPr>
              <w:t>环</w:t>
            </w:r>
            <w:r>
              <w:rPr>
                <w:rFonts w:ascii="宋体" w:hAnsi="宋体" w:cs="宋体" w:eastAsia="宋体" w:hint="default"/>
                <w:spacing w:val="-67"/>
                <w:sz w:val="18"/>
                <w:szCs w:val="18"/>
              </w:rPr>
              <w:t> </w:t>
            </w:r>
            <w:r>
              <w:rPr>
                <w:rFonts w:ascii="宋体" w:hAnsi="宋体" w:cs="宋体" w:eastAsia="宋体" w:hint="default"/>
                <w:sz w:val="18"/>
                <w:szCs w:val="18"/>
              </w:rPr>
              <w:t>保</w:t>
            </w:r>
            <w:r>
              <w:rPr>
                <w:rFonts w:ascii="宋体" w:hAnsi="宋体" w:cs="宋体" w:eastAsia="宋体" w:hint="default"/>
                <w:sz w:val="18"/>
                <w:szCs w:val="18"/>
              </w:rPr>
              <w:t> 运营服务有限公司</w:t>
            </w:r>
          </w:p>
        </w:tc>
        <w:tc>
          <w:tcPr>
            <w:tcW w:w="1072"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51"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1" w:right="0"/>
              <w:jc w:val="center"/>
              <w:rPr>
                <w:rFonts w:ascii="宋体" w:hAnsi="宋体" w:cs="宋体" w:eastAsia="宋体" w:hint="default"/>
                <w:sz w:val="18"/>
                <w:szCs w:val="18"/>
              </w:rPr>
            </w:pPr>
            <w:r>
              <w:rPr>
                <w:rFonts w:ascii="宋体" w:hAnsi="宋体" w:cs="宋体" w:eastAsia="宋体" w:hint="default"/>
                <w:sz w:val="18"/>
                <w:szCs w:val="18"/>
              </w:rPr>
              <w:t>石家庄市</w:t>
            </w:r>
          </w:p>
        </w:tc>
        <w:tc>
          <w:tcPr>
            <w:tcW w:w="1686"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319" w:lineRule="auto"/>
              <w:ind w:left="363" w:right="329" w:hanging="269"/>
              <w:jc w:val="left"/>
              <w:rPr>
                <w:rFonts w:ascii="宋体" w:hAnsi="宋体" w:cs="宋体" w:eastAsia="宋体" w:hint="default"/>
                <w:sz w:val="18"/>
                <w:szCs w:val="18"/>
              </w:rPr>
            </w:pPr>
            <w:r>
              <w:rPr>
                <w:rFonts w:ascii="宋体" w:hAnsi="宋体" w:cs="宋体" w:eastAsia="宋体" w:hint="default"/>
                <w:sz w:val="18"/>
                <w:szCs w:val="18"/>
              </w:rPr>
              <w:t>环保设备的安装 调试服务</w:t>
            </w:r>
          </w:p>
        </w:tc>
        <w:tc>
          <w:tcPr>
            <w:tcW w:w="1109"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42" w:right="0"/>
              <w:jc w:val="left"/>
              <w:rPr>
                <w:rFonts w:ascii="Times New Roman" w:hAnsi="Times New Roman" w:cs="Times New Roman" w:eastAsia="Times New Roman" w:hint="default"/>
                <w:sz w:val="18"/>
                <w:szCs w:val="18"/>
              </w:rPr>
            </w:pPr>
            <w:r>
              <w:rPr>
                <w:rFonts w:ascii="Times New Roman"/>
                <w:sz w:val="18"/>
              </w:rPr>
              <w:t>300</w:t>
            </w:r>
          </w:p>
        </w:tc>
        <w:tc>
          <w:tcPr>
            <w:tcW w:w="1184"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315"/>
              <w:jc w:val="right"/>
              <w:rPr>
                <w:rFonts w:ascii="Times New Roman" w:hAnsi="Times New Roman" w:cs="Times New Roman" w:eastAsia="Times New Roman" w:hint="default"/>
                <w:sz w:val="18"/>
                <w:szCs w:val="18"/>
              </w:rPr>
            </w:pPr>
            <w:r>
              <w:rPr>
                <w:rFonts w:ascii="Times New Roman"/>
                <w:sz w:val="18"/>
              </w:rPr>
              <w:t>300</w:t>
            </w:r>
          </w:p>
        </w:tc>
        <w:tc>
          <w:tcPr>
            <w:tcW w:w="2026"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319" w:lineRule="auto"/>
              <w:ind w:left="317" w:right="86"/>
              <w:jc w:val="both"/>
              <w:rPr>
                <w:rFonts w:ascii="宋体" w:hAnsi="宋体" w:cs="宋体" w:eastAsia="宋体" w:hint="default"/>
                <w:sz w:val="18"/>
                <w:szCs w:val="18"/>
              </w:rPr>
            </w:pPr>
            <w:r>
              <w:rPr>
                <w:rFonts w:ascii="宋体" w:hAnsi="宋体" w:cs="宋体" w:eastAsia="宋体" w:hint="default"/>
                <w:sz w:val="18"/>
                <w:szCs w:val="18"/>
              </w:rPr>
              <w:t>环境监测仪器、环保 设备的安装调试服务 等</w:t>
            </w:r>
          </w:p>
        </w:tc>
      </w:tr>
      <w:tr>
        <w:trPr>
          <w:trHeight w:val="665" w:hRule="exact"/>
        </w:trPr>
        <w:tc>
          <w:tcPr>
            <w:tcW w:w="1704"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40" w:right="59"/>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7"/>
                <w:sz w:val="18"/>
                <w:szCs w:val="18"/>
              </w:rPr>
              <w:t> </w:t>
            </w:r>
            <w:r>
              <w:rPr>
                <w:rFonts w:ascii="宋体" w:hAnsi="宋体" w:cs="宋体" w:eastAsia="宋体" w:hint="default"/>
                <w:sz w:val="18"/>
                <w:szCs w:val="18"/>
              </w:rPr>
              <w:t>京</w:t>
            </w:r>
            <w:r>
              <w:rPr>
                <w:rFonts w:ascii="宋体" w:hAnsi="宋体" w:cs="宋体" w:eastAsia="宋体" w:hint="default"/>
                <w:spacing w:val="-67"/>
                <w:sz w:val="18"/>
                <w:szCs w:val="18"/>
              </w:rPr>
              <w:t> </w:t>
            </w:r>
            <w:r>
              <w:rPr>
                <w:rFonts w:ascii="宋体" w:hAnsi="宋体" w:cs="宋体" w:eastAsia="宋体" w:hint="default"/>
                <w:spacing w:val="10"/>
                <w:sz w:val="18"/>
                <w:szCs w:val="18"/>
              </w:rPr>
              <w:t>先河</w:t>
            </w:r>
            <w:r>
              <w:rPr>
                <w:rFonts w:ascii="宋体" w:hAnsi="宋体" w:cs="宋体" w:eastAsia="宋体" w:hint="default"/>
                <w:spacing w:val="-67"/>
                <w:sz w:val="18"/>
                <w:szCs w:val="18"/>
              </w:rPr>
              <w:t> </w:t>
            </w:r>
            <w:r>
              <w:rPr>
                <w:rFonts w:ascii="宋体" w:hAnsi="宋体" w:cs="宋体" w:eastAsia="宋体" w:hint="default"/>
                <w:spacing w:val="10"/>
                <w:sz w:val="18"/>
                <w:szCs w:val="18"/>
              </w:rPr>
              <w:t>中润</w:t>
            </w:r>
            <w:r>
              <w:rPr>
                <w:rFonts w:ascii="宋体" w:hAnsi="宋体" w:cs="宋体" w:eastAsia="宋体" w:hint="default"/>
                <w:spacing w:val="-67"/>
                <w:sz w:val="18"/>
                <w:szCs w:val="18"/>
              </w:rPr>
              <w:t> </w:t>
            </w:r>
            <w:r>
              <w:rPr>
                <w:rFonts w:ascii="宋体" w:hAnsi="宋体" w:cs="宋体" w:eastAsia="宋体" w:hint="default"/>
                <w:sz w:val="18"/>
                <w:szCs w:val="18"/>
              </w:rPr>
              <w:t>科</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z w:val="18"/>
                <w:szCs w:val="18"/>
              </w:rPr>
              <w:t> 有限公司</w:t>
            </w:r>
          </w:p>
        </w:tc>
        <w:tc>
          <w:tcPr>
            <w:tcW w:w="107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8"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686"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363" w:right="329" w:hanging="89"/>
              <w:jc w:val="left"/>
              <w:rPr>
                <w:rFonts w:ascii="宋体" w:hAnsi="宋体" w:cs="宋体" w:eastAsia="宋体" w:hint="default"/>
                <w:sz w:val="18"/>
                <w:szCs w:val="18"/>
              </w:rPr>
            </w:pPr>
            <w:r>
              <w:rPr>
                <w:rFonts w:ascii="宋体" w:hAnsi="宋体" w:cs="宋体" w:eastAsia="宋体" w:hint="default"/>
                <w:sz w:val="18"/>
                <w:szCs w:val="18"/>
              </w:rPr>
              <w:t>按法律、法规 规定经营</w:t>
            </w:r>
          </w:p>
        </w:tc>
        <w:tc>
          <w:tcPr>
            <w:tcW w:w="11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242" w:right="0"/>
              <w:jc w:val="left"/>
              <w:rPr>
                <w:rFonts w:ascii="Times New Roman" w:hAnsi="Times New Roman" w:cs="Times New Roman" w:eastAsia="Times New Roman" w:hint="default"/>
                <w:sz w:val="18"/>
                <w:szCs w:val="18"/>
              </w:rPr>
            </w:pPr>
            <w:r>
              <w:rPr>
                <w:rFonts w:ascii="Times New Roman"/>
                <w:sz w:val="18"/>
              </w:rPr>
              <w:t>200</w:t>
            </w:r>
          </w:p>
        </w:tc>
        <w:tc>
          <w:tcPr>
            <w:tcW w:w="11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315"/>
              <w:jc w:val="right"/>
              <w:rPr>
                <w:rFonts w:ascii="Times New Roman" w:hAnsi="Times New Roman" w:cs="Times New Roman" w:eastAsia="Times New Roman" w:hint="default"/>
                <w:sz w:val="18"/>
                <w:szCs w:val="18"/>
              </w:rPr>
            </w:pPr>
            <w:r>
              <w:rPr>
                <w:rFonts w:ascii="Times New Roman"/>
                <w:sz w:val="18"/>
              </w:rPr>
              <w:t>200</w:t>
            </w:r>
          </w:p>
        </w:tc>
        <w:tc>
          <w:tcPr>
            <w:tcW w:w="2026"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317" w:right="86"/>
              <w:jc w:val="left"/>
              <w:rPr>
                <w:rFonts w:ascii="宋体" w:hAnsi="宋体" w:cs="宋体" w:eastAsia="宋体" w:hint="default"/>
                <w:sz w:val="18"/>
                <w:szCs w:val="18"/>
              </w:rPr>
            </w:pPr>
            <w:r>
              <w:rPr>
                <w:rFonts w:ascii="宋体" w:hAnsi="宋体" w:cs="宋体" w:eastAsia="宋体" w:hint="default"/>
                <w:sz w:val="18"/>
                <w:szCs w:val="18"/>
              </w:rPr>
              <w:t>按法律、法规规定经 营</w:t>
            </w:r>
          </w:p>
        </w:tc>
      </w:tr>
      <w:tr>
        <w:trPr>
          <w:trHeight w:val="2537" w:hRule="exact"/>
        </w:trPr>
        <w:tc>
          <w:tcPr>
            <w:tcW w:w="1704" w:type="dxa"/>
            <w:tcBorders>
              <w:top w:val="single" w:sz="12" w:space="0" w:color="000000"/>
              <w:left w:val="nil" w:sz="6" w:space="0" w:color="auto"/>
              <w:bottom w:val="single" w:sz="12" w:space="0" w:color="000000"/>
              <w:right w:val="nil" w:sz="6" w:space="0" w:color="auto"/>
            </w:tcBorders>
          </w:tcPr>
          <w:p>
            <w:pPr>
              <w:pStyle w:val="TableParagraph"/>
              <w:spacing w:line="316" w:lineRule="auto" w:before="8"/>
              <w:ind w:left="40" w:right="59"/>
              <w:jc w:val="left"/>
              <w:rPr>
                <w:rFonts w:ascii="宋体" w:hAnsi="宋体" w:cs="宋体" w:eastAsia="宋体" w:hint="default"/>
                <w:sz w:val="18"/>
                <w:szCs w:val="18"/>
              </w:rPr>
            </w:pPr>
            <w:r>
              <w:rPr>
                <w:rFonts w:ascii="宋体" w:hAnsi="宋体" w:cs="宋体" w:eastAsia="宋体" w:hint="default"/>
                <w:sz w:val="18"/>
                <w:szCs w:val="18"/>
              </w:rPr>
              <w:t>山</w:t>
            </w:r>
            <w:r>
              <w:rPr>
                <w:rFonts w:ascii="宋体" w:hAnsi="宋体" w:cs="宋体" w:eastAsia="宋体" w:hint="default"/>
                <w:spacing w:val="-67"/>
                <w:sz w:val="18"/>
                <w:szCs w:val="18"/>
              </w:rPr>
              <w:t> </w:t>
            </w:r>
            <w:r>
              <w:rPr>
                <w:rFonts w:ascii="宋体" w:hAnsi="宋体" w:cs="宋体" w:eastAsia="宋体" w:hint="default"/>
                <w:sz w:val="18"/>
                <w:szCs w:val="18"/>
              </w:rPr>
              <w:t>东</w:t>
            </w:r>
            <w:r>
              <w:rPr>
                <w:rFonts w:ascii="宋体" w:hAnsi="宋体" w:cs="宋体" w:eastAsia="宋体" w:hint="default"/>
                <w:spacing w:val="-67"/>
                <w:sz w:val="18"/>
                <w:szCs w:val="18"/>
              </w:rPr>
              <w:t> </w:t>
            </w:r>
            <w:r>
              <w:rPr>
                <w:rFonts w:ascii="宋体" w:hAnsi="宋体" w:cs="宋体" w:eastAsia="宋体" w:hint="default"/>
                <w:spacing w:val="10"/>
                <w:sz w:val="18"/>
                <w:szCs w:val="18"/>
              </w:rPr>
              <w:t>先河</w:t>
            </w:r>
            <w:r>
              <w:rPr>
                <w:rFonts w:ascii="宋体" w:hAnsi="宋体" w:cs="宋体" w:eastAsia="宋体" w:hint="default"/>
                <w:spacing w:val="-67"/>
                <w:sz w:val="18"/>
                <w:szCs w:val="18"/>
              </w:rPr>
              <w:t> </w:t>
            </w:r>
            <w:r>
              <w:rPr>
                <w:rFonts w:ascii="宋体" w:hAnsi="宋体" w:cs="宋体" w:eastAsia="宋体" w:hint="default"/>
                <w:spacing w:val="10"/>
                <w:sz w:val="18"/>
                <w:szCs w:val="18"/>
              </w:rPr>
              <w:t>环保</w:t>
            </w:r>
            <w:r>
              <w:rPr>
                <w:rFonts w:ascii="宋体" w:hAnsi="宋体" w:cs="宋体" w:eastAsia="宋体" w:hint="default"/>
                <w:spacing w:val="-67"/>
                <w:sz w:val="18"/>
                <w:szCs w:val="18"/>
              </w:rPr>
              <w:t> </w:t>
            </w:r>
            <w:r>
              <w:rPr>
                <w:rFonts w:ascii="宋体" w:hAnsi="宋体" w:cs="宋体" w:eastAsia="宋体" w:hint="default"/>
                <w:sz w:val="18"/>
                <w:szCs w:val="18"/>
              </w:rPr>
              <w:t>科</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z w:val="18"/>
                <w:szCs w:val="18"/>
              </w:rPr>
              <w:t> 有限公司</w:t>
            </w:r>
          </w:p>
        </w:tc>
        <w:tc>
          <w:tcPr>
            <w:tcW w:w="107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38" w:right="0"/>
              <w:jc w:val="center"/>
              <w:rPr>
                <w:rFonts w:ascii="宋体" w:hAnsi="宋体" w:cs="宋体" w:eastAsia="宋体" w:hint="default"/>
                <w:sz w:val="18"/>
                <w:szCs w:val="18"/>
              </w:rPr>
            </w:pPr>
            <w:r>
              <w:rPr>
                <w:rFonts w:ascii="宋体" w:hAnsi="宋体" w:cs="宋体" w:eastAsia="宋体" w:hint="default"/>
                <w:sz w:val="18"/>
                <w:szCs w:val="18"/>
              </w:rPr>
              <w:t>济南市</w:t>
            </w:r>
          </w:p>
        </w:tc>
        <w:tc>
          <w:tcPr>
            <w:tcW w:w="1686" w:type="dxa"/>
            <w:tcBorders>
              <w:top w:val="single" w:sz="12" w:space="0" w:color="000000"/>
              <w:left w:val="nil" w:sz="6" w:space="0" w:color="auto"/>
              <w:bottom w:val="single" w:sz="12" w:space="0" w:color="000000"/>
              <w:right w:val="nil" w:sz="6" w:space="0" w:color="auto"/>
            </w:tcBorders>
          </w:tcPr>
          <w:p>
            <w:pPr>
              <w:pStyle w:val="TableParagraph"/>
              <w:spacing w:line="316" w:lineRule="auto" w:before="8"/>
              <w:ind w:left="94" w:right="240" w:hanging="89"/>
              <w:jc w:val="center"/>
              <w:rPr>
                <w:rFonts w:ascii="宋体" w:hAnsi="宋体" w:cs="宋体" w:eastAsia="宋体" w:hint="default"/>
                <w:sz w:val="18"/>
                <w:szCs w:val="18"/>
              </w:rPr>
            </w:pPr>
            <w:r>
              <w:rPr>
                <w:rFonts w:ascii="宋体" w:hAnsi="宋体" w:cs="宋体" w:eastAsia="宋体" w:hint="default"/>
                <w:sz w:val="18"/>
                <w:szCs w:val="18"/>
              </w:rPr>
              <w:t>环保专用设备的 </w:t>
            </w:r>
            <w:r>
              <w:rPr>
                <w:rFonts w:ascii="宋体" w:hAnsi="宋体" w:cs="宋体" w:eastAsia="宋体" w:hint="default"/>
                <w:spacing w:val="-12"/>
                <w:sz w:val="18"/>
                <w:szCs w:val="18"/>
              </w:rPr>
              <w:t>开发、技术咨询、</w:t>
            </w:r>
            <w:r>
              <w:rPr>
                <w:rFonts w:ascii="宋体" w:hAnsi="宋体" w:cs="宋体" w:eastAsia="宋体" w:hint="default"/>
                <w:sz w:val="18"/>
                <w:szCs w:val="18"/>
              </w:rPr>
              <w:t> 销售、安装</w:t>
            </w:r>
          </w:p>
        </w:tc>
        <w:tc>
          <w:tcPr>
            <w:tcW w:w="11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800</w:t>
            </w:r>
          </w:p>
        </w:tc>
        <w:tc>
          <w:tcPr>
            <w:tcW w:w="11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15"/>
              <w:jc w:val="right"/>
              <w:rPr>
                <w:rFonts w:ascii="Times New Roman" w:hAnsi="Times New Roman" w:cs="Times New Roman" w:eastAsia="Times New Roman" w:hint="default"/>
                <w:sz w:val="18"/>
                <w:szCs w:val="18"/>
              </w:rPr>
            </w:pPr>
            <w:r>
              <w:rPr>
                <w:rFonts w:ascii="Times New Roman"/>
                <w:sz w:val="18"/>
              </w:rPr>
              <w:t>800</w:t>
            </w:r>
          </w:p>
        </w:tc>
        <w:tc>
          <w:tcPr>
            <w:tcW w:w="2026" w:type="dxa"/>
            <w:tcBorders>
              <w:top w:val="single" w:sz="12" w:space="0" w:color="000000"/>
              <w:left w:val="nil" w:sz="6" w:space="0" w:color="auto"/>
              <w:bottom w:val="single" w:sz="12" w:space="0" w:color="000000"/>
              <w:right w:val="nil" w:sz="6" w:space="0" w:color="auto"/>
            </w:tcBorders>
          </w:tcPr>
          <w:p>
            <w:pPr>
              <w:pStyle w:val="TableParagraph"/>
              <w:spacing w:line="316" w:lineRule="auto" w:before="8"/>
              <w:ind w:left="317" w:right="0"/>
              <w:jc w:val="left"/>
              <w:rPr>
                <w:rFonts w:ascii="宋体" w:hAnsi="宋体" w:cs="宋体" w:eastAsia="宋体" w:hint="default"/>
                <w:sz w:val="18"/>
                <w:szCs w:val="18"/>
              </w:rPr>
            </w:pPr>
            <w:r>
              <w:rPr>
                <w:rFonts w:ascii="宋体" w:hAnsi="宋体" w:cs="宋体" w:eastAsia="宋体" w:hint="default"/>
                <w:sz w:val="18"/>
                <w:szCs w:val="18"/>
              </w:rPr>
              <w:t>环保技术、计量仪器 </w:t>
            </w:r>
            <w:r>
              <w:rPr>
                <w:rFonts w:ascii="宋体" w:hAnsi="宋体" w:cs="宋体" w:eastAsia="宋体" w:hint="default"/>
                <w:spacing w:val="-19"/>
                <w:sz w:val="18"/>
                <w:szCs w:val="18"/>
              </w:rPr>
              <w:t>的开发；化工产品（不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含危险化学品）、电 子产品等的销售；软 </w:t>
            </w:r>
            <w:r>
              <w:rPr>
                <w:rFonts w:ascii="宋体" w:hAnsi="宋体" w:cs="宋体" w:eastAsia="宋体" w:hint="default"/>
                <w:spacing w:val="-10"/>
                <w:sz w:val="18"/>
                <w:szCs w:val="18"/>
              </w:rPr>
              <w:t>件产品的开发、生产、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销售；环境监测仪器 的开发、销售、技术 服务等。</w:t>
            </w:r>
          </w:p>
        </w:tc>
      </w:tr>
      <w:tr>
        <w:trPr>
          <w:trHeight w:val="1601" w:hRule="exact"/>
        </w:trPr>
        <w:tc>
          <w:tcPr>
            <w:tcW w:w="1704" w:type="dxa"/>
            <w:tcBorders>
              <w:top w:val="single" w:sz="12" w:space="0" w:color="000000"/>
              <w:left w:val="nil" w:sz="6" w:space="0" w:color="auto"/>
              <w:bottom w:val="single" w:sz="12" w:space="0" w:color="000000"/>
              <w:right w:val="nil" w:sz="6" w:space="0" w:color="auto"/>
            </w:tcBorders>
          </w:tcPr>
          <w:p>
            <w:pPr>
              <w:pStyle w:val="TableParagraph"/>
              <w:spacing w:line="316" w:lineRule="auto" w:before="8"/>
              <w:ind w:left="40" w:right="35"/>
              <w:jc w:val="both"/>
              <w:rPr>
                <w:rFonts w:ascii="宋体" w:hAnsi="宋体" w:cs="宋体" w:eastAsia="宋体" w:hint="default"/>
                <w:sz w:val="18"/>
                <w:szCs w:val="18"/>
              </w:rPr>
            </w:pPr>
            <w:r>
              <w:rPr>
                <w:rFonts w:ascii="宋体" w:hAnsi="宋体" w:cs="宋体" w:eastAsia="宋体" w:hint="default"/>
                <w:sz w:val="18"/>
                <w:szCs w:val="18"/>
              </w:rPr>
              <w:t>河</w:t>
            </w:r>
            <w:r>
              <w:rPr>
                <w:rFonts w:ascii="宋体" w:hAnsi="宋体" w:cs="宋体" w:eastAsia="宋体" w:hint="default"/>
                <w:spacing w:val="-67"/>
                <w:sz w:val="18"/>
                <w:szCs w:val="18"/>
              </w:rPr>
              <w:t> </w:t>
            </w:r>
            <w:r>
              <w:rPr>
                <w:rFonts w:ascii="宋体" w:hAnsi="宋体" w:cs="宋体" w:eastAsia="宋体" w:hint="default"/>
                <w:sz w:val="18"/>
                <w:szCs w:val="18"/>
              </w:rPr>
              <w:t>北</w:t>
            </w:r>
            <w:r>
              <w:rPr>
                <w:rFonts w:ascii="宋体" w:hAnsi="宋体" w:cs="宋体" w:eastAsia="宋体" w:hint="default"/>
                <w:spacing w:val="-67"/>
                <w:sz w:val="18"/>
                <w:szCs w:val="18"/>
              </w:rPr>
              <w:t> </w:t>
            </w:r>
            <w:r>
              <w:rPr>
                <w:rFonts w:ascii="宋体" w:hAnsi="宋体" w:cs="宋体" w:eastAsia="宋体" w:hint="default"/>
                <w:spacing w:val="10"/>
                <w:sz w:val="18"/>
                <w:szCs w:val="18"/>
              </w:rPr>
              <w:t>先河</w:t>
            </w:r>
            <w:r>
              <w:rPr>
                <w:rFonts w:ascii="宋体" w:hAnsi="宋体" w:cs="宋体" w:eastAsia="宋体" w:hint="default"/>
                <w:spacing w:val="-67"/>
                <w:sz w:val="18"/>
                <w:szCs w:val="18"/>
              </w:rPr>
              <w:t> </w:t>
            </w:r>
            <w:r>
              <w:rPr>
                <w:rFonts w:ascii="宋体" w:hAnsi="宋体" w:cs="宋体" w:eastAsia="宋体" w:hint="default"/>
                <w:spacing w:val="10"/>
                <w:sz w:val="18"/>
                <w:szCs w:val="18"/>
              </w:rPr>
              <w:t>金瑞</w:t>
            </w:r>
            <w:r>
              <w:rPr>
                <w:rFonts w:ascii="宋体" w:hAnsi="宋体" w:cs="宋体" w:eastAsia="宋体" w:hint="default"/>
                <w:spacing w:val="-65"/>
                <w:sz w:val="18"/>
                <w:szCs w:val="18"/>
              </w:rPr>
              <w:t> </w:t>
            </w:r>
            <w:r>
              <w:rPr>
                <w:rFonts w:ascii="宋体" w:hAnsi="宋体" w:cs="宋体" w:eastAsia="宋体" w:hint="default"/>
                <w:spacing w:val="12"/>
                <w:sz w:val="18"/>
                <w:szCs w:val="18"/>
              </w:rPr>
              <w:t>环保</w:t>
            </w:r>
            <w:r>
              <w:rPr>
                <w:rFonts w:ascii="宋体" w:hAnsi="宋体" w:cs="宋体" w:eastAsia="宋体" w:hint="default"/>
                <w:spacing w:val="-66"/>
                <w:sz w:val="18"/>
                <w:szCs w:val="18"/>
              </w:rPr>
              <w:t> </w:t>
            </w:r>
            <w:r>
              <w:rPr>
                <w:rFonts w:ascii="宋体" w:hAnsi="宋体" w:cs="宋体" w:eastAsia="宋体" w:hint="default"/>
                <w:sz w:val="18"/>
                <w:szCs w:val="18"/>
              </w:rPr>
              <w:t>设</w:t>
            </w:r>
            <w:r>
              <w:rPr>
                <w:rFonts w:ascii="宋体" w:hAnsi="宋体" w:cs="宋体" w:eastAsia="宋体" w:hint="default"/>
                <w:spacing w:val="-67"/>
                <w:sz w:val="18"/>
                <w:szCs w:val="18"/>
              </w:rPr>
              <w:t> </w:t>
            </w:r>
            <w:r>
              <w:rPr>
                <w:rFonts w:ascii="宋体" w:hAnsi="宋体" w:cs="宋体" w:eastAsia="宋体" w:hint="default"/>
                <w:sz w:val="18"/>
                <w:szCs w:val="18"/>
              </w:rPr>
              <w:t>施</w:t>
            </w:r>
            <w:r>
              <w:rPr>
                <w:rFonts w:ascii="宋体" w:hAnsi="宋体" w:cs="宋体" w:eastAsia="宋体" w:hint="default"/>
                <w:spacing w:val="-67"/>
                <w:sz w:val="18"/>
                <w:szCs w:val="18"/>
              </w:rPr>
              <w:t> </w:t>
            </w:r>
            <w:r>
              <w:rPr>
                <w:rFonts w:ascii="宋体" w:hAnsi="宋体" w:cs="宋体" w:eastAsia="宋体" w:hint="default"/>
                <w:spacing w:val="10"/>
                <w:sz w:val="18"/>
                <w:szCs w:val="18"/>
              </w:rPr>
              <w:t>运营</w:t>
            </w:r>
            <w:r>
              <w:rPr>
                <w:rFonts w:ascii="宋体" w:hAnsi="宋体" w:cs="宋体" w:eastAsia="宋体" w:hint="default"/>
                <w:spacing w:val="-67"/>
                <w:sz w:val="18"/>
                <w:szCs w:val="18"/>
              </w:rPr>
              <w:t> </w:t>
            </w:r>
            <w:r>
              <w:rPr>
                <w:rFonts w:ascii="宋体" w:hAnsi="宋体" w:cs="宋体" w:eastAsia="宋体" w:hint="default"/>
                <w:spacing w:val="10"/>
                <w:sz w:val="18"/>
                <w:szCs w:val="18"/>
              </w:rPr>
              <w:t>服务</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07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41" w:right="0"/>
              <w:jc w:val="center"/>
              <w:rPr>
                <w:rFonts w:ascii="宋体" w:hAnsi="宋体" w:cs="宋体" w:eastAsia="宋体" w:hint="default"/>
                <w:sz w:val="18"/>
                <w:szCs w:val="18"/>
              </w:rPr>
            </w:pPr>
            <w:r>
              <w:rPr>
                <w:rFonts w:ascii="宋体" w:hAnsi="宋体" w:cs="宋体" w:eastAsia="宋体" w:hint="default"/>
                <w:sz w:val="18"/>
                <w:szCs w:val="18"/>
              </w:rPr>
              <w:t>石家庄市</w:t>
            </w:r>
          </w:p>
        </w:tc>
        <w:tc>
          <w:tcPr>
            <w:tcW w:w="1686" w:type="dxa"/>
            <w:tcBorders>
              <w:top w:val="single" w:sz="12" w:space="0" w:color="000000"/>
              <w:left w:val="nil" w:sz="6" w:space="0" w:color="auto"/>
              <w:bottom w:val="single" w:sz="12" w:space="0" w:color="000000"/>
              <w:right w:val="nil" w:sz="6" w:space="0" w:color="auto"/>
            </w:tcBorders>
          </w:tcPr>
          <w:p>
            <w:pPr>
              <w:pStyle w:val="TableParagraph"/>
              <w:spacing w:line="316" w:lineRule="auto" w:before="8"/>
              <w:ind w:left="94" w:right="329"/>
              <w:jc w:val="center"/>
              <w:rPr>
                <w:rFonts w:ascii="宋体" w:hAnsi="宋体" w:cs="宋体" w:eastAsia="宋体" w:hint="default"/>
                <w:sz w:val="18"/>
                <w:szCs w:val="18"/>
              </w:rPr>
            </w:pPr>
            <w:r>
              <w:rPr>
                <w:rFonts w:ascii="宋体" w:hAnsi="宋体" w:cs="宋体" w:eastAsia="宋体" w:hint="default"/>
                <w:sz w:val="18"/>
                <w:szCs w:val="18"/>
              </w:rPr>
              <w:t>环保专用设备的 安装、维修及技 术咨询服务</w:t>
            </w:r>
          </w:p>
        </w:tc>
        <w:tc>
          <w:tcPr>
            <w:tcW w:w="11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300</w:t>
            </w:r>
          </w:p>
        </w:tc>
        <w:tc>
          <w:tcPr>
            <w:tcW w:w="11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15"/>
              <w:jc w:val="right"/>
              <w:rPr>
                <w:rFonts w:ascii="Times New Roman" w:hAnsi="Times New Roman" w:cs="Times New Roman" w:eastAsia="Times New Roman" w:hint="default"/>
                <w:sz w:val="18"/>
                <w:szCs w:val="18"/>
              </w:rPr>
            </w:pPr>
            <w:r>
              <w:rPr>
                <w:rFonts w:ascii="Times New Roman"/>
                <w:sz w:val="18"/>
              </w:rPr>
              <w:t>225</w:t>
            </w:r>
          </w:p>
        </w:tc>
        <w:tc>
          <w:tcPr>
            <w:tcW w:w="2026" w:type="dxa"/>
            <w:tcBorders>
              <w:top w:val="single" w:sz="12" w:space="0" w:color="000000"/>
              <w:left w:val="nil" w:sz="6" w:space="0" w:color="auto"/>
              <w:bottom w:val="single" w:sz="12" w:space="0" w:color="000000"/>
              <w:right w:val="nil" w:sz="6" w:space="0" w:color="auto"/>
            </w:tcBorders>
          </w:tcPr>
          <w:p>
            <w:pPr>
              <w:pStyle w:val="TableParagraph"/>
              <w:spacing w:line="316" w:lineRule="auto" w:before="8"/>
              <w:ind w:left="317" w:right="86"/>
              <w:jc w:val="left"/>
              <w:rPr>
                <w:rFonts w:ascii="宋体" w:hAnsi="宋体" w:cs="宋体" w:eastAsia="宋体" w:hint="default"/>
                <w:sz w:val="18"/>
                <w:szCs w:val="18"/>
              </w:rPr>
            </w:pPr>
            <w:r>
              <w:rPr>
                <w:rFonts w:ascii="宋体" w:hAnsi="宋体" w:cs="宋体" w:eastAsia="宋体" w:hint="default"/>
                <w:sz w:val="18"/>
                <w:szCs w:val="18"/>
              </w:rPr>
              <w:t>环境监测仪器、环保 设备的安装调试服 务、日常运营管理服 务、维修服务、技术 咨询、技术服务</w:t>
            </w:r>
          </w:p>
        </w:tc>
      </w:tr>
    </w:tbl>
    <w:p>
      <w:pPr>
        <w:spacing w:before="8"/>
        <w:ind w:left="132" w:right="0" w:firstLine="0"/>
        <w:jc w:val="left"/>
        <w:rPr>
          <w:rFonts w:ascii="宋体" w:hAnsi="宋体" w:cs="宋体" w:eastAsia="宋体" w:hint="default"/>
          <w:sz w:val="18"/>
          <w:szCs w:val="18"/>
        </w:rPr>
      </w:pPr>
      <w:r>
        <w:rPr>
          <w:rFonts w:ascii="宋体" w:hAnsi="宋体" w:cs="宋体" w:eastAsia="宋体" w:hint="default"/>
          <w:sz w:val="18"/>
          <w:szCs w:val="18"/>
        </w:rPr>
        <w:t>续表</w:t>
      </w:r>
    </w:p>
    <w:p>
      <w:pPr>
        <w:spacing w:line="240" w:lineRule="auto" w:before="11"/>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1677"/>
        <w:gridCol w:w="1085"/>
        <w:gridCol w:w="1039"/>
        <w:gridCol w:w="1259"/>
        <w:gridCol w:w="1342"/>
        <w:gridCol w:w="1684"/>
        <w:gridCol w:w="1550"/>
      </w:tblGrid>
      <w:tr>
        <w:trPr>
          <w:trHeight w:val="1208" w:hRule="exact"/>
        </w:trPr>
        <w:tc>
          <w:tcPr>
            <w:tcW w:w="1677" w:type="dxa"/>
            <w:tcBorders>
              <w:top w:val="nil" w:sz="6" w:space="0" w:color="auto"/>
              <w:left w:val="nil" w:sz="6" w:space="0" w:color="auto"/>
              <w:bottom w:val="single" w:sz="12" w:space="0" w:color="000000"/>
              <w:right w:val="nil" w:sz="6" w:space="0" w:color="auto"/>
            </w:tcBorders>
          </w:tcPr>
          <w:p>
            <w:pPr>
              <w:pStyle w:val="TableParagraph"/>
              <w:spacing w:line="180" w:lineRule="exact"/>
              <w:ind w:left="374"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085" w:type="dxa"/>
            <w:tcBorders>
              <w:top w:val="nil" w:sz="6" w:space="0" w:color="auto"/>
              <w:left w:val="nil" w:sz="6" w:space="0" w:color="auto"/>
              <w:bottom w:val="single" w:sz="12" w:space="0" w:color="000000"/>
              <w:right w:val="nil" w:sz="6" w:space="0" w:color="auto"/>
            </w:tcBorders>
          </w:tcPr>
          <w:p>
            <w:pPr>
              <w:pStyle w:val="TableParagraph"/>
              <w:spacing w:line="180" w:lineRule="exact"/>
              <w:ind w:left="48" w:right="0"/>
              <w:jc w:val="both"/>
              <w:rPr>
                <w:rFonts w:ascii="宋体" w:hAnsi="宋体" w:cs="宋体" w:eastAsia="宋体" w:hint="default"/>
                <w:sz w:val="18"/>
                <w:szCs w:val="18"/>
              </w:rPr>
            </w:pPr>
            <w:r>
              <w:rPr>
                <w:rFonts w:ascii="宋体" w:hAnsi="宋体" w:cs="宋体" w:eastAsia="宋体" w:hint="default"/>
                <w:b/>
                <w:bCs/>
                <w:sz w:val="18"/>
                <w:szCs w:val="18"/>
              </w:rPr>
              <w:t>实质上构成</w:t>
            </w:r>
            <w:r>
              <w:rPr>
                <w:rFonts w:ascii="宋体" w:hAnsi="宋体" w:cs="宋体" w:eastAsia="宋体" w:hint="default"/>
                <w:sz w:val="18"/>
                <w:szCs w:val="18"/>
              </w:rPr>
            </w:r>
          </w:p>
          <w:p>
            <w:pPr>
              <w:pStyle w:val="TableParagraph"/>
              <w:spacing w:line="316" w:lineRule="auto" w:before="76"/>
              <w:ind w:left="48" w:right="131"/>
              <w:jc w:val="both"/>
              <w:rPr>
                <w:rFonts w:ascii="宋体" w:hAnsi="宋体" w:cs="宋体" w:eastAsia="宋体" w:hint="default"/>
                <w:sz w:val="18"/>
                <w:szCs w:val="18"/>
              </w:rPr>
            </w:pPr>
            <w:r>
              <w:rPr>
                <w:rFonts w:ascii="宋体" w:hAnsi="宋体" w:cs="宋体" w:eastAsia="宋体" w:hint="default"/>
                <w:b/>
                <w:bCs/>
                <w:sz w:val="18"/>
                <w:szCs w:val="18"/>
              </w:rPr>
              <w:t>对子公司净</w:t>
            </w:r>
            <w:r>
              <w:rPr>
                <w:rFonts w:ascii="宋体" w:hAnsi="宋体" w:cs="宋体" w:eastAsia="宋体" w:hint="default"/>
                <w:b/>
                <w:bCs/>
                <w:w w:val="99"/>
                <w:sz w:val="18"/>
                <w:szCs w:val="18"/>
              </w:rPr>
              <w:t> </w:t>
            </w:r>
            <w:r>
              <w:rPr>
                <w:rFonts w:ascii="宋体" w:hAnsi="宋体" w:cs="宋体" w:eastAsia="宋体" w:hint="default"/>
                <w:b/>
                <w:bCs/>
                <w:sz w:val="18"/>
                <w:szCs w:val="18"/>
              </w:rPr>
              <w:t>投资的其他</w:t>
            </w:r>
            <w:r>
              <w:rPr>
                <w:rFonts w:ascii="宋体" w:hAnsi="宋体" w:cs="宋体" w:eastAsia="宋体" w:hint="default"/>
                <w:b/>
                <w:bCs/>
                <w:w w:val="99"/>
                <w:sz w:val="18"/>
                <w:szCs w:val="18"/>
              </w:rPr>
              <w:t> </w:t>
            </w:r>
            <w:r>
              <w:rPr>
                <w:rFonts w:ascii="宋体" w:hAnsi="宋体" w:cs="宋体" w:eastAsia="宋体" w:hint="default"/>
                <w:b/>
                <w:bCs/>
                <w:sz w:val="18"/>
                <w:szCs w:val="18"/>
              </w:rPr>
              <w:t>项目余额</w:t>
            </w:r>
            <w:r>
              <w:rPr>
                <w:rFonts w:ascii="宋体" w:hAnsi="宋体" w:cs="宋体" w:eastAsia="宋体" w:hint="default"/>
                <w:sz w:val="18"/>
                <w:szCs w:val="18"/>
              </w:rPr>
            </w:r>
          </w:p>
        </w:tc>
        <w:tc>
          <w:tcPr>
            <w:tcW w:w="1039" w:type="dxa"/>
            <w:tcBorders>
              <w:top w:val="nil" w:sz="6" w:space="0" w:color="auto"/>
              <w:left w:val="nil" w:sz="6" w:space="0" w:color="auto"/>
              <w:bottom w:val="single" w:sz="12" w:space="0" w:color="000000"/>
              <w:right w:val="nil" w:sz="6" w:space="0" w:color="auto"/>
            </w:tcBorders>
          </w:tcPr>
          <w:p>
            <w:pPr>
              <w:pStyle w:val="TableParagraph"/>
              <w:spacing w:line="180" w:lineRule="exact"/>
              <w:ind w:right="48"/>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p>
            <w:pPr>
              <w:pStyle w:val="TableParagraph"/>
              <w:spacing w:line="240" w:lineRule="auto" w:before="76"/>
              <w:ind w:right="53"/>
              <w:jc w:val="center"/>
              <w:rPr>
                <w:rFonts w:ascii="Times New Roman" w:hAnsi="Times New Roman" w:cs="Times New Roman" w:eastAsia="Times New Roman" w:hint="default"/>
                <w:sz w:val="18"/>
                <w:szCs w:val="18"/>
              </w:rPr>
            </w:pPr>
            <w:r>
              <w:rPr>
                <w:rFonts w:ascii="宋体" w:hAnsi="宋体" w:cs="宋体" w:eastAsia="宋体" w:hint="default"/>
                <w:b/>
                <w:bCs/>
                <w:spacing w:val="-3"/>
                <w:sz w:val="18"/>
                <w:szCs w:val="18"/>
              </w:rPr>
              <w:t>（</w:t>
            </w:r>
            <w:r>
              <w:rPr>
                <w:rFonts w:ascii="Times New Roman" w:hAnsi="Times New Roman" w:cs="Times New Roman" w:eastAsia="Times New Roman" w:hint="default"/>
                <w:b/>
                <w:bCs/>
                <w:spacing w:val="-3"/>
                <w:sz w:val="18"/>
                <w:szCs w:val="18"/>
              </w:rPr>
              <w:t>%?</w:t>
            </w:r>
            <w:r>
              <w:rPr>
                <w:rFonts w:ascii="Times New Roman" w:hAnsi="Times New Roman" w:cs="Times New Roman" w:eastAsia="Times New Roman" w:hint="default"/>
                <w:sz w:val="18"/>
                <w:szCs w:val="18"/>
              </w:rPr>
            </w:r>
          </w:p>
        </w:tc>
        <w:tc>
          <w:tcPr>
            <w:tcW w:w="1259" w:type="dxa"/>
            <w:tcBorders>
              <w:top w:val="nil" w:sz="6" w:space="0" w:color="auto"/>
              <w:left w:val="nil" w:sz="6" w:space="0" w:color="auto"/>
              <w:bottom w:val="single" w:sz="12" w:space="0" w:color="000000"/>
              <w:right w:val="nil" w:sz="6" w:space="0" w:color="auto"/>
            </w:tcBorders>
          </w:tcPr>
          <w:p>
            <w:pPr>
              <w:pStyle w:val="TableParagraph"/>
              <w:spacing w:line="180" w:lineRule="exact"/>
              <w:ind w:left="10" w:right="0"/>
              <w:jc w:val="center"/>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sz w:val="18"/>
                <w:szCs w:val="18"/>
              </w:rPr>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宋体" w:hAnsi="宋体" w:cs="宋体" w:eastAsia="宋体" w:hint="default"/>
                <w:b/>
                <w:bCs/>
                <w:spacing w:val="-3"/>
                <w:sz w:val="18"/>
                <w:szCs w:val="18"/>
              </w:rPr>
              <w:t>（</w:t>
            </w:r>
            <w:r>
              <w:rPr>
                <w:rFonts w:ascii="Times New Roman" w:hAnsi="Times New Roman" w:cs="Times New Roman" w:eastAsia="Times New Roman" w:hint="default"/>
                <w:b/>
                <w:bCs/>
                <w:spacing w:val="-3"/>
                <w:sz w:val="18"/>
                <w:szCs w:val="18"/>
              </w:rPr>
              <w:t>%?</w:t>
            </w:r>
            <w:r>
              <w:rPr>
                <w:rFonts w:ascii="Times New Roman" w:hAnsi="Times New Roman" w:cs="Times New Roman" w:eastAsia="Times New Roman" w:hint="default"/>
                <w:sz w:val="18"/>
                <w:szCs w:val="18"/>
              </w:rPr>
            </w:r>
          </w:p>
        </w:tc>
        <w:tc>
          <w:tcPr>
            <w:tcW w:w="1342" w:type="dxa"/>
            <w:tcBorders>
              <w:top w:val="nil" w:sz="6" w:space="0" w:color="auto"/>
              <w:left w:val="nil" w:sz="6" w:space="0" w:color="auto"/>
              <w:bottom w:val="single" w:sz="12" w:space="0" w:color="000000"/>
              <w:right w:val="nil" w:sz="6" w:space="0" w:color="auto"/>
            </w:tcBorders>
          </w:tcPr>
          <w:p>
            <w:pPr>
              <w:pStyle w:val="TableParagraph"/>
              <w:spacing w:line="180" w:lineRule="exact"/>
              <w:ind w:left="88" w:right="0"/>
              <w:jc w:val="center"/>
              <w:rPr>
                <w:rFonts w:ascii="宋体" w:hAnsi="宋体" w:cs="宋体" w:eastAsia="宋体" w:hint="default"/>
                <w:sz w:val="18"/>
                <w:szCs w:val="18"/>
              </w:rPr>
            </w:pPr>
            <w:r>
              <w:rPr>
                <w:rFonts w:ascii="宋体" w:hAnsi="宋体" w:cs="宋体" w:eastAsia="宋体" w:hint="default"/>
                <w:b/>
                <w:bCs/>
                <w:sz w:val="18"/>
                <w:szCs w:val="18"/>
              </w:rPr>
              <w:t>是否合并报表</w:t>
            </w:r>
            <w:r>
              <w:rPr>
                <w:rFonts w:ascii="宋体" w:hAnsi="宋体" w:cs="宋体" w:eastAsia="宋体" w:hint="default"/>
                <w:sz w:val="18"/>
                <w:szCs w:val="18"/>
              </w:rPr>
            </w:r>
          </w:p>
        </w:tc>
        <w:tc>
          <w:tcPr>
            <w:tcW w:w="1684" w:type="dxa"/>
            <w:tcBorders>
              <w:top w:val="nil" w:sz="6" w:space="0" w:color="auto"/>
              <w:left w:val="nil" w:sz="6" w:space="0" w:color="auto"/>
              <w:bottom w:val="single" w:sz="12" w:space="0" w:color="000000"/>
              <w:right w:val="nil" w:sz="6" w:space="0" w:color="auto"/>
            </w:tcBorders>
          </w:tcPr>
          <w:p>
            <w:pPr>
              <w:pStyle w:val="TableParagraph"/>
              <w:spacing w:line="180" w:lineRule="exact"/>
              <w:ind w:left="84" w:right="0"/>
              <w:jc w:val="left"/>
              <w:rPr>
                <w:rFonts w:ascii="宋体" w:hAnsi="宋体" w:cs="宋体" w:eastAsia="宋体" w:hint="default"/>
                <w:sz w:val="18"/>
                <w:szCs w:val="18"/>
              </w:rPr>
            </w:pPr>
            <w:r>
              <w:rPr>
                <w:rFonts w:ascii="宋体" w:hAnsi="宋体" w:cs="宋体" w:eastAsia="宋体" w:hint="default"/>
                <w:b/>
                <w:bCs/>
                <w:spacing w:val="-4"/>
                <w:sz w:val="18"/>
                <w:szCs w:val="18"/>
              </w:rPr>
              <w:t>少数股东权益（元）</w:t>
            </w:r>
            <w:r>
              <w:rPr>
                <w:rFonts w:ascii="宋体" w:hAnsi="宋体" w:cs="宋体" w:eastAsia="宋体" w:hint="default"/>
                <w:spacing w:val="-4"/>
                <w:sz w:val="18"/>
                <w:szCs w:val="18"/>
              </w:rPr>
            </w:r>
          </w:p>
        </w:tc>
        <w:tc>
          <w:tcPr>
            <w:tcW w:w="1550" w:type="dxa"/>
            <w:tcBorders>
              <w:top w:val="nil" w:sz="6" w:space="0" w:color="auto"/>
              <w:left w:val="nil" w:sz="6" w:space="0" w:color="auto"/>
              <w:bottom w:val="single" w:sz="12"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少数股东权益中用</w:t>
            </w:r>
            <w:r>
              <w:rPr>
                <w:rFonts w:ascii="宋体" w:hAnsi="宋体" w:cs="宋体" w:eastAsia="宋体" w:hint="default"/>
                <w:sz w:val="18"/>
                <w:szCs w:val="18"/>
              </w:rPr>
            </w:r>
          </w:p>
          <w:p>
            <w:pPr>
              <w:pStyle w:val="TableParagraph"/>
              <w:spacing w:line="316" w:lineRule="auto" w:before="76"/>
              <w:ind w:left="371" w:right="94" w:hanging="363"/>
              <w:jc w:val="left"/>
              <w:rPr>
                <w:rFonts w:ascii="宋体" w:hAnsi="宋体" w:cs="宋体" w:eastAsia="宋体" w:hint="default"/>
                <w:sz w:val="18"/>
                <w:szCs w:val="18"/>
              </w:rPr>
            </w:pPr>
            <w:r>
              <w:rPr>
                <w:rFonts w:ascii="宋体" w:hAnsi="宋体" w:cs="宋体" w:eastAsia="宋体" w:hint="default"/>
                <w:b/>
                <w:bCs/>
                <w:sz w:val="18"/>
                <w:szCs w:val="18"/>
              </w:rPr>
              <w:t>于冲减少数股东损</w:t>
            </w:r>
            <w:r>
              <w:rPr>
                <w:rFonts w:ascii="宋体" w:hAnsi="宋体" w:cs="宋体" w:eastAsia="宋体" w:hint="default"/>
                <w:b/>
                <w:bCs/>
                <w:w w:val="99"/>
                <w:sz w:val="18"/>
                <w:szCs w:val="18"/>
              </w:rPr>
              <w:t> </w:t>
            </w:r>
            <w:r>
              <w:rPr>
                <w:rFonts w:ascii="宋体" w:hAnsi="宋体" w:cs="宋体" w:eastAsia="宋体" w:hint="default"/>
                <w:b/>
                <w:bCs/>
                <w:sz w:val="18"/>
                <w:szCs w:val="18"/>
              </w:rPr>
              <w:t>益的金额</w:t>
            </w:r>
            <w:r>
              <w:rPr>
                <w:rFonts w:ascii="宋体" w:hAnsi="宋体" w:cs="宋体" w:eastAsia="宋体" w:hint="default"/>
                <w:sz w:val="18"/>
                <w:szCs w:val="18"/>
              </w:rPr>
            </w:r>
          </w:p>
        </w:tc>
      </w:tr>
      <w:tr>
        <w:trPr>
          <w:trHeight w:val="665" w:hRule="exact"/>
        </w:trPr>
        <w:tc>
          <w:tcPr>
            <w:tcW w:w="1677" w:type="dxa"/>
            <w:tcBorders>
              <w:top w:val="single" w:sz="12" w:space="0" w:color="000000"/>
              <w:left w:val="nil" w:sz="6" w:space="0" w:color="auto"/>
              <w:bottom w:val="single" w:sz="12" w:space="0" w:color="000000"/>
              <w:right w:val="nil" w:sz="6" w:space="0" w:color="auto"/>
            </w:tcBorders>
          </w:tcPr>
          <w:p>
            <w:pPr>
              <w:pStyle w:val="TableParagraph"/>
              <w:spacing w:line="316" w:lineRule="auto" w:before="11"/>
              <w:ind w:left="26" w:right="46"/>
              <w:jc w:val="left"/>
              <w:rPr>
                <w:rFonts w:ascii="宋体" w:hAnsi="宋体" w:cs="宋体" w:eastAsia="宋体" w:hint="default"/>
                <w:sz w:val="18"/>
                <w:szCs w:val="18"/>
              </w:rPr>
            </w:pPr>
            <w:r>
              <w:rPr>
                <w:rFonts w:ascii="宋体" w:hAnsi="宋体" w:cs="宋体" w:eastAsia="宋体" w:hint="default"/>
                <w:sz w:val="18"/>
                <w:szCs w:val="18"/>
              </w:rPr>
              <w:t>河</w:t>
            </w:r>
            <w:r>
              <w:rPr>
                <w:rFonts w:ascii="宋体" w:hAnsi="宋体" w:cs="宋体" w:eastAsia="宋体" w:hint="default"/>
                <w:spacing w:val="-67"/>
                <w:sz w:val="18"/>
                <w:szCs w:val="18"/>
              </w:rPr>
              <w:t> </w:t>
            </w:r>
            <w:r>
              <w:rPr>
                <w:rFonts w:ascii="宋体" w:hAnsi="宋体" w:cs="宋体" w:eastAsia="宋体" w:hint="default"/>
                <w:sz w:val="18"/>
                <w:szCs w:val="18"/>
              </w:rPr>
              <w:t>北</w:t>
            </w:r>
            <w:r>
              <w:rPr>
                <w:rFonts w:ascii="宋体" w:hAnsi="宋体" w:cs="宋体" w:eastAsia="宋体" w:hint="default"/>
                <w:spacing w:val="-67"/>
                <w:sz w:val="18"/>
                <w:szCs w:val="18"/>
              </w:rPr>
              <w:t> </w:t>
            </w:r>
            <w:r>
              <w:rPr>
                <w:rFonts w:ascii="宋体" w:hAnsi="宋体" w:cs="宋体" w:eastAsia="宋体" w:hint="default"/>
                <w:spacing w:val="10"/>
                <w:sz w:val="18"/>
                <w:szCs w:val="18"/>
              </w:rPr>
              <w:t>先河</w:t>
            </w:r>
            <w:r>
              <w:rPr>
                <w:rFonts w:ascii="宋体" w:hAnsi="宋体" w:cs="宋体" w:eastAsia="宋体" w:hint="default"/>
                <w:spacing w:val="-67"/>
                <w:sz w:val="18"/>
                <w:szCs w:val="18"/>
              </w:rPr>
              <w:t> </w:t>
            </w:r>
            <w:r>
              <w:rPr>
                <w:rFonts w:ascii="宋体" w:hAnsi="宋体" w:cs="宋体" w:eastAsia="宋体" w:hint="default"/>
                <w:spacing w:val="10"/>
                <w:sz w:val="18"/>
                <w:szCs w:val="18"/>
              </w:rPr>
              <w:t>中翼</w:t>
            </w:r>
            <w:r>
              <w:rPr>
                <w:rFonts w:ascii="宋体" w:hAnsi="宋体" w:cs="宋体" w:eastAsia="宋体" w:hint="default"/>
                <w:spacing w:val="-67"/>
                <w:sz w:val="18"/>
                <w:szCs w:val="18"/>
              </w:rPr>
              <w:t> </w:t>
            </w:r>
            <w:r>
              <w:rPr>
                <w:rFonts w:ascii="宋体" w:hAnsi="宋体" w:cs="宋体" w:eastAsia="宋体" w:hint="default"/>
                <w:sz w:val="18"/>
                <w:szCs w:val="18"/>
              </w:rPr>
              <w:t>环</w:t>
            </w:r>
            <w:r>
              <w:rPr>
                <w:rFonts w:ascii="宋体" w:hAnsi="宋体" w:cs="宋体" w:eastAsia="宋体" w:hint="default"/>
                <w:spacing w:val="-67"/>
                <w:sz w:val="18"/>
                <w:szCs w:val="18"/>
              </w:rPr>
              <w:t> </w:t>
            </w:r>
            <w:r>
              <w:rPr>
                <w:rFonts w:ascii="宋体" w:hAnsi="宋体" w:cs="宋体" w:eastAsia="宋体" w:hint="default"/>
                <w:sz w:val="18"/>
                <w:szCs w:val="18"/>
              </w:rPr>
              <w:t>保</w:t>
            </w:r>
            <w:r>
              <w:rPr>
                <w:rFonts w:ascii="宋体" w:hAnsi="宋体" w:cs="宋体" w:eastAsia="宋体" w:hint="default"/>
                <w:sz w:val="18"/>
                <w:szCs w:val="18"/>
              </w:rPr>
              <w:t> 运营服务有限公司</w:t>
            </w:r>
          </w:p>
        </w:tc>
        <w:tc>
          <w:tcPr>
            <w:tcW w:w="1085" w:type="dxa"/>
            <w:tcBorders>
              <w:top w:val="single" w:sz="12" w:space="0" w:color="000000"/>
              <w:left w:val="nil" w:sz="6" w:space="0" w:color="auto"/>
              <w:bottom w:val="single" w:sz="12" w:space="0" w:color="000000"/>
              <w:right w:val="nil" w:sz="6" w:space="0" w:color="auto"/>
            </w:tcBorders>
          </w:tcPr>
          <w:p>
            <w:pPr/>
          </w:p>
        </w:tc>
        <w:tc>
          <w:tcPr>
            <w:tcW w:w="10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3"/>
              <w:ind w:right="404"/>
              <w:jc w:val="right"/>
              <w:rPr>
                <w:rFonts w:ascii="Times New Roman" w:hAnsi="Times New Roman" w:cs="Times New Roman" w:eastAsia="Times New Roman" w:hint="default"/>
                <w:sz w:val="18"/>
                <w:szCs w:val="18"/>
              </w:rPr>
            </w:pPr>
            <w:r>
              <w:rPr>
                <w:rFonts w:ascii="Times New Roman"/>
                <w:sz w:val="18"/>
              </w:rPr>
              <w:t>100</w:t>
            </w:r>
          </w:p>
        </w:tc>
        <w:tc>
          <w:tcPr>
            <w:tcW w:w="12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3"/>
              <w:ind w:right="482"/>
              <w:jc w:val="right"/>
              <w:rPr>
                <w:rFonts w:ascii="Times New Roman" w:hAnsi="Times New Roman" w:cs="Times New Roman" w:eastAsia="Times New Roman" w:hint="default"/>
                <w:sz w:val="18"/>
                <w:szCs w:val="18"/>
              </w:rPr>
            </w:pPr>
            <w:r>
              <w:rPr>
                <w:rFonts w:ascii="Times New Roman"/>
                <w:sz w:val="18"/>
              </w:rPr>
              <w:t>100</w:t>
            </w:r>
          </w:p>
        </w:tc>
        <w:tc>
          <w:tcPr>
            <w:tcW w:w="134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9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684" w:type="dxa"/>
            <w:tcBorders>
              <w:top w:val="single" w:sz="12" w:space="0" w:color="000000"/>
              <w:left w:val="nil" w:sz="6" w:space="0" w:color="auto"/>
              <w:bottom w:val="single" w:sz="12" w:space="0" w:color="000000"/>
              <w:right w:val="nil" w:sz="6" w:space="0" w:color="auto"/>
            </w:tcBorders>
          </w:tcPr>
          <w:p>
            <w:pPr/>
          </w:p>
        </w:tc>
        <w:tc>
          <w:tcPr>
            <w:tcW w:w="1550" w:type="dxa"/>
            <w:tcBorders>
              <w:top w:val="single" w:sz="12" w:space="0" w:color="000000"/>
              <w:left w:val="nil" w:sz="6" w:space="0" w:color="auto"/>
              <w:bottom w:val="single" w:sz="12" w:space="0" w:color="000000"/>
              <w:right w:val="nil" w:sz="6" w:space="0" w:color="auto"/>
            </w:tcBorders>
          </w:tcPr>
          <w:p>
            <w:pPr/>
          </w:p>
        </w:tc>
      </w:tr>
      <w:tr>
        <w:trPr>
          <w:trHeight w:val="662" w:hRule="exact"/>
        </w:trPr>
        <w:tc>
          <w:tcPr>
            <w:tcW w:w="1677" w:type="dxa"/>
            <w:tcBorders>
              <w:top w:val="single" w:sz="12" w:space="0" w:color="000000"/>
              <w:left w:val="nil" w:sz="6" w:space="0" w:color="auto"/>
              <w:bottom w:val="single" w:sz="12" w:space="0" w:color="000000"/>
              <w:right w:val="nil" w:sz="6" w:space="0" w:color="auto"/>
            </w:tcBorders>
          </w:tcPr>
          <w:p>
            <w:pPr>
              <w:pStyle w:val="TableParagraph"/>
              <w:spacing w:line="316" w:lineRule="auto" w:before="8"/>
              <w:ind w:left="26" w:right="46"/>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7"/>
                <w:sz w:val="18"/>
                <w:szCs w:val="18"/>
              </w:rPr>
              <w:t> </w:t>
            </w:r>
            <w:r>
              <w:rPr>
                <w:rFonts w:ascii="宋体" w:hAnsi="宋体" w:cs="宋体" w:eastAsia="宋体" w:hint="default"/>
                <w:sz w:val="18"/>
                <w:szCs w:val="18"/>
              </w:rPr>
              <w:t>京</w:t>
            </w:r>
            <w:r>
              <w:rPr>
                <w:rFonts w:ascii="宋体" w:hAnsi="宋体" w:cs="宋体" w:eastAsia="宋体" w:hint="default"/>
                <w:spacing w:val="-67"/>
                <w:sz w:val="18"/>
                <w:szCs w:val="18"/>
              </w:rPr>
              <w:t> </w:t>
            </w:r>
            <w:r>
              <w:rPr>
                <w:rFonts w:ascii="宋体" w:hAnsi="宋体" w:cs="宋体" w:eastAsia="宋体" w:hint="default"/>
                <w:spacing w:val="10"/>
                <w:sz w:val="18"/>
                <w:szCs w:val="18"/>
              </w:rPr>
              <w:t>先河</w:t>
            </w:r>
            <w:r>
              <w:rPr>
                <w:rFonts w:ascii="宋体" w:hAnsi="宋体" w:cs="宋体" w:eastAsia="宋体" w:hint="default"/>
                <w:spacing w:val="-67"/>
                <w:sz w:val="18"/>
                <w:szCs w:val="18"/>
              </w:rPr>
              <w:t> </w:t>
            </w:r>
            <w:r>
              <w:rPr>
                <w:rFonts w:ascii="宋体" w:hAnsi="宋体" w:cs="宋体" w:eastAsia="宋体" w:hint="default"/>
                <w:spacing w:val="10"/>
                <w:sz w:val="18"/>
                <w:szCs w:val="18"/>
              </w:rPr>
              <w:t>中润</w:t>
            </w:r>
            <w:r>
              <w:rPr>
                <w:rFonts w:ascii="宋体" w:hAnsi="宋体" w:cs="宋体" w:eastAsia="宋体" w:hint="default"/>
                <w:spacing w:val="-67"/>
                <w:sz w:val="18"/>
                <w:szCs w:val="18"/>
              </w:rPr>
              <w:t> </w:t>
            </w:r>
            <w:r>
              <w:rPr>
                <w:rFonts w:ascii="宋体" w:hAnsi="宋体" w:cs="宋体" w:eastAsia="宋体" w:hint="default"/>
                <w:sz w:val="18"/>
                <w:szCs w:val="18"/>
              </w:rPr>
              <w:t>科</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z w:val="18"/>
                <w:szCs w:val="18"/>
              </w:rPr>
              <w:t> 有限公司</w:t>
            </w:r>
          </w:p>
        </w:tc>
        <w:tc>
          <w:tcPr>
            <w:tcW w:w="1085" w:type="dxa"/>
            <w:tcBorders>
              <w:top w:val="single" w:sz="12" w:space="0" w:color="000000"/>
              <w:left w:val="nil" w:sz="6" w:space="0" w:color="auto"/>
              <w:bottom w:val="single" w:sz="12" w:space="0" w:color="000000"/>
              <w:right w:val="nil" w:sz="6" w:space="0" w:color="auto"/>
            </w:tcBorders>
          </w:tcPr>
          <w:p>
            <w:pPr/>
          </w:p>
        </w:tc>
        <w:tc>
          <w:tcPr>
            <w:tcW w:w="10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04"/>
              <w:jc w:val="right"/>
              <w:rPr>
                <w:rFonts w:ascii="Times New Roman" w:hAnsi="Times New Roman" w:cs="Times New Roman" w:eastAsia="Times New Roman" w:hint="default"/>
                <w:sz w:val="18"/>
                <w:szCs w:val="18"/>
              </w:rPr>
            </w:pPr>
            <w:r>
              <w:rPr>
                <w:rFonts w:ascii="Times New Roman"/>
                <w:sz w:val="18"/>
              </w:rPr>
              <w:t>100</w:t>
            </w:r>
          </w:p>
        </w:tc>
        <w:tc>
          <w:tcPr>
            <w:tcW w:w="12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82"/>
              <w:jc w:val="right"/>
              <w:rPr>
                <w:rFonts w:ascii="Times New Roman" w:hAnsi="Times New Roman" w:cs="Times New Roman" w:eastAsia="Times New Roman" w:hint="default"/>
                <w:sz w:val="18"/>
                <w:szCs w:val="18"/>
              </w:rPr>
            </w:pPr>
            <w:r>
              <w:rPr>
                <w:rFonts w:ascii="Times New Roman"/>
                <w:sz w:val="18"/>
              </w:rPr>
              <w:t>100</w:t>
            </w:r>
          </w:p>
        </w:tc>
        <w:tc>
          <w:tcPr>
            <w:tcW w:w="134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684" w:type="dxa"/>
            <w:tcBorders>
              <w:top w:val="single" w:sz="12" w:space="0" w:color="000000"/>
              <w:left w:val="nil" w:sz="6" w:space="0" w:color="auto"/>
              <w:bottom w:val="single" w:sz="12" w:space="0" w:color="000000"/>
              <w:right w:val="nil" w:sz="6" w:space="0" w:color="auto"/>
            </w:tcBorders>
          </w:tcPr>
          <w:p>
            <w:pPr/>
          </w:p>
        </w:tc>
        <w:tc>
          <w:tcPr>
            <w:tcW w:w="1550" w:type="dxa"/>
            <w:tcBorders>
              <w:top w:val="single" w:sz="12" w:space="0" w:color="000000"/>
              <w:left w:val="nil" w:sz="6" w:space="0" w:color="auto"/>
              <w:bottom w:val="single" w:sz="12" w:space="0" w:color="000000"/>
              <w:right w:val="nil" w:sz="6" w:space="0" w:color="auto"/>
            </w:tcBorders>
          </w:tcPr>
          <w:p>
            <w:pPr/>
          </w:p>
        </w:tc>
      </w:tr>
      <w:tr>
        <w:trPr>
          <w:trHeight w:val="665" w:hRule="exact"/>
        </w:trPr>
        <w:tc>
          <w:tcPr>
            <w:tcW w:w="1677"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26" w:right="46"/>
              <w:jc w:val="left"/>
              <w:rPr>
                <w:rFonts w:ascii="宋体" w:hAnsi="宋体" w:cs="宋体" w:eastAsia="宋体" w:hint="default"/>
                <w:sz w:val="18"/>
                <w:szCs w:val="18"/>
              </w:rPr>
            </w:pPr>
            <w:r>
              <w:rPr>
                <w:rFonts w:ascii="宋体" w:hAnsi="宋体" w:cs="宋体" w:eastAsia="宋体" w:hint="default"/>
                <w:sz w:val="18"/>
                <w:szCs w:val="18"/>
              </w:rPr>
              <w:t>山</w:t>
            </w:r>
            <w:r>
              <w:rPr>
                <w:rFonts w:ascii="宋体" w:hAnsi="宋体" w:cs="宋体" w:eastAsia="宋体" w:hint="default"/>
                <w:spacing w:val="-67"/>
                <w:sz w:val="18"/>
                <w:szCs w:val="18"/>
              </w:rPr>
              <w:t> </w:t>
            </w:r>
            <w:r>
              <w:rPr>
                <w:rFonts w:ascii="宋体" w:hAnsi="宋体" w:cs="宋体" w:eastAsia="宋体" w:hint="default"/>
                <w:sz w:val="18"/>
                <w:szCs w:val="18"/>
              </w:rPr>
              <w:t>东</w:t>
            </w:r>
            <w:r>
              <w:rPr>
                <w:rFonts w:ascii="宋体" w:hAnsi="宋体" w:cs="宋体" w:eastAsia="宋体" w:hint="default"/>
                <w:spacing w:val="-67"/>
                <w:sz w:val="18"/>
                <w:szCs w:val="18"/>
              </w:rPr>
              <w:t> </w:t>
            </w:r>
            <w:r>
              <w:rPr>
                <w:rFonts w:ascii="宋体" w:hAnsi="宋体" w:cs="宋体" w:eastAsia="宋体" w:hint="default"/>
                <w:spacing w:val="10"/>
                <w:sz w:val="18"/>
                <w:szCs w:val="18"/>
              </w:rPr>
              <w:t>先河</w:t>
            </w:r>
            <w:r>
              <w:rPr>
                <w:rFonts w:ascii="宋体" w:hAnsi="宋体" w:cs="宋体" w:eastAsia="宋体" w:hint="default"/>
                <w:spacing w:val="-67"/>
                <w:sz w:val="18"/>
                <w:szCs w:val="18"/>
              </w:rPr>
              <w:t> </w:t>
            </w:r>
            <w:r>
              <w:rPr>
                <w:rFonts w:ascii="宋体" w:hAnsi="宋体" w:cs="宋体" w:eastAsia="宋体" w:hint="default"/>
                <w:spacing w:val="10"/>
                <w:sz w:val="18"/>
                <w:szCs w:val="18"/>
              </w:rPr>
              <w:t>环保</w:t>
            </w:r>
            <w:r>
              <w:rPr>
                <w:rFonts w:ascii="宋体" w:hAnsi="宋体" w:cs="宋体" w:eastAsia="宋体" w:hint="default"/>
                <w:spacing w:val="-67"/>
                <w:sz w:val="18"/>
                <w:szCs w:val="18"/>
              </w:rPr>
              <w:t> </w:t>
            </w:r>
            <w:r>
              <w:rPr>
                <w:rFonts w:ascii="宋体" w:hAnsi="宋体" w:cs="宋体" w:eastAsia="宋体" w:hint="default"/>
                <w:sz w:val="18"/>
                <w:szCs w:val="18"/>
              </w:rPr>
              <w:t>科</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z w:val="18"/>
                <w:szCs w:val="18"/>
              </w:rPr>
              <w:t> 有限公司</w:t>
            </w:r>
          </w:p>
        </w:tc>
        <w:tc>
          <w:tcPr>
            <w:tcW w:w="1085" w:type="dxa"/>
            <w:tcBorders>
              <w:top w:val="single" w:sz="12" w:space="0" w:color="000000"/>
              <w:left w:val="nil" w:sz="6" w:space="0" w:color="auto"/>
              <w:bottom w:val="single" w:sz="12" w:space="0" w:color="000000"/>
              <w:right w:val="nil" w:sz="6" w:space="0" w:color="auto"/>
            </w:tcBorders>
          </w:tcPr>
          <w:p>
            <w:pPr/>
          </w:p>
        </w:tc>
        <w:tc>
          <w:tcPr>
            <w:tcW w:w="10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04"/>
              <w:jc w:val="right"/>
              <w:rPr>
                <w:rFonts w:ascii="Times New Roman" w:hAnsi="Times New Roman" w:cs="Times New Roman" w:eastAsia="Times New Roman" w:hint="default"/>
                <w:sz w:val="18"/>
                <w:szCs w:val="18"/>
              </w:rPr>
            </w:pPr>
            <w:r>
              <w:rPr>
                <w:rFonts w:ascii="Times New Roman"/>
                <w:sz w:val="18"/>
              </w:rPr>
              <w:t>100</w:t>
            </w:r>
          </w:p>
        </w:tc>
        <w:tc>
          <w:tcPr>
            <w:tcW w:w="12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82"/>
              <w:jc w:val="right"/>
              <w:rPr>
                <w:rFonts w:ascii="Times New Roman" w:hAnsi="Times New Roman" w:cs="Times New Roman" w:eastAsia="Times New Roman" w:hint="default"/>
                <w:sz w:val="18"/>
                <w:szCs w:val="18"/>
              </w:rPr>
            </w:pPr>
            <w:r>
              <w:rPr>
                <w:rFonts w:ascii="Times New Roman"/>
                <w:sz w:val="18"/>
              </w:rPr>
              <w:t>100</w:t>
            </w:r>
          </w:p>
        </w:tc>
        <w:tc>
          <w:tcPr>
            <w:tcW w:w="134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684" w:type="dxa"/>
            <w:tcBorders>
              <w:top w:val="single" w:sz="12" w:space="0" w:color="000000"/>
              <w:left w:val="nil" w:sz="6" w:space="0" w:color="auto"/>
              <w:bottom w:val="single" w:sz="12" w:space="0" w:color="000000"/>
              <w:right w:val="nil" w:sz="6" w:space="0" w:color="auto"/>
            </w:tcBorders>
          </w:tcPr>
          <w:p>
            <w:pPr/>
          </w:p>
        </w:tc>
        <w:tc>
          <w:tcPr>
            <w:tcW w:w="1550" w:type="dxa"/>
            <w:tcBorders>
              <w:top w:val="single" w:sz="12" w:space="0" w:color="000000"/>
              <w:left w:val="nil" w:sz="6" w:space="0" w:color="auto"/>
              <w:bottom w:val="single" w:sz="12" w:space="0" w:color="000000"/>
              <w:right w:val="nil" w:sz="6" w:space="0" w:color="auto"/>
            </w:tcBorders>
          </w:tcPr>
          <w:p>
            <w:pPr/>
          </w:p>
        </w:tc>
      </w:tr>
      <w:tr>
        <w:trPr>
          <w:trHeight w:val="977" w:hRule="exact"/>
        </w:trPr>
        <w:tc>
          <w:tcPr>
            <w:tcW w:w="1677"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26" w:right="46"/>
              <w:jc w:val="both"/>
              <w:rPr>
                <w:rFonts w:ascii="宋体" w:hAnsi="宋体" w:cs="宋体" w:eastAsia="宋体" w:hint="default"/>
                <w:sz w:val="18"/>
                <w:szCs w:val="18"/>
              </w:rPr>
            </w:pPr>
            <w:r>
              <w:rPr>
                <w:rFonts w:ascii="宋体" w:hAnsi="宋体" w:cs="宋体" w:eastAsia="宋体" w:hint="default"/>
                <w:sz w:val="18"/>
                <w:szCs w:val="18"/>
              </w:rPr>
              <w:t>河</w:t>
            </w:r>
            <w:r>
              <w:rPr>
                <w:rFonts w:ascii="宋体" w:hAnsi="宋体" w:cs="宋体" w:eastAsia="宋体" w:hint="default"/>
                <w:spacing w:val="-67"/>
                <w:sz w:val="18"/>
                <w:szCs w:val="18"/>
              </w:rPr>
              <w:t> </w:t>
            </w:r>
            <w:r>
              <w:rPr>
                <w:rFonts w:ascii="宋体" w:hAnsi="宋体" w:cs="宋体" w:eastAsia="宋体" w:hint="default"/>
                <w:sz w:val="18"/>
                <w:szCs w:val="18"/>
              </w:rPr>
              <w:t>北</w:t>
            </w:r>
            <w:r>
              <w:rPr>
                <w:rFonts w:ascii="宋体" w:hAnsi="宋体" w:cs="宋体" w:eastAsia="宋体" w:hint="default"/>
                <w:spacing w:val="-67"/>
                <w:sz w:val="18"/>
                <w:szCs w:val="18"/>
              </w:rPr>
              <w:t> </w:t>
            </w:r>
            <w:r>
              <w:rPr>
                <w:rFonts w:ascii="宋体" w:hAnsi="宋体" w:cs="宋体" w:eastAsia="宋体" w:hint="default"/>
                <w:spacing w:val="10"/>
                <w:sz w:val="18"/>
                <w:szCs w:val="18"/>
              </w:rPr>
              <w:t>先河</w:t>
            </w:r>
            <w:r>
              <w:rPr>
                <w:rFonts w:ascii="宋体" w:hAnsi="宋体" w:cs="宋体" w:eastAsia="宋体" w:hint="default"/>
                <w:spacing w:val="-67"/>
                <w:sz w:val="18"/>
                <w:szCs w:val="18"/>
              </w:rPr>
              <w:t> </w:t>
            </w:r>
            <w:r>
              <w:rPr>
                <w:rFonts w:ascii="宋体" w:hAnsi="宋体" w:cs="宋体" w:eastAsia="宋体" w:hint="default"/>
                <w:spacing w:val="10"/>
                <w:sz w:val="18"/>
                <w:szCs w:val="18"/>
              </w:rPr>
              <w:t>金瑞</w:t>
            </w:r>
            <w:r>
              <w:rPr>
                <w:rFonts w:ascii="宋体" w:hAnsi="宋体" w:cs="宋体" w:eastAsia="宋体" w:hint="default"/>
                <w:spacing w:val="-67"/>
                <w:sz w:val="18"/>
                <w:szCs w:val="18"/>
              </w:rPr>
              <w:t> </w:t>
            </w:r>
            <w:r>
              <w:rPr>
                <w:rFonts w:ascii="宋体" w:hAnsi="宋体" w:cs="宋体" w:eastAsia="宋体" w:hint="default"/>
                <w:sz w:val="18"/>
                <w:szCs w:val="18"/>
              </w:rPr>
              <w:t>环</w:t>
            </w:r>
            <w:r>
              <w:rPr>
                <w:rFonts w:ascii="宋体" w:hAnsi="宋体" w:cs="宋体" w:eastAsia="宋体" w:hint="default"/>
                <w:spacing w:val="-67"/>
                <w:sz w:val="18"/>
                <w:szCs w:val="18"/>
              </w:rPr>
              <w:t> </w:t>
            </w:r>
            <w:r>
              <w:rPr>
                <w:rFonts w:ascii="宋体" w:hAnsi="宋体" w:cs="宋体" w:eastAsia="宋体" w:hint="default"/>
                <w:sz w:val="18"/>
                <w:szCs w:val="18"/>
              </w:rPr>
              <w:t>保</w:t>
            </w:r>
            <w:r>
              <w:rPr>
                <w:rFonts w:ascii="宋体" w:hAnsi="宋体" w:cs="宋体" w:eastAsia="宋体" w:hint="default"/>
                <w:sz w:val="18"/>
                <w:szCs w:val="18"/>
              </w:rPr>
              <w:t> 设</w:t>
            </w:r>
            <w:r>
              <w:rPr>
                <w:rFonts w:ascii="宋体" w:hAnsi="宋体" w:cs="宋体" w:eastAsia="宋体" w:hint="default"/>
                <w:spacing w:val="-67"/>
                <w:sz w:val="18"/>
                <w:szCs w:val="18"/>
              </w:rPr>
              <w:t> </w:t>
            </w:r>
            <w:r>
              <w:rPr>
                <w:rFonts w:ascii="宋体" w:hAnsi="宋体" w:cs="宋体" w:eastAsia="宋体" w:hint="default"/>
                <w:sz w:val="18"/>
                <w:szCs w:val="18"/>
              </w:rPr>
              <w:t>施</w:t>
            </w:r>
            <w:r>
              <w:rPr>
                <w:rFonts w:ascii="宋体" w:hAnsi="宋体" w:cs="宋体" w:eastAsia="宋体" w:hint="default"/>
                <w:spacing w:val="-67"/>
                <w:sz w:val="18"/>
                <w:szCs w:val="18"/>
              </w:rPr>
              <w:t> </w:t>
            </w:r>
            <w:r>
              <w:rPr>
                <w:rFonts w:ascii="宋体" w:hAnsi="宋体" w:cs="宋体" w:eastAsia="宋体" w:hint="default"/>
                <w:spacing w:val="10"/>
                <w:sz w:val="18"/>
                <w:szCs w:val="18"/>
              </w:rPr>
              <w:t>运营</w:t>
            </w:r>
            <w:r>
              <w:rPr>
                <w:rFonts w:ascii="宋体" w:hAnsi="宋体" w:cs="宋体" w:eastAsia="宋体" w:hint="default"/>
                <w:spacing w:val="-67"/>
                <w:sz w:val="18"/>
                <w:szCs w:val="18"/>
              </w:rPr>
              <w:t> </w:t>
            </w:r>
            <w:r>
              <w:rPr>
                <w:rFonts w:ascii="宋体" w:hAnsi="宋体" w:cs="宋体" w:eastAsia="宋体" w:hint="default"/>
                <w:spacing w:val="10"/>
                <w:sz w:val="18"/>
                <w:szCs w:val="18"/>
              </w:rPr>
              <w:t>服务</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085" w:type="dxa"/>
            <w:tcBorders>
              <w:top w:val="single" w:sz="12" w:space="0" w:color="000000"/>
              <w:left w:val="nil" w:sz="6" w:space="0" w:color="auto"/>
              <w:bottom w:val="single" w:sz="12" w:space="0" w:color="000000"/>
              <w:right w:val="nil" w:sz="6" w:space="0" w:color="auto"/>
            </w:tcBorders>
          </w:tcPr>
          <w:p>
            <w:pPr/>
          </w:p>
        </w:tc>
        <w:tc>
          <w:tcPr>
            <w:tcW w:w="10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50"/>
              <w:jc w:val="right"/>
              <w:rPr>
                <w:rFonts w:ascii="Times New Roman" w:hAnsi="Times New Roman" w:cs="Times New Roman" w:eastAsia="Times New Roman" w:hint="default"/>
                <w:sz w:val="18"/>
                <w:szCs w:val="18"/>
              </w:rPr>
            </w:pPr>
            <w:r>
              <w:rPr>
                <w:rFonts w:ascii="Times New Roman"/>
                <w:sz w:val="18"/>
              </w:rPr>
              <w:t>75</w:t>
            </w:r>
          </w:p>
        </w:tc>
        <w:tc>
          <w:tcPr>
            <w:tcW w:w="12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528"/>
              <w:jc w:val="right"/>
              <w:rPr>
                <w:rFonts w:ascii="Times New Roman" w:hAnsi="Times New Roman" w:cs="Times New Roman" w:eastAsia="Times New Roman" w:hint="default"/>
                <w:sz w:val="18"/>
                <w:szCs w:val="18"/>
              </w:rPr>
            </w:pPr>
            <w:r>
              <w:rPr>
                <w:rFonts w:ascii="Times New Roman"/>
                <w:sz w:val="18"/>
              </w:rPr>
              <w:t>75</w:t>
            </w:r>
          </w:p>
        </w:tc>
        <w:tc>
          <w:tcPr>
            <w:tcW w:w="134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6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607" w:right="0"/>
              <w:jc w:val="left"/>
              <w:rPr>
                <w:rFonts w:ascii="Times New Roman" w:hAnsi="Times New Roman" w:cs="Times New Roman" w:eastAsia="Times New Roman" w:hint="default"/>
                <w:sz w:val="18"/>
                <w:szCs w:val="18"/>
              </w:rPr>
            </w:pPr>
            <w:r>
              <w:rPr>
                <w:rFonts w:ascii="Times New Roman"/>
                <w:sz w:val="18"/>
              </w:rPr>
              <w:t>330,176.15</w:t>
            </w:r>
          </w:p>
        </w:tc>
        <w:tc>
          <w:tcPr>
            <w:tcW w:w="1550" w:type="dxa"/>
            <w:tcBorders>
              <w:top w:val="single" w:sz="12" w:space="0" w:color="000000"/>
              <w:left w:val="nil" w:sz="6" w:space="0" w:color="auto"/>
              <w:bottom w:val="single" w:sz="12" w:space="0" w:color="000000"/>
              <w:right w:val="nil" w:sz="6" w:space="0" w:color="auto"/>
            </w:tcBorders>
          </w:tcPr>
          <w:p>
            <w:pPr/>
          </w:p>
        </w:tc>
      </w:tr>
    </w:tbl>
    <w:p>
      <w:pPr>
        <w:spacing w:before="8"/>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）经营情况</w:t>
      </w:r>
    </w:p>
    <w:p>
      <w:pPr>
        <w:spacing w:line="240" w:lineRule="auto" w:before="2"/>
        <w:rPr>
          <w:rFonts w:ascii="宋体" w:hAnsi="宋体" w:cs="宋体" w:eastAsia="宋体" w:hint="default"/>
          <w:sz w:val="4"/>
          <w:szCs w:val="4"/>
        </w:rPr>
      </w:pPr>
    </w:p>
    <w:tbl>
      <w:tblPr>
        <w:tblW w:w="0" w:type="auto"/>
        <w:jc w:val="left"/>
        <w:tblInd w:w="1693" w:type="dxa"/>
        <w:tblLayout w:type="fixed"/>
        <w:tblCellMar>
          <w:top w:w="0" w:type="dxa"/>
          <w:left w:w="0" w:type="dxa"/>
          <w:bottom w:w="0" w:type="dxa"/>
          <w:right w:w="0" w:type="dxa"/>
        </w:tblCellMar>
        <w:tblLook w:val="01E0"/>
      </w:tblPr>
      <w:tblGrid>
        <w:gridCol w:w="1580"/>
        <w:gridCol w:w="1116"/>
        <w:gridCol w:w="1116"/>
        <w:gridCol w:w="1277"/>
        <w:gridCol w:w="1388"/>
      </w:tblGrid>
      <w:tr>
        <w:trPr>
          <w:trHeight w:val="661" w:hRule="exact"/>
        </w:trPr>
        <w:tc>
          <w:tcPr>
            <w:tcW w:w="1580" w:type="dxa"/>
            <w:tcBorders>
              <w:top w:val="nil" w:sz="6" w:space="0" w:color="auto"/>
              <w:left w:val="nil" w:sz="6" w:space="0" w:color="auto"/>
              <w:bottom w:val="single" w:sz="12" w:space="0" w:color="000000"/>
              <w:right w:val="single" w:sz="6" w:space="0" w:color="000000"/>
            </w:tcBorders>
          </w:tcPr>
          <w:p>
            <w:pPr>
              <w:pStyle w:val="TableParagraph"/>
              <w:spacing w:line="240" w:lineRule="auto" w:before="17"/>
              <w:ind w:left="20" w:right="0"/>
              <w:jc w:val="center"/>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116" w:type="dxa"/>
            <w:tcBorders>
              <w:top w:val="nil" w:sz="6" w:space="0" w:color="auto"/>
              <w:left w:val="single" w:sz="6" w:space="0" w:color="000000"/>
              <w:bottom w:val="single" w:sz="12" w:space="0" w:color="000000"/>
              <w:right w:val="single" w:sz="6" w:space="0" w:color="000000"/>
            </w:tcBorders>
          </w:tcPr>
          <w:p>
            <w:pPr>
              <w:pStyle w:val="TableParagraph"/>
              <w:spacing w:line="300" w:lineRule="auto" w:before="17"/>
              <w:ind w:left="460" w:right="7" w:hanging="45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年营业收</w:t>
            </w:r>
            <w:r>
              <w:rPr>
                <w:rFonts w:ascii="宋体" w:hAnsi="宋体" w:cs="宋体" w:eastAsia="宋体" w:hint="default"/>
                <w:b/>
                <w:bCs/>
                <w:w w:val="99"/>
                <w:sz w:val="18"/>
                <w:szCs w:val="18"/>
              </w:rPr>
              <w:t> </w:t>
            </w:r>
            <w:r>
              <w:rPr>
                <w:rFonts w:ascii="宋体" w:hAnsi="宋体" w:cs="宋体" w:eastAsia="宋体" w:hint="default"/>
                <w:b/>
                <w:bCs/>
                <w:sz w:val="18"/>
                <w:szCs w:val="18"/>
              </w:rPr>
              <w:t>入</w:t>
            </w:r>
            <w:r>
              <w:rPr>
                <w:rFonts w:ascii="宋体" w:hAnsi="宋体" w:cs="宋体" w:eastAsia="宋体" w:hint="default"/>
                <w:sz w:val="18"/>
                <w:szCs w:val="18"/>
              </w:rPr>
            </w:r>
          </w:p>
        </w:tc>
        <w:tc>
          <w:tcPr>
            <w:tcW w:w="111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年净利润</w:t>
            </w:r>
            <w:r>
              <w:rPr>
                <w:rFonts w:ascii="宋体" w:hAnsi="宋体" w:cs="宋体" w:eastAsia="宋体" w:hint="default"/>
                <w:sz w:val="18"/>
                <w:szCs w:val="18"/>
              </w:rPr>
            </w:r>
          </w:p>
        </w:tc>
        <w:tc>
          <w:tcPr>
            <w:tcW w:w="1277" w:type="dxa"/>
            <w:tcBorders>
              <w:top w:val="nil" w:sz="6" w:space="0" w:color="auto"/>
              <w:left w:val="single" w:sz="6" w:space="0" w:color="000000"/>
              <w:bottom w:val="single" w:sz="12" w:space="0" w:color="000000"/>
              <w:right w:val="single" w:sz="6" w:space="0" w:color="000000"/>
            </w:tcBorders>
          </w:tcPr>
          <w:p>
            <w:pPr>
              <w:pStyle w:val="TableParagraph"/>
              <w:spacing w:line="300" w:lineRule="auto" w:before="17"/>
              <w:ind w:left="448" w:right="89"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年末资产</w:t>
            </w:r>
            <w:r>
              <w:rPr>
                <w:rFonts w:ascii="宋体" w:hAnsi="宋体" w:cs="宋体" w:eastAsia="宋体" w:hint="default"/>
                <w:b/>
                <w:bCs/>
                <w:w w:val="99"/>
                <w:sz w:val="18"/>
                <w:szCs w:val="18"/>
              </w:rPr>
              <w:t> </w:t>
            </w:r>
            <w:r>
              <w:rPr>
                <w:rFonts w:ascii="宋体" w:hAnsi="宋体" w:cs="宋体" w:eastAsia="宋体" w:hint="default"/>
                <w:b/>
                <w:bCs/>
                <w:sz w:val="18"/>
                <w:szCs w:val="18"/>
              </w:rPr>
              <w:t>总额</w:t>
            </w:r>
            <w:r>
              <w:rPr>
                <w:rFonts w:ascii="宋体" w:hAnsi="宋体" w:cs="宋体" w:eastAsia="宋体" w:hint="default"/>
                <w:sz w:val="18"/>
                <w:szCs w:val="18"/>
              </w:rPr>
            </w:r>
          </w:p>
        </w:tc>
        <w:tc>
          <w:tcPr>
            <w:tcW w:w="138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年末净资产</w:t>
            </w:r>
            <w:r>
              <w:rPr>
                <w:rFonts w:ascii="宋体" w:hAnsi="宋体" w:cs="宋体" w:eastAsia="宋体" w:hint="default"/>
                <w:sz w:val="18"/>
                <w:szCs w:val="18"/>
              </w:rPr>
            </w:r>
          </w:p>
        </w:tc>
      </w:tr>
      <w:tr>
        <w:trPr>
          <w:trHeight w:val="662" w:hRule="exact"/>
        </w:trPr>
        <w:tc>
          <w:tcPr>
            <w:tcW w:w="1580" w:type="dxa"/>
            <w:tcBorders>
              <w:top w:val="single" w:sz="12" w:space="0" w:color="000000"/>
              <w:left w:val="nil" w:sz="6" w:space="0" w:color="auto"/>
              <w:bottom w:val="single" w:sz="12" w:space="0" w:color="000000"/>
              <w:right w:val="single" w:sz="6" w:space="0" w:color="000000"/>
            </w:tcBorders>
          </w:tcPr>
          <w:p>
            <w:pPr>
              <w:pStyle w:val="TableParagraph"/>
              <w:spacing w:line="316" w:lineRule="auto" w:before="8"/>
              <w:ind w:left="26" w:right="-10"/>
              <w:jc w:val="left"/>
              <w:rPr>
                <w:rFonts w:ascii="宋体" w:hAnsi="宋体" w:cs="宋体" w:eastAsia="宋体" w:hint="default"/>
                <w:sz w:val="18"/>
                <w:szCs w:val="18"/>
              </w:rPr>
            </w:pPr>
            <w:r>
              <w:rPr>
                <w:rFonts w:ascii="宋体" w:hAnsi="宋体" w:cs="宋体" w:eastAsia="宋体" w:hint="default"/>
                <w:spacing w:val="14"/>
                <w:sz w:val="18"/>
                <w:szCs w:val="18"/>
              </w:rPr>
              <w:t>河北先河中翼环保 </w:t>
            </w:r>
            <w:r>
              <w:rPr>
                <w:rFonts w:ascii="宋体" w:hAnsi="宋体" w:cs="宋体" w:eastAsia="宋体" w:hint="default"/>
                <w:sz w:val="18"/>
                <w:szCs w:val="18"/>
              </w:rPr>
              <w:t>运营服务有限公司</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38.84</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5,465.9</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2,115,506.62</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1,973,868.03</w:t>
            </w:r>
          </w:p>
        </w:tc>
      </w:tr>
      <w:tr>
        <w:trPr>
          <w:trHeight w:val="665" w:hRule="exact"/>
        </w:trPr>
        <w:tc>
          <w:tcPr>
            <w:tcW w:w="1580" w:type="dxa"/>
            <w:tcBorders>
              <w:top w:val="single" w:sz="12" w:space="0" w:color="000000"/>
              <w:left w:val="nil" w:sz="6" w:space="0" w:color="auto"/>
              <w:bottom w:val="single" w:sz="12" w:space="0" w:color="000000"/>
              <w:right w:val="single" w:sz="6" w:space="0" w:color="000000"/>
            </w:tcBorders>
          </w:tcPr>
          <w:p>
            <w:pPr>
              <w:pStyle w:val="TableParagraph"/>
              <w:spacing w:line="316" w:lineRule="auto" w:before="10"/>
              <w:ind w:left="26" w:right="-10"/>
              <w:jc w:val="left"/>
              <w:rPr>
                <w:rFonts w:ascii="宋体" w:hAnsi="宋体" w:cs="宋体" w:eastAsia="宋体" w:hint="default"/>
                <w:sz w:val="18"/>
                <w:szCs w:val="18"/>
              </w:rPr>
            </w:pPr>
            <w:r>
              <w:rPr>
                <w:rFonts w:ascii="宋体" w:hAnsi="宋体" w:cs="宋体" w:eastAsia="宋体" w:hint="default"/>
                <w:spacing w:val="14"/>
                <w:sz w:val="18"/>
                <w:szCs w:val="18"/>
              </w:rPr>
              <w:t>北京先河中润科技 </w:t>
            </w:r>
            <w:r>
              <w:rPr>
                <w:rFonts w:ascii="宋体" w:hAnsi="宋体" w:cs="宋体" w:eastAsia="宋体" w:hint="default"/>
                <w:sz w:val="18"/>
                <w:szCs w:val="18"/>
              </w:rPr>
              <w:t>有限公司</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7,580,940.09</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783,536.71</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12,459,235.27</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sz w:val="18"/>
              </w:rPr>
              <w:t>454,298.52</w:t>
            </w:r>
          </w:p>
        </w:tc>
      </w:tr>
      <w:tr>
        <w:trPr>
          <w:trHeight w:val="665" w:hRule="exact"/>
        </w:trPr>
        <w:tc>
          <w:tcPr>
            <w:tcW w:w="1580" w:type="dxa"/>
            <w:tcBorders>
              <w:top w:val="single" w:sz="12" w:space="0" w:color="000000"/>
              <w:left w:val="nil" w:sz="6" w:space="0" w:color="auto"/>
              <w:bottom w:val="single" w:sz="12" w:space="0" w:color="000000"/>
              <w:right w:val="single" w:sz="6" w:space="0" w:color="000000"/>
            </w:tcBorders>
          </w:tcPr>
          <w:p>
            <w:pPr>
              <w:pStyle w:val="TableParagraph"/>
              <w:spacing w:line="316" w:lineRule="auto" w:before="8"/>
              <w:ind w:left="26" w:right="-10"/>
              <w:jc w:val="left"/>
              <w:rPr>
                <w:rFonts w:ascii="宋体" w:hAnsi="宋体" w:cs="宋体" w:eastAsia="宋体" w:hint="default"/>
                <w:sz w:val="18"/>
                <w:szCs w:val="18"/>
              </w:rPr>
            </w:pPr>
            <w:r>
              <w:rPr>
                <w:rFonts w:ascii="宋体" w:hAnsi="宋体" w:cs="宋体" w:eastAsia="宋体" w:hint="default"/>
                <w:spacing w:val="14"/>
                <w:sz w:val="18"/>
                <w:szCs w:val="18"/>
              </w:rPr>
              <w:t>山东先河环保科技 </w:t>
            </w:r>
            <w:r>
              <w:rPr>
                <w:rFonts w:ascii="宋体" w:hAnsi="宋体" w:cs="宋体" w:eastAsia="宋体" w:hint="default"/>
                <w:sz w:val="18"/>
                <w:szCs w:val="18"/>
              </w:rPr>
              <w:t>有限公司</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9,697,087.42</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121,824.44</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9,648,855.75</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8,101,639.12</w:t>
            </w:r>
          </w:p>
        </w:tc>
      </w:tr>
      <w:tr>
        <w:trPr>
          <w:trHeight w:val="353" w:hRule="exact"/>
        </w:trPr>
        <w:tc>
          <w:tcPr>
            <w:tcW w:w="1580"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8"/>
              <w:ind w:left="26" w:right="-10"/>
              <w:jc w:val="center"/>
              <w:rPr>
                <w:rFonts w:ascii="宋体" w:hAnsi="宋体" w:cs="宋体" w:eastAsia="宋体" w:hint="default"/>
                <w:sz w:val="18"/>
                <w:szCs w:val="18"/>
              </w:rPr>
            </w:pPr>
            <w:r>
              <w:rPr>
                <w:rFonts w:ascii="宋体" w:hAnsi="宋体" w:cs="宋体" w:eastAsia="宋体" w:hint="default"/>
                <w:spacing w:val="14"/>
                <w:sz w:val="18"/>
                <w:szCs w:val="18"/>
              </w:rPr>
              <w:t>河北先河金瑞环保</w:t>
            </w:r>
            <w:r>
              <w:rPr>
                <w:rFonts w:ascii="宋体" w:hAnsi="宋体" w:cs="宋体" w:eastAsia="宋体" w:hint="default"/>
                <w:sz w:val="18"/>
                <w:szCs w:val="18"/>
              </w:rPr>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3,914,529.92</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-522,053.10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2,347,579.81</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1,320,704.57</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1000" w:right="96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3"/>
          <w:szCs w:val="23"/>
        </w:rPr>
      </w:pPr>
    </w:p>
    <w:p>
      <w:pPr>
        <w:spacing w:line="689" w:lineRule="exact"/>
        <w:ind w:left="1713"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324.95pt;height:34.5pt;mso-position-horizontal-relative:char;mso-position-vertical-relative:line" coordorigin="0,0" coordsize="6499,690">
            <v:group style="position:absolute;left:14;top:668;width:1573;height:2" coordorigin="14,668" coordsize="1573,2">
              <v:shape style="position:absolute;left:14;top:668;width:1573;height:2" coordorigin="14,668" coordsize="1573,0" path="m14,668l1587,668e" filled="false" stroked="true" strokeweight="1.44pt" strokecolor="#000000">
                <v:path arrowok="t"/>
              </v:shape>
            </v:group>
            <v:group style="position:absolute;left:1594;top:7;width:2;height:646" coordorigin="1594,7" coordsize="2,646">
              <v:shape style="position:absolute;left:1594;top:7;width:2;height:646" coordorigin="1594,7" coordsize="0,646" path="m1594,7l1594,653e" filled="false" stroked="true" strokeweight=".72pt" strokecolor="#000000">
                <v:path arrowok="t"/>
              </v:shape>
            </v:group>
            <v:group style="position:absolute;left:1587;top:668;width:29;height:2" coordorigin="1587,668" coordsize="29,2">
              <v:shape style="position:absolute;left:1587;top:668;width:29;height:2" coordorigin="1587,668" coordsize="29,0" path="m1587,668l1616,668e" filled="false" stroked="true" strokeweight="1.44pt" strokecolor="#000000">
                <v:path arrowok="t"/>
              </v:shape>
            </v:group>
            <v:group style="position:absolute;left:1616;top:668;width:1088;height:2" coordorigin="1616,668" coordsize="1088,2">
              <v:shape style="position:absolute;left:1616;top:668;width:1088;height:2" coordorigin="1616,668" coordsize="1088,0" path="m1616,668l2703,668e" filled="false" stroked="true" strokeweight="1.44pt" strokecolor="#000000">
                <v:path arrowok="t"/>
              </v:shape>
            </v:group>
            <v:group style="position:absolute;left:2710;top:7;width:2;height:646" coordorigin="2710,7" coordsize="2,646">
              <v:shape style="position:absolute;left:2710;top:7;width:2;height:646" coordorigin="2710,7" coordsize="0,646" path="m2710,7l2710,653e" filled="false" stroked="true" strokeweight=".72pt" strokecolor="#000000">
                <v:path arrowok="t"/>
              </v:shape>
            </v:group>
            <v:group style="position:absolute;left:2703;top:668;width:29;height:2" coordorigin="2703,668" coordsize="29,2">
              <v:shape style="position:absolute;left:2703;top:668;width:29;height:2" coordorigin="2703,668" coordsize="29,0" path="m2703,668l2732,668e" filled="false" stroked="true" strokeweight="1.44pt" strokecolor="#000000">
                <v:path arrowok="t"/>
              </v:shape>
            </v:group>
            <v:group style="position:absolute;left:2732;top:668;width:1088;height:2" coordorigin="2732,668" coordsize="1088,2">
              <v:shape style="position:absolute;left:2732;top:668;width:1088;height:2" coordorigin="2732,668" coordsize="1088,0" path="m2732,668l3819,668e" filled="false" stroked="true" strokeweight="1.44pt" strokecolor="#000000">
                <v:path arrowok="t"/>
              </v:shape>
            </v:group>
            <v:group style="position:absolute;left:3827;top:7;width:2;height:646" coordorigin="3827,7" coordsize="2,646">
              <v:shape style="position:absolute;left:3827;top:7;width:2;height:646" coordorigin="3827,7" coordsize="0,646" path="m3827,7l3827,653e" filled="false" stroked="true" strokeweight=".72pt" strokecolor="#000000">
                <v:path arrowok="t"/>
              </v:shape>
            </v:group>
            <v:group style="position:absolute;left:3819;top:668;width:29;height:2" coordorigin="3819,668" coordsize="29,2">
              <v:shape style="position:absolute;left:3819;top:668;width:29;height:2" coordorigin="3819,668" coordsize="29,0" path="m3819,668l3848,668e" filled="false" stroked="true" strokeweight="1.44pt" strokecolor="#000000">
                <v:path arrowok="t"/>
              </v:shape>
            </v:group>
            <v:group style="position:absolute;left:3848;top:668;width:1248;height:2" coordorigin="3848,668" coordsize="1248,2">
              <v:shape style="position:absolute;left:3848;top:668;width:1248;height:2" coordorigin="3848,668" coordsize="1248,0" path="m3848,668l5096,668e" filled="false" stroked="true" strokeweight="1.44pt" strokecolor="#000000">
                <v:path arrowok="t"/>
              </v:shape>
            </v:group>
            <v:group style="position:absolute;left:5103;top:7;width:2;height:646" coordorigin="5103,7" coordsize="2,646">
              <v:shape style="position:absolute;left:5103;top:7;width:2;height:646" coordorigin="5103,7" coordsize="0,646" path="m5103,7l5103,653e" filled="false" stroked="true" strokeweight=".72pt" strokecolor="#000000">
                <v:path arrowok="t"/>
              </v:shape>
            </v:group>
            <v:group style="position:absolute;left:5096;top:668;width:29;height:2" coordorigin="5096,668" coordsize="29,2">
              <v:shape style="position:absolute;left:5096;top:668;width:29;height:2" coordorigin="5096,668" coordsize="29,0" path="m5096,668l5125,668e" filled="false" stroked="true" strokeweight="1.44pt" strokecolor="#000000">
                <v:path arrowok="t"/>
              </v:shape>
            </v:group>
            <v:group style="position:absolute;left:5125;top:668;width:1359;height:2" coordorigin="5125,668" coordsize="1359,2">
              <v:shape style="position:absolute;left:5125;top:668;width:1359;height:2" coordorigin="5125,668" coordsize="1359,0" path="m5125,668l6484,668e" filled="false" stroked="true" strokeweight="1.44pt" strokecolor="#000000">
                <v:path arrowok="t"/>
              </v:shape>
            </v:group>
            <v:group style="position:absolute;left:6491;top:7;width:2;height:675" coordorigin="6491,7" coordsize="2,675">
              <v:shape style="position:absolute;left:6491;top:7;width:2;height:675" coordorigin="6491,7" coordsize="0,675" path="m6491,7l6491,682e" filled="false" stroked="true" strokeweight=".72pt" strokecolor="#000000">
                <v:path arrowok="t"/>
              </v:shape>
              <v:shape style="position:absolute;left:0;top:0;width:6499;height:690" type="#_x0000_t202" filled="false" stroked="false">
                <v:textbox inset="0,0,0,0">
                  <w:txbxContent>
                    <w:p>
                      <w:pPr>
                        <w:spacing w:line="319" w:lineRule="auto" w:before="25"/>
                        <w:ind w:left="40" w:right="4900" w:firstLine="0"/>
                        <w:jc w:val="left"/>
                        <w:rPr>
                          <w:rFonts w:ascii="宋体" w:hAnsi="宋体" w:cs="宋体" w:eastAsia="宋体" w:hint="default"/>
                          <w:sz w:val="18"/>
                          <w:szCs w:val="18"/>
                        </w:rPr>
                      </w:pPr>
                      <w:r>
                        <w:rPr>
                          <w:rFonts w:ascii="宋体" w:hAnsi="宋体" w:cs="宋体" w:eastAsia="宋体" w:hint="default"/>
                          <w:spacing w:val="14"/>
                          <w:sz w:val="18"/>
                          <w:szCs w:val="18"/>
                        </w:rPr>
                        <w:t>设施运营服务有限 </w:t>
                      </w:r>
                      <w:r>
                        <w:rPr>
                          <w:rFonts w:ascii="宋体" w:hAnsi="宋体" w:cs="宋体" w:eastAsia="宋体" w:hint="default"/>
                          <w:sz w:val="18"/>
                          <w:szCs w:val="18"/>
                        </w:rPr>
                        <w:t>公司</w:t>
                      </w:r>
                    </w:p>
                  </w:txbxContent>
                </v:textbox>
                <w10:wrap type="none"/>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before="26"/>
        <w:ind w:right="0"/>
        <w:jc w:val="left"/>
        <w:rPr>
          <w:b w:val="0"/>
          <w:bCs w:val="0"/>
        </w:rPr>
      </w:pPr>
      <w:r>
        <w:rPr/>
        <w:t>三、公司未来发展的展望</w:t>
      </w:r>
      <w:r>
        <w:rPr>
          <w:b w:val="0"/>
          <w:bCs w:val="0"/>
        </w:rPr>
      </w:r>
    </w:p>
    <w:p>
      <w:pPr>
        <w:spacing w:line="240" w:lineRule="auto" w:before="8"/>
        <w:rPr>
          <w:rFonts w:ascii="宋体" w:hAnsi="宋体" w:cs="宋体" w:eastAsia="宋体" w:hint="default"/>
          <w:b/>
          <w:bCs/>
          <w:sz w:val="30"/>
          <w:szCs w:val="30"/>
        </w:rPr>
      </w:pPr>
    </w:p>
    <w:p>
      <w:pPr>
        <w:spacing w:line="408" w:lineRule="auto" w:before="0"/>
        <w:ind w:left="152" w:right="6684" w:firstLine="0"/>
        <w:jc w:val="left"/>
        <w:rPr>
          <w:rFonts w:ascii="宋体" w:hAnsi="宋体" w:cs="宋体" w:eastAsia="宋体" w:hint="default"/>
          <w:sz w:val="21"/>
          <w:szCs w:val="21"/>
        </w:rPr>
      </w:pPr>
      <w:r>
        <w:rPr>
          <w:rFonts w:ascii="宋体" w:hAnsi="宋体" w:cs="宋体" w:eastAsia="宋体" w:hint="default"/>
          <w:b/>
          <w:bCs/>
          <w:sz w:val="21"/>
          <w:szCs w:val="21"/>
        </w:rPr>
        <w:t>（一）公司所处行业的发展趋势</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空气自动监测市场的发展趋势</w:t>
      </w:r>
    </w:p>
    <w:p>
      <w:pPr>
        <w:pStyle w:val="BodyText"/>
        <w:spacing w:line="408" w:lineRule="auto" w:before="46"/>
        <w:ind w:right="146" w:firstLine="422"/>
        <w:jc w:val="both"/>
      </w:pPr>
      <w:r>
        <w:rPr>
          <w:spacing w:val="-2"/>
        </w:rPr>
        <w:t>环保部《关于加强环境空气质量监测能力建设的意见》提出，加快建设先进的环境空气质量监测预警</w:t>
      </w:r>
      <w:r>
        <w:rPr>
          <w:w w:val="100"/>
        </w:rPr>
        <w:t> </w:t>
      </w:r>
      <w:r>
        <w:rPr/>
        <w:t>体系。按照新颁布的《环境空气质量标准》，对细颗粒物（</w:t>
      </w:r>
      <w:r>
        <w:rPr>
          <w:rFonts w:ascii="宋体" w:hAnsi="宋体" w:cs="宋体" w:eastAsia="宋体" w:hint="default"/>
        </w:rPr>
        <w:t>PM2.5</w:t>
      </w:r>
      <w:r>
        <w:rPr/>
        <w:t>）、臭氧（</w:t>
      </w:r>
      <w:r>
        <w:rPr>
          <w:rFonts w:ascii="宋体" w:hAnsi="宋体" w:cs="宋体" w:eastAsia="宋体" w:hint="default"/>
        </w:rPr>
        <w:t>O3</w:t>
      </w:r>
      <w:r>
        <w:rPr/>
        <w:t>）、一氧化碳（</w:t>
      </w:r>
      <w:r>
        <w:rPr>
          <w:rFonts w:ascii="宋体" w:hAnsi="宋体" w:cs="宋体" w:eastAsia="宋体" w:hint="default"/>
        </w:rPr>
        <w:t>CO</w:t>
      </w:r>
      <w:r>
        <w:rPr/>
        <w:t>）等监</w:t>
      </w:r>
      <w:r>
        <w:rPr>
          <w:spacing w:val="-27"/>
        </w:rPr>
        <w:t> </w:t>
      </w:r>
      <w:r>
        <w:rPr>
          <w:spacing w:val="-2"/>
        </w:rPr>
        <w:t>测指标，</w:t>
      </w:r>
      <w:r>
        <w:rPr>
          <w:rFonts w:ascii="宋体" w:hAnsi="宋体" w:cs="宋体" w:eastAsia="宋体" w:hint="default"/>
          <w:spacing w:val="-2"/>
        </w:rPr>
        <w:t>2012</w:t>
      </w:r>
      <w:r>
        <w:rPr>
          <w:spacing w:val="-2"/>
        </w:rPr>
        <w:t>年在京津冀、长三角、珠三角等重点区域以及直辖市、省会城市和计划单列市开展监测（所</w:t>
      </w:r>
      <w:r>
        <w:rPr>
          <w:spacing w:val="-40"/>
        </w:rPr>
        <w:t> </w:t>
      </w:r>
      <w:r>
        <w:rPr>
          <w:spacing w:val="-40"/>
        </w:rPr>
      </w:r>
      <w:r>
        <w:rPr/>
        <w:t>有国控点位，下同），</w:t>
      </w:r>
      <w:r>
        <w:rPr>
          <w:rFonts w:ascii="宋体" w:hAnsi="宋体" w:cs="宋体" w:eastAsia="宋体" w:hint="default"/>
        </w:rPr>
        <w:t>2013</w:t>
      </w:r>
      <w:r>
        <w:rPr/>
        <w:t>年在</w:t>
      </w:r>
      <w:r>
        <w:rPr>
          <w:rFonts w:ascii="宋体" w:hAnsi="宋体" w:cs="宋体" w:eastAsia="宋体" w:hint="default"/>
        </w:rPr>
        <w:t>113</w:t>
      </w:r>
      <w:r>
        <w:rPr/>
        <w:t>个环境保护重点城市和环保模范城市开展监测，</w:t>
      </w:r>
      <w:r>
        <w:rPr>
          <w:rFonts w:ascii="宋体" w:hAnsi="宋体" w:cs="宋体" w:eastAsia="宋体" w:hint="default"/>
        </w:rPr>
        <w:t>2015</w:t>
      </w:r>
      <w:r>
        <w:rPr/>
        <w:t>年在所有地级以</w:t>
      </w:r>
      <w:r>
        <w:rPr>
          <w:spacing w:val="-23"/>
        </w:rPr>
        <w:t> </w:t>
      </w:r>
      <w:r>
        <w:rPr>
          <w:spacing w:val="-23"/>
        </w:rPr>
      </w:r>
      <w:r>
        <w:rPr>
          <w:spacing w:val="-2"/>
        </w:rPr>
        <w:t>上城市开展监测。自</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日起，以上各地均按照新标准监测和评价环境空气质量状况，并向社会逐</w:t>
      </w:r>
      <w:r>
        <w:rPr>
          <w:spacing w:val="-38"/>
        </w:rPr>
        <w:t> </w:t>
      </w:r>
      <w:r>
        <w:rPr>
          <w:spacing w:val="-38"/>
        </w:rPr>
      </w:r>
      <w:r>
        <w:rPr>
          <w:spacing w:val="-2"/>
        </w:rPr>
        <w:t>点实时发布监测结果。按照上述时间要求，地级及以上城市应完善国家环境空气自动监测点位，分步填平</w:t>
      </w:r>
      <w:r>
        <w:rPr>
          <w:spacing w:val="-44"/>
        </w:rPr>
        <w:t> </w:t>
      </w:r>
      <w:r>
        <w:rPr>
          <w:spacing w:val="-44"/>
        </w:rPr>
      </w:r>
      <w:r>
        <w:rPr/>
        <w:t>补齐相关监测仪器设备设施。在重金属污染防治重点区域设立必要的重金属污染物空气监测点位。</w:t>
      </w:r>
    </w:p>
    <w:p>
      <w:pPr>
        <w:pStyle w:val="BodyText"/>
        <w:spacing w:line="408" w:lineRule="auto" w:before="46"/>
        <w:ind w:right="127" w:firstLine="422"/>
        <w:jc w:val="right"/>
      </w:pPr>
      <w:r>
        <w:rPr>
          <w:spacing w:val="-2"/>
        </w:rPr>
        <w:t>加强区域环境空气监测系统能力建设。在京津冀、长三角、珠三角地区及辽宁中部、山东半岛、武汉</w:t>
      </w:r>
      <w:r>
        <w:rPr>
          <w:w w:val="100"/>
        </w:rPr>
        <w:t> </w:t>
      </w:r>
      <w:r>
        <w:rPr>
          <w:spacing w:val="-2"/>
        </w:rPr>
        <w:t>及其周边、长株潭、成渝、海峡西岸、陕西关中、山西中北部、兰州白银和乌鲁木齐城市群等重点区域新</w:t>
      </w:r>
      <w:r>
        <w:rPr>
          <w:spacing w:val="-82"/>
        </w:rPr>
        <w:t> </w:t>
      </w:r>
      <w:r>
        <w:rPr>
          <w:spacing w:val="-82"/>
        </w:rPr>
      </w:r>
      <w:r>
        <w:rPr>
          <w:spacing w:val="-2"/>
        </w:rPr>
        <w:t>建区域环境空气监测点位，同时扩展</w:t>
      </w:r>
      <w:r>
        <w:rPr>
          <w:rFonts w:ascii="宋体" w:hAnsi="宋体" w:cs="宋体" w:eastAsia="宋体" w:hint="default"/>
          <w:spacing w:val="-2"/>
        </w:rPr>
        <w:t>31</w:t>
      </w:r>
      <w:r>
        <w:rPr>
          <w:spacing w:val="-2"/>
        </w:rPr>
        <w:t>个现有农村环境空气监测子站功能，形成区域环境空气监测能力。</w:t>
      </w:r>
      <w:r>
        <w:rPr>
          <w:spacing w:val="-42"/>
        </w:rPr>
        <w:t> </w:t>
      </w:r>
      <w:r>
        <w:rPr>
          <w:spacing w:val="-42"/>
        </w:rPr>
      </w:r>
      <w:r>
        <w:rPr>
          <w:spacing w:val="-4"/>
        </w:rPr>
        <w:t>预计</w:t>
      </w:r>
      <w:r>
        <w:rPr>
          <w:rFonts w:ascii="宋体" w:hAnsi="宋体" w:cs="宋体" w:eastAsia="宋体" w:hint="default"/>
          <w:spacing w:val="-4"/>
        </w:rPr>
        <w:t>2013</w:t>
      </w:r>
      <w:r>
        <w:rPr>
          <w:spacing w:val="-4"/>
        </w:rPr>
        <w:t>年空气自动监测市场继续保持较大容量。先河环保拥有完备的空气质量监测全系统产品，其</w:t>
      </w:r>
      <w:r>
        <w:rPr>
          <w:w w:val="100"/>
        </w:rPr>
        <w:t> </w:t>
      </w:r>
      <w:r>
        <w:rPr/>
        <w:t>中先河环保</w:t>
      </w:r>
      <w:r>
        <w:rPr>
          <w:rFonts w:ascii="宋体" w:hAnsi="宋体" w:cs="宋体" w:eastAsia="宋体" w:hint="default"/>
        </w:rPr>
        <w:t>XHPM2000E</w:t>
      </w:r>
      <w:r>
        <w:rPr>
          <w:rFonts w:ascii="宋体" w:hAnsi="宋体" w:cs="宋体" w:eastAsia="宋体" w:hint="default"/>
          <w:spacing w:val="64"/>
        </w:rPr>
        <w:t> </w:t>
      </w:r>
      <w:r>
        <w:rPr>
          <w:rFonts w:ascii="宋体" w:hAnsi="宋体" w:cs="宋体" w:eastAsia="宋体" w:hint="default"/>
        </w:rPr>
        <w:t>PM2.5</w:t>
      </w:r>
      <w:r>
        <w:rPr/>
        <w:t>监测仪成功入围中国环境监测总站发布的“</w:t>
      </w:r>
      <w:r>
        <w:rPr>
          <w:rFonts w:ascii="宋体" w:hAnsi="宋体" w:cs="宋体" w:eastAsia="宋体" w:hint="default"/>
        </w:rPr>
        <w:t>PM2.5</w:t>
      </w:r>
      <w:r>
        <w:rPr/>
        <w:t>监测设备采购厂商推荐名</w:t>
      </w:r>
      <w:r>
        <w:rPr>
          <w:w w:val="100"/>
        </w:rPr>
        <w:t> </w:t>
      </w:r>
      <w:r>
        <w:rPr/>
        <w:t>录”。</w:t>
      </w:r>
      <w:r>
        <w:rPr>
          <w:rFonts w:ascii="宋体" w:hAnsi="宋体" w:cs="宋体" w:eastAsia="宋体" w:hint="default"/>
        </w:rPr>
        <w:t>2012</w:t>
      </w:r>
      <w:r>
        <w:rPr/>
        <w:t>年先河环保</w:t>
      </w:r>
      <w:r>
        <w:rPr>
          <w:rFonts w:ascii="宋体" w:hAnsi="宋体" w:cs="宋体" w:eastAsia="宋体" w:hint="default"/>
        </w:rPr>
        <w:t>XHPM2000E</w:t>
      </w:r>
      <w:r>
        <w:rPr>
          <w:rFonts w:ascii="宋体" w:hAnsi="宋体" w:cs="宋体" w:eastAsia="宋体" w:hint="default"/>
          <w:spacing w:val="75"/>
        </w:rPr>
        <w:t> </w:t>
      </w:r>
      <w:r>
        <w:rPr>
          <w:rFonts w:ascii="宋体" w:hAnsi="宋体" w:cs="宋体" w:eastAsia="宋体" w:hint="default"/>
        </w:rPr>
        <w:t>PM2.5</w:t>
      </w:r>
      <w:r>
        <w:rPr/>
        <w:t>监测仪在河北、宁夏、山西、新疆、四川等地得以成功应用，并</w:t>
      </w:r>
      <w:r>
        <w:rPr>
          <w:w w:val="100"/>
        </w:rPr>
        <w:t> </w:t>
      </w:r>
      <w:r>
        <w:rPr/>
        <w:t>且经受住了华北重灰霾天气、新疆沙漠地区极端自然条件的严峻考验，</w:t>
      </w:r>
      <w:r>
        <w:rPr>
          <w:rFonts w:ascii="宋体" w:hAnsi="宋体" w:cs="宋体" w:eastAsia="宋体" w:hint="default"/>
        </w:rPr>
        <w:t>2013</w:t>
      </w:r>
      <w:r>
        <w:rPr/>
        <w:t>年先河</w:t>
      </w:r>
      <w:r>
        <w:rPr>
          <w:rFonts w:ascii="宋体" w:hAnsi="宋体" w:cs="宋体" w:eastAsia="宋体" w:hint="default"/>
        </w:rPr>
        <w:t>PM2.5</w:t>
      </w:r>
      <w:r>
        <w:rPr/>
        <w:t>会有较好的市场</w:t>
      </w:r>
    </w:p>
    <w:p>
      <w:pPr>
        <w:pStyle w:val="BodyText"/>
        <w:spacing w:line="240" w:lineRule="auto" w:before="46"/>
        <w:ind w:right="0"/>
        <w:jc w:val="left"/>
      </w:pPr>
      <w:r>
        <w:rPr/>
        <w:t>空间。</w:t>
      </w:r>
    </w:p>
    <w:p>
      <w:pPr>
        <w:spacing w:line="240" w:lineRule="auto" w:before="10"/>
        <w:rPr>
          <w:rFonts w:ascii="宋体" w:hAnsi="宋体" w:cs="宋体" w:eastAsia="宋体" w:hint="default"/>
          <w:sz w:val="14"/>
          <w:szCs w:val="14"/>
        </w:rPr>
      </w:pPr>
    </w:p>
    <w:p>
      <w:pPr>
        <w:pStyle w:val="BodyText"/>
        <w:spacing w:line="240" w:lineRule="auto"/>
        <w:ind w:left="633" w:right="0"/>
        <w:jc w:val="left"/>
      </w:pPr>
      <w:r>
        <w:rPr>
          <w:rFonts w:ascii="宋体" w:hAnsi="宋体" w:cs="宋体" w:eastAsia="宋体" w:hint="default"/>
        </w:rPr>
        <w:t>2</w:t>
      </w:r>
      <w:r>
        <w:rPr/>
        <w:t>、水质监测市场的发展趋势</w:t>
      </w:r>
    </w:p>
    <w:p>
      <w:pPr>
        <w:spacing w:line="240" w:lineRule="auto" w:before="6"/>
        <w:rPr>
          <w:rFonts w:ascii="宋体" w:hAnsi="宋体" w:cs="宋体" w:eastAsia="宋体" w:hint="default"/>
          <w:sz w:val="22"/>
          <w:szCs w:val="22"/>
        </w:rPr>
      </w:pPr>
    </w:p>
    <w:p>
      <w:pPr>
        <w:pStyle w:val="BodyText"/>
        <w:spacing w:line="408" w:lineRule="auto"/>
        <w:ind w:right="146" w:firstLine="466"/>
        <w:jc w:val="both"/>
      </w:pPr>
      <w:r>
        <w:rPr>
          <w:rFonts w:ascii="宋体" w:hAnsi="宋体" w:cs="宋体" w:eastAsia="宋体" w:hint="default"/>
          <w:spacing w:val="-3"/>
        </w:rPr>
        <w:t>2013</w:t>
      </w:r>
      <w:r>
        <w:rPr>
          <w:spacing w:val="-3"/>
        </w:rPr>
        <w:t>年国务院批准了《华北平原地下水污染防治工作方案》，提出到</w:t>
      </w:r>
      <w:r>
        <w:rPr>
          <w:rFonts w:ascii="宋体" w:hAnsi="宋体" w:cs="宋体" w:eastAsia="宋体" w:hint="default"/>
          <w:spacing w:val="-3"/>
        </w:rPr>
        <w:t>2015</w:t>
      </w:r>
      <w:r>
        <w:rPr>
          <w:spacing w:val="-3"/>
        </w:rPr>
        <w:t>年初步建立华北平原地下水</w:t>
      </w:r>
      <w:r>
        <w:rPr>
          <w:w w:val="100"/>
        </w:rPr>
        <w:t> </w:t>
      </w:r>
      <w:r>
        <w:rPr>
          <w:spacing w:val="-2"/>
        </w:rPr>
        <w:t>质量和污染源监测网。方案按照“预防为主、协同控制，分区防治、突出重点，加强监控、循序渐进”的</w:t>
      </w:r>
      <w:r>
        <w:rPr>
          <w:spacing w:val="-50"/>
        </w:rPr>
        <w:t> </w:t>
      </w:r>
      <w:r>
        <w:rPr>
          <w:spacing w:val="-50"/>
        </w:rPr>
      </w:r>
      <w:r>
        <w:rPr>
          <w:spacing w:val="-2"/>
        </w:rPr>
        <w:t>原则，提出到</w:t>
      </w:r>
      <w:r>
        <w:rPr>
          <w:rFonts w:ascii="宋体" w:hAnsi="宋体" w:cs="宋体" w:eastAsia="宋体" w:hint="default"/>
          <w:spacing w:val="-2"/>
        </w:rPr>
        <w:t>2015</w:t>
      </w:r>
      <w:r>
        <w:rPr>
          <w:spacing w:val="-2"/>
        </w:rPr>
        <w:t>年，初步建立华北平原地下水质量和污染源监测网，基本掌握地下水污染状况，加强华</w:t>
      </w:r>
      <w:r>
        <w:rPr>
          <w:spacing w:val="-43"/>
        </w:rPr>
        <w:t> </w:t>
      </w:r>
      <w:r>
        <w:rPr>
          <w:spacing w:val="-43"/>
        </w:rPr>
      </w:r>
      <w:r>
        <w:rPr>
          <w:spacing w:val="-2"/>
        </w:rPr>
        <w:t>北平原地下水重点污染源和重点区域地下水污染防治。先河环保</w:t>
      </w:r>
      <w:r>
        <w:rPr>
          <w:rFonts w:ascii="宋体" w:hAnsi="宋体" w:cs="宋体" w:eastAsia="宋体" w:hint="default"/>
          <w:spacing w:val="-2"/>
        </w:rPr>
        <w:t>2012</w:t>
      </w:r>
      <w:r>
        <w:rPr>
          <w:spacing w:val="-2"/>
        </w:rPr>
        <w:t>年地下水水质在线监测系统成功应用</w:t>
      </w:r>
      <w:r>
        <w:rPr>
          <w:spacing w:val="-39"/>
        </w:rPr>
        <w:t> </w:t>
      </w:r>
      <w:r>
        <w:rPr>
          <w:spacing w:val="-39"/>
        </w:rPr>
      </w:r>
      <w:r>
        <w:rPr/>
        <w:t>于南水北调总干渠沿线地下水监测，为下一步推广奠定了基础。</w:t>
      </w:r>
    </w:p>
    <w:p>
      <w:pPr>
        <w:pStyle w:val="BodyText"/>
        <w:spacing w:line="408" w:lineRule="auto" w:before="147"/>
        <w:ind w:right="146" w:firstLine="480"/>
        <w:jc w:val="both"/>
      </w:pPr>
      <w:r>
        <w:rPr>
          <w:spacing w:val="-4"/>
        </w:rPr>
        <w:t>常规水站方面下一阶段的水质自动站建设总体进入优化调整现有监测断面和增加参数阶段，形成由环</w:t>
      </w:r>
      <w:r>
        <w:rPr>
          <w:w w:val="100"/>
        </w:rPr>
        <w:t> </w:t>
      </w:r>
      <w:r>
        <w:rPr>
          <w:spacing w:val="-2"/>
        </w:rPr>
        <w:t>保部门国控、省控、市控以及水利部门监测断面组成的水环境监测体系，在监测指标方面从监测单个因子</w:t>
      </w:r>
    </w:p>
    <w:p>
      <w:pPr>
        <w:spacing w:after="0" w:line="408"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211"/>
        <w:jc w:val="both"/>
      </w:pPr>
      <w:r>
        <w:rPr>
          <w:spacing w:val="-7"/>
        </w:rPr>
        <w:t>的主要污染物监测指标，发展到水环境安全监测的综合指标，增加了总磷、总氮等营养指标、安全指标（毒</w:t>
      </w:r>
      <w:r>
        <w:rPr>
          <w:spacing w:val="-22"/>
        </w:rPr>
        <w:t> </w:t>
      </w:r>
      <w:r>
        <w:rPr>
          <w:spacing w:val="-22"/>
        </w:rPr>
      </w:r>
      <w:r>
        <w:rPr/>
        <w:t>性）及重金属、</w:t>
      </w:r>
      <w:r>
        <w:rPr>
          <w:rFonts w:ascii="宋体" w:hAnsi="宋体" w:cs="宋体" w:eastAsia="宋体" w:hint="default"/>
        </w:rPr>
        <w:t>VOC</w:t>
      </w:r>
      <w:r>
        <w:rPr/>
        <w:t>等特征参数。</w:t>
      </w:r>
    </w:p>
    <w:p>
      <w:pPr>
        <w:pStyle w:val="Heading3"/>
        <w:spacing w:line="240" w:lineRule="auto" w:before="46"/>
        <w:ind w:right="101"/>
        <w:jc w:val="left"/>
        <w:rPr>
          <w:b w:val="0"/>
          <w:bCs w:val="0"/>
        </w:rPr>
      </w:pPr>
      <w:r>
        <w:rPr/>
        <w:t>（二）市场竞争格局</w:t>
      </w:r>
      <w:r>
        <w:rPr>
          <w:b w:val="0"/>
          <w:bCs w:val="0"/>
        </w:rPr>
      </w:r>
    </w:p>
    <w:p>
      <w:pPr>
        <w:spacing w:line="240" w:lineRule="auto" w:before="8"/>
        <w:rPr>
          <w:rFonts w:ascii="宋体" w:hAnsi="宋体" w:cs="宋体" w:eastAsia="宋体" w:hint="default"/>
          <w:b/>
          <w:bCs/>
          <w:sz w:val="18"/>
          <w:szCs w:val="18"/>
        </w:rPr>
      </w:pPr>
    </w:p>
    <w:p>
      <w:pPr>
        <w:pStyle w:val="BodyText"/>
        <w:spacing w:line="408" w:lineRule="auto"/>
        <w:ind w:right="101" w:firstLine="586"/>
        <w:jc w:val="left"/>
      </w:pPr>
      <w:r>
        <w:rPr>
          <w:rFonts w:ascii="宋体" w:hAnsi="宋体" w:cs="宋体" w:eastAsia="宋体" w:hint="default"/>
          <w:spacing w:val="-4"/>
        </w:rPr>
        <w:t>2012</w:t>
      </w:r>
      <w:r>
        <w:rPr>
          <w:spacing w:val="-4"/>
        </w:rPr>
        <w:t>年在大气方面，环保部修订的《新环境空气质量标准》、《环境空气质量新标准能力建设方案》</w:t>
      </w:r>
      <w:r>
        <w:rPr>
          <w:w w:val="100"/>
        </w:rPr>
        <w:t> </w:t>
      </w:r>
      <w:r>
        <w:rPr/>
        <w:t>的发行，</w:t>
      </w:r>
      <w:r>
        <w:rPr>
          <w:rFonts w:ascii="宋体" w:hAnsi="宋体" w:cs="宋体" w:eastAsia="宋体" w:hint="default"/>
        </w:rPr>
        <w:t>PM2.5</w:t>
      </w:r>
      <w:r>
        <w:rPr/>
        <w:t>监测时间表开始进入开局之年（京津冀和长三角、珠三角等重点区域以及直辖市和省会城</w:t>
      </w:r>
      <w:r>
        <w:rPr>
          <w:spacing w:val="-30"/>
        </w:rPr>
        <w:t> </w:t>
      </w:r>
      <w:r>
        <w:rPr>
          <w:spacing w:val="-30"/>
        </w:rPr>
      </w:r>
      <w:r>
        <w:rPr/>
        <w:t>市开展了</w:t>
      </w:r>
      <w:r>
        <w:rPr>
          <w:rFonts w:ascii="宋体" w:hAnsi="宋体" w:cs="宋体" w:eastAsia="宋体" w:hint="default"/>
        </w:rPr>
        <w:t>PM2.5</w:t>
      </w:r>
      <w:r>
        <w:rPr/>
        <w:t>和臭氧监测），因此，整个市场的空气产品容量有了较大提升，带动了大环境监测设备总</w:t>
      </w:r>
      <w:r>
        <w:rPr>
          <w:spacing w:val="-30"/>
        </w:rPr>
        <w:t> </w:t>
      </w:r>
      <w:r>
        <w:rPr>
          <w:spacing w:val="-30"/>
        </w:rPr>
      </w:r>
      <w:r>
        <w:rPr/>
        <w:t>体容量的提升，全年扩建</w:t>
      </w:r>
      <w:r>
        <w:rPr>
          <w:rFonts w:ascii="宋体" w:hAnsi="宋体" w:cs="宋体" w:eastAsia="宋体" w:hint="default"/>
        </w:rPr>
        <w:t>PM2.5</w:t>
      </w:r>
      <w:r>
        <w:rPr/>
        <w:t>站点</w:t>
      </w:r>
      <w:r>
        <w:rPr>
          <w:rFonts w:ascii="宋体" w:hAnsi="宋体" w:cs="宋体" w:eastAsia="宋体" w:hint="default"/>
        </w:rPr>
        <w:t>700</w:t>
      </w:r>
      <w:r>
        <w:rPr/>
        <w:t>多个，市场竞争方面，上半年</w:t>
      </w:r>
      <w:r>
        <w:rPr>
          <w:rFonts w:ascii="宋体" w:hAnsi="宋体" w:cs="宋体" w:eastAsia="宋体" w:hint="default"/>
        </w:rPr>
        <w:t>PM2.5</w:t>
      </w:r>
      <w:r>
        <w:rPr/>
        <w:t>设备以进口为主，主要品牌是</w:t>
      </w:r>
      <w:r>
        <w:rPr>
          <w:spacing w:val="-23"/>
        </w:rPr>
        <w:t> </w:t>
      </w:r>
      <w:r>
        <w:rPr>
          <w:spacing w:val="-23"/>
        </w:rPr>
      </w:r>
      <w:r>
        <w:rPr>
          <w:spacing w:val="-3"/>
        </w:rPr>
        <w:t>赛默飞世尔和</w:t>
      </w:r>
      <w:r>
        <w:rPr>
          <w:rFonts w:ascii="宋体" w:hAnsi="宋体" w:cs="宋体" w:eastAsia="宋体" w:hint="default"/>
          <w:spacing w:val="-3"/>
        </w:rPr>
        <w:t>metone</w:t>
      </w:r>
      <w:r>
        <w:rPr>
          <w:spacing w:val="-3"/>
        </w:rPr>
        <w:t>，下半年随着先河产品的销售，国产设备得到应用。</w:t>
      </w:r>
      <w:r>
        <w:rPr>
          <w:rFonts w:ascii="宋体" w:hAnsi="宋体" w:cs="宋体" w:eastAsia="宋体" w:hint="default"/>
          <w:spacing w:val="-3"/>
        </w:rPr>
        <w:t>2012</w:t>
      </w:r>
      <w:r>
        <w:rPr>
          <w:spacing w:val="-3"/>
        </w:rPr>
        <w:t>年先河环保</w:t>
      </w:r>
      <w:r>
        <w:rPr>
          <w:rFonts w:ascii="宋体" w:hAnsi="宋体" w:cs="宋体" w:eastAsia="宋体" w:hint="default"/>
          <w:spacing w:val="-3"/>
        </w:rPr>
        <w:t>XHPM2000E </w:t>
      </w:r>
      <w:r>
        <w:rPr>
          <w:rFonts w:ascii="宋体" w:hAnsi="宋体" w:cs="宋体" w:eastAsia="宋体" w:hint="default"/>
        </w:rPr>
        <w:t>PM2.5</w:t>
      </w:r>
      <w:r>
        <w:rPr>
          <w:rFonts w:ascii="宋体" w:hAnsi="宋体" w:cs="宋体" w:eastAsia="宋体" w:hint="default"/>
          <w:spacing w:val="-83"/>
        </w:rPr>
        <w:t> </w:t>
      </w:r>
      <w:r>
        <w:rPr>
          <w:rFonts w:ascii="宋体" w:hAnsi="宋体" w:cs="宋体" w:eastAsia="宋体" w:hint="default"/>
          <w:spacing w:val="-83"/>
        </w:rPr>
      </w:r>
      <w:r>
        <w:rPr>
          <w:spacing w:val="-2"/>
        </w:rPr>
        <w:t>监测仪在河北、宁夏、山西、新疆、四川等地得以成功应用，并且经受住了华北重灰霾天气、新疆沙漠地</w:t>
      </w:r>
      <w:r>
        <w:rPr>
          <w:spacing w:val="-41"/>
        </w:rPr>
        <w:t> </w:t>
      </w:r>
      <w:r>
        <w:rPr>
          <w:spacing w:val="-41"/>
        </w:rPr>
      </w:r>
      <w:r>
        <w:rPr/>
        <w:t>区极端自然条件的严峻考验。</w:t>
      </w:r>
    </w:p>
    <w:p>
      <w:pPr>
        <w:pStyle w:val="BodyText"/>
        <w:spacing w:line="408" w:lineRule="auto" w:before="96"/>
        <w:ind w:right="101" w:firstLine="480"/>
        <w:jc w:val="left"/>
      </w:pPr>
      <w:r>
        <w:rPr>
          <w:spacing w:val="-4"/>
        </w:rPr>
        <w:t>水质方面《重点流域水污染防治规划（</w:t>
      </w:r>
      <w:r>
        <w:rPr>
          <w:rFonts w:ascii="宋体" w:hAnsi="宋体" w:cs="宋体" w:eastAsia="宋体" w:hint="default"/>
          <w:spacing w:val="-4"/>
        </w:rPr>
        <w:t>2011-2015</w:t>
      </w:r>
      <w:r>
        <w:rPr>
          <w:spacing w:val="-4"/>
        </w:rPr>
        <w:t>年）》的发行，《近岸海域污染防治规划》的推进，</w:t>
      </w:r>
      <w:r>
        <w:rPr>
          <w:w w:val="100"/>
        </w:rPr>
        <w:t> </w:t>
      </w:r>
      <w:r>
        <w:rPr>
          <w:spacing w:val="-4"/>
        </w:rPr>
        <w:t>使水质监测市场的份额较</w:t>
      </w:r>
      <w:r>
        <w:rPr>
          <w:rFonts w:ascii="宋体" w:hAnsi="宋体" w:cs="宋体" w:eastAsia="宋体" w:hint="default"/>
          <w:spacing w:val="-4"/>
        </w:rPr>
        <w:t>2011</w:t>
      </w:r>
      <w:r>
        <w:rPr>
          <w:spacing w:val="-4"/>
        </w:rPr>
        <w:t>年有所增加，污染源市场市场容量持续下跌，监测车市场较</w:t>
      </w:r>
      <w:r>
        <w:rPr>
          <w:rFonts w:ascii="宋体" w:hAnsi="宋体" w:cs="宋体" w:eastAsia="宋体" w:hint="default"/>
          <w:spacing w:val="-4"/>
        </w:rPr>
        <w:t>2011</w:t>
      </w:r>
      <w:r>
        <w:rPr>
          <w:spacing w:val="-4"/>
        </w:rPr>
        <w:t>年稍有增加。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2"/>
        <w:spacing w:line="240" w:lineRule="auto"/>
        <w:ind w:right="101"/>
        <w:jc w:val="left"/>
        <w:rPr>
          <w:b w:val="0"/>
          <w:bCs w:val="0"/>
        </w:rPr>
      </w:pPr>
      <w:r>
        <w:rPr/>
        <w:t>（三）公司未来发展战略与经营目标</w:t>
      </w:r>
      <w:r>
        <w:rPr>
          <w:b w:val="0"/>
          <w:bCs w:val="0"/>
        </w:rPr>
      </w:r>
    </w:p>
    <w:p>
      <w:pPr>
        <w:spacing w:line="240" w:lineRule="auto" w:before="9"/>
        <w:rPr>
          <w:rFonts w:ascii="宋体" w:hAnsi="宋体" w:cs="宋体" w:eastAsia="宋体" w:hint="default"/>
          <w:b/>
          <w:bCs/>
          <w:sz w:val="31"/>
          <w:szCs w:val="31"/>
        </w:rPr>
      </w:pPr>
    </w:p>
    <w:p>
      <w:pPr>
        <w:pStyle w:val="BodyText"/>
        <w:spacing w:line="408" w:lineRule="auto"/>
        <w:ind w:left="573" w:right="101" w:hanging="421"/>
        <w:jc w:val="left"/>
      </w:pPr>
      <w:r>
        <w:rPr>
          <w:rFonts w:ascii="宋体" w:hAnsi="宋体" w:cs="宋体" w:eastAsia="宋体" w:hint="default"/>
        </w:rPr>
        <w:t>1</w:t>
      </w:r>
      <w:r>
        <w:rPr/>
        <w:t>、未来发展战略</w:t>
      </w:r>
      <w:r>
        <w:rPr>
          <w:w w:val="100"/>
        </w:rPr>
        <w:t> </w:t>
      </w:r>
      <w:r>
        <w:rPr>
          <w:spacing w:val="-2"/>
        </w:rPr>
        <w:t>环境监测仪器的研发、生产是公司的主营业务，也是未来公司发展的立足点和相当长时期内赖以生存</w:t>
      </w:r>
    </w:p>
    <w:p>
      <w:pPr>
        <w:pStyle w:val="BodyText"/>
        <w:spacing w:line="408" w:lineRule="auto" w:before="46"/>
        <w:ind w:right="206"/>
        <w:jc w:val="both"/>
      </w:pPr>
      <w:r>
        <w:rPr>
          <w:spacing w:val="-2"/>
        </w:rPr>
        <w:t>的基础。公司将通过细分业务板块、细分产品实现环境监测仪器领域的高度专业化经营，依靠高技术的差</w:t>
      </w:r>
      <w:r>
        <w:rPr>
          <w:spacing w:val="-43"/>
        </w:rPr>
        <w:t> </w:t>
      </w:r>
      <w:r>
        <w:rPr>
          <w:spacing w:val="-43"/>
        </w:rPr>
      </w:r>
      <w:r>
        <w:rPr/>
        <w:t>异化获得较高的市场份额，做全球最专业的高端环境监测仪器的供应商。</w:t>
      </w:r>
    </w:p>
    <w:p>
      <w:pPr>
        <w:pStyle w:val="BodyText"/>
        <w:spacing w:line="240" w:lineRule="auto" w:before="46"/>
        <w:ind w:right="101"/>
        <w:jc w:val="left"/>
      </w:pPr>
      <w:r>
        <w:rPr>
          <w:rFonts w:ascii="宋体" w:hAnsi="宋体" w:cs="宋体" w:eastAsia="宋体" w:hint="default"/>
        </w:rPr>
        <w:t>2</w:t>
      </w:r>
      <w:r>
        <w:rPr/>
        <w:t>、公司</w:t>
      </w:r>
      <w:r>
        <w:rPr>
          <w:rFonts w:ascii="宋体" w:hAnsi="宋体" w:cs="宋体" w:eastAsia="宋体" w:hint="default"/>
        </w:rPr>
        <w:t>2013</w:t>
      </w:r>
      <w:r>
        <w:rPr/>
        <w:t>年度经营计划</w:t>
      </w:r>
    </w:p>
    <w:p>
      <w:pPr>
        <w:spacing w:line="240" w:lineRule="auto" w:before="10"/>
        <w:rPr>
          <w:rFonts w:ascii="宋体" w:hAnsi="宋体" w:cs="宋体" w:eastAsia="宋体" w:hint="default"/>
          <w:sz w:val="14"/>
          <w:szCs w:val="14"/>
        </w:rPr>
      </w:pPr>
    </w:p>
    <w:p>
      <w:pPr>
        <w:pStyle w:val="BodyText"/>
        <w:spacing w:line="408" w:lineRule="auto"/>
        <w:ind w:left="575" w:right="101" w:hanging="423"/>
        <w:jc w:val="left"/>
      </w:pPr>
      <w:r>
        <w:rPr/>
        <w:t>（</w:t>
      </w:r>
      <w:r>
        <w:rPr>
          <w:rFonts w:ascii="宋体" w:hAnsi="宋体" w:cs="宋体" w:eastAsia="宋体" w:hint="default"/>
        </w:rPr>
        <w:t>1</w:t>
      </w:r>
      <w:r>
        <w:rPr/>
        <w:t>）</w:t>
      </w:r>
      <w:r>
        <w:rPr>
          <w:spacing w:val="-2"/>
        </w:rPr>
        <w:t> </w:t>
      </w:r>
      <w:r>
        <w:rPr/>
        <w:t>围绕公司运行水平和效率的提高，提高全员技能水平</w:t>
      </w:r>
      <w:r>
        <w:rPr>
          <w:w w:val="100"/>
        </w:rPr>
        <w:t> </w:t>
      </w:r>
      <w:r>
        <w:rPr>
          <w:spacing w:val="-2"/>
        </w:rPr>
        <w:t>随着市场规模快速扩大，对公司组织效率、运行水平的要求也将不断提高。</w:t>
      </w:r>
      <w:r>
        <w:rPr>
          <w:rFonts w:ascii="宋体" w:hAnsi="宋体" w:cs="宋体" w:eastAsia="宋体" w:hint="default"/>
          <w:spacing w:val="-2"/>
        </w:rPr>
        <w:t>2013</w:t>
      </w:r>
      <w:r>
        <w:rPr>
          <w:spacing w:val="-2"/>
        </w:rPr>
        <w:t>公司将继续围绕合同</w:t>
      </w:r>
    </w:p>
    <w:p>
      <w:pPr>
        <w:pStyle w:val="BodyText"/>
        <w:spacing w:line="408" w:lineRule="auto" w:before="46"/>
        <w:ind w:right="206"/>
        <w:jc w:val="both"/>
      </w:pPr>
      <w:r>
        <w:rPr>
          <w:spacing w:val="-2"/>
        </w:rPr>
        <w:t>执行这条主线，以提高组织整体效率为目标，对组织结构进行梳理、优化，做好定岗定编，在部门内部要</w:t>
      </w:r>
      <w:r>
        <w:rPr>
          <w:spacing w:val="-43"/>
        </w:rPr>
        <w:t> </w:t>
      </w:r>
      <w:r>
        <w:rPr>
          <w:spacing w:val="-43"/>
        </w:rPr>
      </w:r>
      <w:r>
        <w:rPr>
          <w:spacing w:val="-2"/>
        </w:rPr>
        <w:t>围绕流程执行进行岗位设置，围绕岗位职责对技能的需要进行人员配置。要围绕当前需求和长远战略发展</w:t>
      </w:r>
      <w:r>
        <w:rPr>
          <w:spacing w:val="-44"/>
        </w:rPr>
        <w:t> </w:t>
      </w:r>
      <w:r>
        <w:rPr>
          <w:spacing w:val="-44"/>
        </w:rPr>
      </w:r>
      <w:r>
        <w:rPr>
          <w:spacing w:val="-2"/>
        </w:rPr>
        <w:t>需要，完善人才培养、考核、激励机制，加速核心业务和关键岗位的人员优化、提升和考核，让新员工尽</w:t>
      </w:r>
      <w:r>
        <w:rPr>
          <w:spacing w:val="-44"/>
        </w:rPr>
        <w:t> </w:t>
      </w:r>
      <w:r>
        <w:rPr>
          <w:spacing w:val="-44"/>
        </w:rPr>
      </w:r>
      <w:r>
        <w:rPr/>
        <w:t>快融入公司，让骨干员工更好发挥作用。</w:t>
      </w:r>
    </w:p>
    <w:p>
      <w:pPr>
        <w:pStyle w:val="BodyText"/>
        <w:spacing w:line="408" w:lineRule="auto" w:before="46"/>
        <w:ind w:left="575" w:right="101" w:hanging="423"/>
        <w:jc w:val="left"/>
      </w:pPr>
      <w:r>
        <w:rPr/>
        <w:t>（</w:t>
      </w:r>
      <w:r>
        <w:rPr>
          <w:rFonts w:ascii="宋体" w:hAnsi="宋体" w:cs="宋体" w:eastAsia="宋体" w:hint="default"/>
        </w:rPr>
        <w:t>2</w:t>
      </w:r>
      <w:r>
        <w:rPr/>
        <w:t>）扎实推进战略布局，加速战略项目落地</w:t>
      </w:r>
      <w:r>
        <w:rPr>
          <w:w w:val="100"/>
        </w:rPr>
        <w:t> </w:t>
      </w:r>
      <w:r>
        <w:rPr>
          <w:rFonts w:ascii="宋体" w:hAnsi="宋体" w:cs="宋体" w:eastAsia="宋体" w:hint="default"/>
          <w:spacing w:val="-2"/>
        </w:rPr>
        <w:t>2012</w:t>
      </w:r>
      <w:r>
        <w:rPr>
          <w:spacing w:val="-2"/>
        </w:rPr>
        <w:t>年，公司遵照补充产品线、培养新的经济增长点、与公司核心业务互补的原则，稳步推进战略投</w:t>
      </w:r>
    </w:p>
    <w:p>
      <w:pPr>
        <w:pStyle w:val="BodyText"/>
        <w:spacing w:line="408" w:lineRule="auto" w:before="46"/>
        <w:ind w:right="206"/>
        <w:jc w:val="both"/>
      </w:pPr>
      <w:r>
        <w:rPr>
          <w:spacing w:val="-2"/>
        </w:rPr>
        <w:t>资及产业链扩张工作，在项目调研、洽谈、推进方面做了大量扎实、有效的工作，</w:t>
      </w:r>
      <w:r>
        <w:rPr>
          <w:rFonts w:ascii="宋体" w:hAnsi="宋体" w:cs="宋体" w:eastAsia="宋体" w:hint="default"/>
          <w:spacing w:val="-2"/>
        </w:rPr>
        <w:t>2013</w:t>
      </w:r>
      <w:r>
        <w:rPr>
          <w:spacing w:val="-2"/>
        </w:rPr>
        <w:t>年将进一步加大工</w:t>
      </w:r>
      <w:r>
        <w:rPr>
          <w:spacing w:val="-37"/>
        </w:rPr>
        <w:t> </w:t>
      </w:r>
      <w:r>
        <w:rPr>
          <w:spacing w:val="-37"/>
        </w:rPr>
      </w:r>
      <w:r>
        <w:rPr/>
        <w:t>作力度，围绕合资合作、产业扩张等重点项目推进落实，加速战略项目落地，力争尽早实现突破。</w:t>
      </w:r>
    </w:p>
    <w:p>
      <w:pPr>
        <w:spacing w:after="0" w:line="408" w:lineRule="auto"/>
        <w:jc w:val="both"/>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5"/>
        <w:ind w:left="575" w:right="101" w:hanging="423"/>
        <w:jc w:val="left"/>
      </w:pPr>
      <w:r>
        <w:rPr/>
        <w:t>（</w:t>
      </w:r>
      <w:r>
        <w:rPr>
          <w:rFonts w:ascii="宋体" w:hAnsi="宋体" w:cs="宋体" w:eastAsia="宋体" w:hint="default"/>
        </w:rPr>
        <w:t>3</w:t>
      </w:r>
      <w:r>
        <w:rPr/>
        <w:t>）加大运营工作力度，推动环境服务业务的开展</w:t>
      </w:r>
      <w:r>
        <w:rPr>
          <w:w w:val="100"/>
        </w:rPr>
        <w:t> </w:t>
      </w:r>
      <w:r>
        <w:rPr>
          <w:rFonts w:ascii="宋体" w:hAnsi="宋体" w:cs="宋体" w:eastAsia="宋体" w:hint="default"/>
          <w:spacing w:val="-2"/>
        </w:rPr>
        <w:t>"</w:t>
      </w:r>
      <w:r>
        <w:rPr>
          <w:spacing w:val="-2"/>
        </w:rPr>
        <w:t>十二五</w:t>
      </w:r>
      <w:r>
        <w:rPr>
          <w:rFonts w:ascii="宋体" w:hAnsi="宋体" w:cs="宋体" w:eastAsia="宋体" w:hint="default"/>
          <w:spacing w:val="-2"/>
        </w:rPr>
        <w:t>"</w:t>
      </w:r>
      <w:r>
        <w:rPr>
          <w:spacing w:val="-2"/>
        </w:rPr>
        <w:t>节能环保规划将环境服务业纳入发展重点，规划到</w:t>
      </w:r>
      <w:r>
        <w:rPr>
          <w:rFonts w:ascii="宋体" w:hAnsi="宋体" w:cs="宋体" w:eastAsia="宋体" w:hint="default"/>
          <w:spacing w:val="-2"/>
        </w:rPr>
        <w:t>2015</w:t>
      </w:r>
      <w:r>
        <w:rPr>
          <w:spacing w:val="-2"/>
        </w:rPr>
        <w:t>年达到产值</w:t>
      </w:r>
      <w:r>
        <w:rPr>
          <w:rFonts w:ascii="宋体" w:hAnsi="宋体" w:cs="宋体" w:eastAsia="宋体" w:hint="default"/>
          <w:spacing w:val="-2"/>
        </w:rPr>
        <w:t>5000</w:t>
      </w:r>
      <w:r>
        <w:rPr>
          <w:spacing w:val="-2"/>
        </w:rPr>
        <w:t>亿元，环境服务业将</w:t>
      </w:r>
    </w:p>
    <w:p>
      <w:pPr>
        <w:pStyle w:val="BodyText"/>
        <w:spacing w:line="408" w:lineRule="auto" w:before="46"/>
        <w:ind w:right="101"/>
        <w:jc w:val="left"/>
      </w:pPr>
      <w:r>
        <w:rPr>
          <w:spacing w:val="-5"/>
        </w:rPr>
        <w:t>面临良好的发展机遇。</w:t>
      </w:r>
      <w:r>
        <w:rPr>
          <w:rFonts w:ascii="宋体" w:hAnsi="宋体" w:cs="宋体" w:eastAsia="宋体" w:hint="default"/>
          <w:spacing w:val="-5"/>
        </w:rPr>
        <w:t>2013</w:t>
      </w:r>
      <w:r>
        <w:rPr>
          <w:spacing w:val="-5"/>
        </w:rPr>
        <w:t>年，公司要加大运营市场运作、策划的力度，通过实验室认证及质控体系建设，</w:t>
      </w:r>
      <w:r>
        <w:rPr>
          <w:spacing w:val="-1"/>
        </w:rPr>
        <w:t> </w:t>
      </w:r>
      <w:r>
        <w:rPr>
          <w:spacing w:val="-1"/>
        </w:rPr>
      </w:r>
      <w:r>
        <w:rPr>
          <w:spacing w:val="-2"/>
        </w:rPr>
        <w:t>扩大公司在运营服务业务上的优势，提高运营业务的门槛，从公司层面积极推进运营业务的开展、拉大与</w:t>
      </w:r>
      <w:r>
        <w:rPr>
          <w:spacing w:val="-44"/>
        </w:rPr>
        <w:t> </w:t>
      </w:r>
      <w:r>
        <w:rPr>
          <w:spacing w:val="-44"/>
        </w:rPr>
      </w:r>
      <w:r>
        <w:rPr>
          <w:spacing w:val="-2"/>
        </w:rPr>
        <w:t>其他公司的距离；同时，公司将加大对环境检测、环境评价、清洁生产诊断认证等服务领域的调研，通过</w:t>
      </w:r>
      <w:r>
        <w:rPr>
          <w:spacing w:val="-43"/>
        </w:rPr>
        <w:t> </w:t>
      </w:r>
      <w:r>
        <w:rPr>
          <w:spacing w:val="-43"/>
        </w:rPr>
      </w:r>
      <w:r>
        <w:rPr/>
        <w:t>兼并收购等方式向相关领域延伸。</w:t>
      </w:r>
    </w:p>
    <w:p>
      <w:pPr>
        <w:pStyle w:val="BodyText"/>
        <w:spacing w:line="408" w:lineRule="auto" w:before="46"/>
        <w:ind w:left="575" w:right="101" w:hanging="318"/>
        <w:jc w:val="left"/>
      </w:pPr>
      <w:r>
        <w:rPr/>
        <w:t>（</w:t>
      </w:r>
      <w:r>
        <w:rPr>
          <w:rFonts w:ascii="宋体" w:hAnsi="宋体" w:cs="宋体" w:eastAsia="宋体" w:hint="default"/>
        </w:rPr>
        <w:t>4</w:t>
      </w:r>
      <w:r>
        <w:rPr/>
        <w:t>）提前策划、布局，谋划好新的经济增长点</w:t>
      </w:r>
      <w:r>
        <w:rPr>
          <w:w w:val="100"/>
        </w:rPr>
        <w:t> </w:t>
      </w:r>
      <w:r>
        <w:rPr>
          <w:spacing w:val="-2"/>
        </w:rPr>
        <w:t>伴随水环境污染事件的增多，国家对水质市场的投入加大力度。</w:t>
      </w:r>
      <w:r>
        <w:rPr>
          <w:rFonts w:ascii="宋体" w:hAnsi="宋体" w:cs="宋体" w:eastAsia="宋体" w:hint="default"/>
          <w:spacing w:val="-2"/>
        </w:rPr>
        <w:t>2013</w:t>
      </w:r>
      <w:r>
        <w:rPr>
          <w:spacing w:val="-2"/>
        </w:rPr>
        <w:t>年，公司已成立专门机构推广水</w:t>
      </w:r>
    </w:p>
    <w:p>
      <w:pPr>
        <w:pStyle w:val="BodyText"/>
        <w:spacing w:line="408" w:lineRule="auto" w:before="46"/>
        <w:ind w:right="101"/>
        <w:jc w:val="left"/>
      </w:pPr>
      <w:r>
        <w:rPr>
          <w:spacing w:val="-2"/>
        </w:rPr>
        <w:t>质产品，加大水质产品的市场策划力度，加强品牌宣传及市场推广支持，加大对市场的引导，通过加快布</w:t>
      </w:r>
      <w:r>
        <w:rPr>
          <w:spacing w:val="-50"/>
        </w:rPr>
        <w:t> </w:t>
      </w:r>
      <w:r>
        <w:rPr>
          <w:spacing w:val="-50"/>
        </w:rPr>
      </w:r>
      <w:r>
        <w:rPr/>
        <w:t>局、加强谋划，实现多个产品线的齐头并进，靠新产品及新市场的增量促进业绩的增长</w:t>
      </w:r>
    </w:p>
    <w:p>
      <w:pPr>
        <w:pStyle w:val="BodyText"/>
        <w:spacing w:line="408" w:lineRule="auto" w:before="46"/>
        <w:ind w:left="575" w:right="101" w:hanging="423"/>
        <w:jc w:val="left"/>
      </w:pPr>
      <w:r>
        <w:rPr/>
        <w:t>（</w:t>
      </w:r>
      <w:r>
        <w:rPr>
          <w:rFonts w:ascii="宋体" w:hAnsi="宋体" w:cs="宋体" w:eastAsia="宋体" w:hint="default"/>
        </w:rPr>
        <w:t>5</w:t>
      </w:r>
      <w:r>
        <w:rPr/>
        <w:t>）做好产品支撑，谋求业绩更大突破</w:t>
      </w:r>
      <w:r>
        <w:rPr>
          <w:w w:val="100"/>
        </w:rPr>
        <w:t> </w:t>
      </w:r>
      <w:r>
        <w:rPr>
          <w:spacing w:val="-2"/>
        </w:rPr>
        <w:t>产品支撑是业务发展的基础，要谋求公司发展，就必须做好产品及技术支撑。</w:t>
      </w:r>
      <w:r>
        <w:rPr>
          <w:rFonts w:ascii="宋体" w:hAnsi="宋体" w:cs="宋体" w:eastAsia="宋体" w:hint="default"/>
          <w:spacing w:val="-2"/>
        </w:rPr>
        <w:t>2013</w:t>
      </w:r>
      <w:r>
        <w:rPr>
          <w:spacing w:val="-2"/>
        </w:rPr>
        <w:t>年，公司将研发体</w:t>
      </w:r>
    </w:p>
    <w:p>
      <w:pPr>
        <w:pStyle w:val="BodyText"/>
        <w:spacing w:line="408" w:lineRule="auto" w:before="46"/>
        <w:ind w:right="101"/>
        <w:jc w:val="left"/>
      </w:pPr>
      <w:r>
        <w:rPr>
          <w:spacing w:val="-5"/>
        </w:rPr>
        <w:t>系要进一步深化改革，转观念，强作风，要围绕国家监测纲要，梳理公司的产品策略，提高自有产品比例。</w:t>
      </w:r>
      <w:r>
        <w:rPr>
          <w:spacing w:val="-7"/>
        </w:rPr>
        <w:t> </w:t>
      </w:r>
      <w:r>
        <w:rPr>
          <w:spacing w:val="-7"/>
        </w:rPr>
      </w:r>
      <w:r>
        <w:rPr>
          <w:spacing w:val="-2"/>
        </w:rPr>
        <w:t>对于公司缺乏储备的产品，要加大国际引进的力度，千方百计落实市场需求，为实现销售业绩的跨越提升</w:t>
      </w:r>
      <w:r>
        <w:rPr>
          <w:spacing w:val="-45"/>
        </w:rPr>
        <w:t> </w:t>
      </w:r>
      <w:r>
        <w:rPr>
          <w:spacing w:val="-45"/>
        </w:rPr>
      </w:r>
      <w:r>
        <w:rPr/>
        <w:t>提供有力的保障。</w:t>
      </w:r>
    </w:p>
    <w:p>
      <w:pPr>
        <w:pStyle w:val="BodyText"/>
        <w:spacing w:line="240" w:lineRule="auto" w:before="46"/>
        <w:ind w:right="101"/>
        <w:jc w:val="left"/>
      </w:pPr>
      <w:r>
        <w:rPr>
          <w:rFonts w:ascii="宋体" w:hAnsi="宋体" w:cs="宋体" w:eastAsia="宋体" w:hint="default"/>
        </w:rPr>
        <w:t>3</w:t>
      </w:r>
      <w:r>
        <w:rPr/>
        <w:t>、对公司未来发展战略和经营目标的实现产生不利影响的因素分析</w:t>
      </w:r>
    </w:p>
    <w:p>
      <w:pPr>
        <w:spacing w:line="240" w:lineRule="auto" w:before="10"/>
        <w:rPr>
          <w:rFonts w:ascii="宋体" w:hAnsi="宋体" w:cs="宋体" w:eastAsia="宋体" w:hint="default"/>
          <w:sz w:val="14"/>
          <w:szCs w:val="14"/>
        </w:rPr>
      </w:pPr>
    </w:p>
    <w:p>
      <w:pPr>
        <w:pStyle w:val="BodyText"/>
        <w:spacing w:line="408" w:lineRule="auto"/>
        <w:ind w:left="573" w:right="101" w:hanging="111"/>
        <w:jc w:val="left"/>
      </w:pPr>
      <w:r>
        <w:rPr/>
        <w:t>（</w:t>
      </w:r>
      <w:r>
        <w:rPr>
          <w:rFonts w:ascii="宋体" w:hAnsi="宋体" w:cs="宋体" w:eastAsia="宋体" w:hint="default"/>
        </w:rPr>
        <w:t>1)</w:t>
      </w:r>
      <w:r>
        <w:rPr/>
        <w:t>产业政策与环境保护相关法律变动的风险</w:t>
      </w:r>
      <w:r>
        <w:rPr>
          <w:w w:val="100"/>
        </w:rPr>
        <w:t> </w:t>
      </w:r>
      <w:r>
        <w:rPr>
          <w:spacing w:val="-3"/>
        </w:rPr>
        <w:t>“十二五”期间国家加大投资，公司主导产品空气在线自动监测系统、水质连续自动监测系统、酸雨</w:t>
      </w:r>
    </w:p>
    <w:p>
      <w:pPr>
        <w:pStyle w:val="BodyText"/>
        <w:spacing w:line="408" w:lineRule="auto" w:before="46"/>
        <w:ind w:right="206"/>
        <w:jc w:val="both"/>
      </w:pPr>
      <w:r>
        <w:rPr>
          <w:spacing w:val="-2"/>
        </w:rPr>
        <w:t>在线自动监测系统以及数字应急监测车大多为政府采购，因此相关政府采购预算金额的波动将直接影响以</w:t>
      </w:r>
      <w:r>
        <w:rPr>
          <w:spacing w:val="-43"/>
        </w:rPr>
        <w:t> </w:t>
      </w:r>
      <w:r>
        <w:rPr>
          <w:spacing w:val="-43"/>
        </w:rPr>
      </w:r>
      <w:r>
        <w:rPr>
          <w:spacing w:val="-2"/>
        </w:rPr>
        <w:t>上系列产品的盈利状况；其次，国家加大了环境监管与执法力度，间接地促进了企业对于污染源监测领域</w:t>
      </w:r>
      <w:r>
        <w:rPr>
          <w:spacing w:val="-44"/>
        </w:rPr>
        <w:t> </w:t>
      </w:r>
      <w:r>
        <w:rPr>
          <w:spacing w:val="-44"/>
        </w:rPr>
      </w:r>
      <w:r>
        <w:rPr>
          <w:spacing w:val="-2"/>
        </w:rPr>
        <w:t>的投入，公司的烟气在线自动监测系统和污水在线自动监测系统多由污染源企业采购，因此，产业政策和</w:t>
      </w:r>
      <w:r>
        <w:rPr>
          <w:spacing w:val="-43"/>
        </w:rPr>
        <w:t> </w:t>
      </w:r>
      <w:r>
        <w:rPr>
          <w:spacing w:val="-43"/>
        </w:rPr>
      </w:r>
      <w:r>
        <w:rPr/>
        <w:t>相关法律的变动将会对公司的生产经营产生较大的影响。</w:t>
      </w:r>
    </w:p>
    <w:p>
      <w:pPr>
        <w:pStyle w:val="BodyText"/>
        <w:spacing w:line="410" w:lineRule="auto" w:before="46"/>
        <w:ind w:left="573" w:right="101"/>
        <w:jc w:val="left"/>
      </w:pPr>
      <w:r>
        <w:rPr>
          <w:rFonts w:ascii="宋体" w:hAnsi="宋体" w:cs="宋体" w:eastAsia="宋体" w:hint="default"/>
        </w:rPr>
        <w:t>(2)</w:t>
      </w:r>
      <w:r>
        <w:rPr/>
        <w:t>行政许可的风险</w:t>
      </w:r>
      <w:r>
        <w:rPr>
          <w:w w:val="100"/>
        </w:rPr>
        <w:t> </w:t>
      </w:r>
      <w:r>
        <w:rPr>
          <w:spacing w:val="-2"/>
        </w:rPr>
        <w:t>按照《中华人民共和国计量法》，环境监测仪器属于计量器具，应符合《制造计量器具许可证考核规</w:t>
      </w:r>
    </w:p>
    <w:p>
      <w:pPr>
        <w:pStyle w:val="BodyText"/>
        <w:spacing w:line="408" w:lineRule="auto" w:before="44"/>
        <w:ind w:right="101"/>
        <w:jc w:val="left"/>
      </w:pPr>
      <w:r>
        <w:rPr>
          <w:spacing w:val="-2"/>
        </w:rPr>
        <w:t>范》的考核要求，生产厂家按照法律规定须向质量技术监督局提出申请，并经计量行政主管部门对生产厂</w:t>
      </w:r>
      <w:r>
        <w:rPr>
          <w:spacing w:val="-43"/>
        </w:rPr>
        <w:t> </w:t>
      </w:r>
      <w:r>
        <w:rPr>
          <w:spacing w:val="-43"/>
        </w:rPr>
      </w:r>
      <w:r>
        <w:rPr/>
        <w:t>家组织考核合格后，才能取得“制造计量器具许可证”。</w:t>
      </w:r>
    </w:p>
    <w:p>
      <w:pPr>
        <w:pStyle w:val="BodyText"/>
        <w:spacing w:line="408" w:lineRule="auto" w:before="46"/>
        <w:ind w:right="206" w:firstLine="420"/>
        <w:jc w:val="both"/>
      </w:pPr>
      <w:r>
        <w:rPr>
          <w:spacing w:val="-2"/>
        </w:rPr>
        <w:t>按照《污染源自动监控管理办法》，建设自动监控系统必须符合下列要求：“自动监控设备中的相关</w:t>
      </w:r>
      <w:r>
        <w:rPr>
          <w:w w:val="100"/>
        </w:rPr>
        <w:t> </w:t>
      </w:r>
      <w:r>
        <w:rPr>
          <w:spacing w:val="-2"/>
        </w:rPr>
        <w:t>仪器应当选用经国家环境保护总局指定的环境监测仪器检测机构适用性检测合格的产品；数据采集和传输</w:t>
      </w:r>
      <w:r>
        <w:rPr>
          <w:spacing w:val="-43"/>
        </w:rPr>
        <w:t> </w:t>
      </w:r>
      <w:r>
        <w:rPr>
          <w:spacing w:val="-43"/>
        </w:rPr>
      </w:r>
      <w:r>
        <w:rPr/>
        <w:t>符合国家有关污染源在线自动监控（监测）系统数据传输和接口标准的技术规范”。</w:t>
      </w:r>
    </w:p>
    <w:p>
      <w:pPr>
        <w:pStyle w:val="BodyText"/>
        <w:spacing w:line="240" w:lineRule="auto" w:before="46"/>
        <w:ind w:left="573" w:right="101"/>
        <w:jc w:val="left"/>
      </w:pPr>
      <w:r>
        <w:rPr/>
        <w:t>根据《环境污染治理设施运营资质许可管理办法》的规定，“环境污染治理设施运营，是指专门从事</w:t>
      </w:r>
    </w:p>
    <w:p>
      <w:pPr>
        <w:spacing w:after="0" w:line="240"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5"/>
        <w:ind w:right="205"/>
        <w:jc w:val="both"/>
      </w:pPr>
      <w:r>
        <w:rPr>
          <w:spacing w:val="-2"/>
        </w:rPr>
        <w:t>污染物处理、处置的社会化有偿服务或者以营利为目的根据双方签订的合同承担他人环境污染治理设施运</w:t>
      </w:r>
      <w:r>
        <w:rPr>
          <w:spacing w:val="-43"/>
        </w:rPr>
        <w:t> </w:t>
      </w:r>
      <w:r>
        <w:rPr>
          <w:spacing w:val="-43"/>
        </w:rPr>
      </w:r>
      <w:r>
        <w:rPr>
          <w:spacing w:val="-2"/>
        </w:rPr>
        <w:t>营管理的活动。”“国家对环境污染治理设施运营活动实行运营资质许可制度”，“从事环境污染治理设</w:t>
      </w:r>
      <w:r>
        <w:rPr>
          <w:spacing w:val="-42"/>
        </w:rPr>
        <w:t> </w:t>
      </w:r>
      <w:r>
        <w:rPr>
          <w:spacing w:val="-42"/>
        </w:rPr>
      </w:r>
      <w:r>
        <w:rPr>
          <w:spacing w:val="-2"/>
        </w:rPr>
        <w:t>施运营的单位，必须按照本办法的规定申请获得环境污染治理设施运营资质证书，并按照资质证书的规定</w:t>
      </w:r>
      <w:r>
        <w:rPr>
          <w:spacing w:val="-42"/>
        </w:rPr>
        <w:t> </w:t>
      </w:r>
      <w:r>
        <w:rPr>
          <w:spacing w:val="-42"/>
        </w:rPr>
      </w:r>
      <w:r>
        <w:rPr/>
        <w:t>从事环境污染治理设施运营活动”。</w:t>
      </w:r>
    </w:p>
    <w:p>
      <w:pPr>
        <w:pStyle w:val="BodyText"/>
        <w:spacing w:line="408" w:lineRule="auto" w:before="46"/>
        <w:ind w:right="101" w:firstLine="420"/>
        <w:jc w:val="left"/>
      </w:pPr>
      <w:r>
        <w:rPr>
          <w:spacing w:val="-7"/>
        </w:rPr>
        <w:t>以上法规对于环境监测仪器行业的经营资质进行了规定，其中《制造计量器具许可证考核规范》和《环</w:t>
      </w:r>
      <w:r>
        <w:rPr>
          <w:w w:val="100"/>
        </w:rPr>
        <w:t> </w:t>
      </w:r>
      <w:r>
        <w:rPr>
          <w:spacing w:val="-5"/>
        </w:rPr>
        <w:t>境污染治理设施运营资质许可管理办法》是强制性规定，环保主管部门对技术标准的规定属于规范性要求。</w:t>
      </w:r>
      <w:r>
        <w:rPr>
          <w:spacing w:val="-6"/>
        </w:rPr>
        <w:t> </w:t>
      </w:r>
      <w:r>
        <w:rPr>
          <w:spacing w:val="-6"/>
        </w:rPr>
      </w:r>
      <w:r>
        <w:rPr/>
        <w:t>公司虽然已经取得以上全部运营许可资质，并且采取了积极的资质展期申请准备措施，但是如果以上资质</w:t>
      </w:r>
      <w:r>
        <w:rPr>
          <w:w w:val="100"/>
        </w:rPr>
        <w:t> </w:t>
      </w:r>
      <w:r>
        <w:rPr/>
        <w:t>管理办法与技术规范性要求发生变化，可能会对公司产生一定影响。</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2"/>
        <w:spacing w:line="240" w:lineRule="auto"/>
        <w:ind w:right="0"/>
        <w:jc w:val="both"/>
        <w:rPr>
          <w:b w:val="0"/>
          <w:bCs w:val="0"/>
        </w:rPr>
      </w:pPr>
      <w:r>
        <w:rPr/>
        <w:t>四、公司利润分配及分红派息情况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0"/>
        <w:jc w:val="both"/>
      </w:pPr>
      <w:r>
        <w:rPr/>
        <w:t>报告期内利润分配政策特别是现金分红政策的制定、执行或调整情况</w:t>
      </w:r>
    </w:p>
    <w:p>
      <w:pPr>
        <w:spacing w:line="240" w:lineRule="auto" w:before="9"/>
        <w:rPr>
          <w:rFonts w:ascii="宋体" w:hAnsi="宋体" w:cs="宋体" w:eastAsia="宋体" w:hint="default"/>
          <w:sz w:val="17"/>
          <w:szCs w:val="17"/>
        </w:rPr>
      </w:pPr>
    </w:p>
    <w:p>
      <w:pPr>
        <w:pStyle w:val="BodyText"/>
        <w:tabs>
          <w:tab w:pos="5496" w:val="left" w:leader="none"/>
        </w:tabs>
        <w:spacing w:line="408" w:lineRule="auto"/>
        <w:ind w:right="206" w:firstLine="422"/>
        <w:jc w:val="left"/>
      </w:pPr>
      <w:r>
        <w:rPr/>
        <w:t>原</w:t>
      </w:r>
      <w:r>
        <w:rPr>
          <w:spacing w:val="24"/>
        </w:rPr>
        <w:t> </w:t>
      </w:r>
      <w:r>
        <w:rPr>
          <w:spacing w:val="-2"/>
        </w:rPr>
        <w:t>《公司章程》中规定，公司利润分配政策如下：</w:t>
        <w:tab/>
      </w:r>
      <w:r>
        <w:rPr>
          <w:rFonts w:ascii="宋体" w:hAnsi="宋体" w:cs="宋体" w:eastAsia="宋体" w:hint="default"/>
          <w:spacing w:val="-2"/>
        </w:rPr>
        <w:t>1</w:t>
      </w:r>
      <w:r>
        <w:rPr>
          <w:spacing w:val="-2"/>
        </w:rPr>
        <w:t>、公司应重视对投资者的合理投资回报，利润</w:t>
      </w:r>
      <w:r>
        <w:rPr>
          <w:w w:val="100"/>
        </w:rPr>
        <w:t> </w:t>
      </w:r>
      <w:r>
        <w:rPr/>
        <w:t>分配政策应保持连续性和稳定性</w:t>
      </w:r>
      <w:r>
        <w:rPr>
          <w:spacing w:val="-5"/>
        </w:rPr>
        <w:t> </w:t>
      </w:r>
      <w:r>
        <w:rPr>
          <w:rFonts w:ascii="宋体" w:hAnsi="宋体" w:cs="宋体" w:eastAsia="宋体" w:hint="default"/>
        </w:rPr>
        <w:t>2</w:t>
      </w:r>
      <w:r>
        <w:rPr/>
        <w:t>、公司分配股利应坚持以下原则：（</w:t>
      </w:r>
      <w:r>
        <w:rPr>
          <w:rFonts w:ascii="宋体" w:hAnsi="宋体" w:cs="宋体" w:eastAsia="宋体" w:hint="default"/>
        </w:rPr>
        <w:t>1</w:t>
      </w:r>
      <w:r>
        <w:rPr/>
        <w:t>）遵守有关的法律、法规、规章</w:t>
      </w:r>
      <w:r>
        <w:rPr>
          <w:w w:val="100"/>
        </w:rPr>
        <w:t> </w:t>
      </w:r>
      <w:r>
        <w:rPr>
          <w:spacing w:val="-3"/>
        </w:rPr>
        <w:t>和公司章程，按照规定的条件和程序进行；（</w:t>
      </w:r>
      <w:r>
        <w:rPr>
          <w:rFonts w:ascii="宋体" w:hAnsi="宋体" w:cs="宋体" w:eastAsia="宋体" w:hint="default"/>
          <w:spacing w:val="-3"/>
        </w:rPr>
        <w:t>2</w:t>
      </w:r>
      <w:r>
        <w:rPr>
          <w:spacing w:val="-3"/>
        </w:rPr>
        <w:t>）兼顾公司长期发展和对投资者的合理回报；（</w:t>
      </w:r>
      <w:r>
        <w:rPr>
          <w:rFonts w:ascii="宋体" w:hAnsi="宋体" w:cs="宋体" w:eastAsia="宋体" w:hint="default"/>
          <w:spacing w:val="-3"/>
        </w:rPr>
        <w:t>3</w:t>
      </w:r>
      <w:r>
        <w:rPr>
          <w:spacing w:val="-3"/>
        </w:rPr>
        <w:t>）实行同</w:t>
      </w:r>
      <w:r>
        <w:rPr>
          <w:spacing w:val="-5"/>
        </w:rPr>
        <w:t> </w:t>
      </w:r>
      <w:r>
        <w:rPr/>
        <w:t>股同权，同股同利。 </w:t>
      </w:r>
      <w:r>
        <w:rPr>
          <w:rFonts w:ascii="宋体" w:hAnsi="宋体" w:cs="宋体" w:eastAsia="宋体" w:hint="default"/>
        </w:rPr>
        <w:t>3</w:t>
      </w:r>
      <w:r>
        <w:rPr/>
        <w:t>、公司可以采取现金、股票以及现金和股票相结合的方式分配股利。</w:t>
      </w:r>
      <w:r>
        <w:rPr>
          <w:spacing w:val="-27"/>
        </w:rPr>
        <w:t> </w:t>
      </w:r>
      <w:r>
        <w:rPr>
          <w:rFonts w:ascii="宋体" w:hAnsi="宋体" w:cs="宋体" w:eastAsia="宋体" w:hint="default"/>
        </w:rPr>
        <w:t>4</w:t>
      </w:r>
      <w:r>
        <w:rPr/>
        <w:t>、公司应积</w:t>
      </w:r>
      <w:r>
        <w:rPr>
          <w:w w:val="100"/>
        </w:rPr>
        <w:t> </w:t>
      </w:r>
      <w:r>
        <w:rPr/>
        <w:t>极推行以现金方式分配股利。在满足下列条件情况下，公司分配年度股利应优先采用现金方式：（</w:t>
      </w:r>
      <w:r>
        <w:rPr>
          <w:rFonts w:ascii="宋体" w:hAnsi="宋体" w:cs="宋体" w:eastAsia="宋体" w:hint="default"/>
        </w:rPr>
        <w:t>1</w:t>
      </w:r>
      <w:r>
        <w:rPr/>
        <w:t>）公</w:t>
      </w:r>
      <w:r>
        <w:rPr>
          <w:spacing w:val="-3"/>
          <w:w w:val="100"/>
        </w:rPr>
        <w:t> </w:t>
      </w:r>
      <w:r>
        <w:rPr/>
        <w:t>司该年度实现的可分配利润（即公司弥补亏损、提取公积金后所余的税后利润）为正值；（</w:t>
      </w:r>
      <w:r>
        <w:rPr>
          <w:rFonts w:ascii="宋体" w:hAnsi="宋体" w:cs="宋体" w:eastAsia="宋体" w:hint="default"/>
        </w:rPr>
        <w:t>2</w:t>
      </w:r>
      <w:r>
        <w:rPr/>
        <w:t>）审计机构</w:t>
      </w:r>
      <w:r>
        <w:rPr>
          <w:w w:val="100"/>
        </w:rPr>
        <w:t> </w:t>
      </w:r>
      <w:r>
        <w:rPr/>
        <w:t>对公司的该年度财务报告出具标准无保留意见的审计报告；（</w:t>
      </w:r>
      <w:r>
        <w:rPr>
          <w:rFonts w:ascii="宋体" w:hAnsi="宋体" w:cs="宋体" w:eastAsia="宋体" w:hint="default"/>
        </w:rPr>
        <w:t>3</w:t>
      </w:r>
      <w:r>
        <w:rPr/>
        <w:t>）实施现金股利分配后，公司的现金能够</w:t>
      </w:r>
      <w:r>
        <w:rPr>
          <w:w w:val="100"/>
        </w:rPr>
        <w:t> </w:t>
      </w:r>
      <w:r>
        <w:rPr>
          <w:spacing w:val="-2"/>
        </w:rPr>
        <w:t>满足公司正常经营和长期发展的需要。在有关法规允许的情况下，公司可以根据盈利状况，进行中期现金</w:t>
      </w:r>
      <w:r>
        <w:rPr>
          <w:spacing w:val="-43"/>
        </w:rPr>
        <w:t> </w:t>
      </w:r>
      <w:r>
        <w:rPr>
          <w:spacing w:val="-43"/>
        </w:rPr>
      </w:r>
      <w:r>
        <w:rPr>
          <w:spacing w:val="-2"/>
        </w:rPr>
        <w:t>分红。</w:t>
      </w:r>
      <w:r>
        <w:rPr>
          <w:rFonts w:ascii="宋体" w:hAnsi="宋体" w:cs="宋体" w:eastAsia="宋体" w:hint="default"/>
          <w:spacing w:val="-2"/>
        </w:rPr>
        <w:t>5</w:t>
      </w:r>
      <w:r>
        <w:rPr>
          <w:spacing w:val="-2"/>
        </w:rPr>
        <w:t>、公司分配的现金股利的应尽可能达到下列标准之一：（</w:t>
      </w:r>
      <w:r>
        <w:rPr>
          <w:rFonts w:ascii="宋体" w:hAnsi="宋体" w:cs="宋体" w:eastAsia="宋体" w:hint="default"/>
          <w:spacing w:val="-2"/>
        </w:rPr>
        <w:t>1</w:t>
      </w:r>
      <w:r>
        <w:rPr>
          <w:spacing w:val="-2"/>
        </w:rPr>
        <w:t>）公司每年以现金方式分配的股利不少</w:t>
      </w:r>
      <w:r>
        <w:rPr>
          <w:spacing w:val="-43"/>
        </w:rPr>
        <w:t> </w:t>
      </w:r>
      <w:r>
        <w:rPr>
          <w:spacing w:val="-43"/>
        </w:rPr>
      </w:r>
      <w:r>
        <w:rPr>
          <w:spacing w:val="-2"/>
        </w:rPr>
        <w:t>于当年实现的可分配利润的</w:t>
      </w:r>
      <w:r>
        <w:rPr>
          <w:rFonts w:ascii="宋体" w:hAnsi="宋体" w:cs="宋体" w:eastAsia="宋体" w:hint="default"/>
          <w:spacing w:val="-2"/>
        </w:rPr>
        <w:t>10%</w:t>
      </w:r>
      <w:r>
        <w:rPr>
          <w:spacing w:val="-2"/>
        </w:rPr>
        <w:t>；（</w:t>
      </w:r>
      <w:r>
        <w:rPr>
          <w:rFonts w:ascii="宋体" w:hAnsi="宋体" w:cs="宋体" w:eastAsia="宋体" w:hint="default"/>
          <w:spacing w:val="-2"/>
        </w:rPr>
        <w:t>2</w:t>
      </w:r>
      <w:r>
        <w:rPr>
          <w:spacing w:val="-2"/>
        </w:rPr>
        <w:t>）最近三年以现金方式累计分配的利润不少于最近三年实现的年均可</w:t>
      </w:r>
      <w:r>
        <w:rPr>
          <w:spacing w:val="-38"/>
        </w:rPr>
        <w:t> </w:t>
      </w:r>
      <w:r>
        <w:rPr>
          <w:spacing w:val="-38"/>
        </w:rPr>
      </w:r>
      <w:r>
        <w:rPr>
          <w:spacing w:val="-2"/>
        </w:rPr>
        <w:t>分配利润的</w:t>
      </w:r>
      <w:r>
        <w:rPr>
          <w:rFonts w:ascii="宋体" w:hAnsi="宋体" w:cs="宋体" w:eastAsia="宋体" w:hint="default"/>
          <w:spacing w:val="-2"/>
        </w:rPr>
        <w:t>30%</w:t>
      </w:r>
      <w:r>
        <w:rPr>
          <w:spacing w:val="-2"/>
        </w:rPr>
        <w:t>。若公司最近连续</w:t>
      </w:r>
      <w:r>
        <w:rPr>
          <w:rFonts w:ascii="宋体" w:hAnsi="宋体" w:cs="宋体" w:eastAsia="宋体" w:hint="default"/>
          <w:spacing w:val="-2"/>
        </w:rPr>
        <w:t>2</w:t>
      </w:r>
      <w:r>
        <w:rPr>
          <w:spacing w:val="-2"/>
        </w:rPr>
        <w:t>个年度的经营活动现金流量为负时，公司在本年度进行的现金股利分配</w:t>
      </w:r>
      <w:r>
        <w:rPr>
          <w:spacing w:val="-41"/>
        </w:rPr>
        <w:t> </w:t>
      </w:r>
      <w:r>
        <w:rPr>
          <w:spacing w:val="-41"/>
        </w:rPr>
      </w:r>
      <w:r>
        <w:rPr/>
        <w:t>累计不得超过该年初累计可分配利润的</w:t>
      </w:r>
      <w:r>
        <w:rPr>
          <w:rFonts w:ascii="宋体" w:hAnsi="宋体" w:cs="宋体" w:eastAsia="宋体" w:hint="default"/>
        </w:rPr>
        <w:t>50%</w:t>
      </w:r>
      <w:r>
        <w:rPr/>
        <w:t>。</w:t>
      </w:r>
    </w:p>
    <w:p>
      <w:pPr>
        <w:pStyle w:val="BodyText"/>
        <w:spacing w:line="408" w:lineRule="auto" w:before="46"/>
        <w:ind w:right="101" w:firstLine="528"/>
        <w:jc w:val="left"/>
      </w:pPr>
      <w:r>
        <w:rPr>
          <w:rFonts w:ascii="宋体" w:hAnsi="宋体" w:cs="宋体" w:eastAsia="宋体" w:hint="default"/>
        </w:rPr>
        <w:t>2012 </w:t>
      </w:r>
      <w:r>
        <w:rPr/>
        <w:t>年 </w:t>
      </w:r>
      <w:r>
        <w:rPr>
          <w:rFonts w:ascii="宋体" w:hAnsi="宋体" w:cs="宋体" w:eastAsia="宋体" w:hint="default"/>
        </w:rPr>
        <w:t>8 </w:t>
      </w:r>
      <w:r>
        <w:rPr/>
        <w:t>月 </w:t>
      </w:r>
      <w:r>
        <w:rPr>
          <w:rFonts w:ascii="宋体" w:hAnsi="宋体" w:cs="宋体" w:eastAsia="宋体" w:hint="default"/>
        </w:rPr>
        <w:t>21</w:t>
      </w:r>
      <w:r>
        <w:rPr>
          <w:rFonts w:ascii="宋体" w:hAnsi="宋体" w:cs="宋体" w:eastAsia="宋体" w:hint="default"/>
          <w:spacing w:val="-10"/>
        </w:rPr>
        <w:t> </w:t>
      </w:r>
      <w:r>
        <w:rPr/>
        <w:t>日，根据中国证监会河北监管局文件《关于加强现金分红工作的通知》（冀证监</w:t>
      </w:r>
      <w:r>
        <w:rPr>
          <w:w w:val="100"/>
        </w:rPr>
        <w:t> </w:t>
      </w:r>
      <w:r>
        <w:rPr>
          <w:spacing w:val="-4"/>
        </w:rPr>
        <w:t>发【</w:t>
      </w:r>
      <w:r>
        <w:rPr>
          <w:rFonts w:ascii="宋体" w:hAnsi="宋体" w:cs="宋体" w:eastAsia="宋体" w:hint="default"/>
          <w:spacing w:val="-4"/>
        </w:rPr>
        <w:t>2012</w:t>
      </w:r>
      <w:r>
        <w:rPr>
          <w:spacing w:val="-4"/>
        </w:rPr>
        <w:t>】</w:t>
      </w:r>
      <w:r>
        <w:rPr>
          <w:rFonts w:ascii="宋体" w:hAnsi="宋体" w:cs="宋体" w:eastAsia="宋体" w:hint="default"/>
          <w:spacing w:val="-4"/>
        </w:rPr>
        <w:t>72</w:t>
      </w:r>
      <w:r>
        <w:rPr>
          <w:spacing w:val="-4"/>
        </w:rPr>
        <w:t>号</w:t>
      </w:r>
      <w:r>
        <w:rPr>
          <w:rFonts w:ascii="宋体" w:hAnsi="宋体" w:cs="宋体" w:eastAsia="宋体" w:hint="default"/>
          <w:spacing w:val="-4"/>
        </w:rPr>
        <w:t>)</w:t>
      </w:r>
      <w:r>
        <w:rPr>
          <w:spacing w:val="-4"/>
        </w:rPr>
        <w:t>和《关于印发河北辖区上市公司进一步落实现金分红有关事项的通知》</w:t>
      </w:r>
      <w:r>
        <w:rPr>
          <w:rFonts w:ascii="宋体" w:hAnsi="宋体" w:cs="宋体" w:eastAsia="宋体" w:hint="default"/>
          <w:spacing w:val="-4"/>
        </w:rPr>
        <w:t>(</w:t>
      </w:r>
      <w:r>
        <w:rPr>
          <w:spacing w:val="-4"/>
        </w:rPr>
        <w:t>冀证监发【</w:t>
      </w:r>
      <w:r>
        <w:rPr>
          <w:rFonts w:ascii="宋体" w:hAnsi="宋体" w:cs="宋体" w:eastAsia="宋体" w:hint="default"/>
          <w:spacing w:val="-4"/>
        </w:rPr>
        <w:t>2012</w:t>
      </w:r>
      <w:r>
        <w:rPr>
          <w:spacing w:val="-4"/>
        </w:rPr>
        <w:t>】</w:t>
      </w:r>
      <w:r>
        <w:rPr>
          <w:spacing w:val="-28"/>
        </w:rPr>
        <w:t> </w:t>
      </w:r>
      <w:r>
        <w:rPr>
          <w:rFonts w:ascii="宋体" w:hAnsi="宋体" w:cs="宋体" w:eastAsia="宋体" w:hint="default"/>
        </w:rPr>
        <w:t>74</w:t>
      </w:r>
      <w:r>
        <w:rPr/>
        <w:t>号</w:t>
      </w:r>
      <w:r>
        <w:rPr>
          <w:rFonts w:ascii="宋体" w:hAnsi="宋体" w:cs="宋体" w:eastAsia="宋体" w:hint="default"/>
        </w:rPr>
        <w:t>)</w:t>
      </w:r>
      <w:r>
        <w:rPr/>
        <w:t>相关文件要求，公司结合实际情况，在第二届董事会第三次会议审议通过《关于修改公司章程的议</w:t>
      </w:r>
      <w:r>
        <w:rPr>
          <w:w w:val="100"/>
        </w:rPr>
        <w:t> </w:t>
      </w:r>
      <w:r>
        <w:rPr/>
        <w:t>案》，对涉及现金分红部分进行了修订 。该议案将提交</w:t>
      </w:r>
      <w:r>
        <w:rPr>
          <w:rFonts w:ascii="宋体" w:hAnsi="宋体" w:cs="宋体" w:eastAsia="宋体" w:hint="default"/>
        </w:rPr>
        <w:t>2012</w:t>
      </w:r>
      <w:r>
        <w:rPr/>
        <w:t>年度股东大会审议通过后实施。</w:t>
      </w:r>
      <w:r>
        <w:rPr>
          <w:spacing w:val="-24"/>
        </w:rPr>
        <w:t> </w:t>
      </w:r>
      <w:r>
        <w:rPr/>
        <w:t>修订内容如</w:t>
      </w:r>
      <w:r>
        <w:rPr>
          <w:w w:val="100"/>
        </w:rPr>
        <w:t> </w:t>
      </w:r>
      <w:r>
        <w:rPr/>
        <w:t>下：</w:t>
      </w:r>
    </w:p>
    <w:p>
      <w:pPr>
        <w:pStyle w:val="BodyText"/>
        <w:spacing w:line="240" w:lineRule="auto" w:before="46"/>
        <w:ind w:left="784" w:right="101"/>
        <w:jc w:val="left"/>
      </w:pPr>
      <w:r>
        <w:rPr/>
        <w:t>第一百五十七条</w:t>
      </w:r>
      <w:r>
        <w:rPr>
          <w:spacing w:val="-6"/>
        </w:rPr>
        <w:t> </w:t>
      </w:r>
      <w:r>
        <w:rPr/>
        <w:t>公司具体利润分配方案的决策和实施程序如下：</w:t>
      </w:r>
    </w:p>
    <w:p>
      <w:pPr>
        <w:spacing w:after="0" w:line="240"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5"/>
        <w:ind w:right="185" w:firstLine="422"/>
        <w:jc w:val="both"/>
      </w:pPr>
      <w:r>
        <w:rPr>
          <w:spacing w:val="-3"/>
        </w:rPr>
        <w:t>（一）利润分配方案的决策。公司董事会应在编制年度报告时，根据公司的利润分配规划，结合公司</w:t>
      </w:r>
      <w:r>
        <w:rPr>
          <w:w w:val="100"/>
        </w:rPr>
        <w:t> </w:t>
      </w:r>
      <w:r>
        <w:rPr>
          <w:spacing w:val="-2"/>
        </w:rPr>
        <w:t>当年的生产经营状况、现金流量状况、未来的业务发展规划和资金使用需求等因素，编制公司当年的利润</w:t>
      </w:r>
      <w:r>
        <w:rPr>
          <w:spacing w:val="-42"/>
        </w:rPr>
        <w:t> </w:t>
      </w:r>
      <w:r>
        <w:rPr>
          <w:spacing w:val="-42"/>
        </w:rPr>
      </w:r>
      <w:r>
        <w:rPr>
          <w:spacing w:val="-2"/>
        </w:rPr>
        <w:t>分配预案。董事会在编制利润分配预案时，应当认真研究和论证公司现金分红的时机、条件和最低比例、</w:t>
      </w:r>
      <w:r>
        <w:rPr>
          <w:spacing w:val="-21"/>
        </w:rPr>
        <w:t> </w:t>
      </w:r>
      <w:r>
        <w:rPr>
          <w:spacing w:val="-21"/>
        </w:rPr>
      </w:r>
      <w:r>
        <w:rPr>
          <w:spacing w:val="-2"/>
        </w:rPr>
        <w:t>调整的条件及其决策程序要求等事宜，独立董事应当发表明确意见。公司董事会未做出年度现金利润分配</w:t>
      </w:r>
      <w:r>
        <w:rPr>
          <w:spacing w:val="-44"/>
        </w:rPr>
        <w:t> </w:t>
      </w:r>
      <w:r>
        <w:rPr>
          <w:spacing w:val="-44"/>
        </w:rPr>
      </w:r>
      <w:r>
        <w:rPr>
          <w:spacing w:val="-2"/>
        </w:rPr>
        <w:t>预案的，应详细说明原因和未分配的现金利润（如有）留存公司的用途，独立董事和监事会应当对此发表</w:t>
      </w:r>
      <w:r>
        <w:rPr>
          <w:spacing w:val="-47"/>
        </w:rPr>
        <w:t> </w:t>
      </w:r>
      <w:r>
        <w:rPr>
          <w:spacing w:val="-47"/>
        </w:rPr>
      </w:r>
      <w:r>
        <w:rPr>
          <w:spacing w:val="-2"/>
        </w:rPr>
        <w:t>明确意见，并按照相关规订进行披露。公司利润分配方案应由董事会审议通过后提交股东大会审议批准。</w:t>
      </w:r>
      <w:r>
        <w:rPr>
          <w:spacing w:val="-21"/>
        </w:rPr>
        <w:t> </w:t>
      </w:r>
      <w:r>
        <w:rPr>
          <w:spacing w:val="-21"/>
        </w:rPr>
      </w:r>
      <w:r>
        <w:rPr>
          <w:spacing w:val="-2"/>
        </w:rPr>
        <w:t>股东大会审议利润分配预案时，应经出席股东大会的股东（包括股东代理人）所持表决权的过半数同意，</w:t>
      </w:r>
      <w:r>
        <w:rPr>
          <w:spacing w:val="-21"/>
        </w:rPr>
        <w:t> </w:t>
      </w:r>
      <w:r>
        <w:rPr>
          <w:spacing w:val="-21"/>
        </w:rPr>
      </w:r>
      <w:r>
        <w:rPr>
          <w:spacing w:val="-2"/>
        </w:rPr>
        <w:t>方能作出决议。股东大会对现金分红具体方案进行审议时，通过多种渠道与股东特别是中小股东进行沟通</w:t>
      </w:r>
      <w:r>
        <w:rPr>
          <w:spacing w:val="-43"/>
        </w:rPr>
        <w:t> </w:t>
      </w:r>
      <w:r>
        <w:rPr>
          <w:spacing w:val="-43"/>
        </w:rPr>
      </w:r>
      <w:r>
        <w:rPr>
          <w:spacing w:val="-2"/>
        </w:rPr>
        <w:t>和交流，充分听取中小股东的意见和诉求，并及时答复中小股东关心的问题。公司董事会拟提议进行中期</w:t>
      </w:r>
      <w:r>
        <w:rPr>
          <w:spacing w:val="-44"/>
        </w:rPr>
        <w:t> </w:t>
      </w:r>
      <w:r>
        <w:rPr>
          <w:spacing w:val="-44"/>
        </w:rPr>
      </w:r>
      <w:r>
        <w:rPr/>
        <w:t>利润分配的，应按照上述规订履行相应的决策程序。</w:t>
      </w:r>
    </w:p>
    <w:p>
      <w:pPr>
        <w:pStyle w:val="BodyText"/>
        <w:spacing w:line="408" w:lineRule="auto" w:before="46"/>
        <w:ind w:right="101" w:firstLine="526"/>
        <w:jc w:val="left"/>
      </w:pPr>
      <w:r>
        <w:rPr/>
        <w:t>（二）利润分配方案的实施股东大会审议通过利润分配方案后，由董事会负责实施，并须在股东大</w:t>
      </w:r>
      <w:r>
        <w:rPr>
          <w:w w:val="100"/>
        </w:rPr>
        <w:t> </w:t>
      </w:r>
      <w:r>
        <w:rPr>
          <w:spacing w:val="-2"/>
        </w:rPr>
        <w:t>会召开后两个月内完成股利（或股份）的派发事项。存在股东违规占用公司资金情况的，董事会应当扣减</w:t>
      </w:r>
      <w:r>
        <w:rPr>
          <w:spacing w:val="-47"/>
        </w:rPr>
        <w:t> </w:t>
      </w:r>
      <w:r>
        <w:rPr>
          <w:spacing w:val="-47"/>
        </w:rPr>
      </w:r>
      <w:r>
        <w:rPr/>
        <w:t>该股东所分配的现金红利，以偿还其占用的资金。</w:t>
      </w:r>
    </w:p>
    <w:p>
      <w:pPr>
        <w:pStyle w:val="BodyText"/>
        <w:spacing w:line="408" w:lineRule="auto" w:before="46"/>
        <w:ind w:right="101" w:firstLine="526"/>
        <w:jc w:val="left"/>
      </w:pPr>
      <w:r>
        <w:rPr>
          <w:spacing w:val="-2"/>
        </w:rPr>
        <w:t>（三）利润分配的披露公司董事会应按照中国证监会和交易所的相关规订在订期报告中披露利润分</w:t>
      </w:r>
      <w:r>
        <w:rPr>
          <w:w w:val="100"/>
        </w:rPr>
        <w:t> </w:t>
      </w:r>
      <w:r>
        <w:rPr/>
        <w:t>配方案及留存的未分配利润的使用计划安排或原则。</w:t>
      </w:r>
    </w:p>
    <w:p>
      <w:pPr>
        <w:pStyle w:val="BodyText"/>
        <w:spacing w:line="240" w:lineRule="auto" w:before="46"/>
        <w:ind w:left="678" w:right="101"/>
        <w:jc w:val="left"/>
      </w:pPr>
      <w:r>
        <w:rPr/>
        <w:t>第一百五十八条</w:t>
      </w:r>
      <w:r>
        <w:rPr>
          <w:spacing w:val="-3"/>
        </w:rPr>
        <w:t> </w:t>
      </w:r>
      <w:r>
        <w:rPr/>
        <w:t>公司利润分配政策如下：</w:t>
      </w:r>
    </w:p>
    <w:p>
      <w:pPr>
        <w:spacing w:line="240" w:lineRule="auto" w:before="10"/>
        <w:rPr>
          <w:rFonts w:ascii="宋体" w:hAnsi="宋体" w:cs="宋体" w:eastAsia="宋体" w:hint="default"/>
          <w:sz w:val="14"/>
          <w:szCs w:val="14"/>
        </w:rPr>
      </w:pPr>
    </w:p>
    <w:p>
      <w:pPr>
        <w:pStyle w:val="BodyText"/>
        <w:spacing w:line="408" w:lineRule="auto"/>
        <w:ind w:right="101" w:firstLine="526"/>
        <w:jc w:val="left"/>
      </w:pPr>
      <w:r>
        <w:rPr/>
        <w:t>（一）公司分配股利应坚持以下原则：</w:t>
      </w:r>
      <w:r>
        <w:rPr>
          <w:rFonts w:ascii="宋体" w:hAnsi="宋体" w:cs="宋体" w:eastAsia="宋体" w:hint="default"/>
        </w:rPr>
        <w:t>1.</w:t>
      </w:r>
      <w:r>
        <w:rPr/>
        <w:t>应重视对投资者的合理投资回报；</w:t>
      </w:r>
      <w:r>
        <w:rPr>
          <w:rFonts w:ascii="宋体" w:hAnsi="宋体" w:cs="宋体" w:eastAsia="宋体" w:hint="default"/>
        </w:rPr>
        <w:t>2.</w:t>
      </w:r>
      <w:r>
        <w:rPr/>
        <w:t>遵守有关的法律、法</w:t>
      </w:r>
      <w:r>
        <w:rPr>
          <w:w w:val="100"/>
        </w:rPr>
        <w:t> </w:t>
      </w:r>
      <w:r>
        <w:rPr>
          <w:spacing w:val="-2"/>
        </w:rPr>
        <w:t>规、规章和公司章程，按照规订的条件和程序进行；</w:t>
      </w:r>
      <w:r>
        <w:rPr>
          <w:rFonts w:ascii="宋体" w:hAnsi="宋体" w:cs="宋体" w:eastAsia="宋体" w:hint="default"/>
          <w:spacing w:val="-2"/>
        </w:rPr>
        <w:t>3.</w:t>
      </w:r>
      <w:r>
        <w:rPr>
          <w:spacing w:val="-2"/>
        </w:rPr>
        <w:t>兼顾公司长期发展和对投资者的合理回报；</w:t>
      </w:r>
      <w:r>
        <w:rPr>
          <w:rFonts w:ascii="宋体" w:hAnsi="宋体" w:cs="宋体" w:eastAsia="宋体" w:hint="default"/>
          <w:spacing w:val="-2"/>
        </w:rPr>
        <w:t>4.</w:t>
      </w:r>
      <w:r>
        <w:rPr>
          <w:spacing w:val="-2"/>
        </w:rPr>
        <w:t>实行</w:t>
      </w:r>
      <w:r>
        <w:rPr>
          <w:spacing w:val="-43"/>
        </w:rPr>
        <w:t> </w:t>
      </w:r>
      <w:r>
        <w:rPr/>
        <w:t>同股同权，同股同利。</w:t>
      </w:r>
    </w:p>
    <w:p>
      <w:pPr>
        <w:pStyle w:val="BodyText"/>
        <w:spacing w:line="240" w:lineRule="auto" w:before="46"/>
        <w:ind w:left="678" w:right="101"/>
        <w:jc w:val="left"/>
      </w:pPr>
      <w:r>
        <w:rPr/>
        <w:t>（二）公司可以采取现金、股票方式或者现金与股票相结合的方式分配股利。</w:t>
      </w:r>
    </w:p>
    <w:p>
      <w:pPr>
        <w:spacing w:line="240" w:lineRule="auto" w:before="10"/>
        <w:rPr>
          <w:rFonts w:ascii="宋体" w:hAnsi="宋体" w:cs="宋体" w:eastAsia="宋体" w:hint="default"/>
          <w:sz w:val="14"/>
          <w:szCs w:val="14"/>
        </w:rPr>
      </w:pPr>
    </w:p>
    <w:p>
      <w:pPr>
        <w:pStyle w:val="BodyText"/>
        <w:spacing w:line="408" w:lineRule="auto"/>
        <w:ind w:right="101" w:firstLine="526"/>
        <w:jc w:val="left"/>
      </w:pPr>
      <w:r>
        <w:rPr/>
        <w:t>（三）公司应积极推行以现金方式分配股利。在满足下列条件情况下，公司分配年度股利应优先采</w:t>
      </w:r>
      <w:r>
        <w:rPr>
          <w:w w:val="100"/>
        </w:rPr>
        <w:t> </w:t>
      </w:r>
      <w:r>
        <w:rPr>
          <w:spacing w:val="-5"/>
        </w:rPr>
        <w:t>用现金方式：</w:t>
      </w:r>
      <w:r>
        <w:rPr>
          <w:rFonts w:ascii="宋体" w:hAnsi="宋体" w:cs="宋体" w:eastAsia="宋体" w:hint="default"/>
          <w:spacing w:val="-5"/>
        </w:rPr>
        <w:t>1.</w:t>
      </w:r>
      <w:r>
        <w:rPr>
          <w:spacing w:val="-5"/>
        </w:rPr>
        <w:t>公司该年度实现的可分配利润（即公司弥补亏损、提取公积金后所余的税后利润）为正值；</w:t>
      </w:r>
      <w:r>
        <w:rPr>
          <w:spacing w:val="-7"/>
        </w:rPr>
        <w:t> </w:t>
      </w:r>
      <w:r>
        <w:rPr>
          <w:spacing w:val="-7"/>
        </w:rPr>
      </w:r>
      <w:r>
        <w:rPr>
          <w:rFonts w:ascii="宋体" w:hAnsi="宋体" w:cs="宋体" w:eastAsia="宋体" w:hint="default"/>
        </w:rPr>
        <w:t>2.</w:t>
      </w:r>
      <w:r>
        <w:rPr/>
        <w:t>审计机构对公司的该年度财务报告出具标准无保留意见的审计报告；</w:t>
      </w:r>
      <w:r>
        <w:rPr>
          <w:rFonts w:ascii="宋体" w:hAnsi="宋体" w:cs="宋体" w:eastAsia="宋体" w:hint="default"/>
        </w:rPr>
        <w:t>3 </w:t>
      </w:r>
      <w:r>
        <w:rPr>
          <w:spacing w:val="-3"/>
        </w:rPr>
        <w:t>实施现金股利分配后，公司的现</w:t>
      </w:r>
      <w:r>
        <w:rPr>
          <w:spacing w:val="-93"/>
        </w:rPr>
        <w:t> </w:t>
      </w:r>
      <w:r>
        <w:rPr>
          <w:spacing w:val="-93"/>
        </w:rPr>
      </w:r>
      <w:r>
        <w:rPr>
          <w:spacing w:val="-2"/>
        </w:rPr>
        <w:t>金能够满足公司正常经营和长期发展的需要。在有关法规允许的情况下，公司可以根据盈利状况，进行中</w:t>
      </w:r>
      <w:r>
        <w:rPr>
          <w:spacing w:val="-44"/>
        </w:rPr>
        <w:t> </w:t>
      </w:r>
      <w:r>
        <w:rPr>
          <w:spacing w:val="-44"/>
        </w:rPr>
      </w:r>
      <w:r>
        <w:rPr/>
        <w:t>期现金分红。</w:t>
      </w:r>
    </w:p>
    <w:p>
      <w:pPr>
        <w:pStyle w:val="BodyText"/>
        <w:spacing w:line="408" w:lineRule="auto" w:before="46"/>
        <w:ind w:right="101" w:firstLine="526"/>
        <w:jc w:val="left"/>
      </w:pPr>
      <w:r>
        <w:rPr/>
        <w:t>（四）在符合第三款要求的前提下，公司分配的现金股利应达到下列标准之一：</w:t>
      </w:r>
      <w:r>
        <w:rPr>
          <w:rFonts w:ascii="宋体" w:hAnsi="宋体" w:cs="宋体" w:eastAsia="宋体" w:hint="default"/>
        </w:rPr>
        <w:t>1.</w:t>
      </w:r>
      <w:r>
        <w:rPr/>
        <w:t>公司每年以现金</w:t>
      </w:r>
      <w:r>
        <w:rPr>
          <w:w w:val="100"/>
        </w:rPr>
        <w:t> </w:t>
      </w:r>
      <w:r>
        <w:rPr/>
        <w:t>方式分配的股利不少于当年实现的可分配利润的</w:t>
      </w:r>
      <w:r>
        <w:rPr>
          <w:spacing w:val="40"/>
        </w:rPr>
        <w:t> </w:t>
      </w:r>
      <w:r>
        <w:rPr>
          <w:rFonts w:ascii="宋体" w:hAnsi="宋体" w:cs="宋体" w:eastAsia="宋体" w:hint="default"/>
          <w:spacing w:val="-3"/>
        </w:rPr>
        <w:t>10%</w:t>
      </w:r>
      <w:r>
        <w:rPr>
          <w:spacing w:val="-3"/>
        </w:rPr>
        <w:t>；</w:t>
      </w:r>
      <w:r>
        <w:rPr>
          <w:rFonts w:ascii="宋体" w:hAnsi="宋体" w:cs="宋体" w:eastAsia="宋体" w:hint="default"/>
          <w:spacing w:val="-3"/>
        </w:rPr>
        <w:t>2.</w:t>
      </w:r>
      <w:r>
        <w:rPr>
          <w:spacing w:val="-3"/>
        </w:rPr>
        <w:t>最近三年以现金方式累计分配的利润不少于最近</w:t>
      </w:r>
      <w:r>
        <w:rPr>
          <w:spacing w:val="-97"/>
        </w:rPr>
        <w:t> </w:t>
      </w:r>
      <w:r>
        <w:rPr>
          <w:spacing w:val="-97"/>
        </w:rPr>
      </w:r>
      <w:r>
        <w:rPr/>
        <w:t>三年实现的年均可分配利润的 </w:t>
      </w:r>
      <w:r>
        <w:rPr>
          <w:rFonts w:ascii="宋体" w:hAnsi="宋体" w:cs="宋体" w:eastAsia="宋体" w:hint="default"/>
        </w:rPr>
        <w:t>30%</w:t>
      </w:r>
      <w:r>
        <w:rPr/>
        <w:t>。若公司最近连续 </w:t>
      </w:r>
      <w:r>
        <w:rPr>
          <w:rFonts w:ascii="宋体" w:hAnsi="宋体" w:cs="宋体" w:eastAsia="宋体" w:hint="default"/>
        </w:rPr>
        <w:t>2</w:t>
      </w:r>
      <w:r>
        <w:rPr>
          <w:rFonts w:ascii="宋体" w:hAnsi="宋体" w:cs="宋体" w:eastAsia="宋体" w:hint="default"/>
          <w:spacing w:val="-7"/>
        </w:rPr>
        <w:t> </w:t>
      </w:r>
      <w:r>
        <w:rPr/>
        <w:t>个年度的经营活动现金流量为负时，公司在本年</w:t>
      </w:r>
      <w:r>
        <w:rPr>
          <w:w w:val="100"/>
        </w:rPr>
        <w:t> </w:t>
      </w:r>
      <w:r>
        <w:rPr/>
        <w:t>度进行的现金股利分配累计不得超过该年初累计可分配利润的</w:t>
      </w:r>
      <w:r>
        <w:rPr>
          <w:spacing w:val="-3"/>
        </w:rPr>
        <w:t> </w:t>
      </w:r>
      <w:r>
        <w:rPr>
          <w:rFonts w:ascii="宋体" w:hAnsi="宋体" w:cs="宋体" w:eastAsia="宋体" w:hint="default"/>
        </w:rPr>
        <w:t>50%</w:t>
      </w:r>
      <w:r>
        <w:rPr/>
        <w:t>。</w:t>
      </w:r>
    </w:p>
    <w:p>
      <w:pPr>
        <w:pStyle w:val="BodyText"/>
        <w:spacing w:line="240" w:lineRule="auto" w:before="46"/>
        <w:ind w:left="678" w:right="101"/>
        <w:jc w:val="left"/>
      </w:pPr>
      <w:r>
        <w:rPr/>
        <w:t>（五）发放股票股利的条件：根据公司的股本规模、股票价格等情况，公司可以发放股票股利。</w:t>
      </w:r>
    </w:p>
    <w:p>
      <w:pPr>
        <w:spacing w:after="0" w:line="240"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5"/>
        <w:ind w:left="784" w:right="287" w:hanging="106"/>
        <w:jc w:val="left"/>
      </w:pPr>
      <w:r>
        <w:rPr/>
        <w:t>（六）公司当年利润分配完成后留存的未分配利润应用于发展公司经营业务。</w:t>
      </w:r>
      <w:r>
        <w:rPr>
          <w:w w:val="100"/>
        </w:rPr>
        <w:t> </w:t>
      </w:r>
      <w:r>
        <w:rPr/>
        <w:t>增加一条作为第一百五十九条</w:t>
      </w:r>
      <w:r>
        <w:rPr>
          <w:spacing w:val="-10"/>
        </w:rPr>
        <w:t> </w:t>
      </w:r>
      <w:r>
        <w:rPr/>
        <w:t>公司的利润分配政策应保持连续性和稳定性，在下列情形之一发生</w:t>
      </w:r>
    </w:p>
    <w:p>
      <w:pPr>
        <w:pStyle w:val="BodyText"/>
        <w:spacing w:line="240" w:lineRule="auto" w:before="46"/>
        <w:ind w:right="101"/>
        <w:jc w:val="left"/>
      </w:pPr>
      <w:r>
        <w:rPr/>
        <w:t>时，公司可以调整利润分配政策：</w:t>
      </w:r>
    </w:p>
    <w:p>
      <w:pPr>
        <w:spacing w:line="240" w:lineRule="auto" w:before="10"/>
        <w:rPr>
          <w:rFonts w:ascii="宋体" w:hAnsi="宋体" w:cs="宋体" w:eastAsia="宋体" w:hint="default"/>
          <w:sz w:val="14"/>
          <w:szCs w:val="14"/>
        </w:rPr>
      </w:pPr>
    </w:p>
    <w:p>
      <w:pPr>
        <w:pStyle w:val="BodyText"/>
        <w:spacing w:line="408" w:lineRule="auto"/>
        <w:ind w:right="101" w:firstLine="422"/>
        <w:jc w:val="left"/>
      </w:pPr>
      <w:r>
        <w:rPr>
          <w:spacing w:val="-2"/>
        </w:rPr>
        <w:t>（一）公司外部经营环境或者自身经营状况发生较大变化且有必要调整利润分配政策的；前述外部经</w:t>
      </w:r>
      <w:r>
        <w:rPr>
          <w:w w:val="100"/>
        </w:rPr>
        <w:t> </w:t>
      </w:r>
      <w:r>
        <w:rPr>
          <w:spacing w:val="-2"/>
        </w:rPr>
        <w:t>营环境发生较大变化是指国内外的宏观经济环境、公司所处行业的市场环境或者政策环境发生对公司重大</w:t>
      </w:r>
      <w:r>
        <w:rPr>
          <w:spacing w:val="-43"/>
        </w:rPr>
        <w:t> </w:t>
      </w:r>
      <w:r>
        <w:rPr>
          <w:spacing w:val="-43"/>
        </w:rPr>
      </w:r>
      <w:r>
        <w:rPr/>
        <w:t>不利影响的变化。前述公司自身经营状况发生较大变化是指发生下列情形之一：（</w:t>
      </w:r>
      <w:r>
        <w:rPr>
          <w:rFonts w:ascii="宋体" w:hAnsi="宋体" w:cs="宋体" w:eastAsia="宋体" w:hint="default"/>
        </w:rPr>
        <w:t>1</w:t>
      </w:r>
      <w:r>
        <w:rPr/>
        <w:t>）公司营业收入或者</w:t>
      </w:r>
      <w:r>
        <w:rPr>
          <w:w w:val="100"/>
        </w:rPr>
        <w:t> </w:t>
      </w:r>
      <w:r>
        <w:rPr/>
        <w:t>营业利润连续两年下降且累计下降幅度达到</w:t>
      </w:r>
      <w:r>
        <w:rPr>
          <w:spacing w:val="55"/>
        </w:rPr>
        <w:t> </w:t>
      </w:r>
      <w:r>
        <w:rPr>
          <w:rFonts w:ascii="宋体" w:hAnsi="宋体" w:cs="宋体" w:eastAsia="宋体" w:hint="default"/>
          <w:spacing w:val="-3"/>
        </w:rPr>
        <w:t>40%</w:t>
      </w:r>
      <w:r>
        <w:rPr>
          <w:spacing w:val="-3"/>
        </w:rPr>
        <w:t>；（</w:t>
      </w:r>
      <w:r>
        <w:rPr>
          <w:rFonts w:ascii="宋体" w:hAnsi="宋体" w:cs="宋体" w:eastAsia="宋体" w:hint="default"/>
          <w:spacing w:val="-3"/>
        </w:rPr>
        <w:t>2</w:t>
      </w:r>
      <w:r>
        <w:rPr>
          <w:spacing w:val="-3"/>
        </w:rPr>
        <w:t>）公司经营活动产生的现金流量净额连续两年为负。</w:t>
      </w:r>
    </w:p>
    <w:p>
      <w:pPr>
        <w:pStyle w:val="BodyText"/>
        <w:spacing w:line="408" w:lineRule="auto" w:before="46"/>
        <w:ind w:right="97" w:firstLine="422"/>
        <w:jc w:val="left"/>
      </w:pPr>
      <w:r>
        <w:rPr/>
        <w:t>（二）公司所应遵守的法律、法规、规章和相关规范性文件发生变化，依据该变化后的规订，公司需</w:t>
      </w:r>
      <w:r>
        <w:rPr>
          <w:w w:val="100"/>
        </w:rPr>
        <w:t> </w:t>
      </w:r>
      <w:r>
        <w:rPr/>
        <w:t>要调整利润分配政策的。公司调整利润分配政策应以股东权益保护为出发点，调整后的利润分配政策不得</w:t>
      </w:r>
      <w:r>
        <w:rPr>
          <w:w w:val="100"/>
        </w:rPr>
        <w:t> </w:t>
      </w:r>
      <w:r>
        <w:rPr/>
        <w:t>违反中国证监会和证券交易所的有关规订，并履行下列程序：</w:t>
      </w:r>
      <w:r>
        <w:rPr>
          <w:rFonts w:ascii="宋体" w:hAnsi="宋体" w:cs="宋体" w:eastAsia="宋体" w:hint="default"/>
        </w:rPr>
        <w:t>1</w:t>
      </w:r>
      <w:r>
        <w:rPr/>
        <w:t>、公司董事会应先就利润分配政策调整做</w:t>
      </w:r>
      <w:r>
        <w:rPr>
          <w:w w:val="100"/>
        </w:rPr>
        <w:t> </w:t>
      </w:r>
      <w:r>
        <w:rPr/>
        <w:t>出预案，该预案经全体董事过半数同意并经独立董事过半数同意方能通过。董事会在审议利润分配政策调</w:t>
      </w:r>
      <w:r>
        <w:rPr>
          <w:w w:val="100"/>
        </w:rPr>
        <w:t> </w:t>
      </w:r>
      <w:r>
        <w:rPr/>
        <w:t>整预案时，应详细论证和分析利润分配政策调整的原因及必要性。</w:t>
      </w:r>
      <w:r>
        <w:rPr>
          <w:rFonts w:ascii="宋体" w:hAnsi="宋体" w:cs="宋体" w:eastAsia="宋体" w:hint="default"/>
        </w:rPr>
        <w:t>2</w:t>
      </w:r>
      <w:r>
        <w:rPr/>
        <w:t>、公司独立董事应对董事会通过的利</w:t>
      </w:r>
      <w:r>
        <w:rPr>
          <w:w w:val="100"/>
        </w:rPr>
        <w:t> </w:t>
      </w:r>
      <w:r>
        <w:rPr/>
        <w:t>润分配政策调整预案发表独立意见。</w:t>
      </w:r>
      <w:r>
        <w:rPr>
          <w:rFonts w:ascii="宋体" w:hAnsi="宋体" w:cs="宋体" w:eastAsia="宋体" w:hint="default"/>
        </w:rPr>
        <w:t>3</w:t>
      </w:r>
      <w:r>
        <w:rPr/>
        <w:t>、公司监事会应当对董事会制订的利润分配政策调整预案进行审议</w:t>
      </w:r>
      <w:r>
        <w:rPr>
          <w:w w:val="100"/>
        </w:rPr>
        <w:t> </w:t>
      </w:r>
      <w:r>
        <w:rPr>
          <w:spacing w:val="-2"/>
        </w:rPr>
        <w:t>并发表意见。监事会的意见，须经过半数以上监事同意方能通过；若公司有外部监事（不在公司担任职务</w:t>
      </w:r>
      <w:r>
        <w:rPr>
          <w:spacing w:val="-50"/>
        </w:rPr>
        <w:t> </w:t>
      </w:r>
      <w:r>
        <w:rPr>
          <w:spacing w:val="-50"/>
        </w:rPr>
      </w:r>
      <w:r>
        <w:rPr/>
        <w:t>的监事），还应经外部监事过半数同意方能通过。</w:t>
      </w:r>
      <w:r>
        <w:rPr>
          <w:rFonts w:ascii="宋体" w:hAnsi="宋体" w:cs="宋体" w:eastAsia="宋体" w:hint="default"/>
        </w:rPr>
        <w:t>4</w:t>
      </w:r>
      <w:r>
        <w:rPr/>
        <w:t>、董事会审议通过的利润分配政策调整预案，经独立</w:t>
      </w:r>
      <w:r>
        <w:rPr>
          <w:w w:val="100"/>
        </w:rPr>
        <w:t> </w:t>
      </w:r>
      <w:r>
        <w:rPr>
          <w:spacing w:val="-2"/>
        </w:rPr>
        <w:t>董事过半数发表同意意见并经监事会发表同意意见后，方能提交股东大会审议。发布召开相关股东大会的</w:t>
      </w:r>
      <w:r>
        <w:rPr>
          <w:spacing w:val="-44"/>
        </w:rPr>
        <w:t> </w:t>
      </w:r>
      <w:r>
        <w:rPr>
          <w:spacing w:val="-44"/>
        </w:rPr>
      </w:r>
      <w:r>
        <w:rPr>
          <w:spacing w:val="-2"/>
        </w:rPr>
        <w:t>通知时，须同时公告独立董事的意见和监事会的意见，并在股东大会的提案中详细论证和说明利润分配政</w:t>
      </w:r>
      <w:r>
        <w:rPr>
          <w:spacing w:val="-44"/>
        </w:rPr>
        <w:t> </w:t>
      </w:r>
      <w:r>
        <w:rPr>
          <w:spacing w:val="-44"/>
        </w:rPr>
      </w:r>
      <w:r>
        <w:rPr/>
        <w:t>策调整的原因及必要性。</w:t>
      </w:r>
      <w:r>
        <w:rPr>
          <w:rFonts w:ascii="宋体" w:hAnsi="宋体" w:cs="宋体" w:eastAsia="宋体" w:hint="default"/>
        </w:rPr>
        <w:t>5</w:t>
      </w:r>
      <w:r>
        <w:rPr/>
        <w:t>、董事会公告关于利润分配政策调整的提案后，应通过多种渠道听取中小股东</w:t>
      </w:r>
      <w:r>
        <w:rPr>
          <w:w w:val="100"/>
        </w:rPr>
        <w:t> </w:t>
      </w:r>
      <w:r>
        <w:rPr>
          <w:spacing w:val="-5"/>
        </w:rPr>
        <w:t>关于利润分配政策调整的意见。</w:t>
      </w:r>
      <w:r>
        <w:rPr>
          <w:rFonts w:ascii="宋体" w:hAnsi="宋体" w:cs="宋体" w:eastAsia="宋体" w:hint="default"/>
          <w:spacing w:val="-5"/>
        </w:rPr>
        <w:t>6</w:t>
      </w:r>
      <w:r>
        <w:rPr>
          <w:spacing w:val="-5"/>
        </w:rPr>
        <w:t>、股东大会关于利润分配政策调整的决议，应经出席股东大会的股东（包 </w:t>
      </w:r>
      <w:r>
        <w:rPr/>
        <w:t>括股东代理人）所持表决权的 </w:t>
      </w:r>
      <w:r>
        <w:rPr>
          <w:rFonts w:ascii="宋体" w:hAnsi="宋体" w:cs="宋体" w:eastAsia="宋体" w:hint="default"/>
        </w:rPr>
        <w:t>2/3</w:t>
      </w:r>
      <w:r>
        <w:rPr>
          <w:rFonts w:ascii="宋体" w:hAnsi="宋体" w:cs="宋体" w:eastAsia="宋体" w:hint="default"/>
          <w:spacing w:val="-28"/>
        </w:rPr>
        <w:t> </w:t>
      </w:r>
      <w:r>
        <w:rPr/>
        <w:t>以上同意，方能通过。股东大会对利润分配政策调整方案进行审议时，</w:t>
      </w:r>
      <w:r>
        <w:rPr>
          <w:w w:val="100"/>
        </w:rPr>
        <w:t> </w:t>
      </w:r>
      <w:r>
        <w:rPr>
          <w:spacing w:val="-2"/>
        </w:rPr>
        <w:t>应当通过多种渠道主动与股东特别是中小股东进行沟通和交流，充分听取中小股东的意见和诉求，并及时</w:t>
      </w:r>
      <w:r>
        <w:rPr>
          <w:spacing w:val="-44"/>
        </w:rPr>
        <w:t> </w:t>
      </w:r>
      <w:r>
        <w:rPr>
          <w:spacing w:val="-44"/>
        </w:rPr>
      </w:r>
      <w:r>
        <w:rPr/>
        <w:t>答复中小股东关心的问题。</w:t>
      </w:r>
    </w:p>
    <w:p>
      <w:pPr>
        <w:pStyle w:val="BodyText"/>
        <w:spacing w:line="444" w:lineRule="auto" w:before="46"/>
        <w:ind w:right="101" w:firstLine="631"/>
        <w:jc w:val="left"/>
      </w:pPr>
      <w:r>
        <w:rPr/>
        <w:t>该议案已经董事会审议通过，尚需提交股东大会审议。</w:t>
      </w:r>
      <w:r>
        <w:rPr>
          <w:w w:val="100"/>
        </w:rPr>
        <w:t> </w:t>
      </w:r>
      <w:r>
        <w:rPr>
          <w:spacing w:val="-2"/>
        </w:rPr>
        <w:t>公司报告期利润分配预案及资本公积金转增股本预案与公司章程和分红管理办法等的相关规定一致</w:t>
      </w:r>
    </w:p>
    <w:p>
      <w:pPr>
        <w:spacing w:line="350" w:lineRule="auto" w:before="0"/>
        <w:ind w:left="152" w:right="3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156,000,000.00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2587"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经中磊会计师事务所有限责任公司出具的（</w:t>
            </w:r>
            <w:r>
              <w:rPr>
                <w:rFonts w:ascii="Times New Roman" w:hAnsi="Times New Roman" w:cs="Times New Roman" w:eastAsia="Times New Roman" w:hint="default"/>
                <w:sz w:val="18"/>
                <w:szCs w:val="18"/>
              </w:rPr>
              <w:t>2013</w:t>
            </w:r>
            <w:r>
              <w:rPr>
                <w:rFonts w:ascii="宋体" w:hAnsi="宋体" w:cs="宋体" w:eastAsia="宋体" w:hint="default"/>
                <w:sz w:val="18"/>
                <w:szCs w:val="18"/>
              </w:rPr>
              <w:t>）中磊（审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w:t>
            </w:r>
            <w:r>
              <w:rPr>
                <w:rFonts w:ascii="宋体" w:hAnsi="宋体" w:cs="宋体" w:eastAsia="宋体" w:hint="default"/>
                <w:sz w:val="18"/>
                <w:szCs w:val="18"/>
              </w:rPr>
              <w:t>）字第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0059 </w:t>
            </w:r>
            <w:r>
              <w:rPr>
                <w:rFonts w:ascii="宋体" w:hAnsi="宋体" w:cs="宋体" w:eastAsia="宋体" w:hint="default"/>
                <w:sz w:val="18"/>
                <w:szCs w:val="18"/>
              </w:rPr>
              <w:t>号审计报告，</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年度母公司实现净利润人民 币 </w:t>
            </w:r>
            <w:r>
              <w:rPr>
                <w:rFonts w:ascii="Times New Roman" w:hAnsi="Times New Roman" w:cs="Times New Roman" w:eastAsia="Times New Roman" w:hint="default"/>
                <w:sz w:val="18"/>
                <w:szCs w:val="18"/>
              </w:rPr>
              <w:t>46,468,470.62 </w:t>
            </w:r>
            <w:r>
              <w:rPr>
                <w:rFonts w:ascii="宋体" w:hAnsi="宋体" w:cs="宋体" w:eastAsia="宋体" w:hint="default"/>
                <w:spacing w:val="-3"/>
                <w:sz w:val="18"/>
                <w:szCs w:val="18"/>
              </w:rPr>
              <w:t>元。根据《公司法》和《公司章程》的有关规定，按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年度母公司实现净利润的</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w:t>
            </w:r>
          </w:p>
          <w:p>
            <w:pPr>
              <w:pStyle w:val="TableParagraph"/>
              <w:spacing w:line="307" w:lineRule="auto" w:before="15"/>
              <w:ind w:left="24" w:right="17"/>
              <w:jc w:val="left"/>
              <w:rPr>
                <w:rFonts w:ascii="宋体" w:hAnsi="宋体" w:cs="宋体" w:eastAsia="宋体" w:hint="default"/>
                <w:sz w:val="18"/>
                <w:szCs w:val="18"/>
              </w:rPr>
            </w:pPr>
            <w:r>
              <w:rPr>
                <w:rFonts w:ascii="宋体" w:hAnsi="宋体" w:cs="宋体" w:eastAsia="宋体" w:hint="default"/>
                <w:sz w:val="18"/>
                <w:szCs w:val="18"/>
              </w:rPr>
              <w:t>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4,646,847.06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元，加上年初未分配利润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106,393,467.77</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元，公司年末可供股东分配的利润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140,415,091.33 </w:t>
            </w:r>
            <w:r>
              <w:rPr>
                <w:rFonts w:ascii="宋体" w:hAnsi="宋体" w:cs="宋体" w:eastAsia="宋体" w:hint="default"/>
                <w:sz w:val="18"/>
                <w:szCs w:val="18"/>
              </w:rPr>
              <w:t>元，公司年 末资本公积金余额</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600,505,405.86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元。鉴于公司正处于扩张发展时期，</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年公司将继续加大研发、市场等投入，公司经 </w:t>
            </w:r>
            <w:r>
              <w:rPr>
                <w:rFonts w:ascii="宋体" w:hAnsi="宋体" w:cs="宋体" w:eastAsia="宋体" w:hint="default"/>
                <w:spacing w:val="-1"/>
                <w:sz w:val="18"/>
                <w:szCs w:val="18"/>
              </w:rPr>
              <w:t>营资金仍有一定的缺口，公司拟将剩余未分配利润不予分配，未分配利润结转下年度，未分配利润将用于公司主营业务的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发展。考虑公司目前总股本的规模，以及公司未来发展的情况，拟以现有总股本 </w:t>
            </w:r>
            <w:r>
              <w:rPr>
                <w:rFonts w:ascii="Times New Roman" w:hAnsi="Times New Roman" w:cs="Times New Roman" w:eastAsia="Times New Roman" w:hint="default"/>
                <w:sz w:val="18"/>
                <w:szCs w:val="18"/>
              </w:rPr>
              <w:t>156,000,000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股为基数，以资本公积金转</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增股本，每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股，共计转增股本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46,800,000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股。转增后公司总股本为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股，资本公积余额为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553</w:t>
            </w:r>
            <w:r>
              <w:rPr>
                <w:rFonts w:ascii="宋体" w:hAnsi="宋体" w:cs="宋体" w:eastAsia="宋体"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705,405.86 </w:t>
            </w:r>
            <w:r>
              <w:rPr>
                <w:rFonts w:ascii="宋体" w:hAnsi="宋体" w:cs="宋体" w:eastAsia="宋体" w:hint="default"/>
                <w:sz w:val="18"/>
                <w:szCs w:val="18"/>
              </w:rPr>
              <w:t>元。本次利润分配及资本公积金转增股本预案经董事会审议通过后，尚须提交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spacing w:line="240" w:lineRule="auto" w:before="1"/>
        <w:rPr>
          <w:rFonts w:ascii="宋体" w:hAnsi="宋体" w:cs="宋体" w:eastAsia="宋体" w:hint="default"/>
          <w:sz w:val="7"/>
          <w:szCs w:val="7"/>
        </w:rPr>
      </w:pPr>
    </w:p>
    <w:tbl>
      <w:tblPr>
        <w:tblW w:w="0" w:type="auto"/>
        <w:jc w:val="left"/>
        <w:tblInd w:w="705" w:type="dxa"/>
        <w:tblLayout w:type="fixed"/>
        <w:tblCellMar>
          <w:top w:w="0" w:type="dxa"/>
          <w:left w:w="0" w:type="dxa"/>
          <w:bottom w:w="0" w:type="dxa"/>
          <w:right w:w="0" w:type="dxa"/>
        </w:tblCellMar>
        <w:tblLook w:val="01E0"/>
      </w:tblPr>
      <w:tblGrid>
        <w:gridCol w:w="2129"/>
        <w:gridCol w:w="2131"/>
        <w:gridCol w:w="2129"/>
        <w:gridCol w:w="2132"/>
      </w:tblGrid>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2011</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2010</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现金分红比例（每</w:t>
            </w:r>
            <w:r>
              <w:rPr>
                <w:rFonts w:ascii="宋体" w:hAnsi="宋体" w:cs="宋体" w:eastAsia="宋体" w:hint="default"/>
                <w:sz w:val="18"/>
                <w:szCs w:val="18"/>
              </w:rPr>
              <w:t>10</w:t>
            </w:r>
            <w:r>
              <w:rPr>
                <w:rFonts w:ascii="宋体" w:hAnsi="宋体" w:cs="宋体" w:eastAsia="宋体" w:hint="default"/>
                <w:sz w:val="18"/>
                <w:szCs w:val="18"/>
              </w:rPr>
              <w:t>股）</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0.5</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w:t>
            </w:r>
          </w:p>
        </w:tc>
      </w:tr>
      <w:tr>
        <w:trPr>
          <w:trHeight w:val="346"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现金分红数额（万元）</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780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w:t>
            </w:r>
          </w:p>
        </w:tc>
      </w:tr>
      <w:tr>
        <w:trPr>
          <w:trHeight w:val="66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
              <w:jc w:val="left"/>
              <w:rPr>
                <w:rFonts w:ascii="宋体" w:hAnsi="宋体" w:cs="宋体" w:eastAsia="宋体" w:hint="default"/>
                <w:sz w:val="18"/>
                <w:szCs w:val="18"/>
              </w:rPr>
            </w:pPr>
            <w:r>
              <w:rPr>
                <w:rFonts w:ascii="宋体" w:hAnsi="宋体" w:cs="宋体" w:eastAsia="宋体" w:hint="default"/>
                <w:spacing w:val="10"/>
                <w:sz w:val="18"/>
                <w:szCs w:val="18"/>
              </w:rPr>
              <w:t>现金分红占母公司净利润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比率</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19.05%</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w:t>
            </w:r>
          </w:p>
        </w:tc>
      </w:tr>
      <w:tr>
        <w:trPr>
          <w:trHeight w:val="65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
              <w:jc w:val="left"/>
              <w:rPr>
                <w:rFonts w:ascii="宋体" w:hAnsi="宋体" w:cs="宋体" w:eastAsia="宋体" w:hint="default"/>
                <w:sz w:val="18"/>
                <w:szCs w:val="18"/>
              </w:rPr>
            </w:pPr>
            <w:r>
              <w:rPr>
                <w:rFonts w:ascii="宋体" w:hAnsi="宋体" w:cs="宋体" w:eastAsia="宋体" w:hint="default"/>
                <w:spacing w:val="10"/>
                <w:sz w:val="18"/>
                <w:szCs w:val="18"/>
              </w:rPr>
              <w:t>资本公积转增股本（每</w:t>
            </w:r>
            <w:r>
              <w:rPr>
                <w:rFonts w:ascii="宋体" w:hAnsi="宋体" w:cs="宋体" w:eastAsia="宋体" w:hint="default"/>
                <w:spacing w:val="10"/>
                <w:sz w:val="18"/>
                <w:szCs w:val="18"/>
              </w:rPr>
              <w:t>10</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3</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转增股本总数（万股）</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4680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3600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46,516,519.52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40,209,990.19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46,661,426.10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2" w:right="0" w:firstLine="0"/>
        <w:jc w:val="left"/>
        <w:rPr>
          <w:rFonts w:ascii="宋体" w:hAnsi="宋体" w:cs="宋体" w:eastAsia="宋体" w:hint="default"/>
          <w:sz w:val="18"/>
          <w:szCs w:val="18"/>
        </w:rPr>
      </w:pPr>
      <w:r>
        <w:rPr/>
        <w:pict>
          <v:shape style="position:absolute;margin-left:290.209991pt;margin-top:59.231724pt;width:244.75pt;height:15.6pt;mso-position-horizontal-relative:page;mso-position-vertical-relative:paragraph;z-index:-66690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48" w:right="44" w:hanging="1801"/>
              <w:jc w:val="left"/>
              <w:rPr>
                <w:rFonts w:ascii="宋体" w:hAnsi="宋体" w:cs="宋体" w:eastAsia="宋体" w:hint="default"/>
                <w:sz w:val="18"/>
                <w:szCs w:val="18"/>
              </w:rPr>
            </w:pPr>
            <w:r>
              <w:rPr>
                <w:rFonts w:ascii="宋体" w:hAnsi="宋体" w:cs="宋体" w:eastAsia="宋体" w:hint="default"/>
                <w:sz w:val="18"/>
                <w:szCs w:val="18"/>
              </w:rPr>
              <w:t>报告期内盈利且母公司未分配利润为正但未提出现金红利分 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027"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8"/>
              <w:jc w:val="both"/>
              <w:rPr>
                <w:rFonts w:ascii="宋体" w:hAnsi="宋体" w:cs="宋体" w:eastAsia="宋体" w:hint="default"/>
                <w:sz w:val="18"/>
                <w:szCs w:val="18"/>
              </w:rPr>
            </w:pPr>
            <w:r>
              <w:rPr>
                <w:rFonts w:ascii="宋体" w:hAnsi="宋体" w:cs="宋体" w:eastAsia="宋体" w:hint="default"/>
                <w:spacing w:val="-5"/>
                <w:sz w:val="18"/>
                <w:szCs w:val="18"/>
              </w:rPr>
              <w:t>鉴于公司正处于扩张发展时期，</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年公司将继续加大研发</w:t>
            </w:r>
            <w:r>
              <w:rPr>
                <w:rFonts w:ascii="宋体" w:hAnsi="宋体" w:cs="宋体" w:eastAsia="宋体" w:hint="default"/>
                <w:spacing w:val="-84"/>
                <w:sz w:val="18"/>
                <w:szCs w:val="18"/>
              </w:rPr>
              <w:t> </w:t>
            </w:r>
            <w:r>
              <w:rPr>
                <w:rFonts w:ascii="宋体" w:hAnsi="宋体" w:cs="宋体" w:eastAsia="宋体" w:hint="default"/>
                <w:sz w:val="18"/>
                <w:szCs w:val="18"/>
              </w:rPr>
              <w:t>市场等投入，公司经营资金仍有一定的缺口，公司拟将剩余 未分配利润不予分配，未分配利润结转下年度。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238.75pt;height:15.6pt;mso-position-horizontal-relative:char;mso-position-vertical-relative:line" coordorigin="0,0" coordsize="4775,312">
                  <v:group style="position:absolute;left:0;top:0;width:4775;height:312" coordorigin="0,0" coordsize="4775,312">
                    <v:shape style="position:absolute;left:0;top:0;width:4775;height:312" coordorigin="0,0" coordsize="4775,312" path="m0,312l4775,312,4775,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未分配利润将用于公司主营业务的发展。</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五、内幕信息知情人管理制度的建立和执行情况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49" w:firstLine="442"/>
        <w:jc w:val="both"/>
      </w:pPr>
      <w:r>
        <w:rPr>
          <w:spacing w:val="-3"/>
        </w:rPr>
        <w:t>为规范公司的内幕信息管理，加强内幕信息保密工作，维护信息披露的公平原则，根据《深圳证券交</w:t>
      </w:r>
      <w:r>
        <w:rPr>
          <w:w w:val="100"/>
        </w:rPr>
        <w:t> </w:t>
      </w:r>
      <w:r>
        <w:rPr>
          <w:spacing w:val="-7"/>
        </w:rPr>
        <w:t>易所创业板股票上市规则》、《上市公司信息披露管理办法》等有关法律、法规、规范性文件的规定及《公</w:t>
      </w:r>
      <w:r>
        <w:rPr>
          <w:spacing w:val="-21"/>
        </w:rPr>
        <w:t> </w:t>
      </w:r>
      <w:r>
        <w:rPr>
          <w:spacing w:val="-21"/>
        </w:rPr>
      </w:r>
      <w:r>
        <w:rPr/>
        <w:t>司章程》，结合公司实际情况制定了《内幕信息及知情人管理制度》，并于</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24</w:t>
      </w:r>
      <w:r>
        <w:rPr/>
        <w:t>日经公司第一届</w:t>
      </w:r>
    </w:p>
    <w:p>
      <w:pPr>
        <w:spacing w:after="0" w:line="273"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01"/>
        <w:jc w:val="left"/>
      </w:pPr>
      <w:r>
        <w:rPr>
          <w:spacing w:val="-5"/>
        </w:rPr>
        <w:t>董事会第九次会议审议通过。根据《关于上市公司建立内幕信息知情人登记管理制度的规定》等有关法律、 </w:t>
      </w:r>
      <w:r>
        <w:rPr/>
        <w:t>法规、规范性文件的规定，</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20</w:t>
      </w:r>
      <w:r>
        <w:rPr/>
        <w:t>日第一届董事会第十八次会议修订了《内幕信息知情人登记管理</w:t>
      </w:r>
      <w:r>
        <w:rPr>
          <w:spacing w:val="-27"/>
        </w:rPr>
        <w:t> </w:t>
      </w:r>
      <w:r>
        <w:rPr>
          <w:spacing w:val="-27"/>
        </w:rPr>
      </w:r>
      <w:r>
        <w:rPr>
          <w:spacing w:val="-2"/>
        </w:rPr>
        <w:t>制度》，该制度明确界定了内幕信息和内幕信息知情人的范围，完善了内幕信息事项的研究、决策和审批</w:t>
      </w:r>
      <w:r>
        <w:rPr>
          <w:spacing w:val="-47"/>
        </w:rPr>
        <w:t> </w:t>
      </w:r>
      <w:r>
        <w:rPr>
          <w:spacing w:val="-47"/>
        </w:rPr>
      </w:r>
      <w:r>
        <w:rPr/>
        <w:t>程序，健全了内幕信息的保密措施，建立了内幕信息知情人登记管理措施等。</w:t>
      </w:r>
    </w:p>
    <w:p>
      <w:pPr>
        <w:pStyle w:val="BodyText"/>
        <w:spacing w:line="273" w:lineRule="auto" w:before="127"/>
        <w:ind w:right="101" w:firstLine="420"/>
        <w:jc w:val="left"/>
      </w:pPr>
      <w:r>
        <w:rPr>
          <w:spacing w:val="-3"/>
        </w:rPr>
        <w:t>报告期内，公司严格执行内幕信息保密制度，严格规范信息传递流程，在定期报告披露期间，对于未</w:t>
      </w:r>
      <w:r>
        <w:rPr>
          <w:w w:val="100"/>
        </w:rPr>
        <w:t> </w:t>
      </w:r>
      <w:r>
        <w:rPr>
          <w:spacing w:val="-5"/>
        </w:rPr>
        <w:t>公开信息，按要求严格控制知情人范围并组织相关内幕信息知情人填写《内幕信息知情人登记表》，如实、</w:t>
      </w:r>
      <w:r>
        <w:rPr>
          <w:spacing w:val="-8"/>
        </w:rPr>
        <w:t> </w:t>
      </w:r>
      <w:r>
        <w:rPr>
          <w:spacing w:val="-8"/>
        </w:rPr>
      </w:r>
      <w:r>
        <w:rPr>
          <w:spacing w:val="-2"/>
        </w:rPr>
        <w:t>完整记录上述信息在公开前的所有内幕信息知情人名单，以及知情人知悉内幕信息的时间。报告期内，公</w:t>
      </w:r>
      <w:r>
        <w:rPr>
          <w:spacing w:val="-43"/>
        </w:rPr>
        <w:t> </w:t>
      </w:r>
      <w:r>
        <w:rPr>
          <w:spacing w:val="-43"/>
        </w:rPr>
      </w:r>
      <w:r>
        <w:rPr>
          <w:spacing w:val="-2"/>
        </w:rPr>
        <w:t>司董事、监事及高级管理人员和其他相关知情人严格遵守内幕信息知情人管理制度，未发现有内幕信息知</w:t>
      </w:r>
      <w:r>
        <w:rPr>
          <w:spacing w:val="-44"/>
        </w:rPr>
        <w:t> </w:t>
      </w:r>
      <w:r>
        <w:rPr>
          <w:spacing w:val="-44"/>
        </w:rPr>
      </w:r>
      <w:r>
        <w:rPr/>
        <w:t>情人利用内幕信息买卖本公司股份的情况，公司也未发生受到监管部门查处和整改的情形。</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2"/>
        <w:spacing w:line="240" w:lineRule="auto"/>
        <w:ind w:right="101"/>
        <w:jc w:val="left"/>
        <w:rPr>
          <w:b w:val="0"/>
          <w:bCs w:val="0"/>
        </w:rPr>
      </w:pPr>
      <w:r>
        <w:rPr/>
        <w:t>六、报告期内接待调研、沟通、采访等活动登记表</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董秘办公室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瑞银证券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公司业务及市场</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证券部办公室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PM2.5</w:t>
            </w:r>
            <w:r>
              <w:rPr>
                <w:rFonts w:ascii="宋体" w:hAnsi="宋体" w:cs="宋体" w:eastAsia="宋体" w:hint="default"/>
                <w:spacing w:val="-45"/>
                <w:sz w:val="18"/>
                <w:szCs w:val="18"/>
              </w:rPr>
              <w:t> </w:t>
            </w:r>
            <w:r>
              <w:rPr>
                <w:rFonts w:ascii="宋体" w:hAnsi="宋体" w:cs="宋体" w:eastAsia="宋体" w:hint="default"/>
                <w:sz w:val="18"/>
                <w:szCs w:val="18"/>
              </w:rPr>
              <w:t>市场及公司业务</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02</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证券部办公室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国都证券、渤海证 券、中信建投</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PM2.5</w:t>
            </w:r>
            <w:r>
              <w:rPr>
                <w:rFonts w:ascii="宋体" w:hAnsi="宋体" w:cs="宋体" w:eastAsia="宋体" w:hint="default"/>
                <w:spacing w:val="-45"/>
                <w:sz w:val="18"/>
                <w:szCs w:val="18"/>
              </w:rPr>
              <w:t> </w:t>
            </w:r>
            <w:r>
              <w:rPr>
                <w:rFonts w:ascii="宋体" w:hAnsi="宋体" w:cs="宋体" w:eastAsia="宋体" w:hint="default"/>
                <w:sz w:val="18"/>
                <w:szCs w:val="18"/>
              </w:rPr>
              <w:t>市场及公司业务</w:t>
            </w:r>
          </w:p>
        </w:tc>
      </w:tr>
      <w:tr>
        <w:trPr>
          <w:trHeight w:val="133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兴业证券、长胜基 金、国金证券、万 家基金、兴业全球 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公司产品及市场情况</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0"/>
        <w:rPr>
          <w:rFonts w:ascii="宋体" w:hAnsi="宋体" w:cs="宋体" w:eastAsia="宋体" w:hint="default"/>
          <w:b/>
          <w:bCs/>
          <w:sz w:val="20"/>
          <w:szCs w:val="20"/>
        </w:rPr>
      </w:pPr>
      <w:r>
        <w:rPr/>
        <w:pict>
          <v:shape style="position:absolute;margin-left:321.653015pt;margin-top:709.656006pt;width:160.15pt;height:45.85pt;mso-position-horizontal-relative:page;mso-position-vertical-relative:page;z-index:-66685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42"/>
                    <w:ind w:left="0" w:right="0" w:firstLine="0"/>
                    <w:jc w:val="left"/>
                    <w:rPr>
                      <w:rFonts w:ascii="宋体" w:hAnsi="宋体" w:cs="宋体" w:eastAsia="宋体" w:hint="default"/>
                      <w:sz w:val="18"/>
                      <w:szCs w:val="18"/>
                    </w:rPr>
                  </w:pPr>
                  <w:r>
                    <w:rPr>
                      <w:rFonts w:ascii="宋体" w:hAnsi="宋体" w:cs="宋体" w:eastAsia="宋体" w:hint="default"/>
                      <w:sz w:val="18"/>
                      <w:szCs w:val="18"/>
                    </w:rPr>
                    <w:t>员邢金生和公司监事马越超承诺：</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right="2420"/>
        <w:jc w:val="center"/>
        <w:rPr>
          <w:b w:val="0"/>
          <w:bCs w:val="0"/>
        </w:rPr>
      </w:pPr>
      <w:bookmarkStart w:name="_TOC_250005"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spacing w:line="350" w:lineRule="auto" w:before="0"/>
        <w:ind w:left="152" w:right="6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会计师事务所对资金占用的专项审核意见 在所有重大方面未发现不一致</w:t>
      </w: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r>
        <w:rPr/>
        <w:t>三、重大合同及其履行情况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、其他重大合同</w:t>
      </w:r>
      <w:r>
        <w:rPr>
          <w:b w:val="0"/>
          <w:bCs w:val="0"/>
        </w:rPr>
      </w:r>
    </w:p>
    <w:p>
      <w:pPr>
        <w:spacing w:line="240" w:lineRule="auto" w:before="4"/>
        <w:rPr>
          <w:rFonts w:ascii="宋体" w:hAnsi="宋体" w:cs="宋体" w:eastAsia="宋体" w:hint="default"/>
          <w:b/>
          <w:bCs/>
          <w:sz w:val="26"/>
          <w:szCs w:val="26"/>
        </w:rPr>
      </w:pPr>
    </w:p>
    <w:p>
      <w:pPr>
        <w:spacing w:line="300" w:lineRule="auto" w:before="0"/>
        <w:ind w:left="152" w:right="151" w:firstLine="0"/>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日，公司与山东省环保厅签署了山东省城市环境空气质量自动监测站</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转让</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运营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模式推广项目合同，根据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合同，公司将购买淄博、莱芜、东营、德州及聊城等地的</w:t>
      </w:r>
      <w:r>
        <w:rPr>
          <w:rFonts w:ascii="Times New Roman" w:hAnsi="Times New Roman" w:cs="Times New Roman" w:eastAsia="Times New Roman" w:hint="default"/>
          <w:sz w:val="18"/>
          <w:szCs w:val="18"/>
        </w:rPr>
        <w:t>40</w:t>
      </w:r>
      <w:r>
        <w:rPr>
          <w:rFonts w:ascii="宋体" w:hAnsi="宋体" w:cs="宋体" w:eastAsia="宋体" w:hint="default"/>
          <w:sz w:val="18"/>
          <w:szCs w:val="18"/>
        </w:rPr>
        <w:t>个空气站，合计购买总价</w:t>
      </w:r>
      <w:r>
        <w:rPr>
          <w:rFonts w:ascii="Times New Roman" w:hAnsi="Times New Roman" w:cs="Times New Roman" w:eastAsia="Times New Roman" w:hint="default"/>
          <w:sz w:val="18"/>
          <w:szCs w:val="18"/>
        </w:rPr>
        <w:t>2035.22</w:t>
      </w:r>
      <w:r>
        <w:rPr>
          <w:rFonts w:ascii="宋体" w:hAnsi="宋体" w:cs="宋体" w:eastAsia="宋体" w:hint="default"/>
          <w:sz w:val="18"/>
          <w:szCs w:val="18"/>
        </w:rPr>
        <w:t>万元，每年由环保部门支付给 公司运营费用</w:t>
      </w:r>
      <w:r>
        <w:rPr>
          <w:rFonts w:ascii="Times New Roman" w:hAnsi="Times New Roman" w:cs="Times New Roman" w:eastAsia="Times New Roman" w:hint="default"/>
          <w:sz w:val="18"/>
          <w:szCs w:val="18"/>
        </w:rPr>
        <w:t>816</w:t>
      </w:r>
      <w:r>
        <w:rPr>
          <w:rFonts w:ascii="宋体" w:hAnsi="宋体" w:cs="宋体" w:eastAsia="宋体" w:hint="default"/>
          <w:sz w:val="18"/>
          <w:szCs w:val="18"/>
        </w:rPr>
        <w:t>万元，三年合计</w:t>
      </w:r>
      <w:r>
        <w:rPr>
          <w:rFonts w:ascii="Times New Roman" w:hAnsi="Times New Roman" w:cs="Times New Roman" w:eastAsia="Times New Roman" w:hint="default"/>
          <w:sz w:val="18"/>
          <w:szCs w:val="18"/>
        </w:rPr>
        <w:t>2448</w:t>
      </w:r>
      <w:r>
        <w:rPr>
          <w:rFonts w:ascii="宋体" w:hAnsi="宋体" w:cs="宋体" w:eastAsia="宋体" w:hint="default"/>
          <w:sz w:val="18"/>
          <w:szCs w:val="18"/>
        </w:rPr>
        <w:t>万元。目前该合同正在执行。</w:t>
      </w:r>
    </w:p>
    <w:p>
      <w:pPr>
        <w:spacing w:line="300" w:lineRule="auto" w:before="13"/>
        <w:ind w:left="152" w:right="16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日，公司与河北省环境监测中心站签署</w:t>
      </w:r>
      <w:r>
        <w:rPr>
          <w:rFonts w:ascii="Times New Roman" w:hAnsi="Times New Roman" w:cs="Times New Roman" w:eastAsia="Times New Roman" w:hint="default"/>
          <w:sz w:val="18"/>
          <w:szCs w:val="18"/>
        </w:rPr>
        <w:t>“</w:t>
      </w:r>
      <w:r>
        <w:rPr>
          <w:rFonts w:ascii="宋体" w:hAnsi="宋体" w:cs="宋体" w:eastAsia="宋体" w:hint="default"/>
          <w:sz w:val="18"/>
          <w:szCs w:val="18"/>
        </w:rPr>
        <w:t>国家环境空气监测网建设项目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政府采购货物购销合同，合同总 金额为人民币</w:t>
      </w:r>
      <w:r>
        <w:rPr>
          <w:rFonts w:ascii="Times New Roman" w:hAnsi="Times New Roman" w:cs="Times New Roman" w:eastAsia="Times New Roman" w:hint="default"/>
          <w:sz w:val="18"/>
          <w:szCs w:val="18"/>
        </w:rPr>
        <w:t>7388.6</w:t>
      </w:r>
      <w:r>
        <w:rPr>
          <w:rFonts w:ascii="宋体" w:hAnsi="宋体" w:cs="宋体" w:eastAsia="宋体" w:hint="default"/>
          <w:sz w:val="18"/>
          <w:szCs w:val="18"/>
        </w:rPr>
        <w:t>万元。截止目前，该项目所需监测设备，公司已安装、调试完毕，等待环保部门的验收。</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四、承诺事项履行情况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702"/>
        <w:gridCol w:w="1133"/>
        <w:gridCol w:w="5106"/>
        <w:gridCol w:w="566"/>
        <w:gridCol w:w="566"/>
        <w:gridCol w:w="497"/>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5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2"/>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3" w:type="dxa"/>
            <w:tcBorders>
              <w:top w:val="single" w:sz="4" w:space="0" w:color="000000"/>
              <w:left w:val="single" w:sz="4" w:space="0" w:color="000000"/>
              <w:bottom w:val="single" w:sz="4" w:space="0" w:color="000000"/>
              <w:right w:val="single" w:sz="4" w:space="0" w:color="000000"/>
            </w:tcBorders>
          </w:tcPr>
          <w:p>
            <w:pPr/>
          </w:p>
        </w:tc>
        <w:tc>
          <w:tcPr>
            <w:tcW w:w="51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133" w:type="dxa"/>
            <w:tcBorders>
              <w:top w:val="single" w:sz="4" w:space="0" w:color="000000"/>
              <w:left w:val="single" w:sz="4" w:space="0" w:color="000000"/>
              <w:bottom w:val="single" w:sz="4" w:space="0" w:color="000000"/>
              <w:right w:val="single" w:sz="4" w:space="0" w:color="000000"/>
            </w:tcBorders>
          </w:tcPr>
          <w:p>
            <w:pPr/>
          </w:p>
        </w:tc>
        <w:tc>
          <w:tcPr>
            <w:tcW w:w="51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133" w:type="dxa"/>
            <w:tcBorders>
              <w:top w:val="single" w:sz="4" w:space="0" w:color="000000"/>
              <w:left w:val="single" w:sz="4" w:space="0" w:color="000000"/>
              <w:bottom w:val="single" w:sz="4" w:space="0" w:color="000000"/>
              <w:right w:val="single" w:sz="4" w:space="0" w:color="000000"/>
            </w:tcBorders>
          </w:tcPr>
          <w:p>
            <w:pPr/>
          </w:p>
        </w:tc>
        <w:tc>
          <w:tcPr>
            <w:tcW w:w="51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22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公司控股股 东、实际控制 人李玉国；持</w:t>
            </w:r>
            <w:r>
              <w:rPr>
                <w:rFonts w:ascii="宋体" w:hAnsi="宋体" w:cs="宋体" w:eastAsia="宋体"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东；本公司主 要股东及董 事、监事、高</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一）股份锁定的承诺</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、本公司实际控制人、控股股东李玉国及</w:t>
            </w:r>
            <w:r>
              <w:rPr>
                <w:rFonts w:ascii="宋体" w:hAnsi="宋体" w:cs="宋体" w:eastAsia="宋体" w:hint="default"/>
                <w:w w:val="99"/>
                <w:sz w:val="18"/>
                <w:szCs w:val="18"/>
              </w:rPr>
              <w:t> </w:t>
            </w:r>
            <w:r>
              <w:rPr>
                <w:rFonts w:ascii="宋体" w:hAnsi="宋体" w:cs="宋体" w:eastAsia="宋体" w:hint="default"/>
                <w:sz w:val="18"/>
                <w:szCs w:val="18"/>
              </w:rPr>
              <w:t>其一致行动人张香计、范朝、陈荣强承诺：自发行人股票上市交</w:t>
            </w:r>
            <w:r>
              <w:rPr>
                <w:rFonts w:ascii="宋体" w:hAnsi="宋体" w:cs="宋体" w:eastAsia="宋体" w:hint="default"/>
                <w:w w:val="99"/>
                <w:sz w:val="18"/>
                <w:szCs w:val="18"/>
              </w:rPr>
              <w:t> </w:t>
            </w:r>
            <w:r>
              <w:rPr>
                <w:rFonts w:ascii="宋体" w:hAnsi="宋体" w:cs="宋体" w:eastAsia="宋体" w:hint="default"/>
                <w:sz w:val="18"/>
                <w:szCs w:val="18"/>
              </w:rPr>
              <w:t>易之日起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个月内，不转让或者委托他人管理其直接和间接持</w:t>
            </w:r>
            <w:r>
              <w:rPr>
                <w:rFonts w:ascii="宋体" w:hAnsi="宋体" w:cs="宋体" w:eastAsia="宋体" w:hint="default"/>
                <w:w w:val="99"/>
                <w:sz w:val="18"/>
                <w:szCs w:val="18"/>
              </w:rPr>
              <w:t> </w:t>
            </w:r>
            <w:r>
              <w:rPr>
                <w:rFonts w:ascii="宋体" w:hAnsi="宋体" w:cs="宋体" w:eastAsia="宋体" w:hint="default"/>
                <w:sz w:val="18"/>
                <w:szCs w:val="18"/>
              </w:rPr>
              <w:t>有的发行人股份，也不由发行人收购该部分股份；在其任职期间</w:t>
            </w:r>
            <w:r>
              <w:rPr>
                <w:rFonts w:ascii="宋体" w:hAnsi="宋体" w:cs="宋体" w:eastAsia="宋体" w:hint="default"/>
                <w:w w:val="99"/>
                <w:sz w:val="18"/>
                <w:szCs w:val="18"/>
              </w:rPr>
              <w:t> </w:t>
            </w:r>
            <w:r>
              <w:rPr>
                <w:rFonts w:ascii="宋体" w:hAnsi="宋体" w:cs="宋体" w:eastAsia="宋体" w:hint="default"/>
                <w:sz w:val="18"/>
                <w:szCs w:val="18"/>
              </w:rPr>
              <w:t>每年转让的股份不超过其直接或间接持有的发行人股份总数的百</w:t>
            </w:r>
            <w:r>
              <w:rPr>
                <w:rFonts w:ascii="宋体" w:hAnsi="宋体" w:cs="宋体" w:eastAsia="宋体" w:hint="default"/>
                <w:w w:val="99"/>
                <w:sz w:val="18"/>
                <w:szCs w:val="18"/>
              </w:rPr>
              <w:t> </w:t>
            </w:r>
            <w:r>
              <w:rPr>
                <w:rFonts w:ascii="宋体" w:hAnsi="宋体" w:cs="宋体" w:eastAsia="宋体" w:hint="default"/>
                <w:sz w:val="18"/>
                <w:szCs w:val="18"/>
              </w:rPr>
              <w:t>分之二十五，离职后半年内，不转让其直接或者间接持有的发行</w:t>
            </w:r>
            <w:r>
              <w:rPr>
                <w:rFonts w:ascii="宋体" w:hAnsi="宋体" w:cs="宋体" w:eastAsia="宋体" w:hint="default"/>
                <w:w w:val="99"/>
                <w:sz w:val="18"/>
                <w:szCs w:val="18"/>
              </w:rPr>
              <w:t> </w:t>
            </w:r>
            <w:r>
              <w:rPr>
                <w:rFonts w:ascii="宋体" w:hAnsi="宋体" w:cs="宋体" w:eastAsia="宋体" w:hint="default"/>
                <w:spacing w:val="-12"/>
                <w:w w:val="99"/>
                <w:sz w:val="18"/>
                <w:szCs w:val="18"/>
              </w:rPr>
              <w:t>人股份。</w:t>
            </w:r>
            <w:r>
              <w:rPr>
                <w:rFonts w:ascii="Times New Roman" w:hAnsi="Times New Roman" w:cs="Times New Roman" w:eastAsia="Times New Roman" w:hint="default"/>
                <w:spacing w:val="-12"/>
                <w:w w:val="99"/>
                <w:sz w:val="18"/>
                <w:szCs w:val="18"/>
              </w:rPr>
              <w:t>2</w:t>
            </w:r>
            <w:r>
              <w:rPr>
                <w:rFonts w:ascii="宋体" w:hAnsi="宋体" w:cs="宋体" w:eastAsia="宋体" w:hint="default"/>
                <w:spacing w:val="-12"/>
                <w:w w:val="99"/>
                <w:sz w:val="18"/>
                <w:szCs w:val="18"/>
              </w:rPr>
              <w:t>、本公司原高级管理人</w:t>
            </w:r>
            <w:r>
              <w:rPr>
                <w:rFonts w:ascii="宋体" w:hAnsi="宋体" w:cs="宋体" w:eastAsia="宋体" w:hint="default"/>
                <w:spacing w:val="-12"/>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916" w:lineRule="exact"/>
              <w:ind w:right="-51"/>
              <w:jc w:val="left"/>
              <w:rPr>
                <w:rFonts w:ascii="宋体" w:hAnsi="宋体" w:cs="宋体" w:eastAsia="宋体" w:hint="default"/>
                <w:sz w:val="20"/>
                <w:szCs w:val="20"/>
              </w:rPr>
            </w:pPr>
            <w:r>
              <w:rPr>
                <w:rFonts w:ascii="宋体" w:hAnsi="宋体" w:cs="宋体" w:eastAsia="宋体" w:hint="default"/>
                <w:position w:val="-17"/>
                <w:sz w:val="20"/>
                <w:szCs w:val="20"/>
              </w:rPr>
              <w:pict>
                <v:group style="width:27.85pt;height:45.85pt;mso-position-horizontal-relative:char;mso-position-vertical-relative:line" coordorigin="0,0" coordsize="557,917">
                  <v:group style="position:absolute;left:0;top:0;width:557;height:917" coordorigin="0,0" coordsize="557,917">
                    <v:shape style="position:absolute;left:0;top:0;width:557;height:917" coordorigin="0,0" coordsize="557,917" path="m0,917l557,917,557,0,0,0,0,917xe" filled="true" fillcolor="#ffffff" stroked="false">
                      <v:path arrowok="t"/>
                      <v:fill type="solid"/>
                    </v:shape>
                  </v:group>
                </v:group>
              </w:pict>
            </w:r>
            <w:r>
              <w:rPr>
                <w:rFonts w:ascii="宋体" w:hAnsi="宋体" w:cs="宋体" w:eastAsia="宋体" w:hint="default"/>
                <w:position w:val="-17"/>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报告 期内 公司 股东 恪守 承 诺，</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745" w:footer="980" w:top="1060" w:bottom="1160" w:left="980" w:right="980"/>
        </w:sectPr>
      </w:pPr>
    </w:p>
    <w:p>
      <w:pPr>
        <w:spacing w:line="319" w:lineRule="auto" w:before="44"/>
        <w:ind w:left="1883" w:right="-20" w:firstLine="0"/>
        <w:jc w:val="left"/>
        <w:rPr>
          <w:rFonts w:ascii="宋体" w:hAnsi="宋体" w:cs="宋体" w:eastAsia="宋体" w:hint="default"/>
          <w:sz w:val="18"/>
          <w:szCs w:val="18"/>
        </w:rPr>
      </w:pPr>
      <w:r>
        <w:rPr/>
        <w:pict>
          <v:shape style="position:absolute;margin-left:438.39502pt;margin-top:72.475983pt;width:43.4pt;height:686.5pt;mso-position-horizontal-relative:page;mso-position-vertical-relative:page;z-index:-6668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7"/>
                    <w:ind w:left="7" w:right="0" w:hanging="8"/>
                    <w:jc w:val="left"/>
                    <w:rPr>
                      <w:rFonts w:ascii="宋体" w:hAnsi="宋体" w:cs="宋体" w:eastAsia="宋体" w:hint="default"/>
                      <w:sz w:val="18"/>
                      <w:szCs w:val="18"/>
                    </w:rPr>
                  </w:pPr>
                  <w:r>
                    <w:rPr>
                      <w:rFonts w:ascii="宋体" w:hAnsi="宋体" w:cs="宋体" w:eastAsia="宋体" w:hint="default"/>
                      <w:sz w:val="18"/>
                      <w:szCs w:val="18"/>
                    </w:rPr>
                    <w:t>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spacing w:before="0"/>
                    <w:ind w:left="7" w:right="0" w:firstLine="0"/>
                    <w:jc w:val="left"/>
                    <w:rPr>
                      <w:rFonts w:ascii="宋体" w:hAnsi="宋体" w:cs="宋体" w:eastAsia="宋体" w:hint="default"/>
                      <w:sz w:val="18"/>
                      <w:szCs w:val="18"/>
                    </w:rPr>
                  </w:pPr>
                  <w:r>
                    <w:rPr>
                      <w:rFonts w:ascii="宋体" w:hAnsi="宋体" w:cs="宋体" w:eastAsia="宋体" w:hint="default"/>
                      <w:sz w:val="18"/>
                      <w:szCs w:val="18"/>
                    </w:rPr>
                    <w:t>人）</w:t>
                  </w:r>
                </w:p>
              </w:txbxContent>
            </v:textbox>
            <w10:wrap type="none"/>
          </v:shape>
        </w:pict>
      </w:r>
      <w:r>
        <w:rPr/>
        <w:pict>
          <v:group style="position:absolute;margin-left:56.400002pt;margin-top:71.759979pt;width:479.05pt;height:687.95pt;mso-position-horizontal-relative:page;mso-position-vertical-relative:page;z-index:-666808" coordorigin="1128,1435" coordsize="9581,13759">
            <v:group style="position:absolute;left:9079;top:1450;width:557;height:13730" coordorigin="9079,1450" coordsize="557,13730">
              <v:shape style="position:absolute;left:9079;top:1450;width:557;height:13730" coordorigin="9079,1450" coordsize="557,13730" path="m9079,15180l9636,15180,9636,1450,9079,1450,9079,15180xe" filled="true" fillcolor="#ffffff" stroked="false">
                <v:path arrowok="t"/>
                <v:fill type="solid"/>
              </v:shape>
            </v:group>
            <v:group style="position:absolute;left:1138;top:1445;width:1693;height:2" coordorigin="1138,1445" coordsize="1693,2">
              <v:shape style="position:absolute;left:1138;top:1445;width:1693;height:2" coordorigin="1138,1445" coordsize="1693,0" path="m1138,1445l2830,1445e" filled="false" stroked="true" strokeweight=".48pt" strokecolor="#000000">
                <v:path arrowok="t"/>
              </v:shape>
            </v:group>
            <v:group style="position:absolute;left:2840;top:1445;width:1124;height:2" coordorigin="2840,1445" coordsize="1124,2">
              <v:shape style="position:absolute;left:2840;top:1445;width:1124;height:2" coordorigin="2840,1445" coordsize="1124,0" path="m2840,1445l3963,1445e" filled="false" stroked="true" strokeweight=".48pt" strokecolor="#000000">
                <v:path arrowok="t"/>
              </v:shape>
            </v:group>
            <v:group style="position:absolute;left:3973;top:1445;width:5097;height:2" coordorigin="3973,1445" coordsize="5097,2">
              <v:shape style="position:absolute;left:3973;top:1445;width:5097;height:2" coordorigin="3973,1445" coordsize="5097,0" path="m3973,1445l9069,1445e" filled="false" stroked="true" strokeweight=".48pt" strokecolor="#000000">
                <v:path arrowok="t"/>
              </v:shape>
            </v:group>
            <v:group style="position:absolute;left:9079;top:1445;width:557;height:2" coordorigin="9079,1445" coordsize="557,2">
              <v:shape style="position:absolute;left:9079;top:1445;width:557;height:2" coordorigin="9079,1445" coordsize="557,0" path="m9079,1445l9636,1445e" filled="false" stroked="true" strokeweight=".48pt" strokecolor="#000000">
                <v:path arrowok="t"/>
              </v:shape>
            </v:group>
            <v:group style="position:absolute;left:9645;top:1445;width:557;height:2" coordorigin="9645,1445" coordsize="557,2">
              <v:shape style="position:absolute;left:9645;top:1445;width:557;height:2" coordorigin="9645,1445" coordsize="557,0" path="m9645,1445l10202,1445e" filled="false" stroked="true" strokeweight=".48pt" strokecolor="#000000">
                <v:path arrowok="t"/>
              </v:shape>
            </v:group>
            <v:group style="position:absolute;left:10212;top:1445;width:488;height:2" coordorigin="10212,1445" coordsize="488,2">
              <v:shape style="position:absolute;left:10212;top:1445;width:488;height:2" coordorigin="10212,1445" coordsize="488,0" path="m10212,1445l10699,1445e" filled="false" stroked="true" strokeweight=".48pt" strokecolor="#000000">
                <v:path arrowok="t"/>
              </v:shape>
            </v:group>
            <v:group style="position:absolute;left:1133;top:1440;width:2;height:13750" coordorigin="1133,1440" coordsize="2,13750">
              <v:shape style="position:absolute;left:1133;top:1440;width:2;height:13750" coordorigin="1133,1440" coordsize="0,13750" path="m1133,1440l1133,15189e" filled="false" stroked="true" strokeweight=".48pt" strokecolor="#000000">
                <v:path arrowok="t"/>
              </v:shape>
            </v:group>
            <v:group style="position:absolute;left:1138;top:15184;width:1693;height:2" coordorigin="1138,15184" coordsize="1693,2">
              <v:shape style="position:absolute;left:1138;top:15184;width:1693;height:2" coordorigin="1138,15184" coordsize="1693,0" path="m1138,15184l2830,15184e" filled="false" stroked="true" strokeweight=".48pt" strokecolor="#000000">
                <v:path arrowok="t"/>
              </v:shape>
            </v:group>
            <v:group style="position:absolute;left:2835;top:1440;width:2;height:13750" coordorigin="2835,1440" coordsize="2,13750">
              <v:shape style="position:absolute;left:2835;top:1440;width:2;height:13750" coordorigin="2835,1440" coordsize="0,13750" path="m2835,1440l2835,15189e" filled="false" stroked="true" strokeweight=".48pt" strokecolor="#000000">
                <v:path arrowok="t"/>
              </v:shape>
            </v:group>
            <v:group style="position:absolute;left:2840;top:15184;width:1124;height:2" coordorigin="2840,15184" coordsize="1124,2">
              <v:shape style="position:absolute;left:2840;top:15184;width:1124;height:2" coordorigin="2840,15184" coordsize="1124,0" path="m2840,15184l3963,15184e" filled="false" stroked="true" strokeweight=".48pt" strokecolor="#000000">
                <v:path arrowok="t"/>
              </v:shape>
            </v:group>
            <v:group style="position:absolute;left:3968;top:1440;width:2;height:13750" coordorigin="3968,1440" coordsize="2,13750">
              <v:shape style="position:absolute;left:3968;top:1440;width:2;height:13750" coordorigin="3968,1440" coordsize="0,13750" path="m3968,1440l3968,15189e" filled="false" stroked="true" strokeweight=".48pt" strokecolor="#000000">
                <v:path arrowok="t"/>
              </v:shape>
            </v:group>
            <v:group style="position:absolute;left:3973;top:15184;width:5097;height:2" coordorigin="3973,15184" coordsize="5097,2">
              <v:shape style="position:absolute;left:3973;top:15184;width:5097;height:2" coordorigin="3973,15184" coordsize="5097,0" path="m3973,15184l9069,15184e" filled="false" stroked="true" strokeweight=".48pt" strokecolor="#000000">
                <v:path arrowok="t"/>
              </v:shape>
            </v:group>
            <v:group style="position:absolute;left:9074;top:1440;width:2;height:13750" coordorigin="9074,1440" coordsize="2,13750">
              <v:shape style="position:absolute;left:9074;top:1440;width:2;height:13750" coordorigin="9074,1440" coordsize="0,13750" path="m9074,1440l9074,15189e" filled="false" stroked="true" strokeweight=".48pt" strokecolor="#000000">
                <v:path arrowok="t"/>
              </v:shape>
            </v:group>
            <v:group style="position:absolute;left:9079;top:15184;width:557;height:2" coordorigin="9079,15184" coordsize="557,2">
              <v:shape style="position:absolute;left:9079;top:15184;width:557;height:2" coordorigin="9079,15184" coordsize="557,0" path="m9079,15184l9636,15184e" filled="false" stroked="true" strokeweight=".48pt" strokecolor="#000000">
                <v:path arrowok="t"/>
              </v:shape>
            </v:group>
            <v:group style="position:absolute;left:9640;top:1440;width:2;height:13750" coordorigin="9640,1440" coordsize="2,13750">
              <v:shape style="position:absolute;left:9640;top:1440;width:2;height:13750" coordorigin="9640,1440" coordsize="0,13750" path="m9640,1440l9640,15189e" filled="false" stroked="true" strokeweight=".48pt" strokecolor="#000000">
                <v:path arrowok="t"/>
              </v:shape>
            </v:group>
            <v:group style="position:absolute;left:9645;top:15184;width:557;height:2" coordorigin="9645,15184" coordsize="557,2">
              <v:shape style="position:absolute;left:9645;top:15184;width:557;height:2" coordorigin="9645,15184" coordsize="557,0" path="m9645,15184l10202,15184e" filled="false" stroked="true" strokeweight=".48pt" strokecolor="#000000">
                <v:path arrowok="t"/>
              </v:shape>
            </v:group>
            <v:group style="position:absolute;left:10207;top:1440;width:2;height:13750" coordorigin="10207,1440" coordsize="2,13750">
              <v:shape style="position:absolute;left:10207;top:1440;width:2;height:13750" coordorigin="10207,1440" coordsize="0,13750" path="m10207,1440l10207,15189e" filled="false" stroked="true" strokeweight=".48pt" strokecolor="#000000">
                <v:path arrowok="t"/>
              </v:shape>
            </v:group>
            <v:group style="position:absolute;left:10212;top:15184;width:488;height:2" coordorigin="10212,15184" coordsize="488,2">
              <v:shape style="position:absolute;left:10212;top:15184;width:488;height:2" coordorigin="10212,15184" coordsize="488,0" path="m10212,15184l10699,15184e" filled="false" stroked="true" strokeweight=".48pt" strokecolor="#000000">
                <v:path arrowok="t"/>
              </v:shape>
            </v:group>
            <v:group style="position:absolute;left:10704;top:1440;width:2;height:13750" coordorigin="10704,1440" coordsize="2,13750">
              <v:shape style="position:absolute;left:10704;top:1440;width:2;height:13750" coordorigin="10704,1440" coordsize="0,13750" path="m10704,1440l10704,15189e" filled="false" stroked="true" strokeweight=".48pt" strokecolor="#000000">
                <v:path arrowok="t"/>
              </v:shape>
            </v:group>
            <w10:wrap type="none"/>
          </v:group>
        </w:pict>
      </w:r>
      <w:r>
        <w:rPr>
          <w:rFonts w:ascii="宋体" w:hAnsi="宋体" w:cs="宋体" w:eastAsia="宋体" w:hint="default"/>
          <w:sz w:val="18"/>
          <w:szCs w:val="18"/>
        </w:rPr>
        <w:t>级管理人员 等</w:t>
      </w:r>
    </w:p>
    <w:p>
      <w:pPr>
        <w:tabs>
          <w:tab w:pos="6431" w:val="left" w:leader="none"/>
        </w:tabs>
        <w:spacing w:line="314" w:lineRule="auto" w:before="44"/>
        <w:ind w:left="193" w:right="328"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自发行人股票上市之日起十二个月内不转让或者委托他人管理其</w:t>
        <w:tab/>
        <w:t>未发 直接或间接持有的发行人股份，也不由发行人回购其直接或间接</w:t>
        <w:tab/>
        <w:t>生违 持有的发行人股份；在其任职期间每年转让的股份不超过其直接</w:t>
        <w:tab/>
        <w:t>反承 或间接持有的发行人股份总数的百分之二十五，离职后半年内，</w:t>
        <w:tab/>
        <w:t>诺的 不转让其直接或者间接持有的发行人股份。截止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tab/>
      </w:r>
      <w:r>
        <w:rPr>
          <w:rFonts w:ascii="宋体" w:hAnsi="宋体" w:cs="宋体" w:eastAsia="宋体" w:hint="default"/>
          <w:sz w:val="18"/>
          <w:szCs w:val="18"/>
        </w:rPr>
        <w:t>情 日，邢金生、马越超已履行完毕股票上市后锁定一年的承诺，此</w:t>
        <w:tab/>
        <w:t>形。 部分解除限售股份实际上市流通</w:t>
      </w:r>
      <w:r>
        <w:rPr>
          <w:rFonts w:ascii="宋体" w:hAnsi="宋体" w:cs="宋体" w:eastAsia="宋体" w:hint="default"/>
          <w:spacing w:val="-54"/>
          <w:sz w:val="18"/>
          <w:szCs w:val="18"/>
        </w:rPr>
        <w:t> </w:t>
      </w:r>
      <w:r>
        <w:rPr>
          <w:rFonts w:ascii="Times New Roman" w:hAnsi="Times New Roman" w:cs="Times New Roman" w:eastAsia="Times New Roman" w:hint="default"/>
          <w:spacing w:val="-10"/>
          <w:sz w:val="18"/>
          <w:szCs w:val="18"/>
        </w:rPr>
        <w:t>25%</w:t>
      </w:r>
      <w:r>
        <w:rPr>
          <w:rFonts w:ascii="宋体" w:hAnsi="宋体" w:cs="宋体" w:eastAsia="宋体" w:hint="default"/>
          <w:spacing w:val="-10"/>
          <w:sz w:val="18"/>
          <w:szCs w:val="18"/>
        </w:rPr>
        <w:t>，其余转入高管锁定股。</w:t>
      </w:r>
      <w:r>
        <w:rPr>
          <w:rFonts w:ascii="Times New Roman" w:hAnsi="Times New Roman" w:cs="Times New Roman" w:eastAsia="Times New Roman" w:hint="default"/>
          <w:spacing w:val="-10"/>
          <w:sz w:val="18"/>
          <w:szCs w:val="18"/>
        </w:rPr>
        <w:t>2012</w:t>
      </w:r>
      <w:r>
        <w:rPr>
          <w:rFonts w:ascii="Times New Roman" w:hAnsi="Times New Roman" w:cs="Times New Roman" w:eastAsia="Times New Roman" w:hint="default"/>
          <w:sz w:val="18"/>
          <w:szCs w:val="18"/>
        </w:rPr>
      </w:r>
    </w:p>
    <w:p>
      <w:pPr>
        <w:spacing w:line="312" w:lineRule="auto" w:before="1"/>
        <w:ind w:left="193" w:right="186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月，第一届董事会、第一届监事任期届满，邢金生先生不在 担任公司董事会秘书，马越超先生不再担任监事。截止到报告期 </w:t>
      </w:r>
      <w:r>
        <w:rPr>
          <w:rFonts w:ascii="宋体" w:hAnsi="宋体" w:cs="宋体" w:eastAsia="宋体" w:hint="default"/>
          <w:spacing w:val="-3"/>
          <w:sz w:val="18"/>
          <w:szCs w:val="18"/>
        </w:rPr>
        <w:t>末，邢金生、马越超已履行完毕上述承诺。</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、本公司股东北京科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桥投资顾问有限公司、上海兴烨创业投资有限公司和上海正同创 业投资有限公司承诺：自先河环保完成增资扩股工商变更登记之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2009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个月内，不转让或者委托他人管理 其直接和间接持有的发行人股份，也不由先河环保收购该部分股 </w:t>
      </w:r>
      <w:r>
        <w:rPr>
          <w:rFonts w:ascii="宋体" w:hAnsi="宋体" w:cs="宋体" w:eastAsia="宋体" w:hint="default"/>
          <w:spacing w:val="-4"/>
          <w:sz w:val="18"/>
          <w:szCs w:val="18"/>
        </w:rPr>
        <w:t>份。截止到报告期末，三家法人股东已履行完毕上述承诺。（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关于避免同业竞争的承诺</w:t>
      </w:r>
      <w:r>
        <w:rPr>
          <w:rFonts w:ascii="宋体" w:hAnsi="宋体" w:cs="宋体" w:eastAsia="宋体" w:hint="default"/>
          <w:spacing w:val="1"/>
          <w:sz w:val="18"/>
          <w:szCs w:val="18"/>
        </w:rPr>
        <w:t> </w:t>
      </w:r>
      <w:r>
        <w:rPr>
          <w:rFonts w:ascii="宋体" w:hAnsi="宋体" w:cs="宋体" w:eastAsia="宋体" w:hint="default"/>
          <w:sz w:val="18"/>
          <w:szCs w:val="18"/>
        </w:rPr>
        <w:t>本公司控股股东和实际控制人李玉国</w:t>
      </w:r>
      <w:r>
        <w:rPr>
          <w:rFonts w:ascii="宋体" w:hAnsi="宋体" w:cs="宋体" w:eastAsia="宋体" w:hint="default"/>
          <w:sz w:val="18"/>
          <w:szCs w:val="18"/>
        </w:rPr>
        <w:t> </w:t>
      </w:r>
      <w:r>
        <w:rPr>
          <w:rFonts w:ascii="宋体" w:hAnsi="宋体" w:cs="宋体" w:eastAsia="宋体" w:hint="default"/>
          <w:spacing w:val="-4"/>
          <w:w w:val="100"/>
          <w:sz w:val="18"/>
          <w:szCs w:val="18"/>
        </w:rPr>
        <w:t>出具了《关于避免同业竞争的承诺函》，承诺</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本人在作为先河环</w:t>
      </w:r>
      <w:r>
        <w:rPr>
          <w:rFonts w:ascii="宋体" w:hAnsi="宋体" w:cs="宋体" w:eastAsia="宋体" w:hint="default"/>
          <w:spacing w:val="-66"/>
          <w:w w:val="100"/>
          <w:sz w:val="18"/>
          <w:szCs w:val="18"/>
        </w:rPr>
        <w:t> </w:t>
      </w:r>
      <w:r>
        <w:rPr>
          <w:rFonts w:ascii="宋体" w:hAnsi="宋体" w:cs="宋体" w:eastAsia="宋体" w:hint="default"/>
          <w:spacing w:val="-66"/>
          <w:w w:val="100"/>
          <w:sz w:val="18"/>
          <w:szCs w:val="18"/>
        </w:rPr>
      </w:r>
      <w:r>
        <w:rPr>
          <w:rFonts w:ascii="宋体" w:hAnsi="宋体" w:cs="宋体" w:eastAsia="宋体" w:hint="default"/>
          <w:sz w:val="18"/>
          <w:szCs w:val="18"/>
        </w:rPr>
        <w:t>保的控股股东或实际控制人期间，不会以任何形式从事对先河环 保的生产经营构成或可能构成同业竞争的业务和经营活动，也不 会以任何方式为与先河环保竞争的企业、机构或其他经济组织提 </w:t>
      </w:r>
      <w:r>
        <w:rPr>
          <w:rFonts w:ascii="宋体" w:hAnsi="宋体" w:cs="宋体" w:eastAsia="宋体" w:hint="default"/>
          <w:spacing w:val="-4"/>
          <w:w w:val="100"/>
          <w:sz w:val="18"/>
          <w:szCs w:val="18"/>
        </w:rPr>
        <w:t>供任何资金、业务、技术和管理等方面的帮助</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。（三）关于规范</w:t>
      </w:r>
      <w:r>
        <w:rPr>
          <w:rFonts w:ascii="宋体" w:hAnsi="宋体" w:cs="宋体" w:eastAsia="宋体" w:hint="default"/>
          <w:spacing w:val="-66"/>
          <w:w w:val="100"/>
          <w:sz w:val="18"/>
          <w:szCs w:val="18"/>
        </w:rPr>
        <w:t> </w:t>
      </w:r>
      <w:r>
        <w:rPr>
          <w:rFonts w:ascii="宋体" w:hAnsi="宋体" w:cs="宋体" w:eastAsia="宋体" w:hint="default"/>
          <w:spacing w:val="-66"/>
          <w:w w:val="100"/>
          <w:sz w:val="18"/>
          <w:szCs w:val="18"/>
        </w:rPr>
      </w:r>
      <w:r>
        <w:rPr>
          <w:rFonts w:ascii="宋体" w:hAnsi="宋体" w:cs="宋体" w:eastAsia="宋体" w:hint="default"/>
          <w:sz w:val="18"/>
          <w:szCs w:val="18"/>
        </w:rPr>
        <w:t>执行关联交易的承诺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、本公司主要股东及董事、监事、高级管 理人员关于规范执行关联交易的承诺：持有公司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 股东以及董事、监事、高级管理人员出具了《关于规范执行关联 </w:t>
      </w:r>
      <w:r>
        <w:rPr>
          <w:rFonts w:ascii="宋体" w:hAnsi="宋体" w:cs="宋体" w:eastAsia="宋体" w:hint="default"/>
          <w:spacing w:val="-4"/>
          <w:w w:val="100"/>
          <w:sz w:val="18"/>
          <w:szCs w:val="18"/>
        </w:rPr>
        <w:t>交易的承诺》，承诺</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本人以及本人控股或实际控制的公司或者其</w:t>
      </w:r>
      <w:r>
        <w:rPr>
          <w:rFonts w:ascii="宋体" w:hAnsi="宋体" w:cs="宋体" w:eastAsia="宋体" w:hint="default"/>
          <w:spacing w:val="-66"/>
          <w:w w:val="100"/>
          <w:sz w:val="18"/>
          <w:szCs w:val="18"/>
        </w:rPr>
        <w:t> </w:t>
      </w:r>
      <w:r>
        <w:rPr>
          <w:rFonts w:ascii="宋体" w:hAnsi="宋体" w:cs="宋体" w:eastAsia="宋体" w:hint="default"/>
          <w:spacing w:val="-66"/>
          <w:w w:val="100"/>
          <w:sz w:val="18"/>
          <w:szCs w:val="18"/>
        </w:rPr>
      </w:r>
      <w:r>
        <w:rPr>
          <w:rFonts w:ascii="宋体" w:hAnsi="宋体" w:cs="宋体" w:eastAsia="宋体" w:hint="default"/>
          <w:spacing w:val="-6"/>
          <w:w w:val="100"/>
          <w:sz w:val="18"/>
          <w:szCs w:val="18"/>
        </w:rPr>
        <w:t>他企业或经济组织（以下统称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本人控制的企业</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），今后原则上不</w:t>
      </w:r>
      <w:r>
        <w:rPr>
          <w:rFonts w:ascii="宋体" w:hAnsi="宋体" w:cs="宋体" w:eastAsia="宋体" w:hint="default"/>
          <w:spacing w:val="-67"/>
          <w:w w:val="100"/>
          <w:sz w:val="18"/>
          <w:szCs w:val="18"/>
        </w:rPr>
        <w:t> </w:t>
      </w:r>
      <w:r>
        <w:rPr>
          <w:rFonts w:ascii="宋体" w:hAnsi="宋体" w:cs="宋体" w:eastAsia="宋体" w:hint="default"/>
          <w:spacing w:val="-67"/>
          <w:w w:val="100"/>
          <w:sz w:val="18"/>
          <w:szCs w:val="18"/>
        </w:rPr>
      </w:r>
      <w:r>
        <w:rPr>
          <w:rFonts w:ascii="宋体" w:hAnsi="宋体" w:cs="宋体" w:eastAsia="宋体" w:hint="default"/>
          <w:sz w:val="18"/>
          <w:szCs w:val="18"/>
        </w:rPr>
        <w:t>与先河环保发生关联交易。如果先河环保在今后的经营活动中必 须与本人或本人控制的企业发生不可避免的关联交易，本人将促 使此等交易严格按照国家有关法律法规、先河环保的章程和有关 规定履行有关程序，并按照正常的商业条件进行，且保证本人及 本人控制的企业将不会要求或接受先河环保给予比在任何一项市 场公平交易中第三者更优惠的条件。并且保证不利用股东地位， 就先河环保与本人或本人控制的企业相关的任何关联交易采取任 何行动，故意促使先河环保的股东大会或董事会做出侵犯其他股 东合法权益的决议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四）关于控制权稳定性的承诺</w:t>
      </w:r>
      <w:r>
        <w:rPr>
          <w:rFonts w:ascii="宋体" w:hAnsi="宋体" w:cs="宋体" w:eastAsia="宋体" w:hint="default"/>
          <w:spacing w:val="-41"/>
          <w:sz w:val="18"/>
          <w:szCs w:val="18"/>
        </w:rPr>
        <w:t> </w:t>
      </w:r>
      <w:r>
        <w:rPr>
          <w:rFonts w:ascii="宋体" w:hAnsi="宋体" w:cs="宋体" w:eastAsia="宋体" w:hint="default"/>
          <w:sz w:val="18"/>
          <w:szCs w:val="18"/>
        </w:rPr>
        <w:t>发行人的法</w:t>
      </w:r>
      <w:r>
        <w:rPr>
          <w:rFonts w:ascii="宋体" w:hAnsi="宋体" w:cs="宋体" w:eastAsia="宋体" w:hint="default"/>
          <w:sz w:val="18"/>
          <w:szCs w:val="18"/>
        </w:rPr>
        <w:t> 人股东北京科桥、红塔创投、兴烨创投、正同创投和持有发行人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以上股份的自然人股东肖水龙均出具下述承诺：本公司（本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将不以任何方式谋求成为先河环保的控股股东或实际控制人，不 以控制为目的增持先河环保的股份，不与先河环保的其他股东签 署与控制权有关的任何协议（包括但不限于一致行动协议、限制 </w:t>
      </w:r>
      <w:r>
        <w:rPr>
          <w:rFonts w:ascii="宋体" w:hAnsi="宋体" w:cs="宋体" w:eastAsia="宋体" w:hint="default"/>
          <w:spacing w:val="-7"/>
          <w:sz w:val="18"/>
          <w:szCs w:val="18"/>
        </w:rPr>
        <w:t>实际控制人行使权利协议），不参与任何可能影响李玉国作为先河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环保实际控制人地位的活动。（五）关于整体变更所得税的承诺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pacing w:val="-3"/>
          <w:sz w:val="18"/>
          <w:szCs w:val="18"/>
        </w:rPr>
        <w:t>日，先河有限整体变更时的全部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名自然人股东 分别出具书面承诺：本人将按照主管税务机关要求全额补缴先河</w:t>
      </w:r>
    </w:p>
    <w:p>
      <w:pPr>
        <w:spacing w:after="0" w:line="312" w:lineRule="auto"/>
        <w:jc w:val="left"/>
        <w:rPr>
          <w:rFonts w:ascii="宋体" w:hAnsi="宋体" w:cs="宋体" w:eastAsia="宋体" w:hint="default"/>
          <w:sz w:val="18"/>
          <w:szCs w:val="18"/>
        </w:rPr>
        <w:sectPr>
          <w:type w:val="continuous"/>
          <w:pgSz w:w="11910" w:h="16840"/>
          <w:pgMar w:top="1060" w:bottom="1160" w:left="980" w:right="980"/>
          <w:cols w:num="2" w:equalWidth="0">
            <w:col w:w="2784" w:space="40"/>
            <w:col w:w="7126"/>
          </w:cols>
        </w:sectPr>
      </w:pPr>
    </w:p>
    <w:p>
      <w:pPr>
        <w:spacing w:line="240" w:lineRule="auto" w:before="6"/>
        <w:rPr>
          <w:rFonts w:ascii="宋体" w:hAnsi="宋体" w:cs="宋体" w:eastAsia="宋体" w:hint="default"/>
          <w:sz w:val="28"/>
          <w:szCs w:val="28"/>
        </w:rPr>
      </w:pPr>
      <w:r>
        <w:rPr/>
        <w:pict>
          <v:shape style="position:absolute;margin-left:231.647003pt;margin-top:72.47998pt;width:250.15pt;height:376.55pt;mso-position-horizontal-relative:page;mso-position-vertical-relative:page;z-index:-6667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4"/>
                      <w:szCs w:val="24"/>
                    </w:rPr>
                  </w:pPr>
                </w:p>
                <w:p>
                  <w:pPr>
                    <w:spacing w:line="636" w:lineRule="auto" w:before="0"/>
                    <w:ind w:left="0" w:right="498" w:firstLine="3962"/>
                    <w:jc w:val="left"/>
                    <w:rPr>
                      <w:rFonts w:ascii="宋体" w:hAnsi="宋体" w:cs="宋体" w:eastAsia="宋体" w:hint="default"/>
                      <w:sz w:val="18"/>
                      <w:szCs w:val="18"/>
                    </w:rPr>
                  </w:pPr>
                  <w:r>
                    <w:rPr>
                      <w:rFonts w:ascii="宋体" w:hAnsi="宋体" w:cs="宋体" w:eastAsia="宋体" w:hint="default"/>
                      <w:sz w:val="18"/>
                      <w:szCs w:val="18"/>
                    </w:rPr>
                    <w:t>承诺， 则该等自然人按其对天泽科技的出资比例承担该等责任，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spacing w:before="0"/>
                    <w:ind w:left="180" w:right="0" w:firstLine="3955"/>
                    <w:jc w:val="left"/>
                    <w:rPr>
                      <w:rFonts w:ascii="宋体" w:hAnsi="宋体" w:cs="宋体" w:eastAsia="宋体" w:hint="default"/>
                      <w:sz w:val="18"/>
                      <w:szCs w:val="18"/>
                    </w:rPr>
                  </w:pPr>
                  <w:r>
                    <w:rPr>
                      <w:rFonts w:ascii="宋体" w:hAnsi="宋体" w:cs="宋体" w:eastAsia="宋体" w:hint="default"/>
                      <w:sz w:val="18"/>
                      <w:szCs w:val="18"/>
                    </w:rPr>
                    <w:t>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spacing w:before="0"/>
                    <w:ind w:left="180" w:right="0" w:firstLine="0"/>
                    <w:jc w:val="left"/>
                    <w:rPr>
                      <w:rFonts w:ascii="宋体" w:hAnsi="宋体" w:cs="宋体" w:eastAsia="宋体" w:hint="default"/>
                      <w:sz w:val="18"/>
                      <w:szCs w:val="18"/>
                    </w:rPr>
                  </w:pPr>
                  <w:r>
                    <w:rPr>
                      <w:rFonts w:ascii="宋体" w:hAnsi="宋体" w:cs="宋体" w:eastAsia="宋体" w:hint="default"/>
                      <w:sz w:val="18"/>
                      <w:szCs w:val="18"/>
                    </w:rPr>
                    <w:t>李玉国本人将代发行人承担该等需补缴的社会保险费、</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702"/>
        <w:gridCol w:w="1133"/>
        <w:gridCol w:w="5106"/>
        <w:gridCol w:w="566"/>
        <w:gridCol w:w="566"/>
        <w:gridCol w:w="497"/>
      </w:tblGrid>
      <w:tr>
        <w:trPr>
          <w:trHeight w:val="7540"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22"/>
              <w:jc w:val="left"/>
              <w:rPr>
                <w:rFonts w:ascii="宋体" w:hAnsi="宋体" w:cs="宋体" w:eastAsia="宋体" w:hint="default"/>
                <w:sz w:val="18"/>
                <w:szCs w:val="18"/>
              </w:rPr>
            </w:pPr>
            <w:r>
              <w:rPr>
                <w:rFonts w:ascii="宋体" w:hAnsi="宋体" w:cs="宋体" w:eastAsia="宋体" w:hint="default"/>
                <w:sz w:val="18"/>
                <w:szCs w:val="18"/>
              </w:rPr>
              <w:t>有限整体变更涉及的个人所得税，如先河环保因先河有限未代扣 代缴前述个人所得税而被主管税务机关要求补缴税款、加收滞纳 金或被处以罚款等，致使先河环保受到损失，本人将全额补偿先 </w:t>
            </w:r>
            <w:r>
              <w:rPr>
                <w:rFonts w:ascii="宋体" w:hAnsi="宋体" w:cs="宋体" w:eastAsia="宋体" w:hint="default"/>
                <w:spacing w:val="-4"/>
                <w:sz w:val="18"/>
                <w:szCs w:val="18"/>
              </w:rPr>
              <w:t>河环保因此而受到的损失。（六）关于天泽科技的承诺</w:t>
            </w:r>
            <w:r>
              <w:rPr>
                <w:rFonts w:ascii="宋体" w:hAnsi="宋体" w:cs="宋体" w:eastAsia="宋体" w:hint="default"/>
                <w:spacing w:val="5"/>
                <w:sz w:val="18"/>
                <w:szCs w:val="18"/>
              </w:rPr>
              <w:t> </w:t>
            </w:r>
            <w:r>
              <w:rPr>
                <w:rFonts w:ascii="宋体" w:hAnsi="宋体" w:cs="宋体" w:eastAsia="宋体" w:hint="default"/>
                <w:sz w:val="18"/>
                <w:szCs w:val="18"/>
              </w:rPr>
              <w:t>天泽科技</w:t>
            </w:r>
            <w:r>
              <w:rPr>
                <w:rFonts w:ascii="宋体" w:hAnsi="宋体" w:cs="宋体" w:eastAsia="宋体" w:hint="default"/>
                <w:sz w:val="18"/>
                <w:szCs w:val="18"/>
              </w:rPr>
              <w:t> </w:t>
            </w:r>
            <w:r>
              <w:rPr>
                <w:rFonts w:ascii="宋体" w:hAnsi="宋体" w:cs="宋体" w:eastAsia="宋体" w:hint="default"/>
                <w:spacing w:val="-4"/>
                <w:sz w:val="18"/>
                <w:szCs w:val="18"/>
              </w:rPr>
              <w:t>的原股东李玉国、范朝、陈荣强、张香计、吴艳茹均已出具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如发行人因天泽科技存续期间存在任何违法违规行为而被要求承 担责任， </w:t>
            </w:r>
            <w:r>
              <w:rPr>
                <w:rFonts w:ascii="宋体" w:hAnsi="宋体" w:cs="宋体" w:eastAsia="宋体" w:hint="default"/>
                <w:spacing w:val="-6"/>
                <w:sz w:val="18"/>
                <w:szCs w:val="18"/>
              </w:rPr>
              <w:t>保证发行人不因此而受到损失。（七）本公司控股股东、实际控制</w:t>
            </w:r>
            <w:r>
              <w:rPr>
                <w:rFonts w:ascii="宋体" w:hAnsi="宋体" w:cs="宋体" w:eastAsia="宋体" w:hint="default"/>
                <w:sz w:val="18"/>
                <w:szCs w:val="18"/>
              </w:rPr>
              <w:t> 人李玉国先生作出的其它重要承诺</w:t>
            </w:r>
            <w:r>
              <w:rPr>
                <w:rFonts w:ascii="宋体" w:hAnsi="宋体" w:cs="宋体" w:eastAsia="宋体" w:hint="default"/>
                <w:spacing w:val="-42"/>
                <w:sz w:val="18"/>
                <w:szCs w:val="18"/>
              </w:rPr>
              <w:t> </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）关于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2003 </w:t>
            </w:r>
            <w:r>
              <w:rPr>
                <w:rFonts w:ascii="宋体" w:hAnsi="宋体" w:cs="宋体" w:eastAsia="宋体" w:hint="default"/>
                <w:sz w:val="18"/>
                <w:szCs w:val="18"/>
              </w:rPr>
              <w:t>年研究中心以 低于评估价转让其所持先河有限国有股权的承诺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日，李玉国先生出具《关于河北省环境计量技术研究中心转让河 </w:t>
            </w:r>
            <w:r>
              <w:rPr>
                <w:rFonts w:ascii="宋体" w:hAnsi="宋体" w:cs="宋体" w:eastAsia="宋体" w:hint="default"/>
                <w:spacing w:val="-4"/>
                <w:sz w:val="18"/>
                <w:szCs w:val="18"/>
              </w:rPr>
              <w:t>北先河科技发展有限公司出资的情况说明和承诺》，作出如下承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诺：如果国有资产监督管理机构按照法律法规的规定要求受让人 </w:t>
            </w:r>
            <w:r>
              <w:rPr>
                <w:rFonts w:ascii="宋体" w:hAnsi="宋体" w:cs="宋体" w:eastAsia="宋体" w:hint="default"/>
                <w:spacing w:val="-4"/>
                <w:sz w:val="18"/>
                <w:szCs w:val="18"/>
              </w:rPr>
              <w:t>补交低于评估值的款项，其本人将予以全额补交。（</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）关于先河</w:t>
            </w:r>
            <w:r>
              <w:rPr>
                <w:rFonts w:ascii="宋体" w:hAnsi="宋体" w:cs="宋体" w:eastAsia="宋体" w:hint="default"/>
                <w:spacing w:val="-65"/>
                <w:sz w:val="18"/>
                <w:szCs w:val="18"/>
              </w:rPr>
              <w:t> </w:t>
            </w:r>
            <w:r>
              <w:rPr>
                <w:rFonts w:ascii="宋体" w:hAnsi="宋体" w:cs="宋体" w:eastAsia="宋体" w:hint="default"/>
                <w:sz w:val="18"/>
                <w:szCs w:val="18"/>
              </w:rPr>
              <w:t>工会代持事宜的承诺 李玉国先生于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日作出承 如因先河工会受托代持事宜引发任何纠纷或风险隐患，其本人将 依法予以解决，如先河工会因此而需承担相应的责任，其将代先 </w:t>
            </w:r>
            <w:r>
              <w:rPr>
                <w:rFonts w:ascii="宋体" w:hAnsi="宋体" w:cs="宋体" w:eastAsia="宋体" w:hint="default"/>
                <w:spacing w:val="-4"/>
                <w:sz w:val="18"/>
                <w:szCs w:val="18"/>
              </w:rPr>
              <w:t>河工会承担且不向先河工会进行任何追偿。（</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）关于社会保险和</w:t>
            </w:r>
            <w:r>
              <w:rPr>
                <w:rFonts w:ascii="宋体" w:hAnsi="宋体" w:cs="宋体" w:eastAsia="宋体" w:hint="default"/>
                <w:spacing w:val="-65"/>
                <w:sz w:val="18"/>
                <w:szCs w:val="18"/>
              </w:rPr>
              <w:t> </w:t>
            </w:r>
            <w:r>
              <w:rPr>
                <w:rFonts w:ascii="宋体" w:hAnsi="宋体" w:cs="宋体" w:eastAsia="宋体" w:hint="default"/>
                <w:sz w:val="18"/>
                <w:szCs w:val="18"/>
              </w:rPr>
              <w:t>住房公积金的承诺</w:t>
            </w:r>
            <w:r>
              <w:rPr>
                <w:rFonts w:ascii="宋体" w:hAnsi="宋体" w:cs="宋体" w:eastAsia="宋体" w:hint="default"/>
                <w:spacing w:val="14"/>
                <w:sz w:val="18"/>
                <w:szCs w:val="18"/>
              </w:rPr>
              <w:t> </w:t>
            </w:r>
            <w:r>
              <w:rPr>
                <w:rFonts w:ascii="宋体" w:hAnsi="宋体" w:cs="宋体" w:eastAsia="宋体" w:hint="default"/>
                <w:spacing w:val="-5"/>
                <w:sz w:val="18"/>
                <w:szCs w:val="18"/>
              </w:rPr>
              <w:t>李玉国先生承诺：如发行人被社会保障部门或</w:t>
            </w:r>
            <w:r>
              <w:rPr>
                <w:rFonts w:ascii="宋体" w:hAnsi="宋体" w:cs="宋体" w:eastAsia="宋体" w:hint="default"/>
                <w:sz w:val="18"/>
                <w:szCs w:val="18"/>
              </w:rPr>
              <w:t> 其他有权机构要求补缴以前年度有关的社保险费，或发行人因未 足额缴纳以前年度的有关的社会保险费而需缴纳滞纳金、被处以 行政处罚， 滞纳金和需缴纳的罚款，且不向发行人追偿，保证发行人不因此 而受到损失。</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7530" w:lineRule="exact"/>
              <w:ind w:right="-51"/>
              <w:jc w:val="left"/>
              <w:rPr>
                <w:rFonts w:ascii="宋体" w:hAnsi="宋体" w:cs="宋体" w:eastAsia="宋体" w:hint="default"/>
                <w:sz w:val="20"/>
                <w:szCs w:val="20"/>
              </w:rPr>
            </w:pPr>
            <w:r>
              <w:rPr>
                <w:rFonts w:ascii="宋体" w:hAnsi="宋体" w:cs="宋体" w:eastAsia="宋体" w:hint="default"/>
                <w:position w:val="-150"/>
                <w:sz w:val="20"/>
                <w:szCs w:val="20"/>
              </w:rPr>
              <w:pict>
                <v:group style="width:27.85pt;height:376.55pt;mso-position-horizontal-relative:char;mso-position-vertical-relative:line" coordorigin="0,0" coordsize="557,7531">
                  <v:group style="position:absolute;left:0;top:0;width:557;height:7531" coordorigin="0,0" coordsize="557,7531">
                    <v:shape style="position:absolute;left:0;top:0;width:557;height:7531" coordorigin="0,0" coordsize="557,7531" path="m0,7530l557,7530,557,0,0,0,0,7530xe" filled="true" fillcolor="#ffffff" stroked="false">
                      <v:path arrowok="t"/>
                      <v:fill type="solid"/>
                    </v:shape>
                  </v:group>
                </v:group>
              </w:pict>
            </w:r>
            <w:r>
              <w:rPr>
                <w:rFonts w:ascii="宋体" w:hAnsi="宋体" w:cs="宋体" w:eastAsia="宋体" w:hint="default"/>
                <w:position w:val="-150"/>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133" w:type="dxa"/>
            <w:tcBorders>
              <w:top w:val="single" w:sz="4" w:space="0" w:color="000000"/>
              <w:left w:val="single" w:sz="4" w:space="0" w:color="000000"/>
              <w:bottom w:val="single" w:sz="4" w:space="0" w:color="000000"/>
              <w:right w:val="single" w:sz="4" w:space="0" w:color="000000"/>
            </w:tcBorders>
          </w:tcPr>
          <w:p>
            <w:pPr/>
          </w:p>
        </w:tc>
        <w:tc>
          <w:tcPr>
            <w:tcW w:w="51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8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未完成履行的具体原 因及下一步计划</w:t>
            </w:r>
          </w:p>
        </w:tc>
        <w:tc>
          <w:tcPr>
            <w:tcW w:w="78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是否就导致的同业竞 争和关联交易问题作 出承诺</w:t>
            </w:r>
          </w:p>
        </w:tc>
        <w:tc>
          <w:tcPr>
            <w:tcW w:w="78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8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按承诺期限履行</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869"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2"/>
              <w:jc w:val="left"/>
              <w:rPr>
                <w:rFonts w:ascii="宋体" w:hAnsi="宋体" w:cs="宋体" w:eastAsia="宋体" w:hint="default"/>
                <w:sz w:val="18"/>
                <w:szCs w:val="18"/>
              </w:rPr>
            </w:pPr>
            <w:r>
              <w:rPr>
                <w:rFonts w:ascii="宋体" w:hAnsi="宋体" w:cs="宋体" w:eastAsia="宋体" w:hint="default"/>
                <w:sz w:val="18"/>
                <w:szCs w:val="18"/>
              </w:rPr>
              <w:t>若违反所作出的承诺，将承担相应的法律责任，包括但不限于由此给先河环保及其他中小股东造成 的全部损失。</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8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报告期内，承诺人均遵守承诺，公司未发现违反上述承诺的情况。</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五、聘任、解聘会计师事务所情况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中磊会计师事务所有限责任公司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邱淦泳、张彦巧</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136"/>
        <w:jc w:val="left"/>
        <w:rPr>
          <w:b w:val="0"/>
          <w:bCs w:val="0"/>
        </w:rPr>
      </w:pPr>
      <w:r>
        <w:rPr/>
        <w:t>六、上市公司及其董事、监事、高级管理人员、公司股东、实际控制人和收购人处罚及整改</w:t>
      </w:r>
      <w:r>
        <w:rPr>
          <w:w w:val="99"/>
        </w:rPr>
        <w:t> </w:t>
      </w:r>
      <w:r>
        <w:rPr/>
        <w:t>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4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上市公司及其子公司是否被列入环保部门公布的污染严重企业名单</w:t>
      </w:r>
    </w:p>
    <w:p>
      <w:pPr>
        <w:spacing w:line="340" w:lineRule="auto" w:before="40"/>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上市公司及其子公司是否存在其他重大社会安全问题</w:t>
      </w:r>
    </w:p>
    <w:p>
      <w:pPr>
        <w:spacing w:line="338" w:lineRule="auto" w:before="41"/>
        <w:ind w:left="15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报告期内是否被行政处罚</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八、其他重大事项的说明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265" w:type="dxa"/>
        <w:tblLayout w:type="fixed"/>
        <w:tblCellMar>
          <w:top w:w="0" w:type="dxa"/>
          <w:left w:w="0" w:type="dxa"/>
          <w:bottom w:w="0" w:type="dxa"/>
          <w:right w:w="0" w:type="dxa"/>
        </w:tblCellMar>
        <w:tblLook w:val="01E0"/>
      </w:tblPr>
      <w:tblGrid>
        <w:gridCol w:w="773"/>
        <w:gridCol w:w="1366"/>
        <w:gridCol w:w="4081"/>
        <w:gridCol w:w="1664"/>
        <w:gridCol w:w="1517"/>
      </w:tblGrid>
      <w:tr>
        <w:trPr>
          <w:trHeight w:val="348"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披露内容</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346"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2012.01.07</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4" w:right="0"/>
              <w:jc w:val="left"/>
              <w:rPr>
                <w:rFonts w:ascii="宋体" w:hAnsi="宋体" w:cs="宋体" w:eastAsia="宋体" w:hint="default"/>
                <w:sz w:val="18"/>
                <w:szCs w:val="18"/>
              </w:rPr>
            </w:pPr>
            <w:r>
              <w:rPr>
                <w:rFonts w:ascii="宋体" w:hAnsi="宋体" w:cs="宋体" w:eastAsia="宋体" w:hint="default"/>
                <w:sz w:val="18"/>
                <w:szCs w:val="18"/>
              </w:rPr>
              <w:t>关于获得政府补助的公告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2012--01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2012.01.09</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关于收到软件产品增值税退税的公告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2012--02</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2012.01.13</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关于公司获得高新技术企业复审证书的公告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2012--03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2012.01.19</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年度业绩预告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2012--04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val="restart"/>
            <w:tcBorders>
              <w:top w:val="single" w:sz="6" w:space="0" w:color="000000"/>
              <w:left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60"/>
              <w:ind w:left="271" w:right="0"/>
              <w:jc w:val="left"/>
              <w:rPr>
                <w:rFonts w:ascii="Times New Roman" w:hAnsi="Times New Roman" w:cs="Times New Roman" w:eastAsia="Times New Roman" w:hint="default"/>
                <w:sz w:val="18"/>
                <w:szCs w:val="18"/>
              </w:rPr>
            </w:pPr>
            <w:r>
              <w:rPr>
                <w:rFonts w:ascii="Times New Roman"/>
                <w:sz w:val="18"/>
              </w:rPr>
              <w:t>2012.02.21</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第一届董事会第十八次会议决议公告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2012--05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02"/>
              <w:jc w:val="left"/>
              <w:rPr>
                <w:rFonts w:ascii="宋体" w:hAnsi="宋体" w:cs="宋体" w:eastAsia="宋体" w:hint="default"/>
                <w:sz w:val="18"/>
                <w:szCs w:val="18"/>
              </w:rPr>
            </w:pPr>
            <w:r>
              <w:rPr>
                <w:rFonts w:ascii="宋体" w:hAnsi="宋体" w:cs="宋体" w:eastAsia="宋体" w:hint="default"/>
                <w:sz w:val="18"/>
                <w:szCs w:val="18"/>
              </w:rPr>
              <w:t>关于公司募集资金投资项目预计达到可使用状态时 间调整公告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2012--06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第一届监事会第十次会议决议公告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2012--07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澄清公告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2012--08</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内幕信息知情人登记管理制度</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60"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02"/>
              <w:jc w:val="left"/>
              <w:rPr>
                <w:rFonts w:ascii="宋体" w:hAnsi="宋体" w:cs="宋体" w:eastAsia="宋体" w:hint="default"/>
                <w:sz w:val="18"/>
                <w:szCs w:val="18"/>
              </w:rPr>
            </w:pPr>
            <w:r>
              <w:rPr>
                <w:rFonts w:ascii="宋体" w:hAnsi="宋体" w:cs="宋体" w:eastAsia="宋体" w:hint="default"/>
                <w:sz w:val="18"/>
                <w:szCs w:val="18"/>
              </w:rPr>
              <w:t>兴业证券股份有限公司关于公司募集资金投资项目 预计达到可使用状态时间调整的保荐意见</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02"/>
              <w:jc w:val="left"/>
              <w:rPr>
                <w:rFonts w:ascii="宋体" w:hAnsi="宋体" w:cs="宋体" w:eastAsia="宋体" w:hint="default"/>
                <w:sz w:val="18"/>
                <w:szCs w:val="18"/>
              </w:rPr>
            </w:pPr>
            <w:r>
              <w:rPr>
                <w:rFonts w:ascii="宋体" w:hAnsi="宋体" w:cs="宋体" w:eastAsia="宋体" w:hint="default"/>
                <w:sz w:val="18"/>
                <w:szCs w:val="18"/>
              </w:rPr>
              <w:t>独立董事关于公司募集资金投资项目预计达到可使 用状态时间调整的独立意见</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60" w:hRule="exact"/>
        </w:trPr>
        <w:tc>
          <w:tcPr>
            <w:tcW w:w="773"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02"/>
              <w:jc w:val="left"/>
              <w:rPr>
                <w:rFonts w:ascii="宋体" w:hAnsi="宋体" w:cs="宋体" w:eastAsia="宋体" w:hint="default"/>
                <w:sz w:val="18"/>
                <w:szCs w:val="18"/>
              </w:rPr>
            </w:pPr>
            <w:r>
              <w:rPr>
                <w:rFonts w:ascii="宋体" w:hAnsi="宋体" w:cs="宋体" w:eastAsia="宋体" w:hint="default"/>
                <w:sz w:val="18"/>
                <w:szCs w:val="18"/>
              </w:rPr>
              <w:t>关于公司调整募投项目达到预定可使用状态时间的 澄清公告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2012--09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2012.02.29</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年度业绩快报</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2012--10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r>
        <w:rPr/>
        <w:pict>
          <v:shape style="position:absolute;margin-left:62.279999pt;margin-top:71.999985pt;width:471.1pt;height:696.5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73"/>
                    <w:gridCol w:w="1366"/>
                    <w:gridCol w:w="4081"/>
                    <w:gridCol w:w="1664"/>
                    <w:gridCol w:w="1517"/>
                  </w:tblGrid>
                  <w:tr>
                    <w:trPr>
                      <w:trHeight w:val="348"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3" w:right="0"/>
                          <w:jc w:val="left"/>
                          <w:rPr>
                            <w:rFonts w:ascii="Times New Roman" w:hAnsi="Times New Roman" w:cs="Times New Roman" w:eastAsia="Times New Roman" w:hint="default"/>
                            <w:sz w:val="18"/>
                            <w:szCs w:val="18"/>
                          </w:rPr>
                        </w:pPr>
                        <w:r>
                          <w:rPr>
                            <w:rFonts w:ascii="Times New Roman"/>
                            <w:sz w:val="18"/>
                          </w:rPr>
                          <w:t>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6"/>
                          <w:jc w:val="right"/>
                          <w:rPr>
                            <w:rFonts w:ascii="Times New Roman" w:hAnsi="Times New Roman" w:cs="Times New Roman" w:eastAsia="Times New Roman" w:hint="default"/>
                            <w:sz w:val="18"/>
                            <w:szCs w:val="18"/>
                          </w:rPr>
                        </w:pPr>
                        <w:r>
                          <w:rPr>
                            <w:rFonts w:ascii="Times New Roman"/>
                            <w:w w:val="95"/>
                            <w:sz w:val="18"/>
                          </w:rPr>
                          <w:t>2012.03.02</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关于取得计算机软件著作权登记证书的公告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2012--11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3" w:right="0"/>
                          <w:jc w:val="left"/>
                          <w:rPr>
                            <w:rFonts w:ascii="Times New Roman" w:hAnsi="Times New Roman" w:cs="Times New Roman" w:eastAsia="Times New Roman" w:hint="default"/>
                            <w:sz w:val="18"/>
                            <w:szCs w:val="18"/>
                          </w:rPr>
                        </w:pPr>
                        <w:r>
                          <w:rPr>
                            <w:rFonts w:ascii="Times New Roman"/>
                            <w:sz w:val="18"/>
                          </w:rPr>
                          <w:t>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6"/>
                          <w:jc w:val="right"/>
                          <w:rPr>
                            <w:rFonts w:ascii="Times New Roman" w:hAnsi="Times New Roman" w:cs="Times New Roman" w:eastAsia="Times New Roman" w:hint="default"/>
                            <w:sz w:val="18"/>
                            <w:szCs w:val="18"/>
                          </w:rPr>
                        </w:pPr>
                        <w:r>
                          <w:rPr>
                            <w:rFonts w:ascii="Times New Roman"/>
                            <w:w w:val="95"/>
                            <w:sz w:val="18"/>
                          </w:rPr>
                          <w:t>2012.03.07</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关于收到项目经费批复文件公告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2012--12</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33" w:right="0"/>
                          <w:jc w:val="left"/>
                          <w:rPr>
                            <w:rFonts w:ascii="Times New Roman" w:hAnsi="Times New Roman" w:cs="Times New Roman" w:eastAsia="Times New Roman" w:hint="default"/>
                            <w:sz w:val="18"/>
                            <w:szCs w:val="18"/>
                          </w:rPr>
                        </w:pPr>
                        <w:r>
                          <w:rPr>
                            <w:rFonts w:ascii="Times New Roman"/>
                            <w:sz w:val="18"/>
                          </w:rPr>
                          <w:t>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66"/>
                          <w:jc w:val="right"/>
                          <w:rPr>
                            <w:rFonts w:ascii="Times New Roman" w:hAnsi="Times New Roman" w:cs="Times New Roman" w:eastAsia="Times New Roman" w:hint="default"/>
                            <w:sz w:val="18"/>
                            <w:szCs w:val="18"/>
                          </w:rPr>
                        </w:pPr>
                        <w:r>
                          <w:rPr>
                            <w:rFonts w:ascii="Times New Roman"/>
                            <w:w w:val="95"/>
                            <w:sz w:val="18"/>
                          </w:rPr>
                          <w:t>2012.03.17</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关于归还募集资金的公告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2012--13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88" w:right="0"/>
                          <w:jc w:val="left"/>
                          <w:rPr>
                            <w:rFonts w:ascii="Times New Roman" w:hAnsi="Times New Roman" w:cs="Times New Roman" w:eastAsia="Times New Roman" w:hint="default"/>
                            <w:sz w:val="18"/>
                            <w:szCs w:val="18"/>
                          </w:rPr>
                        </w:pPr>
                        <w:r>
                          <w:rPr>
                            <w:rFonts w:ascii="Times New Roman"/>
                            <w:sz w:val="18"/>
                          </w:rPr>
                          <w:t>10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6"/>
                          <w:jc w:val="right"/>
                          <w:rPr>
                            <w:rFonts w:ascii="Times New Roman" w:hAnsi="Times New Roman" w:cs="Times New Roman" w:eastAsia="Times New Roman" w:hint="default"/>
                            <w:sz w:val="18"/>
                            <w:szCs w:val="18"/>
                          </w:rPr>
                        </w:pPr>
                        <w:r>
                          <w:rPr>
                            <w:rFonts w:ascii="Times New Roman"/>
                            <w:w w:val="95"/>
                            <w:sz w:val="18"/>
                          </w:rPr>
                          <w:t>2012.03.24</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关于获得工信部工业企业品牌培育试点企业的公告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2012--14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val="restart"/>
                        <w:tcBorders>
                          <w:top w:val="single" w:sz="6" w:space="0" w:color="000000"/>
                          <w:left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11</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2012.04.05</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第一届董事会第十九次会议决议公告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2012--15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第一届监事会第十一次会议决议公告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2012--16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关于使用部分超募资金永久性补充流动资金的公告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2012--17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年第一季度业绩预告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2012--18</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02"/>
                          <w:jc w:val="left"/>
                          <w:rPr>
                            <w:rFonts w:ascii="宋体" w:hAnsi="宋体" w:cs="宋体" w:eastAsia="宋体" w:hint="default"/>
                            <w:sz w:val="18"/>
                            <w:szCs w:val="18"/>
                          </w:rPr>
                        </w:pPr>
                        <w:r>
                          <w:rPr>
                            <w:rFonts w:ascii="宋体" w:hAnsi="宋体" w:cs="宋体" w:eastAsia="宋体" w:hint="default"/>
                            <w:sz w:val="18"/>
                            <w:szCs w:val="18"/>
                          </w:rPr>
                          <w:t>兴业证券股份有限公司关于公司使用部分超募资金 永久性补充流动资金的保荐意见</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内部控制规范实施工作方案</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773"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 w:right="102"/>
                          <w:jc w:val="left"/>
                          <w:rPr>
                            <w:rFonts w:ascii="宋体" w:hAnsi="宋体" w:cs="宋体" w:eastAsia="宋体" w:hint="default"/>
                            <w:sz w:val="18"/>
                            <w:szCs w:val="18"/>
                          </w:rPr>
                        </w:pPr>
                        <w:r>
                          <w:rPr>
                            <w:rFonts w:ascii="宋体" w:hAnsi="宋体" w:cs="宋体" w:eastAsia="宋体" w:hint="default"/>
                            <w:sz w:val="18"/>
                            <w:szCs w:val="18"/>
                          </w:rPr>
                          <w:t>关于使用部分超募资金永久性补充流动资金的独立 意见</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8" w:right="0"/>
                          <w:jc w:val="left"/>
                          <w:rPr>
                            <w:rFonts w:ascii="Times New Roman" w:hAnsi="Times New Roman" w:cs="Times New Roman" w:eastAsia="Times New Roman" w:hint="default"/>
                            <w:sz w:val="18"/>
                            <w:szCs w:val="18"/>
                          </w:rPr>
                        </w:pPr>
                        <w:r>
                          <w:rPr>
                            <w:rFonts w:ascii="Times New Roman"/>
                            <w:sz w:val="18"/>
                          </w:rPr>
                          <w:t>12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66"/>
                          <w:jc w:val="right"/>
                          <w:rPr>
                            <w:rFonts w:ascii="Times New Roman" w:hAnsi="Times New Roman" w:cs="Times New Roman" w:eastAsia="Times New Roman" w:hint="default"/>
                            <w:sz w:val="18"/>
                            <w:szCs w:val="18"/>
                          </w:rPr>
                        </w:pPr>
                        <w:r>
                          <w:rPr>
                            <w:rFonts w:ascii="Times New Roman"/>
                            <w:w w:val="95"/>
                            <w:sz w:val="18"/>
                          </w:rPr>
                          <w:t>2012.04.12</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关于收到政府补助的公告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2012--19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val="restart"/>
                        <w:tcBorders>
                          <w:top w:val="single" w:sz="6" w:space="0" w:color="000000"/>
                          <w:left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13</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60"/>
                          <w:ind w:left="271" w:right="0"/>
                          <w:jc w:val="left"/>
                          <w:rPr>
                            <w:rFonts w:ascii="Times New Roman" w:hAnsi="Times New Roman" w:cs="Times New Roman" w:eastAsia="Times New Roman" w:hint="default"/>
                            <w:sz w:val="18"/>
                            <w:szCs w:val="18"/>
                          </w:rPr>
                        </w:pPr>
                        <w:r>
                          <w:rPr>
                            <w:rFonts w:ascii="Times New Roman"/>
                            <w:sz w:val="18"/>
                          </w:rPr>
                          <w:t>2012.04.24</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首次公开发行前已发行股份上市流通提示性公告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2012--20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773"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02"/>
                          <w:jc w:val="left"/>
                          <w:rPr>
                            <w:rFonts w:ascii="宋体" w:hAnsi="宋体" w:cs="宋体" w:eastAsia="宋体" w:hint="default"/>
                            <w:sz w:val="18"/>
                            <w:szCs w:val="18"/>
                          </w:rPr>
                        </w:pPr>
                        <w:r>
                          <w:rPr>
                            <w:rFonts w:ascii="宋体" w:hAnsi="宋体" w:cs="宋体" w:eastAsia="宋体" w:hint="default"/>
                            <w:sz w:val="18"/>
                            <w:szCs w:val="18"/>
                          </w:rPr>
                          <w:t>兴业证券股份有限公司关于公司首次公开发行前已 发行股份上市流通核查意见</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val="restart"/>
                        <w:tcBorders>
                          <w:top w:val="single" w:sz="6" w:space="0" w:color="000000"/>
                          <w:left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14</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2012.04.25</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年年度审计报告</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第一届董事会第二十次会议决议公告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2012--21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第一届监事会第十二次会议决议公告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2012--22</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282"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年年度报告摘要</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2012--23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29" w:firstLine="26"/>
                          <w:jc w:val="center"/>
                          <w:rPr>
                            <w:rFonts w:ascii="宋体" w:hAnsi="宋体" w:cs="宋体" w:eastAsia="宋体" w:hint="default"/>
                            <w:sz w:val="18"/>
                            <w:szCs w:val="18"/>
                          </w:rPr>
                        </w:pPr>
                        <w:r>
                          <w:rPr>
                            <w:rFonts w:ascii="宋体" w:hAnsi="宋体" w:cs="宋体" w:eastAsia="宋体" w:hint="default"/>
                            <w:sz w:val="18"/>
                            <w:szCs w:val="18"/>
                          </w:rPr>
                          <w:t>巨潮资讯网 中国证券报、上海 </w:t>
                        </w:r>
                        <w:r>
                          <w:rPr>
                            <w:rFonts w:ascii="宋体" w:hAnsi="宋体" w:cs="宋体" w:eastAsia="宋体" w:hint="default"/>
                            <w:spacing w:val="-5"/>
                            <w:sz w:val="18"/>
                            <w:szCs w:val="18"/>
                          </w:rPr>
                          <w:t>证券报、证券日报</w:t>
                        </w:r>
                        <w:r>
                          <w:rPr>
                            <w:rFonts w:ascii="宋体" w:hAnsi="宋体" w:cs="宋体" w:eastAsia="宋体" w:hint="default"/>
                            <w:sz w:val="18"/>
                            <w:szCs w:val="18"/>
                          </w:rPr>
                          <w:t> 证券时报</w:t>
                        </w:r>
                      </w:p>
                    </w:tc>
                  </w:tr>
                  <w:tr>
                    <w:trPr>
                      <w:trHeight w:val="34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年年度报告</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年度内部控制自我评价报告</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年度财务决算报告</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年度股东大会的通知</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2012--24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年度募集资金存放与使用情况的专项报告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2012--25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60"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02"/>
                          <w:jc w:val="left"/>
                          <w:rPr>
                            <w:rFonts w:ascii="宋体" w:hAnsi="宋体" w:cs="宋体" w:eastAsia="宋体" w:hint="default"/>
                            <w:sz w:val="18"/>
                            <w:szCs w:val="18"/>
                          </w:rPr>
                        </w:pPr>
                        <w:r>
                          <w:rPr>
                            <w:rFonts w:ascii="宋体" w:hAnsi="宋体" w:cs="宋体" w:eastAsia="宋体" w:hint="default"/>
                            <w:sz w:val="18"/>
                            <w:szCs w:val="18"/>
                          </w:rPr>
                          <w:t>兴业证券股份有限公司关于公司内部控制自我评价 报告的核查意见</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61"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102"/>
                          <w:jc w:val="left"/>
                          <w:rPr>
                            <w:rFonts w:ascii="宋体" w:hAnsi="宋体" w:cs="宋体" w:eastAsia="宋体" w:hint="default"/>
                            <w:sz w:val="18"/>
                            <w:szCs w:val="18"/>
                          </w:rPr>
                        </w:pPr>
                        <w:r>
                          <w:rPr>
                            <w:rFonts w:ascii="宋体" w:hAnsi="宋体" w:cs="宋体" w:eastAsia="宋体" w:hint="default"/>
                            <w:sz w:val="18"/>
                            <w:szCs w:val="18"/>
                          </w:rPr>
                          <w:t>兴业证券股份有限公司关于公司募集资金年度使用 情况的专项核查意见</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内部控制鉴证报告</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关于募集资金存放与实际使用情况鉴证报告</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101"/>
                          <w:jc w:val="left"/>
                          <w:rPr>
                            <w:rFonts w:ascii="宋体" w:hAnsi="宋体" w:cs="宋体" w:eastAsia="宋体" w:hint="default"/>
                            <w:sz w:val="18"/>
                            <w:szCs w:val="18"/>
                          </w:rPr>
                        </w:pP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年度控股股东及其他关联方资金占用 情况的专项说明</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独立董事制度</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独立董事提名人声明</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2012--26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独立董事候选人声明（闫成德）</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独立董事候选人声明（庞贵永）</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spacing w:before="44"/>
        <w:ind w:left="0" w:right="19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65" w:type="dxa"/>
        <w:tblLayout w:type="fixed"/>
        <w:tblCellMar>
          <w:top w:w="0" w:type="dxa"/>
          <w:left w:w="0" w:type="dxa"/>
          <w:bottom w:w="0" w:type="dxa"/>
          <w:right w:w="0" w:type="dxa"/>
        </w:tblCellMar>
        <w:tblLook w:val="01E0"/>
      </w:tblPr>
      <w:tblGrid>
        <w:gridCol w:w="773"/>
        <w:gridCol w:w="1366"/>
        <w:gridCol w:w="4081"/>
        <w:gridCol w:w="1664"/>
        <w:gridCol w:w="1517"/>
      </w:tblGrid>
      <w:tr>
        <w:trPr>
          <w:trHeight w:val="348" w:hRule="exact"/>
        </w:trPr>
        <w:tc>
          <w:tcPr>
            <w:tcW w:w="773" w:type="dxa"/>
            <w:vMerge w:val="restart"/>
            <w:tcBorders>
              <w:top w:val="single" w:sz="6" w:space="0" w:color="000000"/>
              <w:left w:val="single" w:sz="6" w:space="0" w:color="000000"/>
              <w:right w:val="single" w:sz="6" w:space="0" w:color="000000"/>
            </w:tcBorders>
          </w:tcPr>
          <w:p>
            <w:pPr/>
          </w:p>
        </w:tc>
        <w:tc>
          <w:tcPr>
            <w:tcW w:w="1366" w:type="dxa"/>
            <w:vMerge w:val="restart"/>
            <w:tcBorders>
              <w:top w:val="single" w:sz="6" w:space="0" w:color="000000"/>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独立董事候选人声明（陈爱珍）</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282"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年第一季度报告正文</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2012--27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1" w:right="29"/>
              <w:jc w:val="center"/>
              <w:rPr>
                <w:rFonts w:ascii="宋体" w:hAnsi="宋体" w:cs="宋体" w:eastAsia="宋体" w:hint="default"/>
                <w:sz w:val="18"/>
                <w:szCs w:val="18"/>
              </w:rPr>
            </w:pPr>
            <w:r>
              <w:rPr>
                <w:rFonts w:ascii="宋体" w:hAnsi="宋体" w:cs="宋体" w:eastAsia="宋体" w:hint="default"/>
                <w:sz w:val="18"/>
                <w:szCs w:val="18"/>
              </w:rPr>
              <w:t>巨潮资讯网、中国 证券报、上海证券 报、证券日报、证 券时报</w:t>
            </w:r>
          </w:p>
        </w:tc>
      </w:tr>
      <w:tr>
        <w:trPr>
          <w:trHeight w:val="348" w:hRule="exact"/>
        </w:trPr>
        <w:tc>
          <w:tcPr>
            <w:tcW w:w="773"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年第一季度季度报告全文</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6"/>
              <w:jc w:val="right"/>
              <w:rPr>
                <w:rFonts w:ascii="Times New Roman" w:hAnsi="Times New Roman" w:cs="Times New Roman" w:eastAsia="Times New Roman" w:hint="default"/>
                <w:sz w:val="18"/>
                <w:szCs w:val="18"/>
              </w:rPr>
            </w:pPr>
            <w:r>
              <w:rPr>
                <w:rFonts w:ascii="Times New Roman"/>
                <w:w w:val="95"/>
                <w:sz w:val="18"/>
              </w:rPr>
              <w:t>2012.05.10</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职工代表大会决议公告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2012--28</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66"/>
              <w:jc w:val="right"/>
              <w:rPr>
                <w:rFonts w:ascii="Times New Roman" w:hAnsi="Times New Roman" w:cs="Times New Roman" w:eastAsia="Times New Roman" w:hint="default"/>
                <w:sz w:val="18"/>
                <w:szCs w:val="18"/>
              </w:rPr>
            </w:pPr>
            <w:r>
              <w:rPr>
                <w:rFonts w:ascii="Times New Roman"/>
                <w:w w:val="95"/>
                <w:sz w:val="18"/>
              </w:rPr>
              <w:t>2012.05.11</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兴业证券股份有限公司关于公司</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年度跟踪报告</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6"/>
              <w:jc w:val="right"/>
              <w:rPr>
                <w:rFonts w:ascii="Times New Roman" w:hAnsi="Times New Roman" w:cs="Times New Roman" w:eastAsia="Times New Roman" w:hint="default"/>
                <w:sz w:val="18"/>
                <w:szCs w:val="18"/>
              </w:rPr>
            </w:pPr>
            <w:r>
              <w:rPr>
                <w:rFonts w:ascii="Times New Roman"/>
                <w:w w:val="95"/>
                <w:sz w:val="18"/>
              </w:rPr>
              <w:t>2012.05.16</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关于举办</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年度网上业绩说明会的公告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2012--29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val="restart"/>
            <w:tcBorders>
              <w:top w:val="single" w:sz="6" w:space="0" w:color="000000"/>
              <w:left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18</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2012.05.24</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年度股东大会决议的公告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2012--30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年度股东大会的法律意见书</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vMerge w:val="restart"/>
            <w:tcBorders>
              <w:top w:val="single" w:sz="6" w:space="0" w:color="000000"/>
              <w:left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19</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60"/>
              <w:ind w:left="271" w:right="0"/>
              <w:jc w:val="left"/>
              <w:rPr>
                <w:rFonts w:ascii="Times New Roman" w:hAnsi="Times New Roman" w:cs="Times New Roman" w:eastAsia="Times New Roman" w:hint="default"/>
                <w:sz w:val="18"/>
                <w:szCs w:val="18"/>
              </w:rPr>
            </w:pPr>
            <w:r>
              <w:rPr>
                <w:rFonts w:ascii="Times New Roman"/>
                <w:sz w:val="18"/>
              </w:rPr>
              <w:t>2012.05.25</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关于第二届董事会第一次会议决议的公告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2012--31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第二届监事会第一次会议决议公告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2012--32</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独立董事对公司聘任高管的独立意见</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60"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66"/>
              <w:jc w:val="right"/>
              <w:rPr>
                <w:rFonts w:ascii="Times New Roman" w:hAnsi="Times New Roman" w:cs="Times New Roman" w:eastAsia="Times New Roman" w:hint="default"/>
                <w:sz w:val="18"/>
                <w:szCs w:val="18"/>
              </w:rPr>
            </w:pPr>
            <w:r>
              <w:rPr>
                <w:rFonts w:ascii="Times New Roman"/>
                <w:w w:val="95"/>
                <w:sz w:val="18"/>
              </w:rPr>
              <w:t>2012.05.26</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56"/>
              <w:jc w:val="left"/>
              <w:rPr>
                <w:rFonts w:ascii="宋体" w:hAnsi="宋体" w:cs="宋体" w:eastAsia="宋体" w:hint="default"/>
                <w:sz w:val="18"/>
                <w:szCs w:val="18"/>
              </w:rPr>
            </w:pPr>
            <w:r>
              <w:rPr>
                <w:rFonts w:ascii="宋体" w:hAnsi="宋体" w:cs="宋体" w:eastAsia="宋体" w:hint="default"/>
                <w:sz w:val="18"/>
                <w:szCs w:val="18"/>
              </w:rPr>
              <w:t>关于中国环境监测总站</w:t>
            </w:r>
            <w:r>
              <w:rPr>
                <w:rFonts w:ascii="Times New Roman" w:hAnsi="Times New Roman" w:cs="Times New Roman" w:eastAsia="Times New Roman" w:hint="default"/>
                <w:sz w:val="18"/>
                <w:szCs w:val="18"/>
              </w:rPr>
              <w:t>PM2.5</w:t>
            </w:r>
            <w:r>
              <w:rPr>
                <w:rFonts w:ascii="宋体" w:hAnsi="宋体" w:cs="宋体" w:eastAsia="宋体" w:hint="default"/>
                <w:sz w:val="18"/>
                <w:szCs w:val="18"/>
              </w:rPr>
              <w:t>自动监测仪器比对测 试结果的公告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2012--33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6"/>
              <w:jc w:val="right"/>
              <w:rPr>
                <w:rFonts w:ascii="Times New Roman" w:hAnsi="Times New Roman" w:cs="Times New Roman" w:eastAsia="Times New Roman" w:hint="default"/>
                <w:sz w:val="18"/>
                <w:szCs w:val="18"/>
              </w:rPr>
            </w:pPr>
            <w:r>
              <w:rPr>
                <w:rFonts w:ascii="Times New Roman"/>
                <w:w w:val="95"/>
                <w:sz w:val="18"/>
              </w:rPr>
              <w:t>2012.06.02</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关于收到政府补助的公告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2012--34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vMerge w:val="restart"/>
            <w:tcBorders>
              <w:top w:val="single" w:sz="6" w:space="0" w:color="000000"/>
              <w:left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22</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60"/>
              <w:ind w:left="271" w:right="0"/>
              <w:jc w:val="left"/>
              <w:rPr>
                <w:rFonts w:ascii="Times New Roman" w:hAnsi="Times New Roman" w:cs="Times New Roman" w:eastAsia="Times New Roman" w:hint="default"/>
                <w:sz w:val="18"/>
                <w:szCs w:val="18"/>
              </w:rPr>
            </w:pPr>
            <w:r>
              <w:rPr>
                <w:rFonts w:ascii="Times New Roman"/>
                <w:sz w:val="18"/>
              </w:rPr>
              <w:t>2012.06.21</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第二届董事会第二次会议决议公告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2012--35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年第一次临时股东大会的通知</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2012--36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vMerge w:val="restart"/>
            <w:tcBorders>
              <w:top w:val="single" w:sz="6" w:space="0" w:color="000000"/>
              <w:left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23</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60"/>
              <w:ind w:left="271" w:right="0"/>
              <w:jc w:val="left"/>
              <w:rPr>
                <w:rFonts w:ascii="Times New Roman" w:hAnsi="Times New Roman" w:cs="Times New Roman" w:eastAsia="Times New Roman" w:hint="default"/>
                <w:sz w:val="18"/>
                <w:szCs w:val="18"/>
              </w:rPr>
            </w:pPr>
            <w:r>
              <w:rPr>
                <w:rFonts w:ascii="Times New Roman"/>
                <w:sz w:val="18"/>
              </w:rPr>
              <w:t>2012.07.11</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年第一次临时股东大会的法律意见书</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年第一次临时股东大会决议的公告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2012--37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val="restart"/>
            <w:tcBorders>
              <w:top w:val="single" w:sz="6" w:space="0" w:color="000000"/>
              <w:left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24</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60"/>
              <w:ind w:left="271" w:right="0"/>
              <w:jc w:val="left"/>
              <w:rPr>
                <w:rFonts w:ascii="Times New Roman" w:hAnsi="Times New Roman" w:cs="Times New Roman" w:eastAsia="Times New Roman" w:hint="default"/>
                <w:sz w:val="18"/>
                <w:szCs w:val="18"/>
              </w:rPr>
            </w:pPr>
            <w:r>
              <w:rPr>
                <w:rFonts w:ascii="Times New Roman"/>
                <w:sz w:val="18"/>
              </w:rPr>
              <w:t>2012.07.13</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年年度权益分派实施公告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2012--38</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年半年度业绩预告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2012--39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60"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66"/>
              <w:jc w:val="right"/>
              <w:rPr>
                <w:rFonts w:ascii="Times New Roman" w:hAnsi="Times New Roman" w:cs="Times New Roman" w:eastAsia="Times New Roman" w:hint="default"/>
                <w:sz w:val="18"/>
                <w:szCs w:val="18"/>
              </w:rPr>
            </w:pPr>
            <w:r>
              <w:rPr>
                <w:rFonts w:ascii="Times New Roman"/>
                <w:w w:val="95"/>
                <w:sz w:val="18"/>
              </w:rPr>
              <w:t>2012.07.20</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43"/>
              <w:jc w:val="left"/>
              <w:rPr>
                <w:rFonts w:ascii="宋体" w:hAnsi="宋体" w:cs="宋体" w:eastAsia="宋体" w:hint="default"/>
                <w:sz w:val="18"/>
                <w:szCs w:val="18"/>
              </w:rPr>
            </w:pPr>
            <w:r>
              <w:rPr>
                <w:rFonts w:ascii="宋体" w:hAnsi="宋体" w:cs="宋体" w:eastAsia="宋体" w:hint="default"/>
                <w:sz w:val="18"/>
                <w:szCs w:val="18"/>
              </w:rPr>
              <w:t>关于山东省城市环境空气质量自动监测站</w:t>
            </w:r>
            <w:r>
              <w:rPr>
                <w:rFonts w:ascii="Times New Roman" w:hAnsi="Times New Roman" w:cs="Times New Roman" w:eastAsia="Times New Roman" w:hint="default"/>
                <w:sz w:val="18"/>
                <w:szCs w:val="18"/>
              </w:rPr>
              <w:t>“</w:t>
            </w:r>
            <w:r>
              <w:rPr>
                <w:rFonts w:ascii="宋体" w:hAnsi="宋体" w:cs="宋体" w:eastAsia="宋体" w:hint="default"/>
                <w:sz w:val="18"/>
                <w:szCs w:val="18"/>
              </w:rPr>
              <w:t>转让</w:t>
            </w:r>
            <w:r>
              <w:rPr>
                <w:rFonts w:ascii="Times New Roman" w:hAnsi="Times New Roman" w:cs="Times New Roman" w:eastAsia="Times New Roman" w:hint="default"/>
                <w:sz w:val="18"/>
                <w:szCs w:val="18"/>
              </w:rPr>
              <w:t>-</w:t>
            </w:r>
            <w:r>
              <w:rPr>
                <w:rFonts w:ascii="宋体" w:hAnsi="宋体" w:cs="宋体" w:eastAsia="宋体" w:hint="default"/>
                <w:sz w:val="18"/>
                <w:szCs w:val="18"/>
              </w:rPr>
              <w:t>经 营</w:t>
            </w:r>
            <w:r>
              <w:rPr>
                <w:rFonts w:ascii="Times New Roman" w:hAnsi="Times New Roman" w:cs="Times New Roman" w:eastAsia="Times New Roman" w:hint="default"/>
                <w:sz w:val="18"/>
                <w:szCs w:val="18"/>
              </w:rPr>
              <w:t>”</w:t>
            </w:r>
            <w:r>
              <w:rPr>
                <w:rFonts w:ascii="宋体" w:hAnsi="宋体" w:cs="宋体" w:eastAsia="宋体" w:hint="default"/>
                <w:sz w:val="18"/>
                <w:szCs w:val="18"/>
              </w:rPr>
              <w:t>模式推广项目中标的提示性公告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2012--40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6"/>
              <w:jc w:val="right"/>
              <w:rPr>
                <w:rFonts w:ascii="Times New Roman" w:hAnsi="Times New Roman" w:cs="Times New Roman" w:eastAsia="Times New Roman" w:hint="default"/>
                <w:sz w:val="18"/>
                <w:szCs w:val="18"/>
              </w:rPr>
            </w:pPr>
            <w:r>
              <w:rPr>
                <w:rFonts w:ascii="Times New Roman"/>
                <w:w w:val="95"/>
                <w:sz w:val="18"/>
              </w:rPr>
              <w:t>2012.07.31</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关于完成工商变更登记的公告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2012--41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val="restart"/>
            <w:tcBorders>
              <w:top w:val="single" w:sz="6" w:space="0" w:color="000000"/>
              <w:left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27</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2012.08.03</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关于收到中标通知书的公告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2012--42</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773"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关于签订山东省城市环境空气质量自动监测站</w:t>
            </w:r>
            <w:r>
              <w:rPr>
                <w:rFonts w:ascii="Times New Roman" w:hAnsi="Times New Roman" w:cs="Times New Roman" w:eastAsia="Times New Roman" w:hint="default"/>
                <w:sz w:val="18"/>
                <w:szCs w:val="18"/>
              </w:rPr>
              <w:t>“</w:t>
            </w:r>
            <w:r>
              <w:rPr>
                <w:rFonts w:ascii="宋体" w:hAnsi="宋体" w:cs="宋体" w:eastAsia="宋体" w:hint="default"/>
                <w:sz w:val="18"/>
                <w:szCs w:val="18"/>
              </w:rPr>
              <w:t>转让</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运营</w:t>
            </w:r>
            <w:r>
              <w:rPr>
                <w:rFonts w:ascii="Times New Roman" w:hAnsi="Times New Roman" w:cs="Times New Roman" w:eastAsia="Times New Roman" w:hint="default"/>
                <w:sz w:val="18"/>
                <w:szCs w:val="18"/>
              </w:rPr>
              <w:t>”</w:t>
            </w:r>
            <w:r>
              <w:rPr>
                <w:rFonts w:ascii="宋体" w:hAnsi="宋体" w:cs="宋体" w:eastAsia="宋体" w:hint="default"/>
                <w:sz w:val="18"/>
                <w:szCs w:val="18"/>
              </w:rPr>
              <w:t>模式推广项目合同的公告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2012--43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66"/>
              <w:jc w:val="right"/>
              <w:rPr>
                <w:rFonts w:ascii="Times New Roman" w:hAnsi="Times New Roman" w:cs="Times New Roman" w:eastAsia="Times New Roman" w:hint="default"/>
                <w:sz w:val="18"/>
                <w:szCs w:val="18"/>
              </w:rPr>
            </w:pPr>
            <w:r>
              <w:rPr>
                <w:rFonts w:ascii="Times New Roman"/>
                <w:w w:val="95"/>
                <w:sz w:val="18"/>
              </w:rPr>
              <w:t>2012.08.08</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关于获得实用新型专利证书的公告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2012--44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60" w:hRule="exact"/>
        </w:trPr>
        <w:tc>
          <w:tcPr>
            <w:tcW w:w="773" w:type="dxa"/>
            <w:vMerge w:val="restart"/>
            <w:tcBorders>
              <w:top w:val="single" w:sz="6" w:space="0" w:color="000000"/>
              <w:left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29</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60"/>
              <w:ind w:left="271" w:right="0"/>
              <w:jc w:val="left"/>
              <w:rPr>
                <w:rFonts w:ascii="Times New Roman" w:hAnsi="Times New Roman" w:cs="Times New Roman" w:eastAsia="Times New Roman" w:hint="default"/>
                <w:sz w:val="18"/>
                <w:szCs w:val="18"/>
              </w:rPr>
            </w:pPr>
            <w:r>
              <w:rPr>
                <w:rFonts w:ascii="Times New Roman"/>
                <w:sz w:val="18"/>
              </w:rPr>
              <w:t>2012.08.23</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02"/>
              <w:jc w:val="left"/>
              <w:rPr>
                <w:rFonts w:ascii="宋体" w:hAnsi="宋体" w:cs="宋体" w:eastAsia="宋体" w:hint="default"/>
                <w:sz w:val="18"/>
                <w:szCs w:val="18"/>
              </w:rPr>
            </w:pPr>
            <w:r>
              <w:rPr>
                <w:rFonts w:ascii="宋体" w:hAnsi="宋体" w:cs="宋体" w:eastAsia="宋体" w:hint="default"/>
                <w:sz w:val="18"/>
                <w:szCs w:val="18"/>
              </w:rPr>
              <w:t>独立董事关于第二届董事会第三次会议相关事项的 独立意见</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 w:right="102"/>
              <w:jc w:val="left"/>
              <w:rPr>
                <w:rFonts w:ascii="宋体" w:hAnsi="宋体" w:cs="宋体" w:eastAsia="宋体" w:hint="default"/>
                <w:sz w:val="18"/>
                <w:szCs w:val="18"/>
              </w:rPr>
            </w:pPr>
            <w:r>
              <w:rPr>
                <w:rFonts w:ascii="宋体" w:hAnsi="宋体" w:cs="宋体" w:eastAsia="宋体" w:hint="default"/>
                <w:sz w:val="18"/>
                <w:szCs w:val="18"/>
              </w:rPr>
              <w:t>董事监事高级管理人员持有和买卖本公司股票管理 制度</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重大信息内部报告制度（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关于公司使用超募资金开展山东省空气自动站</w:t>
            </w:r>
            <w:r>
              <w:rPr>
                <w:rFonts w:ascii="Times New Roman" w:hAnsi="Times New Roman" w:cs="Times New Roman" w:eastAsia="Times New Roman" w:hint="default"/>
                <w:sz w:val="18"/>
                <w:szCs w:val="18"/>
              </w:rPr>
              <w:t>“</w:t>
            </w:r>
            <w:r>
              <w:rPr>
                <w:rFonts w:ascii="宋体" w:hAnsi="宋体" w:cs="宋体" w:eastAsia="宋体" w:hint="default"/>
                <w:sz w:val="18"/>
                <w:szCs w:val="18"/>
              </w:rPr>
              <w:t>转让</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经营</w:t>
            </w:r>
            <w:r>
              <w:rPr>
                <w:rFonts w:ascii="Times New Roman" w:hAnsi="Times New Roman" w:cs="Times New Roman" w:eastAsia="Times New Roman" w:hint="default"/>
                <w:sz w:val="18"/>
                <w:szCs w:val="18"/>
              </w:rPr>
              <w:t>”</w:t>
            </w:r>
            <w:r>
              <w:rPr>
                <w:rFonts w:ascii="宋体" w:hAnsi="宋体" w:cs="宋体" w:eastAsia="宋体" w:hint="default"/>
                <w:sz w:val="18"/>
                <w:szCs w:val="18"/>
              </w:rPr>
              <w:t>模式推广项目的保荐意见</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第二届董事会第三次会议决议公告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2012--45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第二届监事会第二次会议决议公告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2012--46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60" w:hRule="exact"/>
        </w:trPr>
        <w:tc>
          <w:tcPr>
            <w:tcW w:w="773"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3"/>
              <w:jc w:val="left"/>
              <w:rPr>
                <w:rFonts w:ascii="宋体" w:hAnsi="宋体" w:cs="宋体" w:eastAsia="宋体" w:hint="default"/>
                <w:sz w:val="18"/>
                <w:szCs w:val="18"/>
              </w:rPr>
            </w:pPr>
            <w:r>
              <w:rPr>
                <w:rFonts w:ascii="宋体" w:hAnsi="宋体" w:cs="宋体" w:eastAsia="宋体" w:hint="default"/>
                <w:sz w:val="18"/>
                <w:szCs w:val="18"/>
              </w:rPr>
              <w:t>关于使用超募资金开展山东省空气自动站</w:t>
            </w:r>
            <w:r>
              <w:rPr>
                <w:rFonts w:ascii="Times New Roman" w:hAnsi="Times New Roman" w:cs="Times New Roman" w:eastAsia="Times New Roman" w:hint="default"/>
                <w:sz w:val="18"/>
                <w:szCs w:val="18"/>
              </w:rPr>
              <w:t>“</w:t>
            </w:r>
            <w:r>
              <w:rPr>
                <w:rFonts w:ascii="宋体" w:hAnsi="宋体" w:cs="宋体" w:eastAsia="宋体" w:hint="default"/>
                <w:sz w:val="18"/>
                <w:szCs w:val="18"/>
              </w:rPr>
              <w:t>转让</w:t>
            </w:r>
            <w:r>
              <w:rPr>
                <w:rFonts w:ascii="Times New Roman" w:hAnsi="Times New Roman" w:cs="Times New Roman" w:eastAsia="Times New Roman" w:hint="default"/>
                <w:sz w:val="18"/>
                <w:szCs w:val="18"/>
              </w:rPr>
              <w:t>—</w:t>
            </w:r>
            <w:r>
              <w:rPr>
                <w:rFonts w:ascii="宋体" w:hAnsi="宋体" w:cs="宋体" w:eastAsia="宋体" w:hint="default"/>
                <w:sz w:val="18"/>
                <w:szCs w:val="18"/>
              </w:rPr>
              <w:t>经 营</w:t>
            </w:r>
            <w:r>
              <w:rPr>
                <w:rFonts w:ascii="Times New Roman" w:hAnsi="Times New Roman" w:cs="Times New Roman" w:eastAsia="Times New Roman" w:hint="default"/>
                <w:sz w:val="18"/>
                <w:szCs w:val="18"/>
              </w:rPr>
              <w:t>”</w:t>
            </w:r>
            <w:r>
              <w:rPr>
                <w:rFonts w:ascii="宋体" w:hAnsi="宋体" w:cs="宋体" w:eastAsia="宋体" w:hint="default"/>
                <w:sz w:val="18"/>
                <w:szCs w:val="18"/>
              </w:rPr>
              <w:t>模式推广项目的公告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2012--47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65" w:type="dxa"/>
        <w:tblLayout w:type="fixed"/>
        <w:tblCellMar>
          <w:top w:w="0" w:type="dxa"/>
          <w:left w:w="0" w:type="dxa"/>
          <w:bottom w:w="0" w:type="dxa"/>
          <w:right w:w="0" w:type="dxa"/>
        </w:tblCellMar>
        <w:tblLook w:val="01E0"/>
      </w:tblPr>
      <w:tblGrid>
        <w:gridCol w:w="773"/>
        <w:gridCol w:w="1366"/>
        <w:gridCol w:w="4081"/>
        <w:gridCol w:w="1664"/>
        <w:gridCol w:w="1517"/>
      </w:tblGrid>
      <w:tr>
        <w:trPr>
          <w:trHeight w:val="348" w:hRule="exact"/>
        </w:trPr>
        <w:tc>
          <w:tcPr>
            <w:tcW w:w="773" w:type="dxa"/>
            <w:vMerge w:val="restart"/>
            <w:tcBorders>
              <w:top w:val="single" w:sz="6" w:space="0" w:color="000000"/>
              <w:left w:val="single" w:sz="6" w:space="0" w:color="000000"/>
              <w:right w:val="single" w:sz="6" w:space="0" w:color="000000"/>
            </w:tcBorders>
          </w:tcPr>
          <w:p>
            <w:pPr/>
          </w:p>
        </w:tc>
        <w:tc>
          <w:tcPr>
            <w:tcW w:w="1366" w:type="dxa"/>
            <w:vMerge w:val="restart"/>
            <w:tcBorders>
              <w:top w:val="single" w:sz="6" w:space="0" w:color="000000"/>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投资者来访接待管理制度</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60"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22"/>
              <w:jc w:val="left"/>
              <w:rPr>
                <w:rFonts w:ascii="宋体" w:hAnsi="宋体" w:cs="宋体" w:eastAsia="宋体" w:hint="default"/>
                <w:sz w:val="18"/>
                <w:szCs w:val="18"/>
              </w:rPr>
            </w:pPr>
            <w:r>
              <w:rPr>
                <w:rFonts w:ascii="宋体" w:hAnsi="宋体" w:cs="宋体" w:eastAsia="宋体" w:hint="default"/>
                <w:sz w:val="18"/>
                <w:szCs w:val="18"/>
              </w:rPr>
              <w:t>使用超募资金开展山东省空气自动站</w:t>
            </w:r>
            <w:r>
              <w:rPr>
                <w:rFonts w:ascii="Times New Roman" w:hAnsi="Times New Roman" w:cs="Times New Roman" w:eastAsia="Times New Roman" w:hint="default"/>
                <w:sz w:val="18"/>
                <w:szCs w:val="18"/>
              </w:rPr>
              <w:t>“</w:t>
            </w:r>
            <w:r>
              <w:rPr>
                <w:rFonts w:ascii="宋体" w:hAnsi="宋体" w:cs="宋体" w:eastAsia="宋体" w:hint="default"/>
                <w:sz w:val="18"/>
                <w:szCs w:val="18"/>
              </w:rPr>
              <w:t>转让</w:t>
            </w:r>
            <w:r>
              <w:rPr>
                <w:rFonts w:ascii="Times New Roman" w:hAnsi="Times New Roman" w:cs="Times New Roman" w:eastAsia="Times New Roman" w:hint="default"/>
                <w:sz w:val="18"/>
                <w:szCs w:val="18"/>
              </w:rPr>
              <w:t>—</w:t>
            </w:r>
            <w:r>
              <w:rPr>
                <w:rFonts w:ascii="宋体" w:hAnsi="宋体" w:cs="宋体" w:eastAsia="宋体" w:hint="default"/>
                <w:sz w:val="18"/>
                <w:szCs w:val="18"/>
              </w:rPr>
              <w:t>经营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模式推广项目的可行性报告</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282" w:hRule="exact"/>
        </w:trPr>
        <w:tc>
          <w:tcPr>
            <w:tcW w:w="773"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年半年度报告摘要</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2012--48</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1" w:right="29"/>
              <w:jc w:val="center"/>
              <w:rPr>
                <w:rFonts w:ascii="宋体" w:hAnsi="宋体" w:cs="宋体" w:eastAsia="宋体" w:hint="default"/>
                <w:sz w:val="18"/>
                <w:szCs w:val="18"/>
              </w:rPr>
            </w:pPr>
            <w:r>
              <w:rPr>
                <w:rFonts w:ascii="宋体" w:hAnsi="宋体" w:cs="宋体" w:eastAsia="宋体" w:hint="default"/>
                <w:sz w:val="18"/>
                <w:szCs w:val="18"/>
              </w:rPr>
              <w:t>巨潮资讯网、中国 证券报、上海证券 报、证券日报、证 券时报</w:t>
            </w:r>
          </w:p>
        </w:tc>
      </w:tr>
      <w:tr>
        <w:trPr>
          <w:trHeight w:val="348" w:hRule="exact"/>
        </w:trPr>
        <w:tc>
          <w:tcPr>
            <w:tcW w:w="773"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年半年度报告</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6"/>
              <w:jc w:val="right"/>
              <w:rPr>
                <w:rFonts w:ascii="Times New Roman" w:hAnsi="Times New Roman" w:cs="Times New Roman" w:eastAsia="Times New Roman" w:hint="default"/>
                <w:sz w:val="18"/>
                <w:szCs w:val="18"/>
              </w:rPr>
            </w:pPr>
            <w:r>
              <w:rPr>
                <w:rFonts w:ascii="Times New Roman"/>
                <w:w w:val="95"/>
                <w:sz w:val="18"/>
              </w:rPr>
              <w:t>2012.09.05</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99"/>
              <w:jc w:val="left"/>
              <w:rPr>
                <w:rFonts w:ascii="宋体" w:hAnsi="宋体" w:cs="宋体" w:eastAsia="宋体" w:hint="default"/>
                <w:sz w:val="18"/>
                <w:szCs w:val="18"/>
              </w:rPr>
            </w:pPr>
            <w:r>
              <w:rPr>
                <w:rFonts w:ascii="宋体" w:hAnsi="宋体" w:cs="宋体" w:eastAsia="宋体" w:hint="default"/>
                <w:sz w:val="18"/>
                <w:szCs w:val="18"/>
              </w:rPr>
              <w:t>兴业证券股份有限公司关于公司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年半年报跟踪 报告</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9" w:hRule="exact"/>
        </w:trPr>
        <w:tc>
          <w:tcPr>
            <w:tcW w:w="773" w:type="dxa"/>
            <w:vMerge w:val="restart"/>
            <w:tcBorders>
              <w:top w:val="single" w:sz="6" w:space="0" w:color="000000"/>
              <w:left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31</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2012.09.28</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独立董事关于变更财务总监的独立意见</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第二届董事会第四次会议决议公告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2012--49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6"/>
              <w:jc w:val="right"/>
              <w:rPr>
                <w:rFonts w:ascii="Times New Roman" w:hAnsi="Times New Roman" w:cs="Times New Roman" w:eastAsia="Times New Roman" w:hint="default"/>
                <w:sz w:val="18"/>
                <w:szCs w:val="18"/>
              </w:rPr>
            </w:pPr>
            <w:r>
              <w:rPr>
                <w:rFonts w:ascii="Times New Roman"/>
                <w:w w:val="95"/>
                <w:sz w:val="18"/>
              </w:rPr>
              <w:t>2012.10.13</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年三季度业绩预告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2012--50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66"/>
              <w:jc w:val="right"/>
              <w:rPr>
                <w:rFonts w:ascii="Times New Roman" w:hAnsi="Times New Roman" w:cs="Times New Roman" w:eastAsia="Times New Roman" w:hint="default"/>
                <w:sz w:val="18"/>
                <w:szCs w:val="18"/>
              </w:rPr>
            </w:pPr>
            <w:r>
              <w:rPr>
                <w:rFonts w:ascii="Times New Roman"/>
                <w:w w:val="95"/>
                <w:sz w:val="18"/>
              </w:rPr>
              <w:t>2012.10.23</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关于控股股东部分股权质押的公告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2012--51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282" w:hRule="exact"/>
        </w:trPr>
        <w:tc>
          <w:tcPr>
            <w:tcW w:w="773" w:type="dxa"/>
            <w:vMerge w:val="restart"/>
            <w:tcBorders>
              <w:top w:val="single" w:sz="6" w:space="0" w:color="000000"/>
              <w:left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34</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60"/>
              <w:ind w:left="271" w:right="0"/>
              <w:jc w:val="left"/>
              <w:rPr>
                <w:rFonts w:ascii="Times New Roman" w:hAnsi="Times New Roman" w:cs="Times New Roman" w:eastAsia="Times New Roman" w:hint="default"/>
                <w:sz w:val="18"/>
                <w:szCs w:val="18"/>
              </w:rPr>
            </w:pPr>
            <w:r>
              <w:rPr>
                <w:rFonts w:ascii="Times New Roman"/>
                <w:sz w:val="18"/>
              </w:rPr>
              <w:t>2012.10.26</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年第三季度报告正文</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1" w:right="29"/>
              <w:jc w:val="center"/>
              <w:rPr>
                <w:rFonts w:ascii="宋体" w:hAnsi="宋体" w:cs="宋体" w:eastAsia="宋体" w:hint="default"/>
                <w:sz w:val="18"/>
                <w:szCs w:val="18"/>
              </w:rPr>
            </w:pPr>
            <w:r>
              <w:rPr>
                <w:rFonts w:ascii="宋体" w:hAnsi="宋体" w:cs="宋体" w:eastAsia="宋体" w:hint="default"/>
                <w:sz w:val="18"/>
                <w:szCs w:val="18"/>
              </w:rPr>
              <w:t>巨潮资讯网、中国 证券报、上海证券 报、证券日报、证 券时报</w:t>
            </w:r>
          </w:p>
        </w:tc>
      </w:tr>
      <w:tr>
        <w:trPr>
          <w:trHeight w:val="348" w:hRule="exact"/>
        </w:trPr>
        <w:tc>
          <w:tcPr>
            <w:tcW w:w="773"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年第三季度报告全文</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60" w:hRule="exact"/>
        </w:trPr>
        <w:tc>
          <w:tcPr>
            <w:tcW w:w="773" w:type="dxa"/>
            <w:vMerge w:val="restart"/>
            <w:tcBorders>
              <w:top w:val="single" w:sz="6" w:space="0" w:color="000000"/>
              <w:left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35</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60"/>
              <w:ind w:left="271" w:right="0"/>
              <w:jc w:val="left"/>
              <w:rPr>
                <w:rFonts w:ascii="Times New Roman" w:hAnsi="Times New Roman" w:cs="Times New Roman" w:eastAsia="Times New Roman" w:hint="default"/>
                <w:sz w:val="18"/>
                <w:szCs w:val="18"/>
              </w:rPr>
            </w:pPr>
            <w:r>
              <w:rPr>
                <w:rFonts w:ascii="Times New Roman"/>
                <w:sz w:val="18"/>
              </w:rPr>
              <w:t>2012.10.31</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4"/>
                <w:sz w:val="18"/>
                <w:szCs w:val="18"/>
              </w:rPr>
              <w:t>关于公司的股东、关联方以及公司承诺履行情况的公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2012--52</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773"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 w:right="3"/>
              <w:jc w:val="left"/>
              <w:rPr>
                <w:rFonts w:ascii="宋体" w:hAnsi="宋体" w:cs="宋体" w:eastAsia="宋体" w:hint="default"/>
                <w:sz w:val="18"/>
                <w:szCs w:val="18"/>
              </w:rPr>
            </w:pPr>
            <w:r>
              <w:rPr>
                <w:rFonts w:ascii="宋体" w:hAnsi="宋体" w:cs="宋体" w:eastAsia="宋体" w:hint="default"/>
                <w:spacing w:val="-4"/>
                <w:sz w:val="18"/>
                <w:szCs w:val="18"/>
              </w:rPr>
              <w:t>关于参与《国家环境空气监测网建设项目》投标的公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2012--53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66"/>
              <w:jc w:val="right"/>
              <w:rPr>
                <w:rFonts w:ascii="Times New Roman" w:hAnsi="Times New Roman" w:cs="Times New Roman" w:eastAsia="Times New Roman" w:hint="default"/>
                <w:sz w:val="18"/>
                <w:szCs w:val="18"/>
              </w:rPr>
            </w:pPr>
            <w:r>
              <w:rPr>
                <w:rFonts w:ascii="Times New Roman"/>
                <w:w w:val="95"/>
                <w:sz w:val="18"/>
              </w:rPr>
              <w:t>2012.11.01</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首次公开发行前已发行股份上市流通核查意见</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2012--55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vMerge w:val="restart"/>
            <w:tcBorders>
              <w:top w:val="single" w:sz="6" w:space="0" w:color="000000"/>
              <w:left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37</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60"/>
              <w:ind w:left="271" w:right="0"/>
              <w:jc w:val="left"/>
              <w:rPr>
                <w:rFonts w:ascii="Times New Roman" w:hAnsi="Times New Roman" w:cs="Times New Roman" w:eastAsia="Times New Roman" w:hint="default"/>
                <w:sz w:val="18"/>
                <w:szCs w:val="18"/>
              </w:rPr>
            </w:pPr>
            <w:r>
              <w:rPr>
                <w:rFonts w:ascii="Times New Roman"/>
                <w:sz w:val="18"/>
              </w:rPr>
              <w:t>2012.11.02</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首次公开发行前已发行股份上市流通提示性公告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2012--54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60" w:hRule="exact"/>
        </w:trPr>
        <w:tc>
          <w:tcPr>
            <w:tcW w:w="773"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02"/>
              <w:jc w:val="left"/>
              <w:rPr>
                <w:rFonts w:ascii="宋体" w:hAnsi="宋体" w:cs="宋体" w:eastAsia="宋体" w:hint="default"/>
                <w:sz w:val="18"/>
                <w:szCs w:val="18"/>
              </w:rPr>
            </w:pPr>
            <w:r>
              <w:rPr>
                <w:rFonts w:ascii="宋体" w:hAnsi="宋体" w:cs="宋体" w:eastAsia="宋体" w:hint="default"/>
                <w:sz w:val="18"/>
                <w:szCs w:val="18"/>
              </w:rPr>
              <w:t>兴业证券股份有限公司关于河北先河环保科技股份 有限公司</w:t>
            </w:r>
          </w:p>
        </w:tc>
        <w:tc>
          <w:tcPr>
            <w:tcW w:w="166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6"/>
              <w:jc w:val="right"/>
              <w:rPr>
                <w:rFonts w:ascii="Times New Roman" w:hAnsi="Times New Roman" w:cs="Times New Roman" w:eastAsia="Times New Roman" w:hint="default"/>
                <w:sz w:val="18"/>
                <w:szCs w:val="18"/>
              </w:rPr>
            </w:pPr>
            <w:r>
              <w:rPr>
                <w:rFonts w:ascii="Times New Roman"/>
                <w:w w:val="95"/>
                <w:sz w:val="18"/>
              </w:rPr>
              <w:t>2012.11.06</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关于收到中标通知书的公告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2012--56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66"/>
              <w:jc w:val="right"/>
              <w:rPr>
                <w:rFonts w:ascii="Times New Roman" w:hAnsi="Times New Roman" w:cs="Times New Roman" w:eastAsia="Times New Roman" w:hint="default"/>
                <w:sz w:val="18"/>
                <w:szCs w:val="18"/>
              </w:rPr>
            </w:pPr>
            <w:r>
              <w:rPr>
                <w:rFonts w:ascii="Times New Roman"/>
                <w:w w:val="95"/>
                <w:sz w:val="18"/>
              </w:rPr>
              <w:t>2012.11.19</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关于签订国家环境空气监测网建设项目合同的公告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2012--57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60"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6"/>
              <w:jc w:val="right"/>
              <w:rPr>
                <w:rFonts w:ascii="Times New Roman" w:hAnsi="Times New Roman" w:cs="Times New Roman" w:eastAsia="Times New Roman" w:hint="default"/>
                <w:sz w:val="18"/>
                <w:szCs w:val="18"/>
              </w:rPr>
            </w:pPr>
            <w:r>
              <w:rPr>
                <w:rFonts w:ascii="Times New Roman"/>
                <w:w w:val="95"/>
                <w:sz w:val="18"/>
              </w:rPr>
              <w:t>2012.11.22</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9"/>
              <w:jc w:val="left"/>
              <w:rPr>
                <w:rFonts w:ascii="宋体" w:hAnsi="宋体" w:cs="宋体" w:eastAsia="宋体" w:hint="default"/>
                <w:sz w:val="18"/>
                <w:szCs w:val="18"/>
              </w:rPr>
            </w:pPr>
            <w:r>
              <w:rPr>
                <w:rFonts w:ascii="宋体" w:hAnsi="宋体" w:cs="宋体" w:eastAsia="宋体" w:hint="default"/>
                <w:sz w:val="18"/>
                <w:szCs w:val="18"/>
              </w:rPr>
              <w:t>关于国家重大科学仪器设备开发专项</w:t>
            </w:r>
            <w:r>
              <w:rPr>
                <w:rFonts w:ascii="宋体" w:hAnsi="宋体" w:cs="宋体" w:eastAsia="宋体" w:hint="default"/>
                <w:spacing w:val="-17"/>
                <w:sz w:val="18"/>
                <w:szCs w:val="18"/>
              </w:rPr>
              <w:t> </w:t>
            </w:r>
            <w:r>
              <w:rPr>
                <w:rFonts w:ascii="宋体" w:hAnsi="宋体" w:cs="宋体" w:eastAsia="宋体" w:hint="default"/>
                <w:sz w:val="18"/>
                <w:szCs w:val="18"/>
              </w:rPr>
              <w:t>项目立项的公</w:t>
            </w:r>
            <w:r>
              <w:rPr>
                <w:rFonts w:ascii="宋体" w:hAnsi="宋体" w:cs="宋体" w:eastAsia="宋体" w:hint="default"/>
                <w:sz w:val="18"/>
                <w:szCs w:val="18"/>
              </w:rPr>
              <w:t> 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2012--58</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6"/>
              <w:jc w:val="right"/>
              <w:rPr>
                <w:rFonts w:ascii="Times New Roman" w:hAnsi="Times New Roman" w:cs="Times New Roman" w:eastAsia="Times New Roman" w:hint="default"/>
                <w:sz w:val="18"/>
                <w:szCs w:val="18"/>
              </w:rPr>
            </w:pPr>
            <w:r>
              <w:rPr>
                <w:rFonts w:ascii="Times New Roman"/>
                <w:w w:val="95"/>
                <w:sz w:val="18"/>
              </w:rPr>
              <w:t>2012.11.30</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102"/>
              <w:jc w:val="left"/>
              <w:rPr>
                <w:rFonts w:ascii="宋体" w:hAnsi="宋体" w:cs="宋体" w:eastAsia="宋体" w:hint="default"/>
                <w:sz w:val="18"/>
                <w:szCs w:val="18"/>
              </w:rPr>
            </w:pPr>
            <w:r>
              <w:rPr>
                <w:rFonts w:ascii="宋体" w:hAnsi="宋体" w:cs="宋体" w:eastAsia="宋体" w:hint="default"/>
                <w:sz w:val="18"/>
                <w:szCs w:val="18"/>
              </w:rPr>
              <w:t>关于广东省实施空气质量新标准监测能力建设采购 项目采购中标提示性公告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2012--59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66"/>
              <w:jc w:val="right"/>
              <w:rPr>
                <w:rFonts w:ascii="Times New Roman" w:hAnsi="Times New Roman" w:cs="Times New Roman" w:eastAsia="Times New Roman" w:hint="default"/>
                <w:sz w:val="18"/>
                <w:szCs w:val="18"/>
              </w:rPr>
            </w:pPr>
            <w:r>
              <w:rPr>
                <w:rFonts w:ascii="Times New Roman"/>
                <w:w w:val="95"/>
                <w:sz w:val="18"/>
              </w:rPr>
              <w:t>2012.12.05</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关于收到中标通知书的公告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sz w:val="18"/>
              </w:rPr>
              <w:t>2012--60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6"/>
              <w:jc w:val="right"/>
              <w:rPr>
                <w:rFonts w:ascii="Times New Roman" w:hAnsi="Times New Roman" w:cs="Times New Roman" w:eastAsia="Times New Roman" w:hint="default"/>
                <w:sz w:val="18"/>
                <w:szCs w:val="18"/>
              </w:rPr>
            </w:pPr>
            <w:r>
              <w:rPr>
                <w:rFonts w:ascii="Times New Roman"/>
                <w:w w:val="95"/>
                <w:sz w:val="18"/>
              </w:rPr>
              <w:t>2012.12.28</w:t>
            </w:r>
          </w:p>
        </w:tc>
        <w:tc>
          <w:tcPr>
            <w:tcW w:w="4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关于收到政府补助的公告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0"/>
              <w:jc w:val="right"/>
              <w:rPr>
                <w:rFonts w:ascii="Times New Roman" w:hAnsi="Times New Roman" w:cs="Times New Roman" w:eastAsia="Times New Roman" w:hint="default"/>
                <w:sz w:val="18"/>
                <w:szCs w:val="18"/>
              </w:rPr>
            </w:pPr>
            <w:r>
              <w:rPr>
                <w:rFonts w:ascii="Times New Roman"/>
                <w:sz w:val="18"/>
              </w:rPr>
              <w:t>2012--61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2964" w:right="0"/>
        <w:jc w:val="left"/>
        <w:rPr>
          <w:b w:val="0"/>
          <w:bCs w:val="0"/>
        </w:rPr>
      </w:pPr>
      <w:bookmarkStart w:name="_TOC_250004"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821"/>
        <w:gridCol w:w="1144"/>
        <w:gridCol w:w="744"/>
        <w:gridCol w:w="533"/>
        <w:gridCol w:w="710"/>
        <w:gridCol w:w="708"/>
        <w:gridCol w:w="991"/>
        <w:gridCol w:w="994"/>
        <w:gridCol w:w="992"/>
        <w:gridCol w:w="917"/>
      </w:tblGrid>
      <w:tr>
        <w:trPr>
          <w:trHeight w:val="403" w:hRule="exact"/>
        </w:trPr>
        <w:tc>
          <w:tcPr>
            <w:tcW w:w="1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3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11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 w:type="dxa"/>
            <w:tcBorders>
              <w:top w:val="single" w:sz="4" w:space="0" w:color="000000"/>
              <w:left w:val="single" w:sz="4" w:space="0" w:color="000000"/>
              <w:bottom w:val="nil" w:sz="6" w:space="0" w:color="auto"/>
              <w:right w:val="single" w:sz="4" w:space="0" w:color="000000"/>
            </w:tcBorders>
            <w:shd w:val="clear" w:color="auto" w:fill="D2D2D2"/>
          </w:tcPr>
          <w:p>
            <w:pP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1" w:right="79"/>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0"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821" w:type="dxa"/>
            <w:vMerge/>
            <w:tcBorders>
              <w:left w:val="single" w:sz="4" w:space="0" w:color="000000"/>
              <w:bottom w:val="nil" w:sz="6" w:space="0" w:color="auto"/>
              <w:right w:val="single" w:sz="4" w:space="0" w:color="000000"/>
            </w:tcBorders>
            <w:shd w:val="clear" w:color="auto" w:fill="D2D2D2"/>
          </w:tcPr>
          <w:p>
            <w:pPr/>
          </w:p>
        </w:tc>
        <w:tc>
          <w:tcPr>
            <w:tcW w:w="11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533"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99"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1144" w:type="dxa"/>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21" w:type="dxa"/>
            <w:vMerge/>
            <w:tcBorders>
              <w:left w:val="single" w:sz="4" w:space="0" w:color="000000"/>
              <w:bottom w:val="single" w:sz="4" w:space="0" w:color="000000"/>
              <w:right w:val="single" w:sz="4" w:space="0" w:color="000000"/>
            </w:tcBorders>
            <w:shd w:val="clear" w:color="auto" w:fill="D2D2D2"/>
          </w:tcPr>
          <w:p>
            <w:pPr/>
          </w:p>
        </w:tc>
        <w:tc>
          <w:tcPr>
            <w:tcW w:w="11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 w:type="dxa"/>
            <w:tcBorders>
              <w:top w:val="nil" w:sz="6" w:space="0" w:color="auto"/>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72,435,468</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46.43%</w:t>
            </w:r>
          </w:p>
        </w:tc>
        <w:tc>
          <w:tcPr>
            <w:tcW w:w="5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-28,079,652</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-28,079,652</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44,355,816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28.43%</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17,034,436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10.92%</w:t>
            </w:r>
          </w:p>
        </w:tc>
        <w:tc>
          <w:tcPr>
            <w:tcW w:w="5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-17,034,436</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-17,034,436</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52,873,031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33.89%</w:t>
            </w:r>
          </w:p>
        </w:tc>
        <w:tc>
          <w:tcPr>
            <w:tcW w:w="5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-8,517,215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-8,517,215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44,355,816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28.43%</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8,517,215</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w:t>
            </w:r>
          </w:p>
        </w:tc>
        <w:tc>
          <w:tcPr>
            <w:tcW w:w="5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-8,517,215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-8,517,215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44,355,816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28.43%</w:t>
            </w:r>
          </w:p>
        </w:tc>
        <w:tc>
          <w:tcPr>
            <w:tcW w:w="5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44,355,816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28.43%</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2,528,001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w:t>
            </w:r>
          </w:p>
        </w:tc>
        <w:tc>
          <w:tcPr>
            <w:tcW w:w="5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-2,528,001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-2,528,001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83,564,532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53.57%</w:t>
            </w:r>
          </w:p>
        </w:tc>
        <w:tc>
          <w:tcPr>
            <w:tcW w:w="5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28,079,652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28,079,652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111,644,184</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71.57%</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83,564,532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53.57%</w:t>
            </w:r>
          </w:p>
        </w:tc>
        <w:tc>
          <w:tcPr>
            <w:tcW w:w="5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28,079,652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28,079,652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111,644,184</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71.57%</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5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156,000,000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line="357" w:lineRule="auto" w:before="49"/>
        <w:ind w:left="152" w:right="8154" w:firstLine="0"/>
        <w:jc w:val="left"/>
        <w:rPr>
          <w:rFonts w:ascii="宋体" w:hAnsi="宋体" w:cs="宋体" w:eastAsia="宋体" w:hint="default"/>
          <w:sz w:val="18"/>
          <w:szCs w:val="18"/>
        </w:rPr>
      </w:pPr>
      <w:r>
        <w:rPr>
          <w:rFonts w:ascii="宋体" w:hAnsi="宋体" w:cs="宋体" w:eastAsia="宋体" w:hint="default"/>
          <w:sz w:val="18"/>
          <w:szCs w:val="18"/>
        </w:rPr>
        <w:t>股份变动的原因 股份变动的批准情况</w:t>
      </w:r>
    </w:p>
    <w:p>
      <w:pPr>
        <w:spacing w:line="340" w:lineRule="auto" w:before="29"/>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before="3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40"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30,336,583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30,336,583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2013.11.5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北京科桥投资顾 问有限公司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15,738,228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15,738,228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2012.11.5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上海兴烨创业投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5,678,144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5,678,144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2012.11.5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上海正同创业投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2,839,071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2,839,071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2012.11.5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张香计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5,153,742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5,153,742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4,743,157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4,743,157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4,122,334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4,122,334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邢金生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1,600,185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2012.11.23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马越超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1,136,713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1,091,617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2012.11.23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全国社会保障基 金理事会转持三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1,296,208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2012.11.5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72,435,468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28,243,453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44,355,816</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5"/>
              <w:jc w:val="righ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4"/>
        <w:gridCol w:w="1365"/>
        <w:gridCol w:w="1378"/>
        <w:gridCol w:w="1362"/>
        <w:gridCol w:w="1368"/>
        <w:gridCol w:w="1365"/>
        <w:gridCol w:w="1372"/>
      </w:tblGrid>
      <w:tr>
        <w:trPr>
          <w:trHeight w:val="406"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78"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18,451</w:t>
            </w:r>
          </w:p>
        </w:tc>
        <w:tc>
          <w:tcPr>
            <w:tcW w:w="40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20,691</w:t>
            </w:r>
          </w:p>
        </w:tc>
      </w:tr>
      <w:tr>
        <w:trPr>
          <w:trHeight w:val="39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09" w:hRule="exact"/>
        </w:trPr>
        <w:tc>
          <w:tcPr>
            <w:tcW w:w="13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30"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5"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3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5" w:type="dxa"/>
            <w:vMerge/>
            <w:tcBorders>
              <w:left w:val="single" w:sz="4" w:space="0" w:color="000000"/>
              <w:bottom w:val="single" w:sz="4" w:space="0" w:color="000000"/>
              <w:right w:val="single" w:sz="4" w:space="0" w:color="000000"/>
            </w:tcBorders>
            <w:shd w:val="clear" w:color="auto" w:fill="D2D2D2"/>
          </w:tcPr>
          <w:p>
            <w:pPr/>
          </w:p>
        </w:tc>
        <w:tc>
          <w:tcPr>
            <w:tcW w:w="137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19.45%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30,336,583</w:t>
            </w:r>
          </w:p>
        </w:tc>
        <w:tc>
          <w:tcPr>
            <w:tcW w:w="1368"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8"/>
                <w:szCs w:val="18"/>
              </w:rPr>
            </w:pPr>
            <w:r>
              <w:rPr>
                <w:rFonts w:ascii="Times New Roman"/>
                <w:spacing w:val="-1"/>
                <w:sz w:val="18"/>
              </w:rPr>
              <w:t>30,336,583</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北京科桥投资顾 问有限公司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10.09%</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15,738,228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红塔创新投资股 份有限公司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6.97%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10,875,700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平安信托有限责 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睿富二 号</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4.94%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张香计</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5,153,742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5,153,742</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3.04%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4,743,157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4,743,157</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2.64%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4,122,334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4,122,334</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张兆新</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上海正同创业投 资有限公司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1.48%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2,305,171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邢金生</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1.03%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3" w:hRule="exact"/>
        </w:trPr>
        <w:tc>
          <w:tcPr>
            <w:tcW w:w="27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062"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728" w:type="dxa"/>
            <w:gridSpan w:val="2"/>
            <w:vMerge/>
            <w:tcBorders>
              <w:left w:val="single" w:sz="4" w:space="0" w:color="000000"/>
              <w:bottom w:val="single" w:sz="4" w:space="0" w:color="000000"/>
              <w:right w:val="single" w:sz="4" w:space="0" w:color="000000"/>
            </w:tcBorders>
            <w:shd w:val="clear" w:color="auto" w:fill="D2D2D2"/>
          </w:tcPr>
          <w:p>
            <w:pPr/>
          </w:p>
        </w:tc>
        <w:tc>
          <w:tcPr>
            <w:tcW w:w="4108" w:type="dxa"/>
            <w:gridSpan w:val="3"/>
            <w:vMerge/>
            <w:tcBorders>
              <w:left w:val="single" w:sz="4" w:space="0" w:color="000000"/>
              <w:bottom w:val="single" w:sz="4" w:space="0" w:color="000000"/>
              <w:right w:val="single" w:sz="4" w:space="0" w:color="000000"/>
            </w:tcBorders>
            <w:shd w:val="clear" w:color="auto" w:fill="D2D2D2"/>
          </w:tcPr>
          <w:p>
            <w:pP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北京科桥投资顾问有限公司</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15,738,228</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15,738,228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732"/>
        <w:gridCol w:w="4104"/>
        <w:gridCol w:w="1369"/>
        <w:gridCol w:w="1368"/>
      </w:tblGrid>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红塔创新投资股份有限公司</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10,875,700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10,875,700</w:t>
            </w:r>
          </w:p>
        </w:tc>
      </w:tr>
      <w:tr>
        <w:trPr>
          <w:trHeight w:val="7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6"/>
              <w:jc w:val="left"/>
              <w:rPr>
                <w:rFonts w:ascii="宋体" w:hAnsi="宋体" w:cs="宋体" w:eastAsia="宋体" w:hint="default"/>
                <w:sz w:val="18"/>
                <w:szCs w:val="18"/>
              </w:rPr>
            </w:pPr>
            <w:r>
              <w:rPr>
                <w:rFonts w:ascii="宋体" w:hAnsi="宋体" w:cs="宋体" w:eastAsia="宋体" w:hint="default"/>
                <w:sz w:val="18"/>
                <w:szCs w:val="18"/>
              </w:rPr>
              <w:t>平安信托有限责任公司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睿富二 号</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7,710,000</w:t>
            </w: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张兆新</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3,121,854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3,121,854</w:t>
            </w:r>
          </w:p>
        </w:tc>
      </w:tr>
      <w:tr>
        <w:trPr>
          <w:trHeight w:val="40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上海正同创业投资有限公司</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2,305,171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2,305,171</w:t>
            </w: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邢金生</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1,600,185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1,600,185</w:t>
            </w:r>
          </w:p>
        </w:tc>
      </w:tr>
      <w:tr>
        <w:trPr>
          <w:trHeight w:val="40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赵晶</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1,435,791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1,435,791</w:t>
            </w: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马越超</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1,091,617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1,091,617</w:t>
            </w:r>
          </w:p>
        </w:tc>
      </w:tr>
      <w:tr>
        <w:trPr>
          <w:trHeight w:val="40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张家法</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860,067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860,067</w:t>
            </w: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吴艳茹</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828,664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828,664</w:t>
            </w:r>
          </w:p>
        </w:tc>
      </w:tr>
      <w:tr>
        <w:trPr>
          <w:trHeight w:val="715" w:hRule="exact"/>
        </w:trPr>
        <w:tc>
          <w:tcPr>
            <w:tcW w:w="2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公司前十名股东中，李玉国、张香计、范朝、陈荣强为一致行动人。公司未知前十名无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限售股东之间是否存在关联关系，也未知是否属于一致行动人。</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ind w:right="0" w:firstLine="420"/>
        <w:jc w:val="left"/>
      </w:pPr>
      <w:r>
        <w:rPr/>
        <w:t>本公司控股股东及实际控制人为自然人李玉国先生，中国公民，无境外居留权，身份证号码为</w:t>
      </w:r>
      <w:r>
        <w:rPr>
          <w:w w:val="100"/>
        </w:rPr>
        <w:t> </w:t>
      </w:r>
      <w:r>
        <w:rPr>
          <w:rFonts w:ascii="Times New Roman" w:hAnsi="Times New Roman" w:cs="Times New Roman" w:eastAsia="Times New Roman" w:hint="default"/>
          <w:spacing w:val="-2"/>
        </w:rPr>
        <w:t>13010419610119****</w:t>
      </w:r>
      <w:r>
        <w:rPr>
          <w:spacing w:val="-2"/>
        </w:rPr>
        <w:t>，为本公司的主要发起人，现任本公司董事长、总经理。目前直接持有本公司</w:t>
      </w:r>
      <w:r>
        <w:rPr>
          <w:rFonts w:ascii="Times New Roman" w:hAnsi="Times New Roman" w:cs="Times New Roman" w:eastAsia="Times New Roman" w:hint="default"/>
          <w:spacing w:val="-2"/>
        </w:rPr>
        <w:t>19.45%</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的股份。</w:t>
      </w:r>
    </w:p>
    <w:p>
      <w:pPr>
        <w:pStyle w:val="BodyText"/>
        <w:spacing w:line="256" w:lineRule="auto" w:before="16"/>
        <w:ind w:right="0" w:firstLine="420"/>
        <w:jc w:val="left"/>
      </w:pPr>
      <w:r>
        <w:rPr/>
        <w:t>李玉国先生</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7</w:t>
      </w:r>
      <w:r>
        <w:rPr/>
        <w:t>月创立河北先河科技发展有限公司（本公司前身），任董事长、总经理，公司整</w:t>
      </w:r>
      <w:r>
        <w:rPr>
          <w:w w:val="100"/>
        </w:rPr>
        <w:t> </w:t>
      </w:r>
      <w:r>
        <w:rPr>
          <w:spacing w:val="-7"/>
        </w:rPr>
        <w:t>体发展战略的规划者，曾主持</w:t>
      </w:r>
      <w:r>
        <w:rPr>
          <w:rFonts w:ascii="Times New Roman" w:hAnsi="Times New Roman" w:cs="Times New Roman" w:eastAsia="Times New Roman" w:hint="default"/>
          <w:spacing w:val="-7"/>
        </w:rPr>
        <w:t>“</w:t>
      </w:r>
      <w:r>
        <w:rPr>
          <w:spacing w:val="-7"/>
        </w:rPr>
        <w:t>粉尘测量仪检定装置</w:t>
      </w: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w:t>
      </w:r>
      <w:r>
        <w:rPr>
          <w:spacing w:val="-7"/>
        </w:rPr>
        <w:t>粮食水分测量仪标准装置</w:t>
      </w: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w:t>
      </w:r>
      <w:r>
        <w:rPr>
          <w:spacing w:val="-7"/>
        </w:rPr>
        <w:t>系列粉尘采样器</w:t>
      </w: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w:t>
      </w:r>
      <w:r>
        <w:rPr>
          <w:spacing w:val="-7"/>
        </w:rPr>
        <w:t>全</w:t>
      </w:r>
      <w:r>
        <w:rPr>
          <w:spacing w:val="-19"/>
        </w:rPr>
        <w:t> </w:t>
      </w:r>
      <w:r>
        <w:rPr>
          <w:spacing w:val="-2"/>
        </w:rPr>
        <w:t>自动烟尘测试仪</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智能</w:t>
      </w:r>
      <w:r>
        <w:rPr>
          <w:rFonts w:ascii="Times New Roman" w:hAnsi="Times New Roman" w:cs="Times New Roman" w:eastAsia="Times New Roman" w:hint="default"/>
          <w:spacing w:val="-2"/>
        </w:rPr>
        <w:t>TSP</w:t>
      </w:r>
      <w:r>
        <w:rPr>
          <w:spacing w:val="-2"/>
        </w:rPr>
        <w:t>采样器</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污水</w:t>
      </w:r>
      <w:r>
        <w:rPr>
          <w:rFonts w:ascii="Times New Roman" w:hAnsi="Times New Roman" w:cs="Times New Roman" w:eastAsia="Times New Roman" w:hint="default"/>
          <w:spacing w:val="-2"/>
        </w:rPr>
        <w:t>COD</w:t>
      </w:r>
      <w:r>
        <w:rPr>
          <w:spacing w:val="-2"/>
        </w:rPr>
        <w:t>在线自动监测系统</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城市空气质量连续自动监测系统</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7"/>
        </w:rPr>
        <w:t> </w:t>
      </w:r>
      <w:r>
        <w:rPr>
          <w:spacing w:val="-4"/>
        </w:rPr>
        <w:t>等多项国家级科研项目；河北省有突出贡献中青年专家；</w:t>
      </w:r>
      <w:r>
        <w:rPr>
          <w:rFonts w:ascii="Times New Roman" w:hAnsi="Times New Roman" w:cs="Times New Roman" w:eastAsia="Times New Roman" w:hint="default"/>
          <w:spacing w:val="-4"/>
        </w:rPr>
        <w:t>“</w:t>
      </w:r>
      <w:r>
        <w:rPr>
          <w:spacing w:val="-4"/>
        </w:rPr>
        <w:t>八五国家技术创新优秀项目奖</w:t>
      </w:r>
      <w:r>
        <w:rPr>
          <w:rFonts w:ascii="Times New Roman" w:hAnsi="Times New Roman" w:cs="Times New Roman" w:eastAsia="Times New Roman" w:hint="default"/>
          <w:spacing w:val="-4"/>
        </w:rPr>
        <w:t>”</w:t>
      </w:r>
      <w:r>
        <w:rPr>
          <w:spacing w:val="-4"/>
        </w:rPr>
        <w:t>获得者；</w:t>
      </w:r>
      <w:r>
        <w:rPr>
          <w:rFonts w:ascii="Times New Roman" w:hAnsi="Times New Roman" w:cs="Times New Roman" w:eastAsia="Times New Roman" w:hint="default"/>
          <w:spacing w:val="-4"/>
        </w:rPr>
        <w:t>“</w:t>
      </w:r>
      <w:r>
        <w:rPr>
          <w:spacing w:val="-4"/>
        </w:rPr>
        <w:t>河北省</w:t>
      </w:r>
      <w:r>
        <w:rPr>
          <w:spacing w:val="-13"/>
        </w:rPr>
        <w:t> </w:t>
      </w:r>
      <w:r>
        <w:rPr>
          <w:spacing w:val="-13"/>
        </w:rPr>
      </w:r>
      <w:r>
        <w:rPr/>
        <w:t>青年科技奖</w:t>
      </w:r>
      <w:r>
        <w:rPr>
          <w:rFonts w:ascii="Times New Roman" w:hAnsi="Times New Roman" w:cs="Times New Roman" w:eastAsia="Times New Roman" w:hint="default"/>
        </w:rPr>
        <w:t>”</w:t>
      </w:r>
      <w:r>
        <w:rPr/>
        <w:t>获得者；九五国家科技攻关先进个人；中国环保产业突出贡献奖获得者；中国环保产业协会</w:t>
      </w:r>
      <w:r>
        <w:rPr>
          <w:w w:val="100"/>
        </w:rPr>
        <w:t> </w:t>
      </w:r>
      <w:r>
        <w:rPr/>
        <w:t>监测仪器专业委员会副主任；河北省首届环保十大杰出人物；中国环保产业协会副会长。</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7"/>
        <w:rPr>
          <w:rFonts w:ascii="宋体" w:hAnsi="宋体" w:cs="宋体" w:eastAsia="宋体" w:hint="default"/>
          <w:b/>
          <w:bCs/>
          <w:sz w:val="24"/>
          <w:szCs w:val="24"/>
        </w:rPr>
      </w:pPr>
    </w:p>
    <w:p>
      <w:pPr>
        <w:pStyle w:val="BodyText"/>
        <w:spacing w:line="307" w:lineRule="auto"/>
        <w:ind w:right="3834"/>
        <w:jc w:val="left"/>
      </w:pPr>
      <w:r>
        <w:rPr>
          <w:spacing w:val="-2"/>
        </w:rPr>
        <w:t>本公司控股股东及实际控制人为自然人李玉国先生。</w:t>
      </w:r>
      <w:r>
        <w:rPr>
          <w:spacing w:val="-62"/>
        </w:rPr>
        <w:t> </w:t>
      </w:r>
      <w:r>
        <w:rPr>
          <w:spacing w:val="-62"/>
        </w:rPr>
      </w:r>
      <w:r>
        <w:rPr/>
        <w:t>公司与实际控制人之间的产权及控制关系的方框图</w:t>
      </w:r>
    </w:p>
    <w:p>
      <w:pPr>
        <w:spacing w:after="0" w:line="307"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p>
      <w:pPr>
        <w:spacing w:line="3697" w:lineRule="exact"/>
        <w:ind w:left="1756"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4082166" cy="234772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4082166" cy="2347722"/>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4"/>
        <w:rPr>
          <w:rFonts w:ascii="宋体" w:hAnsi="宋体" w:cs="宋体" w:eastAsia="宋体" w:hint="default"/>
          <w:sz w:val="12"/>
          <w:szCs w:val="12"/>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182"/>
        <w:gridCol w:w="1095"/>
        <w:gridCol w:w="888"/>
        <w:gridCol w:w="1800"/>
        <w:gridCol w:w="1801"/>
        <w:gridCol w:w="1802"/>
      </w:tblGrid>
      <w:tr>
        <w:trPr>
          <w:trHeight w:val="715"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0" w:right="83" w:hanging="632"/>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1025"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北京科桥投资顾问有限公 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李爱庆</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67425090-3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4"/>
              <w:jc w:val="both"/>
              <w:rPr>
                <w:rFonts w:ascii="宋体" w:hAnsi="宋体" w:cs="宋体" w:eastAsia="宋体" w:hint="default"/>
                <w:sz w:val="18"/>
                <w:szCs w:val="18"/>
              </w:rPr>
            </w:pPr>
            <w:r>
              <w:rPr>
                <w:rFonts w:ascii="宋体" w:hAnsi="宋体" w:cs="宋体" w:eastAsia="宋体" w:hint="default"/>
                <w:sz w:val="18"/>
                <w:szCs w:val="18"/>
              </w:rPr>
              <w:t>投资咨询，融资咨询， </w:t>
            </w:r>
            <w:r>
              <w:rPr>
                <w:rFonts w:ascii="宋体" w:hAnsi="宋体" w:cs="宋体" w:eastAsia="宋体" w:hint="default"/>
                <w:spacing w:val="-6"/>
                <w:sz w:val="18"/>
                <w:szCs w:val="18"/>
              </w:rPr>
              <w:t>财务顾问，企业管理咨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询。</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名有限售条件股东持股数量及限售条件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1"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30,336,583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张香计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5,153,742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4,743,157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4,122,334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1679" w:right="0"/>
        <w:jc w:val="left"/>
        <w:rPr>
          <w:b w:val="0"/>
          <w:bCs w:val="0"/>
        </w:rPr>
      </w:pPr>
      <w:bookmarkStart w:name="_TOC_250003"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pict>
          <v:shape style="position:absolute;margin-left:408.553009pt;margin-top:97.415596pt;width:56.7pt;height:15.6pt;mso-position-horizontal-relative:page;mso-position-vertical-relative:paragraph;z-index:-66671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pict>
          <v:shape style="position:absolute;margin-left:476.983002pt;margin-top:99.461601pt;width:57.75pt;height:31.25pt;mso-position-horizontal-relative:page;mso-position-vertical-relative:paragraph;z-index:-666688"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5"/>
        <w:gridCol w:w="684"/>
        <w:gridCol w:w="684"/>
        <w:gridCol w:w="682"/>
        <w:gridCol w:w="684"/>
        <w:gridCol w:w="684"/>
        <w:gridCol w:w="682"/>
        <w:gridCol w:w="684"/>
        <w:gridCol w:w="682"/>
        <w:gridCol w:w="684"/>
        <w:gridCol w:w="684"/>
      </w:tblGrid>
      <w:tr>
        <w:trPr>
          <w:trHeight w:val="1964"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7" w:right="65"/>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7"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3"/>
              <w:jc w:val="both"/>
              <w:rPr>
                <w:rFonts w:ascii="宋体" w:hAnsi="宋体" w:cs="宋体" w:eastAsia="宋体" w:hint="default"/>
                <w:sz w:val="18"/>
                <w:szCs w:val="18"/>
              </w:rPr>
            </w:pPr>
            <w:r>
              <w:rPr>
                <w:rFonts w:ascii="宋体" w:hAnsi="宋体" w:cs="宋体" w:eastAsia="宋体" w:hint="default"/>
                <w:sz w:val="18"/>
                <w:szCs w:val="18"/>
              </w:rPr>
              <w:t>其中： 被授予 的限制 性股票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 w:right="62" w:firstLine="43"/>
              <w:jc w:val="both"/>
              <w:rPr>
                <w:rFonts w:ascii="宋体" w:hAnsi="宋体" w:cs="宋体" w:eastAsia="宋体" w:hint="default"/>
                <w:sz w:val="18"/>
                <w:szCs w:val="18"/>
              </w:rPr>
            </w:pPr>
            <w:r>
              <w:rPr>
                <w:rFonts w:ascii="宋体" w:hAnsi="宋体" w:cs="宋体" w:eastAsia="宋体" w:hint="default"/>
                <w:sz w:val="18"/>
                <w:szCs w:val="18"/>
              </w:rPr>
              <w:t>期末持 有股票 期权数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5"/>
              <w:jc w:val="left"/>
              <w:rPr>
                <w:rFonts w:ascii="宋体" w:hAnsi="宋体" w:cs="宋体" w:eastAsia="宋体" w:hint="default"/>
                <w:sz w:val="18"/>
                <w:szCs w:val="18"/>
              </w:rPr>
            </w:pPr>
            <w:r>
              <w:rPr>
                <w:rFonts w:ascii="宋体" w:hAnsi="宋体" w:cs="宋体" w:eastAsia="宋体" w:hint="default"/>
                <w:sz w:val="18"/>
                <w:szCs w:val="18"/>
              </w:rPr>
              <w:t>董事 长、总 经理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30,336,</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583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30,336,</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583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张香计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5"/>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5"/>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4,743,1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4,743,1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4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5"/>
              <w:jc w:val="both"/>
              <w:rPr>
                <w:rFonts w:ascii="宋体" w:hAnsi="宋体" w:cs="宋体" w:eastAsia="宋体" w:hint="default"/>
                <w:sz w:val="18"/>
                <w:szCs w:val="18"/>
              </w:rPr>
            </w:pPr>
            <w:r>
              <w:rPr>
                <w:rFonts w:ascii="宋体" w:hAnsi="宋体" w:cs="宋体" w:eastAsia="宋体" w:hint="default"/>
                <w:sz w:val="18"/>
                <w:szCs w:val="18"/>
              </w:rPr>
              <w:t>董事、 副总经 理、财 务总监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闫荣城</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闫成德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庞贵永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马越超</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1,137,6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1,091,6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股票减</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5"/>
        <w:gridCol w:w="684"/>
        <w:gridCol w:w="684"/>
        <w:gridCol w:w="682"/>
        <w:gridCol w:w="684"/>
        <w:gridCol w:w="684"/>
        <w:gridCol w:w="682"/>
        <w:gridCol w:w="684"/>
        <w:gridCol w:w="682"/>
        <w:gridCol w:w="684"/>
        <w:gridCol w:w="684"/>
      </w:tblGrid>
      <w:tr>
        <w:trPr>
          <w:trHeight w:val="675"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17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17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持</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吴巍</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85"/>
              <w:jc w:val="righ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杜新平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85"/>
              <w:jc w:val="righ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85"/>
              <w:jc w:val="righ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85"/>
              <w:jc w:val="righ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付国印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祖鹏飞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5"/>
              <w:jc w:val="both"/>
              <w:rPr>
                <w:rFonts w:ascii="宋体" w:hAnsi="宋体" w:cs="宋体" w:eastAsia="宋体" w:hint="default"/>
                <w:sz w:val="18"/>
                <w:szCs w:val="18"/>
              </w:rPr>
            </w:pPr>
            <w:r>
              <w:rPr>
                <w:rFonts w:ascii="宋体" w:hAnsi="宋体" w:cs="宋体" w:eastAsia="宋体" w:hint="default"/>
                <w:sz w:val="18"/>
                <w:szCs w:val="18"/>
              </w:rPr>
              <w:t>副总经 理、董 事会秘 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邢金生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254,866</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107"/>
              <w:jc w:val="left"/>
              <w:rPr>
                <w:rFonts w:ascii="宋体" w:hAnsi="宋体" w:cs="宋体" w:eastAsia="宋体" w:hint="default"/>
                <w:sz w:val="18"/>
                <w:szCs w:val="18"/>
              </w:rPr>
            </w:pPr>
            <w:r>
              <w:rPr>
                <w:rFonts w:ascii="宋体" w:hAnsi="宋体" w:cs="宋体" w:eastAsia="宋体" w:hint="default"/>
                <w:sz w:val="18"/>
                <w:szCs w:val="18"/>
              </w:rPr>
              <w:t>股票减 持</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刘月田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47,348,</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484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300,866</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47,047,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618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101"/>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Heading3"/>
        <w:spacing w:line="240" w:lineRule="auto" w:before="83"/>
        <w:ind w:right="101"/>
        <w:jc w:val="left"/>
        <w:rPr>
          <w:b w:val="0"/>
          <w:bCs w:val="0"/>
        </w:rPr>
      </w:pPr>
      <w:r>
        <w:rPr>
          <w:rFonts w:ascii="宋体" w:hAnsi="宋体" w:cs="宋体" w:eastAsia="宋体" w:hint="default"/>
        </w:rPr>
        <w:t>1</w:t>
      </w:r>
      <w:r>
        <w:rPr/>
        <w:t>、董事</w:t>
      </w:r>
      <w:r>
        <w:rPr>
          <w:b w:val="0"/>
          <w:bCs w:val="0"/>
        </w:rPr>
      </w:r>
    </w:p>
    <w:p>
      <w:pPr>
        <w:pStyle w:val="BodyText"/>
        <w:spacing w:line="273" w:lineRule="auto" w:before="37"/>
        <w:ind w:right="180" w:firstLine="422"/>
        <w:jc w:val="both"/>
      </w:pPr>
      <w:r>
        <w:rPr>
          <w:rFonts w:ascii="宋体" w:hAnsi="宋体" w:cs="宋体" w:eastAsia="宋体" w:hint="default"/>
          <w:b/>
          <w:bCs/>
          <w:spacing w:val="-2"/>
        </w:rPr>
        <w:t>李玉国：</w:t>
      </w:r>
      <w:r>
        <w:rPr>
          <w:spacing w:val="-2"/>
        </w:rPr>
        <w:t>男，</w:t>
      </w:r>
      <w:r>
        <w:rPr>
          <w:rFonts w:ascii="宋体" w:hAnsi="宋体" w:cs="宋体" w:eastAsia="宋体" w:hint="default"/>
          <w:spacing w:val="-2"/>
        </w:rPr>
        <w:t>1961</w:t>
      </w:r>
      <w:r>
        <w:rPr>
          <w:spacing w:val="-2"/>
        </w:rPr>
        <w:t>年生，中国国籍，本科学历，教授级高级工程师，河北省政协委员。公司创始人，</w:t>
      </w:r>
      <w:r>
        <w:rPr>
          <w:w w:val="100"/>
        </w:rPr>
        <w:t> </w:t>
      </w:r>
      <w:r>
        <w:rPr/>
        <w:t>从业</w:t>
      </w:r>
      <w:r>
        <w:rPr>
          <w:rFonts w:ascii="宋体" w:hAnsi="宋体" w:cs="宋体" w:eastAsia="宋体" w:hint="default"/>
        </w:rPr>
        <w:t>20</w:t>
      </w:r>
      <w:r>
        <w:rPr/>
        <w:t>余年。先后担任河北省计量测试研究所副所长、河北省环境计量技术研究中心主任。</w:t>
      </w:r>
      <w:r>
        <w:rPr>
          <w:rFonts w:ascii="宋体" w:hAnsi="宋体" w:cs="宋体" w:eastAsia="宋体" w:hint="default"/>
        </w:rPr>
        <w:t>1996</w:t>
      </w:r>
      <w:r>
        <w:rPr/>
        <w:t>年</w:t>
      </w:r>
      <w:r>
        <w:rPr>
          <w:rFonts w:ascii="宋体" w:hAnsi="宋体" w:cs="宋体" w:eastAsia="宋体" w:hint="default"/>
        </w:rPr>
        <w:t>7</w:t>
      </w:r>
      <w:r>
        <w:rPr/>
        <w:t>月创</w:t>
      </w:r>
      <w:r>
        <w:rPr>
          <w:spacing w:val="-24"/>
        </w:rPr>
        <w:t> </w:t>
      </w:r>
      <w:r>
        <w:rPr>
          <w:spacing w:val="-2"/>
        </w:rPr>
        <w:t>立河北先河科技发展有限公司，任董事长、总经理，公司整体发展战略的规划者，曾主持“粉尘测量仪检</w:t>
      </w:r>
    </w:p>
    <w:p>
      <w:pPr>
        <w:pStyle w:val="BodyText"/>
        <w:spacing w:line="273" w:lineRule="auto" w:before="7"/>
        <w:ind w:right="101"/>
        <w:jc w:val="left"/>
      </w:pPr>
      <w:r>
        <w:rPr/>
        <w:t>定装置”、“粮食水分测量仪标准装置”、“系列粉尘采样器”、“全自动烟尘测试仪”、“智能</w:t>
      </w:r>
      <w:r>
        <w:rPr>
          <w:rFonts w:ascii="宋体" w:hAnsi="宋体" w:cs="宋体" w:eastAsia="宋体" w:hint="default"/>
        </w:rPr>
        <w:t>TSP</w:t>
      </w:r>
      <w:r>
        <w:rPr/>
        <w:t>采</w:t>
      </w:r>
      <w:r>
        <w:rPr>
          <w:spacing w:val="-25"/>
        </w:rPr>
        <w:t> </w:t>
      </w:r>
      <w:r>
        <w:rPr/>
        <w:t>样器”、“污水</w:t>
      </w:r>
      <w:r>
        <w:rPr>
          <w:rFonts w:ascii="宋体" w:hAnsi="宋体" w:cs="宋体" w:eastAsia="宋体" w:hint="default"/>
        </w:rPr>
        <w:t>COD</w:t>
      </w:r>
      <w:r>
        <w:rPr/>
        <w:t>在线自动监测系统”和“城市空气质量连续自动监测系统”等多项国家级科研项目；</w:t>
      </w:r>
    </w:p>
    <w:p>
      <w:pPr>
        <w:pStyle w:val="BodyText"/>
        <w:spacing w:line="273" w:lineRule="auto" w:before="7"/>
        <w:ind w:right="101"/>
        <w:jc w:val="left"/>
      </w:pPr>
      <w:r>
        <w:rPr>
          <w:spacing w:val="-5"/>
        </w:rPr>
        <w:t>河北省有突出贡献中青年专家；“八五国家技术创新优秀项目奖”获得者；“河北省青年科技奖”获得者；</w:t>
      </w:r>
      <w:r>
        <w:rPr>
          <w:spacing w:val="-3"/>
        </w:rPr>
        <w:t> </w:t>
      </w:r>
      <w:r>
        <w:rPr>
          <w:spacing w:val="-3"/>
        </w:rPr>
      </w:r>
      <w:r>
        <w:rPr>
          <w:spacing w:val="-2"/>
        </w:rPr>
        <w:t>九五国家科技攻关先进个人；中国环保产业突出贡献奖获得者；中国环保产业协会监测仪器专业委员会副</w:t>
      </w:r>
    </w:p>
    <w:p>
      <w:pPr>
        <w:spacing w:after="0" w:line="273"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206"/>
        <w:jc w:val="left"/>
      </w:pPr>
      <w:r>
        <w:rPr>
          <w:spacing w:val="-2"/>
        </w:rPr>
        <w:t>主任；河北省首届环保十大杰出人物；中国环保产业协会副会长。现任公司董事长、总经理，任期</w:t>
      </w:r>
      <w:r>
        <w:rPr>
          <w:rFonts w:ascii="宋体" w:hAnsi="宋体" w:cs="宋体" w:eastAsia="宋体" w:hint="default"/>
          <w:spacing w:val="-2"/>
        </w:rPr>
        <w:t>2012</w:t>
      </w:r>
      <w:r>
        <w:rPr>
          <w:spacing w:val="-2"/>
        </w:rPr>
        <w:t>年</w:t>
      </w:r>
      <w:r>
        <w:rPr>
          <w:spacing w:val="-39"/>
        </w:rPr>
        <w:t> </w:t>
      </w:r>
      <w:r>
        <w:rPr>
          <w:rFonts w:ascii="宋体" w:hAnsi="宋体" w:cs="宋体" w:eastAsia="宋体" w:hint="default"/>
        </w:rPr>
        <w:t>5</w:t>
      </w:r>
      <w:r>
        <w:rPr/>
        <w:t>月</w:t>
      </w:r>
      <w:r>
        <w:rPr>
          <w:rFonts w:ascii="宋体" w:hAnsi="宋体" w:cs="宋体" w:eastAsia="宋体" w:hint="default"/>
        </w:rPr>
        <w:t>23</w:t>
      </w:r>
      <w:r>
        <w:rPr/>
        <w:t>日</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w:t>
      </w:r>
    </w:p>
    <w:p>
      <w:pPr>
        <w:pStyle w:val="BodyText"/>
        <w:spacing w:line="273" w:lineRule="auto" w:before="7"/>
        <w:ind w:right="103" w:firstLine="422"/>
        <w:jc w:val="left"/>
      </w:pPr>
      <w:r>
        <w:rPr>
          <w:rFonts w:ascii="宋体" w:hAnsi="宋体" w:cs="宋体" w:eastAsia="宋体" w:hint="default"/>
          <w:b/>
          <w:bCs/>
          <w:spacing w:val="-2"/>
        </w:rPr>
        <w:t>张香计：</w:t>
      </w:r>
      <w:r>
        <w:rPr>
          <w:spacing w:val="-2"/>
        </w:rPr>
        <w:t>男，</w:t>
      </w:r>
      <w:r>
        <w:rPr>
          <w:rFonts w:ascii="宋体" w:hAnsi="宋体" w:cs="宋体" w:eastAsia="宋体" w:hint="default"/>
          <w:spacing w:val="-2"/>
        </w:rPr>
        <w:t>1963</w:t>
      </w:r>
      <w:r>
        <w:rPr>
          <w:spacing w:val="-2"/>
        </w:rPr>
        <w:t>年生，中国国籍，电子测量技术专业，硕士学位，副教授。曾在河北建筑工程学院</w:t>
      </w:r>
      <w:r>
        <w:rPr>
          <w:w w:val="100"/>
        </w:rPr>
        <w:t> </w:t>
      </w:r>
      <w:r>
        <w:rPr>
          <w:spacing w:val="-2"/>
        </w:rPr>
        <w:t>任教，并任河北省建工学院应用研究所所长。先后主持过“微机粮食水分测试仪”省级课题和“污水在线</w:t>
      </w:r>
      <w:r>
        <w:rPr>
          <w:spacing w:val="-43"/>
        </w:rPr>
        <w:t> </w:t>
      </w:r>
      <w:r>
        <w:rPr>
          <w:spacing w:val="-43"/>
        </w:rPr>
      </w:r>
      <w:r>
        <w:rPr>
          <w:spacing w:val="-2"/>
        </w:rPr>
        <w:t>监测系统”等“九五”国家攻关课题的研发；参与酸雨采样器课题以及“烟气综合分析仪”等课题的研发</w:t>
      </w:r>
      <w:r>
        <w:rPr>
          <w:spacing w:val="-45"/>
        </w:rPr>
        <w:t> </w:t>
      </w:r>
      <w:r>
        <w:rPr>
          <w:spacing w:val="-45"/>
        </w:rPr>
      </w:r>
      <w:r>
        <w:rPr>
          <w:spacing w:val="-2"/>
        </w:rPr>
        <w:t>生产；获河北省科技进步奖两项，获专利</w:t>
      </w:r>
      <w:r>
        <w:rPr>
          <w:rFonts w:ascii="宋体" w:hAnsi="宋体" w:cs="宋体" w:eastAsia="宋体" w:hint="default"/>
          <w:spacing w:val="-2"/>
        </w:rPr>
        <w:t>5</w:t>
      </w:r>
      <w:r>
        <w:rPr>
          <w:spacing w:val="-2"/>
        </w:rPr>
        <w:t>项。近五年主要负责公司产品营销和市场开拓。现任公司董事、</w:t>
      </w:r>
      <w:r>
        <w:rPr>
          <w:spacing w:val="-44"/>
        </w:rPr>
        <w:t> </w:t>
      </w:r>
      <w:r>
        <w:rPr>
          <w:spacing w:val="-44"/>
        </w:rPr>
      </w:r>
      <w:r>
        <w:rPr/>
        <w:t>副总经理，任期</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23</w:t>
      </w:r>
      <w:r>
        <w:rPr/>
        <w:t>日</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w:t>
      </w:r>
    </w:p>
    <w:p>
      <w:pPr>
        <w:pStyle w:val="BodyText"/>
        <w:spacing w:line="273" w:lineRule="auto" w:before="7"/>
        <w:ind w:right="105" w:firstLine="422"/>
        <w:jc w:val="left"/>
      </w:pPr>
      <w:r>
        <w:rPr>
          <w:rFonts w:ascii="宋体" w:hAnsi="宋体" w:cs="宋体" w:eastAsia="宋体" w:hint="default"/>
          <w:b/>
          <w:bCs/>
          <w:spacing w:val="-2"/>
        </w:rPr>
        <w:t>范朝：</w:t>
      </w:r>
      <w:r>
        <w:rPr>
          <w:spacing w:val="-2"/>
        </w:rPr>
        <w:t>男，</w:t>
      </w:r>
      <w:r>
        <w:rPr>
          <w:rFonts w:ascii="宋体" w:hAnsi="宋体" w:cs="宋体" w:eastAsia="宋体" w:hint="default"/>
          <w:spacing w:val="-2"/>
        </w:rPr>
        <w:t>1968</w:t>
      </w:r>
      <w:r>
        <w:rPr>
          <w:spacing w:val="-2"/>
        </w:rPr>
        <w:t>年生，中国国籍，哈尔滨工业大学毕业，教授级高级工程师。曾任河北省环境计量技</w:t>
      </w:r>
      <w:r>
        <w:rPr>
          <w:w w:val="100"/>
        </w:rPr>
        <w:t> </w:t>
      </w:r>
      <w:r>
        <w:rPr>
          <w:spacing w:val="-5"/>
        </w:rPr>
        <w:t>术研究中心副主任。参与科研项目</w:t>
      </w:r>
      <w:r>
        <w:rPr>
          <w:rFonts w:ascii="宋体" w:hAnsi="宋体" w:cs="宋体" w:eastAsia="宋体" w:hint="default"/>
          <w:spacing w:val="-5"/>
        </w:rPr>
        <w:t>9</w:t>
      </w:r>
      <w:r>
        <w:rPr>
          <w:spacing w:val="-5"/>
        </w:rPr>
        <w:t>项，其中国家级项目</w:t>
      </w:r>
      <w:r>
        <w:rPr>
          <w:rFonts w:ascii="宋体" w:hAnsi="宋体" w:cs="宋体" w:eastAsia="宋体" w:hint="default"/>
          <w:spacing w:val="-5"/>
        </w:rPr>
        <w:t>3</w:t>
      </w:r>
      <w:r>
        <w:rPr>
          <w:spacing w:val="-5"/>
        </w:rPr>
        <w:t>项，省部级项目</w:t>
      </w:r>
      <w:r>
        <w:rPr>
          <w:rFonts w:ascii="宋体" w:hAnsi="宋体" w:cs="宋体" w:eastAsia="宋体" w:hint="default"/>
          <w:spacing w:val="-5"/>
        </w:rPr>
        <w:t>5</w:t>
      </w:r>
      <w:r>
        <w:rPr>
          <w:spacing w:val="-5"/>
        </w:rPr>
        <w:t>项。其中获各级科技进步奖</w:t>
      </w:r>
      <w:r>
        <w:rPr>
          <w:rFonts w:ascii="宋体" w:hAnsi="宋体" w:cs="宋体" w:eastAsia="宋体" w:hint="default"/>
          <w:spacing w:val="-5"/>
        </w:rPr>
        <w:t>6</w:t>
      </w:r>
      <w:r>
        <w:rPr>
          <w:spacing w:val="-5"/>
        </w:rPr>
        <w:t>项，</w:t>
      </w:r>
      <w:r>
        <w:rPr>
          <w:spacing w:val="-3"/>
        </w:rPr>
        <w:t> </w:t>
      </w:r>
      <w:r>
        <w:rPr/>
        <w:t>八五优秀技术创新项目奖</w:t>
      </w:r>
      <w:r>
        <w:rPr>
          <w:rFonts w:ascii="宋体" w:hAnsi="宋体" w:cs="宋体" w:eastAsia="宋体" w:hint="default"/>
        </w:rPr>
        <w:t>1</w:t>
      </w:r>
      <w:r>
        <w:rPr/>
        <w:t>项，九五国家科技攻关优秀成果奖</w:t>
      </w:r>
      <w:r>
        <w:rPr>
          <w:rFonts w:ascii="宋体" w:hAnsi="宋体" w:cs="宋体" w:eastAsia="宋体" w:hint="default"/>
        </w:rPr>
        <w:t>2</w:t>
      </w:r>
      <w:r>
        <w:rPr/>
        <w:t>项。国家级新产品</w:t>
      </w:r>
      <w:r>
        <w:rPr>
          <w:rFonts w:ascii="宋体" w:hAnsi="宋体" w:cs="宋体" w:eastAsia="宋体" w:hint="default"/>
        </w:rPr>
        <w:t>6</w:t>
      </w:r>
      <w:r>
        <w:rPr/>
        <w:t>项。起草企业标准</w:t>
      </w:r>
      <w:r>
        <w:rPr>
          <w:rFonts w:ascii="宋体" w:hAnsi="宋体" w:cs="宋体" w:eastAsia="宋体" w:hint="default"/>
        </w:rPr>
        <w:t>7</w:t>
      </w:r>
      <w:r>
        <w:rPr/>
        <w:t>项。</w:t>
      </w:r>
      <w:r>
        <w:rPr>
          <w:spacing w:val="-3"/>
          <w:w w:val="100"/>
        </w:rPr>
        <w:t> </w:t>
      </w:r>
      <w:r>
        <w:rPr/>
        <w:t>河北省有突出贡献中青年专家。近五年主要负责公司产品研发。现任公司董事、副总经理，任期</w:t>
      </w:r>
      <w:r>
        <w:rPr>
          <w:rFonts w:ascii="宋体" w:hAnsi="宋体" w:cs="宋体" w:eastAsia="宋体" w:hint="default"/>
        </w:rPr>
        <w:t>2012</w:t>
      </w:r>
      <w:r>
        <w:rPr/>
        <w:t>年</w:t>
      </w:r>
      <w:r>
        <w:rPr>
          <w:rFonts w:ascii="宋体" w:hAnsi="宋体" w:cs="宋体" w:eastAsia="宋体" w:hint="default"/>
        </w:rPr>
        <w:t>5</w:t>
      </w:r>
      <w:r>
        <w:rPr>
          <w:rFonts w:ascii="宋体" w:hAnsi="宋体" w:cs="宋体" w:eastAsia="宋体" w:hint="default"/>
          <w:spacing w:val="-23"/>
        </w:rPr>
        <w:t> </w:t>
      </w:r>
      <w:r>
        <w:rPr/>
        <w:t>月</w:t>
      </w:r>
      <w:r>
        <w:rPr>
          <w:rFonts w:ascii="宋体" w:hAnsi="宋体" w:cs="宋体" w:eastAsia="宋体" w:hint="default"/>
        </w:rPr>
        <w:t>23</w:t>
      </w:r>
      <w:r>
        <w:rPr/>
        <w:t>日</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w:t>
      </w:r>
    </w:p>
    <w:p>
      <w:pPr>
        <w:pStyle w:val="BodyText"/>
        <w:spacing w:line="273" w:lineRule="auto" w:before="8"/>
        <w:ind w:right="206" w:firstLine="422"/>
        <w:jc w:val="both"/>
      </w:pPr>
      <w:r>
        <w:rPr>
          <w:rFonts w:ascii="宋体" w:hAnsi="宋体" w:cs="宋体" w:eastAsia="宋体" w:hint="default"/>
          <w:b/>
          <w:bCs/>
          <w:spacing w:val="-2"/>
        </w:rPr>
        <w:t>陈荣强：</w:t>
      </w:r>
      <w:r>
        <w:rPr>
          <w:spacing w:val="-2"/>
        </w:rPr>
        <w:t>男，中国国籍，</w:t>
      </w:r>
      <w:r>
        <w:rPr>
          <w:rFonts w:ascii="宋体" w:hAnsi="宋体" w:cs="宋体" w:eastAsia="宋体" w:hint="default"/>
          <w:spacing w:val="-2"/>
        </w:rPr>
        <w:t>1968</w:t>
      </w:r>
      <w:r>
        <w:rPr>
          <w:spacing w:val="-2"/>
        </w:rPr>
        <w:t>年生，本科双学士，经济师。曾任石家庄物资贸易总公司北京期货部经</w:t>
      </w:r>
      <w:r>
        <w:rPr>
          <w:w w:val="100"/>
        </w:rPr>
        <w:t> </w:t>
      </w:r>
      <w:r>
        <w:rPr>
          <w:spacing w:val="-2"/>
        </w:rPr>
        <w:t>理，河北华正公路投资股份有限公司董事兼副总经理。近五年主要负责公司产品营销、市场开拓及公司财</w:t>
      </w:r>
      <w:r>
        <w:rPr>
          <w:spacing w:val="-43"/>
        </w:rPr>
        <w:t> </w:t>
      </w:r>
      <w:r>
        <w:rPr>
          <w:spacing w:val="-43"/>
        </w:rPr>
      </w:r>
      <w:r>
        <w:rPr/>
        <w:t>务工作，现任公司董事、副总经理、财务总监。任期自</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23</w:t>
      </w:r>
      <w:r>
        <w:rPr/>
        <w:t>日</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w:t>
      </w:r>
    </w:p>
    <w:p>
      <w:pPr>
        <w:pStyle w:val="BodyText"/>
        <w:spacing w:line="273" w:lineRule="auto" w:before="7"/>
        <w:ind w:right="206" w:firstLine="422"/>
        <w:jc w:val="both"/>
      </w:pPr>
      <w:r>
        <w:rPr>
          <w:rFonts w:ascii="宋体" w:hAnsi="宋体" w:cs="宋体" w:eastAsia="宋体" w:hint="default"/>
          <w:b/>
          <w:bCs/>
          <w:spacing w:val="-2"/>
        </w:rPr>
        <w:t>闫荣城：</w:t>
      </w:r>
      <w:r>
        <w:rPr>
          <w:spacing w:val="-2"/>
        </w:rPr>
        <w:t>男，中国国籍，</w:t>
      </w:r>
      <w:r>
        <w:rPr>
          <w:rFonts w:ascii="宋体" w:hAnsi="宋体" w:cs="宋体" w:eastAsia="宋体" w:hint="default"/>
          <w:spacing w:val="-2"/>
        </w:rPr>
        <w:t>1961</w:t>
      </w:r>
      <w:r>
        <w:rPr>
          <w:spacing w:val="-2"/>
        </w:rPr>
        <w:t>年生，研究生学历，中共党员、高级经济师、教授。曾任河北省经济体</w:t>
      </w:r>
      <w:r>
        <w:rPr>
          <w:w w:val="100"/>
        </w:rPr>
        <w:t> </w:t>
      </w:r>
      <w:r>
        <w:rPr>
          <w:spacing w:val="-2"/>
        </w:rPr>
        <w:t>制改革委员会体制改革研究所副所长、河北省体制改革委员会股份制试点办公室主任、河北省证券监督管</w:t>
      </w:r>
      <w:r>
        <w:rPr>
          <w:spacing w:val="-43"/>
        </w:rPr>
        <w:t> </w:t>
      </w:r>
      <w:r>
        <w:rPr>
          <w:spacing w:val="-43"/>
        </w:rPr>
      </w:r>
      <w:r>
        <w:rPr>
          <w:spacing w:val="-2"/>
        </w:rPr>
        <w:t>理办公室主任、河北省证券监督管理委员会上市处处长、中国证监会石家庄特派办上市处处长、河北经贸</w:t>
      </w:r>
      <w:r>
        <w:rPr>
          <w:spacing w:val="-44"/>
        </w:rPr>
        <w:t> </w:t>
      </w:r>
      <w:r>
        <w:rPr>
          <w:spacing w:val="-44"/>
        </w:rPr>
      </w:r>
      <w:r>
        <w:rPr/>
        <w:t>大学证券研究所所长，</w:t>
      </w:r>
      <w:r>
        <w:rPr>
          <w:rFonts w:ascii="宋体" w:hAnsi="宋体" w:cs="宋体" w:eastAsia="宋体" w:hint="default"/>
        </w:rPr>
        <w:t>2004.05</w:t>
      </w:r>
      <w:r>
        <w:rPr/>
        <w:t>—</w:t>
      </w:r>
      <w:r>
        <w:rPr>
          <w:rFonts w:ascii="宋体" w:hAnsi="宋体" w:cs="宋体" w:eastAsia="宋体" w:hint="default"/>
        </w:rPr>
        <w:t>2008.04</w:t>
      </w:r>
      <w:r>
        <w:rPr/>
        <w:t>任北京润通达投资顾问有限公司董事长，</w:t>
      </w:r>
      <w:r>
        <w:rPr>
          <w:rFonts w:ascii="宋体" w:hAnsi="宋体" w:cs="宋体" w:eastAsia="宋体" w:hint="default"/>
        </w:rPr>
        <w:t>2008.04</w:t>
      </w:r>
      <w:r>
        <w:rPr/>
        <w:t>至今任北京科</w:t>
      </w:r>
      <w:r>
        <w:rPr>
          <w:spacing w:val="-28"/>
        </w:rPr>
        <w:t> </w:t>
      </w:r>
      <w:r>
        <w:rPr>
          <w:spacing w:val="-28"/>
        </w:rPr>
      </w:r>
      <w:r>
        <w:rPr/>
        <w:t>桥投资顾问有限公司副董事长。现任公司董事，任期</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23</w:t>
      </w:r>
      <w:r>
        <w:rPr/>
        <w:t>日</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w:t>
      </w:r>
    </w:p>
    <w:p>
      <w:pPr>
        <w:pStyle w:val="BodyText"/>
        <w:spacing w:line="273" w:lineRule="auto" w:before="7"/>
        <w:ind w:right="100" w:firstLine="422"/>
        <w:jc w:val="left"/>
      </w:pPr>
      <w:r>
        <w:rPr>
          <w:rFonts w:ascii="宋体" w:hAnsi="宋体" w:cs="宋体" w:eastAsia="宋体" w:hint="default"/>
          <w:b/>
          <w:bCs/>
        </w:rPr>
        <w:t>董岩：</w:t>
      </w:r>
      <w:r>
        <w:rPr/>
        <w:t>男，中国国籍，</w:t>
      </w:r>
      <w:r>
        <w:rPr>
          <w:rFonts w:ascii="宋体" w:hAnsi="宋体" w:cs="宋体" w:eastAsia="宋体" w:hint="default"/>
        </w:rPr>
        <w:t>1975</w:t>
      </w:r>
      <w:r>
        <w:rPr/>
        <w:t>年出生，本科，</w:t>
      </w:r>
      <w:r>
        <w:rPr>
          <w:rFonts w:ascii="宋体" w:hAnsi="宋体" w:cs="宋体" w:eastAsia="宋体" w:hint="default"/>
        </w:rPr>
        <w:t>1997-1999</w:t>
      </w:r>
      <w:r>
        <w:rPr/>
        <w:t>任中国国际经济咨询公司项目经理，</w:t>
      </w:r>
      <w:r>
        <w:rPr>
          <w:rFonts w:ascii="宋体" w:hAnsi="宋体" w:cs="宋体" w:eastAsia="宋体" w:hint="default"/>
        </w:rPr>
        <w:t>1999-2001</w:t>
      </w:r>
      <w:r>
        <w:rPr>
          <w:rFonts w:ascii="宋体" w:hAnsi="宋体" w:cs="宋体" w:eastAsia="宋体" w:hint="default"/>
          <w:w w:val="100"/>
        </w:rPr>
        <w:t> </w:t>
      </w:r>
      <w:r>
        <w:rPr>
          <w:spacing w:val="-4"/>
        </w:rPr>
        <w:t>任清华同方股份有限公司审计部经理，</w:t>
      </w:r>
      <w:r>
        <w:rPr>
          <w:rFonts w:ascii="宋体" w:hAnsi="宋体" w:cs="宋体" w:eastAsia="宋体" w:hint="default"/>
          <w:spacing w:val="-4"/>
        </w:rPr>
        <w:t>2001</w:t>
      </w:r>
      <w:r>
        <w:rPr>
          <w:spacing w:val="-4"/>
        </w:rPr>
        <w:t>至今任红塔创新投资股份有限公司高级经理、投资部副总经理。</w:t>
      </w:r>
      <w:r>
        <w:rPr>
          <w:spacing w:val="-43"/>
        </w:rPr>
        <w:t> </w:t>
      </w:r>
      <w:r>
        <w:rPr>
          <w:spacing w:val="-43"/>
        </w:rPr>
      </w:r>
      <w:r>
        <w:rPr/>
        <w:t>现任公司董事，任期</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23</w:t>
      </w:r>
      <w:r>
        <w:rPr/>
        <w:t>日</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w:t>
      </w:r>
    </w:p>
    <w:p>
      <w:pPr>
        <w:pStyle w:val="BodyText"/>
        <w:spacing w:line="273" w:lineRule="auto" w:before="7"/>
        <w:ind w:right="206" w:firstLine="422"/>
        <w:jc w:val="both"/>
      </w:pPr>
      <w:r>
        <w:rPr>
          <w:rFonts w:ascii="宋体" w:hAnsi="宋体" w:cs="宋体" w:eastAsia="宋体" w:hint="default"/>
          <w:b/>
          <w:bCs/>
          <w:spacing w:val="-2"/>
        </w:rPr>
        <w:t>闫成德：</w:t>
      </w:r>
      <w:r>
        <w:rPr>
          <w:spacing w:val="-2"/>
        </w:rPr>
        <w:t>男，中国国籍，</w:t>
      </w:r>
      <w:r>
        <w:rPr>
          <w:rFonts w:ascii="宋体" w:hAnsi="宋体" w:cs="宋体" w:eastAsia="宋体" w:hint="default"/>
          <w:spacing w:val="-2"/>
        </w:rPr>
        <w:t>1938</w:t>
      </w:r>
      <w:r>
        <w:rPr>
          <w:spacing w:val="-2"/>
        </w:rPr>
        <w:t>年生，本科，研究员，曾任中科院计划财务局副局长、中科院机电进口</w:t>
      </w:r>
      <w:r>
        <w:rPr>
          <w:w w:val="100"/>
        </w:rPr>
        <w:t> </w:t>
      </w:r>
      <w:r>
        <w:rPr>
          <w:spacing w:val="-12"/>
          <w:w w:val="100"/>
        </w:rPr>
        <w:t>办主任、世行贷款设备负责人。获得“国家正负电子对撞机”先进个人、全国机电设备先进工作者，</w:t>
      </w:r>
      <w:r>
        <w:rPr>
          <w:rFonts w:ascii="宋体" w:hAnsi="宋体" w:cs="宋体" w:eastAsia="宋体" w:hint="default"/>
          <w:spacing w:val="-12"/>
          <w:w w:val="100"/>
        </w:rPr>
        <w:t>1998-2002</w:t>
      </w:r>
      <w:r>
        <w:rPr>
          <w:rFonts w:ascii="宋体" w:hAnsi="宋体" w:cs="宋体" w:eastAsia="宋体" w:hint="default"/>
          <w:spacing w:val="-92"/>
          <w:w w:val="100"/>
        </w:rPr>
        <w:t> </w:t>
      </w:r>
      <w:r>
        <w:rPr>
          <w:rFonts w:ascii="宋体" w:hAnsi="宋体" w:cs="宋体" w:eastAsia="宋体" w:hint="default"/>
          <w:spacing w:val="-92"/>
          <w:w w:val="100"/>
        </w:rPr>
      </w:r>
      <w:r>
        <w:rPr>
          <w:spacing w:val="-2"/>
        </w:rPr>
        <w:t>任国家科学仪器攻关办负责人，原任科技部科学仪器专家，中国分析测试协会和中科院科研工程研究会常</w:t>
      </w:r>
      <w:r>
        <w:rPr>
          <w:spacing w:val="-43"/>
        </w:rPr>
        <w:t> </w:t>
      </w:r>
      <w:r>
        <w:rPr>
          <w:spacing w:val="-43"/>
        </w:rPr>
      </w:r>
      <w:r>
        <w:rPr>
          <w:spacing w:val="-2"/>
        </w:rPr>
        <w:t>务理事，《现代科学仪器》副主编，中国仪器仪表学会、科学仪器工作委员会副主任，中国分析仪器分会</w:t>
      </w:r>
      <w:r>
        <w:rPr>
          <w:spacing w:val="-42"/>
        </w:rPr>
        <w:t> </w:t>
      </w:r>
      <w:r>
        <w:rPr>
          <w:spacing w:val="-42"/>
        </w:rPr>
      </w:r>
      <w:r>
        <w:rPr/>
        <w:t>理事长。现任公司独立董事，任期</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23</w:t>
      </w:r>
      <w:r>
        <w:rPr/>
        <w:t>日</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w:t>
      </w:r>
    </w:p>
    <w:p>
      <w:pPr>
        <w:pStyle w:val="BodyText"/>
        <w:spacing w:line="273" w:lineRule="auto" w:before="7"/>
        <w:ind w:right="208" w:firstLine="422"/>
        <w:jc w:val="both"/>
      </w:pPr>
      <w:r>
        <w:rPr>
          <w:rFonts w:ascii="宋体" w:hAnsi="宋体" w:cs="宋体" w:eastAsia="宋体" w:hint="default"/>
          <w:b/>
          <w:bCs/>
          <w:spacing w:val="-2"/>
        </w:rPr>
        <w:t>陈爱珍：</w:t>
      </w:r>
      <w:r>
        <w:rPr>
          <w:spacing w:val="-2"/>
        </w:rPr>
        <w:t>女，中国国籍，</w:t>
      </w:r>
      <w:r>
        <w:rPr>
          <w:rFonts w:ascii="宋体" w:hAnsi="宋体" w:cs="宋体" w:eastAsia="宋体" w:hint="default"/>
          <w:spacing w:val="-2"/>
        </w:rPr>
        <w:t>1957</w:t>
      </w:r>
      <w:r>
        <w:rPr>
          <w:spacing w:val="-2"/>
        </w:rPr>
        <w:t>年生，研究生学历，律师。北京市众天律师事务所合伙人，担任京投银</w:t>
      </w:r>
      <w:r>
        <w:rPr>
          <w:w w:val="100"/>
        </w:rPr>
        <w:t> </w:t>
      </w:r>
      <w:r>
        <w:rPr/>
        <w:t>泰、承德露露、东方热电股份有限公司独立董事。现任公司独立董事，任期</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23</w:t>
      </w:r>
      <w:r>
        <w:rPr/>
        <w:t>日</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rFonts w:ascii="宋体" w:hAnsi="宋体" w:cs="宋体" w:eastAsia="宋体" w:hint="default"/>
          <w:spacing w:val="-32"/>
        </w:rPr>
        <w:t> </w:t>
      </w:r>
      <w:r>
        <w:rPr/>
        <w:t>日。</w:t>
      </w:r>
    </w:p>
    <w:p>
      <w:pPr>
        <w:pStyle w:val="BodyText"/>
        <w:spacing w:line="273" w:lineRule="auto" w:before="7"/>
        <w:ind w:right="101" w:firstLine="422"/>
        <w:jc w:val="left"/>
      </w:pPr>
      <w:r>
        <w:rPr>
          <w:rFonts w:ascii="宋体" w:hAnsi="宋体" w:cs="宋体" w:eastAsia="宋体" w:hint="default"/>
          <w:b/>
          <w:bCs/>
          <w:spacing w:val="-2"/>
        </w:rPr>
        <w:t>庞贵永：</w:t>
      </w:r>
      <w:r>
        <w:rPr>
          <w:spacing w:val="-2"/>
        </w:rPr>
        <w:t>男，中国国籍，</w:t>
      </w:r>
      <w:r>
        <w:rPr>
          <w:rFonts w:ascii="宋体" w:hAnsi="宋体" w:cs="宋体" w:eastAsia="宋体" w:hint="default"/>
          <w:spacing w:val="-2"/>
        </w:rPr>
        <w:t>1944</w:t>
      </w:r>
      <w:r>
        <w:rPr>
          <w:spacing w:val="-2"/>
        </w:rPr>
        <w:t>年生，教授，毕业于西北民族学院，会计专业。任石家庄法商职业学院</w:t>
      </w:r>
      <w:r>
        <w:rPr>
          <w:w w:val="100"/>
        </w:rPr>
        <w:t> </w:t>
      </w:r>
      <w:r>
        <w:rPr>
          <w:spacing w:val="-5"/>
        </w:rPr>
        <w:t>财会系主任，工商管理系名誉主任。全国预算会计研究会理事和特约作者，河北省预算会计研究会副会长。</w:t>
      </w:r>
      <w:r>
        <w:rPr>
          <w:spacing w:val="-4"/>
        </w:rPr>
        <w:t> </w:t>
      </w:r>
      <w:r>
        <w:rPr>
          <w:spacing w:val="-4"/>
        </w:rPr>
      </w:r>
      <w:r>
        <w:rPr>
          <w:spacing w:val="-2"/>
        </w:rPr>
        <w:t>石家庄东方热电股份有限公司独立董事。原河北经贸大学会计学院副院长，国际财务管理师培训河北特约</w:t>
      </w:r>
      <w:r>
        <w:rPr>
          <w:spacing w:val="-42"/>
        </w:rPr>
        <w:t> </w:t>
      </w:r>
      <w:r>
        <w:rPr>
          <w:spacing w:val="-42"/>
        </w:rPr>
      </w:r>
      <w:r>
        <w:rPr/>
        <w:t>教授。现任公司独立董事，任期</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23</w:t>
      </w:r>
      <w:r>
        <w:rPr/>
        <w:t>日</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w:t>
      </w:r>
    </w:p>
    <w:p>
      <w:pPr>
        <w:pStyle w:val="Heading3"/>
        <w:spacing w:line="240" w:lineRule="auto" w:before="8"/>
        <w:ind w:right="101"/>
        <w:jc w:val="left"/>
        <w:rPr>
          <w:b w:val="0"/>
          <w:bCs w:val="0"/>
        </w:rPr>
      </w:pPr>
      <w:r>
        <w:rPr>
          <w:rFonts w:ascii="宋体" w:hAnsi="宋体" w:cs="宋体" w:eastAsia="宋体" w:hint="default"/>
        </w:rPr>
        <w:t>2</w:t>
      </w:r>
      <w:r>
        <w:rPr/>
        <w:t>、监事</w:t>
      </w:r>
      <w:r>
        <w:rPr>
          <w:b w:val="0"/>
          <w:bCs w:val="0"/>
        </w:rPr>
      </w:r>
    </w:p>
    <w:p>
      <w:pPr>
        <w:pStyle w:val="BodyText"/>
        <w:spacing w:line="273" w:lineRule="auto" w:before="37"/>
        <w:ind w:right="211" w:firstLine="415"/>
        <w:jc w:val="left"/>
      </w:pPr>
      <w:r>
        <w:rPr>
          <w:rFonts w:ascii="宋体" w:hAnsi="宋体" w:cs="宋体" w:eastAsia="宋体" w:hint="default"/>
          <w:b/>
          <w:bCs/>
          <w:spacing w:val="-2"/>
        </w:rPr>
        <w:t>杜新平：</w:t>
      </w:r>
      <w:r>
        <w:rPr>
          <w:spacing w:val="-2"/>
        </w:rPr>
        <w:t>男，中国国籍，</w:t>
      </w:r>
      <w:r>
        <w:rPr>
          <w:rFonts w:ascii="宋体" w:hAnsi="宋体" w:cs="宋体" w:eastAsia="宋体" w:hint="default"/>
          <w:spacing w:val="-2"/>
        </w:rPr>
        <w:t>1975</w:t>
      </w:r>
      <w:r>
        <w:rPr>
          <w:spacing w:val="-2"/>
        </w:rPr>
        <w:t>年生，本科学历，近五年一直任职于公司。现任公司监事，任期自</w:t>
      </w:r>
      <w:r>
        <w:rPr>
          <w:rFonts w:ascii="宋体" w:hAnsi="宋体" w:cs="宋体" w:eastAsia="宋体" w:hint="default"/>
          <w:spacing w:val="-2"/>
        </w:rPr>
        <w:t>2012</w:t>
      </w:r>
      <w:r>
        <w:rPr>
          <w:rFonts w:ascii="宋体" w:hAnsi="宋体" w:cs="宋体" w:eastAsia="宋体" w:hint="default"/>
          <w:w w:val="100"/>
        </w:rPr>
        <w:t> </w:t>
      </w:r>
      <w:r>
        <w:rPr/>
        <w:t>年</w:t>
      </w:r>
      <w:r>
        <w:rPr>
          <w:rFonts w:ascii="宋体" w:hAnsi="宋体" w:cs="宋体" w:eastAsia="宋体" w:hint="default"/>
        </w:rPr>
        <w:t>5</w:t>
      </w:r>
      <w:r>
        <w:rPr/>
        <w:t>月</w:t>
      </w:r>
      <w:r>
        <w:rPr>
          <w:rFonts w:ascii="宋体" w:hAnsi="宋体" w:cs="宋体" w:eastAsia="宋体" w:hint="default"/>
        </w:rPr>
        <w:t>23</w:t>
      </w:r>
      <w:r>
        <w:rPr/>
        <w:t>日</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w:t>
      </w:r>
    </w:p>
    <w:p>
      <w:pPr>
        <w:pStyle w:val="BodyText"/>
        <w:spacing w:line="273" w:lineRule="auto" w:before="7"/>
        <w:ind w:right="208" w:firstLine="413"/>
        <w:jc w:val="left"/>
      </w:pPr>
      <w:r>
        <w:rPr>
          <w:rFonts w:ascii="宋体" w:hAnsi="宋体" w:cs="宋体" w:eastAsia="宋体" w:hint="default"/>
          <w:b/>
          <w:bCs/>
          <w:spacing w:val="-6"/>
        </w:rPr>
        <w:t>张华：</w:t>
      </w:r>
      <w:r>
        <w:rPr>
          <w:spacing w:val="-6"/>
        </w:rPr>
        <w:t>女，中国国籍，</w:t>
      </w:r>
      <w:r>
        <w:rPr>
          <w:rFonts w:ascii="宋体" w:hAnsi="宋体" w:cs="宋体" w:eastAsia="宋体" w:hint="default"/>
          <w:spacing w:val="-6"/>
        </w:rPr>
        <w:t>1978</w:t>
      </w:r>
      <w:r>
        <w:rPr>
          <w:spacing w:val="-6"/>
        </w:rPr>
        <w:t>年生，大专学历，近五年一直任职于公司。现任公司职工监事，任期自</w:t>
      </w:r>
      <w:r>
        <w:rPr>
          <w:rFonts w:ascii="宋体" w:hAnsi="宋体" w:cs="宋体" w:eastAsia="宋体" w:hint="default"/>
          <w:spacing w:val="-6"/>
        </w:rPr>
        <w:t>2012</w:t>
      </w:r>
      <w:r>
        <w:rPr>
          <w:rFonts w:ascii="宋体" w:hAnsi="宋体" w:cs="宋体" w:eastAsia="宋体" w:hint="default"/>
          <w:w w:val="100"/>
        </w:rPr>
        <w:t> </w:t>
      </w:r>
      <w:r>
        <w:rPr/>
        <w:t>年</w:t>
      </w:r>
      <w:r>
        <w:rPr>
          <w:rFonts w:ascii="宋体" w:hAnsi="宋体" w:cs="宋体" w:eastAsia="宋体" w:hint="default"/>
        </w:rPr>
        <w:t>5</w:t>
      </w:r>
      <w:r>
        <w:rPr/>
        <w:t>月</w:t>
      </w:r>
      <w:r>
        <w:rPr>
          <w:rFonts w:ascii="宋体" w:hAnsi="宋体" w:cs="宋体" w:eastAsia="宋体" w:hint="default"/>
        </w:rPr>
        <w:t>23</w:t>
      </w:r>
      <w:r>
        <w:rPr/>
        <w:t>日</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w:t>
      </w:r>
    </w:p>
    <w:p>
      <w:pPr>
        <w:pStyle w:val="BodyText"/>
        <w:spacing w:line="273" w:lineRule="auto" w:before="7"/>
        <w:ind w:right="206" w:firstLine="413"/>
        <w:jc w:val="left"/>
      </w:pPr>
      <w:r>
        <w:rPr>
          <w:spacing w:val="-2"/>
        </w:rPr>
        <w:t>张文：男，中国国籍，</w:t>
      </w:r>
      <w:r>
        <w:rPr>
          <w:rFonts w:ascii="宋体" w:hAnsi="宋体" w:cs="宋体" w:eastAsia="宋体" w:hint="default"/>
          <w:spacing w:val="-2"/>
        </w:rPr>
        <w:t>1975</w:t>
      </w:r>
      <w:r>
        <w:rPr>
          <w:spacing w:val="-2"/>
        </w:rPr>
        <w:t>年生，大专学历，近五年一直任职于公司。现任公司监事，任期自</w:t>
      </w:r>
      <w:r>
        <w:rPr>
          <w:rFonts w:ascii="宋体" w:hAnsi="宋体" w:cs="宋体" w:eastAsia="宋体" w:hint="default"/>
          <w:spacing w:val="-2"/>
        </w:rPr>
        <w:t>2012</w:t>
      </w:r>
      <w:r>
        <w:rPr>
          <w:spacing w:val="-2"/>
        </w:rPr>
        <w:t>年</w:t>
      </w:r>
      <w:r>
        <w:rPr>
          <w:w w:val="100"/>
        </w:rPr>
        <w:t> </w:t>
      </w:r>
      <w:r>
        <w:rPr>
          <w:rFonts w:ascii="宋体" w:hAnsi="宋体" w:cs="宋体" w:eastAsia="宋体" w:hint="default"/>
        </w:rPr>
        <w:t>5</w:t>
      </w:r>
      <w:r>
        <w:rPr/>
        <w:t>月</w:t>
      </w:r>
      <w:r>
        <w:rPr>
          <w:rFonts w:ascii="宋体" w:hAnsi="宋体" w:cs="宋体" w:eastAsia="宋体" w:hint="default"/>
        </w:rPr>
        <w:t>23</w:t>
      </w:r>
      <w:r>
        <w:rPr/>
        <w:t>日</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w:t>
      </w:r>
    </w:p>
    <w:p>
      <w:pPr>
        <w:spacing w:line="273" w:lineRule="auto" w:before="7"/>
        <w:ind w:left="575" w:right="4337" w:hanging="42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、高级管理人员</w:t>
      </w:r>
      <w:r>
        <w:rPr>
          <w:rFonts w:ascii="宋体" w:hAnsi="宋体" w:cs="宋体" w:eastAsia="宋体" w:hint="default"/>
          <w:b/>
          <w:bCs/>
          <w:spacing w:val="-104"/>
          <w:sz w:val="21"/>
          <w:szCs w:val="21"/>
        </w:rPr>
        <w:t> </w:t>
      </w:r>
      <w:r>
        <w:rPr>
          <w:rFonts w:ascii="宋体" w:hAnsi="宋体" w:cs="宋体" w:eastAsia="宋体" w:hint="default"/>
          <w:b/>
          <w:bCs/>
          <w:spacing w:val="-2"/>
          <w:sz w:val="21"/>
          <w:szCs w:val="21"/>
        </w:rPr>
        <w:t>李玉国：</w:t>
      </w:r>
      <w:r>
        <w:rPr>
          <w:rFonts w:ascii="宋体" w:hAnsi="宋体" w:cs="宋体" w:eastAsia="宋体" w:hint="default"/>
          <w:spacing w:val="-2"/>
          <w:sz w:val="21"/>
          <w:szCs w:val="21"/>
        </w:rPr>
        <w:t>总经理，简历详见本节“董事”。</w:t>
      </w:r>
    </w:p>
    <w:p>
      <w:pPr>
        <w:spacing w:after="0" w:line="273" w:lineRule="auto"/>
        <w:jc w:val="left"/>
        <w:rPr>
          <w:rFonts w:ascii="宋体" w:hAnsi="宋体" w:cs="宋体" w:eastAsia="宋体" w:hint="default"/>
          <w:sz w:val="21"/>
          <w:szCs w:val="21"/>
        </w:rPr>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left="575" w:right="3834"/>
        <w:jc w:val="left"/>
      </w:pPr>
      <w:r>
        <w:rPr>
          <w:rFonts w:ascii="宋体" w:hAnsi="宋体" w:cs="宋体" w:eastAsia="宋体" w:hint="default"/>
          <w:b/>
          <w:bCs/>
        </w:rPr>
        <w:t>张香计：</w:t>
      </w:r>
      <w:r>
        <w:rPr/>
        <w:t>副总经理，简历详见本节“董事”。</w:t>
      </w:r>
      <w:r>
        <w:rPr>
          <w:w w:val="100"/>
        </w:rPr>
        <w:t> </w:t>
      </w:r>
      <w:r>
        <w:rPr>
          <w:rFonts w:ascii="宋体" w:hAnsi="宋体" w:cs="宋体" w:eastAsia="宋体" w:hint="default"/>
          <w:b/>
          <w:bCs/>
        </w:rPr>
        <w:t>范朝：</w:t>
      </w:r>
      <w:r>
        <w:rPr/>
        <w:t>副总经理，简历详见本节“董事”。</w:t>
      </w:r>
      <w:r>
        <w:rPr>
          <w:w w:val="100"/>
        </w:rPr>
        <w:t> </w:t>
      </w:r>
      <w:r>
        <w:rPr>
          <w:rFonts w:ascii="宋体" w:hAnsi="宋体" w:cs="宋体" w:eastAsia="宋体" w:hint="default"/>
          <w:b/>
          <w:bCs/>
          <w:spacing w:val="-2"/>
        </w:rPr>
        <w:t>陈荣强：</w:t>
      </w:r>
      <w:r>
        <w:rPr>
          <w:spacing w:val="-2"/>
        </w:rPr>
        <w:t>副总经理、财务总监，简历详见本节“董事”。</w:t>
      </w:r>
    </w:p>
    <w:p>
      <w:pPr>
        <w:pStyle w:val="BodyText"/>
        <w:spacing w:line="273" w:lineRule="auto" w:before="7"/>
        <w:ind w:right="149" w:firstLine="422"/>
        <w:jc w:val="left"/>
      </w:pPr>
      <w:r>
        <w:rPr>
          <w:rFonts w:ascii="宋体" w:hAnsi="宋体" w:cs="宋体" w:eastAsia="宋体" w:hint="default"/>
          <w:b/>
          <w:bCs/>
        </w:rPr>
        <w:t>付国印</w:t>
      </w:r>
      <w:r>
        <w:rPr/>
        <w:t>：副总经理，男，中国国籍，</w:t>
      </w:r>
      <w:r>
        <w:rPr>
          <w:rFonts w:ascii="宋体" w:hAnsi="宋体" w:cs="宋体" w:eastAsia="宋体" w:hint="default"/>
        </w:rPr>
        <w:t>1974 </w:t>
      </w:r>
      <w:r>
        <w:rPr/>
        <w:t>年</w:t>
      </w:r>
      <w:r>
        <w:rPr>
          <w:rFonts w:ascii="宋体" w:hAnsi="宋体" w:cs="宋体" w:eastAsia="宋体" w:hint="default"/>
        </w:rPr>
        <w:t>3</w:t>
      </w:r>
      <w:r>
        <w:rPr/>
        <w:t>月出生，本科。</w:t>
      </w:r>
      <w:r>
        <w:rPr>
          <w:rFonts w:ascii="宋体" w:hAnsi="宋体" w:cs="宋体" w:eastAsia="宋体" w:hint="default"/>
        </w:rPr>
        <w:t>2005 </w:t>
      </w:r>
      <w:r>
        <w:rPr/>
        <w:t>年</w:t>
      </w:r>
      <w:r>
        <w:rPr>
          <w:rFonts w:ascii="宋体" w:hAnsi="宋体" w:cs="宋体" w:eastAsia="宋体" w:hint="default"/>
        </w:rPr>
        <w:t>-2008</w:t>
      </w:r>
      <w:r>
        <w:rPr/>
        <w:t>年</w:t>
      </w:r>
      <w:r>
        <w:rPr>
          <w:spacing w:val="71"/>
        </w:rPr>
        <w:t> </w:t>
      </w:r>
      <w:r>
        <w:rPr/>
        <w:t>北京锐意泰克汽车电</w:t>
      </w:r>
      <w:r>
        <w:rPr>
          <w:w w:val="100"/>
        </w:rPr>
        <w:t> </w:t>
      </w:r>
      <w:r>
        <w:rPr>
          <w:spacing w:val="3"/>
        </w:rPr>
        <w:t>子有限公司任职人事行政总监；</w:t>
      </w:r>
      <w:r>
        <w:rPr>
          <w:rFonts w:ascii="宋体" w:hAnsi="宋体" w:cs="宋体" w:eastAsia="宋体" w:hint="default"/>
          <w:spacing w:val="3"/>
        </w:rPr>
        <w:t>2008</w:t>
      </w:r>
      <w:r>
        <w:rPr>
          <w:spacing w:val="3"/>
        </w:rPr>
        <w:t>年</w:t>
      </w:r>
      <w:r>
        <w:rPr>
          <w:rFonts w:ascii="宋体" w:hAnsi="宋体" w:cs="宋体" w:eastAsia="宋体" w:hint="default"/>
          <w:spacing w:val="3"/>
        </w:rPr>
        <w:t>-2010</w:t>
      </w:r>
      <w:r>
        <w:rPr>
          <w:spacing w:val="3"/>
        </w:rPr>
        <w:t>年杭州顺网科技股份有限公司任职人力资源总监；</w:t>
      </w:r>
      <w:r>
        <w:rPr>
          <w:rFonts w:ascii="宋体" w:hAnsi="宋体" w:cs="宋体" w:eastAsia="宋体" w:hint="default"/>
          <w:spacing w:val="3"/>
        </w:rPr>
        <w:t>2010</w:t>
      </w:r>
      <w:r>
        <w:rPr>
          <w:spacing w:val="3"/>
        </w:rPr>
        <w:t>年</w:t>
      </w:r>
    </w:p>
    <w:p>
      <w:pPr>
        <w:pStyle w:val="BodyText"/>
        <w:spacing w:line="273" w:lineRule="auto" w:before="7"/>
        <w:ind w:right="150"/>
        <w:jc w:val="left"/>
      </w:pPr>
      <w:r>
        <w:rPr>
          <w:rFonts w:ascii="宋体" w:hAnsi="宋体" w:cs="宋体" w:eastAsia="宋体" w:hint="default"/>
        </w:rPr>
        <w:t>-2011</w:t>
      </w:r>
      <w:r>
        <w:rPr/>
        <w:t>年上海智臻网络科技有限公司任职人力资源总监。</w:t>
      </w:r>
      <w:r>
        <w:rPr>
          <w:rFonts w:ascii="宋体" w:hAnsi="宋体" w:cs="宋体" w:eastAsia="宋体" w:hint="default"/>
        </w:rPr>
        <w:t>2011</w:t>
      </w:r>
      <w:r>
        <w:rPr/>
        <w:t>至今任公司副总经理、人力资源总监。任期</w:t>
      </w:r>
      <w:r>
        <w:rPr>
          <w:spacing w:val="-23"/>
        </w:rPr>
        <w:t> </w:t>
      </w:r>
      <w:r>
        <w:rPr>
          <w:spacing w:val="-23"/>
        </w:rPr>
      </w:r>
      <w:r>
        <w:rPr/>
        <w:t>自</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23</w:t>
      </w:r>
      <w:r>
        <w:rPr/>
        <w:t>日</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w:t>
      </w:r>
    </w:p>
    <w:p>
      <w:pPr>
        <w:pStyle w:val="BodyText"/>
        <w:spacing w:line="273" w:lineRule="auto" w:before="7"/>
        <w:ind w:right="0" w:firstLine="422"/>
        <w:jc w:val="left"/>
      </w:pPr>
      <w:r>
        <w:rPr>
          <w:rFonts w:ascii="宋体" w:hAnsi="宋体" w:cs="宋体" w:eastAsia="宋体" w:hint="default"/>
          <w:b/>
          <w:bCs/>
          <w:spacing w:val="-2"/>
        </w:rPr>
        <w:t>祖鹏飞</w:t>
      </w:r>
      <w:r>
        <w:rPr>
          <w:spacing w:val="-2"/>
        </w:rPr>
        <w:t>：副总经理，董事会秘书，</w:t>
      </w:r>
      <w:r>
        <w:rPr>
          <w:rFonts w:ascii="宋体" w:hAnsi="宋体" w:cs="宋体" w:eastAsia="宋体" w:hint="default"/>
          <w:spacing w:val="-2"/>
        </w:rPr>
        <w:t>1975</w:t>
      </w:r>
      <w:r>
        <w:rPr>
          <w:spacing w:val="-2"/>
        </w:rPr>
        <w:t>年生，本科学历、高级经济师，曾任华北制药股份有限公司董</w:t>
      </w:r>
      <w:r>
        <w:rPr>
          <w:w w:val="100"/>
        </w:rPr>
        <w:t> </w:t>
      </w:r>
      <w:r>
        <w:rPr/>
        <w:t>事会秘书处投资者关系管理科科长，</w:t>
      </w:r>
      <w:r>
        <w:rPr>
          <w:rFonts w:ascii="宋体" w:hAnsi="宋体" w:cs="宋体" w:eastAsia="宋体" w:hint="default"/>
        </w:rPr>
        <w:t>2012</w:t>
      </w:r>
      <w:r>
        <w:rPr/>
        <w:t>年至今担任公司副总经理、董事会秘书。任期自</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23</w:t>
      </w:r>
      <w:r>
        <w:rPr/>
        <w:t>日</w:t>
      </w:r>
    </w:p>
    <w:p>
      <w:pPr>
        <w:pStyle w:val="BodyText"/>
        <w:spacing w:line="240" w:lineRule="auto" w:before="7"/>
        <w:ind w:right="0"/>
        <w:jc w:val="left"/>
      </w:pP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闫荣城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北京科桥投资顾问有限公司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红塔创新投资股份有限公司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高级经理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三、董事、监事、高级管理人员报酬情况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5975"/>
      </w:tblGrid>
      <w:tr>
        <w:trPr>
          <w:trHeight w:val="715"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1"/>
                <w:sz w:val="18"/>
                <w:szCs w:val="18"/>
              </w:rPr>
              <w:t>公司董事、监事报酬由股东大会决定，高级管理人员报酬由董事会决定，在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公司履职的董事、监事和高级管理人员按具体职务领取薪酬。</w:t>
            </w:r>
          </w:p>
        </w:tc>
      </w:tr>
      <w:tr>
        <w:trPr>
          <w:trHeight w:val="71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pacing w:val="-1"/>
                <w:sz w:val="18"/>
                <w:szCs w:val="18"/>
              </w:rPr>
              <w:t>董事、监事和高级管理人员的报酬按照公司董事会《薪酬与考核委员会工作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细则》的规定，结合其经营绩效、工作能力等考核确定并发放</w:t>
            </w:r>
          </w:p>
        </w:tc>
      </w:tr>
      <w:tr>
        <w:trPr>
          <w:trHeight w:val="715"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r>
              <w:rPr>
                <w:rFonts w:ascii="宋体" w:hAnsi="宋体" w:cs="宋体" w:eastAsia="宋体" w:hint="default"/>
                <w:sz w:val="18"/>
                <w:szCs w:val="18"/>
              </w:rPr>
              <w:t> 况</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见下表</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张香计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5"/>
              <w:jc w:val="center"/>
              <w:rPr>
                <w:rFonts w:ascii="宋体" w:hAnsi="宋体" w:cs="宋体" w:eastAsia="宋体" w:hint="default"/>
                <w:sz w:val="18"/>
                <w:szCs w:val="18"/>
              </w:rPr>
            </w:pPr>
            <w:r>
              <w:rPr>
                <w:rFonts w:ascii="宋体" w:hAnsi="宋体" w:cs="宋体" w:eastAsia="宋体" w:hint="default"/>
                <w:sz w:val="18"/>
                <w:szCs w:val="18"/>
              </w:rPr>
              <w:t>董事、副总经</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363" w:hRule="exact"/>
        </w:trPr>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理、财务总监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闫荣城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闫成德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庞贵永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马越超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杜新平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付国印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12.02</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祖鹏飞</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邢金生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刘月田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马超越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邢金生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刘月田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4"/>
        <w:rPr>
          <w:rFonts w:ascii="宋体" w:hAnsi="宋体" w:cs="宋体" w:eastAsia="宋体" w:hint="default"/>
          <w:b/>
          <w:bCs/>
          <w:sz w:val="26"/>
          <w:szCs w:val="26"/>
        </w:rPr>
      </w:pPr>
    </w:p>
    <w:p>
      <w:pPr>
        <w:spacing w:line="300" w:lineRule="auto" w:before="0"/>
        <w:ind w:left="152" w:right="0" w:firstLine="216"/>
        <w:jc w:val="left"/>
        <w:rPr>
          <w:rFonts w:ascii="宋体" w:hAnsi="宋体" w:cs="宋体" w:eastAsia="宋体" w:hint="default"/>
          <w:sz w:val="18"/>
          <w:szCs w:val="18"/>
        </w:rPr>
      </w:pPr>
      <w:r>
        <w:rPr>
          <w:rFonts w:ascii="宋体" w:hAnsi="宋体" w:cs="宋体" w:eastAsia="宋体" w:hint="default"/>
          <w:spacing w:val="-3"/>
          <w:sz w:val="18"/>
          <w:szCs w:val="18"/>
        </w:rPr>
        <w:t>报告期，随着公司的发展壮大，公司研发、技术团队人员已由去年的</w:t>
      </w:r>
      <w:r>
        <w:rPr>
          <w:rFonts w:ascii="Times New Roman" w:hAnsi="Times New Roman" w:cs="Times New Roman" w:eastAsia="Times New Roman" w:hint="default"/>
          <w:spacing w:val="-3"/>
          <w:sz w:val="18"/>
          <w:szCs w:val="18"/>
        </w:rPr>
        <w:t>159</w:t>
      </w:r>
      <w:r>
        <w:rPr>
          <w:rFonts w:ascii="宋体" w:hAnsi="宋体" w:cs="宋体" w:eastAsia="宋体" w:hint="default"/>
          <w:spacing w:val="-3"/>
          <w:sz w:val="18"/>
          <w:szCs w:val="18"/>
        </w:rPr>
        <w:t>人上升到</w:t>
      </w:r>
      <w:r>
        <w:rPr>
          <w:rFonts w:ascii="Times New Roman" w:hAnsi="Times New Roman" w:cs="Times New Roman" w:eastAsia="Times New Roman" w:hint="default"/>
          <w:spacing w:val="-3"/>
          <w:sz w:val="18"/>
          <w:szCs w:val="18"/>
        </w:rPr>
        <w:t>205</w:t>
      </w:r>
      <w:r>
        <w:rPr>
          <w:rFonts w:ascii="宋体" w:hAnsi="宋体" w:cs="宋体" w:eastAsia="宋体" w:hint="default"/>
          <w:spacing w:val="-3"/>
          <w:sz w:val="18"/>
          <w:szCs w:val="18"/>
        </w:rPr>
        <w:t>人，员工占比由</w:t>
      </w:r>
      <w:r>
        <w:rPr>
          <w:rFonts w:ascii="Times New Roman" w:hAnsi="Times New Roman" w:cs="Times New Roman" w:eastAsia="Times New Roman" w:hint="default"/>
          <w:spacing w:val="-3"/>
          <w:sz w:val="18"/>
          <w:szCs w:val="18"/>
        </w:rPr>
        <w:t>44.04%</w:t>
      </w:r>
      <w:r>
        <w:rPr>
          <w:rFonts w:ascii="宋体" w:hAnsi="宋体" w:cs="宋体" w:eastAsia="宋体" w:hint="default"/>
          <w:spacing w:val="-3"/>
          <w:sz w:val="18"/>
          <w:szCs w:val="18"/>
        </w:rPr>
        <w:t>上升到</w:t>
      </w:r>
      <w:r>
        <w:rPr>
          <w:rFonts w:ascii="Times New Roman" w:hAnsi="Times New Roman" w:cs="Times New Roman" w:eastAsia="Times New Roman" w:hint="default"/>
          <w:spacing w:val="-3"/>
          <w:sz w:val="18"/>
          <w:szCs w:val="18"/>
        </w:rPr>
        <w:t>51.6%</w:t>
      </w:r>
      <w:r>
        <w:rPr>
          <w:rFonts w:ascii="宋体" w:hAnsi="宋体" w:cs="宋体" w:eastAsia="宋体" w:hint="default"/>
          <w:spacing w:val="-3"/>
          <w:sz w:val="18"/>
          <w:szCs w:val="18"/>
        </w:rPr>
        <w:t>，</w:t>
      </w:r>
      <w:r>
        <w:rPr>
          <w:rFonts w:ascii="宋体" w:hAnsi="宋体" w:cs="宋体" w:eastAsia="宋体" w:hint="default"/>
          <w:sz w:val="18"/>
          <w:szCs w:val="18"/>
        </w:rPr>
        <w:t> 提高了七个百分点。</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年公司核心技术团队也在发展壮大，进一步提高了公司的核心竞争力。</w:t>
      </w:r>
    </w:p>
    <w:p>
      <w:pPr>
        <w:spacing w:after="0" w:line="30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六、公司员工情况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73" w:right="0"/>
        <w:jc w:val="left"/>
      </w:pPr>
      <w:r>
        <w:rPr/>
        <w:t>公司截至到</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日员工总数（包含子公司）为  </w:t>
      </w:r>
      <w:r>
        <w:rPr>
          <w:rFonts w:ascii="Times New Roman" w:hAnsi="Times New Roman" w:cs="Times New Roman" w:eastAsia="Times New Roman" w:hint="default"/>
        </w:rPr>
        <w:t>405 </w:t>
      </w:r>
      <w:r>
        <w:rPr>
          <w:rFonts w:ascii="Times New Roman" w:hAnsi="Times New Roman" w:cs="Times New Roman" w:eastAsia="Times New Roman" w:hint="default"/>
          <w:spacing w:val="21"/>
        </w:rPr>
        <w:t> </w:t>
      </w:r>
      <w:r>
        <w:rPr/>
        <w:t>人，具体情况如下：</w:t>
      </w:r>
    </w:p>
    <w:p>
      <w:pPr>
        <w:spacing w:line="240" w:lineRule="auto" w:before="6"/>
        <w:rPr>
          <w:rFonts w:ascii="宋体" w:hAnsi="宋体" w:cs="宋体" w:eastAsia="宋体" w:hint="default"/>
          <w:sz w:val="26"/>
          <w:szCs w:val="26"/>
        </w:rPr>
      </w:pPr>
    </w:p>
    <w:tbl>
      <w:tblPr>
        <w:tblW w:w="0" w:type="auto"/>
        <w:jc w:val="left"/>
        <w:tblInd w:w="128" w:type="dxa"/>
        <w:tblLayout w:type="fixed"/>
        <w:tblCellMar>
          <w:top w:w="0" w:type="dxa"/>
          <w:left w:w="0" w:type="dxa"/>
          <w:bottom w:w="0" w:type="dxa"/>
          <w:right w:w="0" w:type="dxa"/>
        </w:tblCellMar>
        <w:tblLook w:val="01E0"/>
      </w:tblPr>
      <w:tblGrid>
        <w:gridCol w:w="1868"/>
        <w:gridCol w:w="2269"/>
        <w:gridCol w:w="3404"/>
      </w:tblGrid>
      <w:tr>
        <w:trPr>
          <w:trHeight w:val="341" w:hRule="exact"/>
        </w:trPr>
        <w:tc>
          <w:tcPr>
            <w:tcW w:w="1868" w:type="dxa"/>
            <w:tcBorders>
              <w:top w:val="nil" w:sz="6" w:space="0" w:color="auto"/>
              <w:left w:val="nil" w:sz="6" w:space="0" w:color="auto"/>
              <w:bottom w:val="single" w:sz="8" w:space="0" w:color="000000"/>
              <w:right w:val="single" w:sz="8" w:space="0" w:color="000000"/>
            </w:tcBorders>
          </w:tcPr>
          <w:p>
            <w:pPr>
              <w:pStyle w:val="TableParagraph"/>
              <w:spacing w:line="272" w:lineRule="exact"/>
              <w:ind w:left="31" w:right="0"/>
              <w:jc w:val="center"/>
              <w:rPr>
                <w:rFonts w:ascii="宋体" w:hAnsi="宋体" w:cs="宋体" w:eastAsia="宋体" w:hint="default"/>
                <w:sz w:val="21"/>
                <w:szCs w:val="21"/>
              </w:rPr>
            </w:pPr>
            <w:r>
              <w:rPr>
                <w:rFonts w:ascii="宋体" w:hAnsi="宋体" w:cs="宋体" w:eastAsia="宋体" w:hint="default"/>
                <w:sz w:val="21"/>
                <w:szCs w:val="21"/>
              </w:rPr>
              <w:t>专业构成</w:t>
            </w:r>
          </w:p>
        </w:tc>
        <w:tc>
          <w:tcPr>
            <w:tcW w:w="2269" w:type="dxa"/>
            <w:tcBorders>
              <w:top w:val="nil" w:sz="6" w:space="0" w:color="auto"/>
              <w:left w:val="single" w:sz="8" w:space="0" w:color="000000"/>
              <w:bottom w:val="single" w:sz="8" w:space="0" w:color="000000"/>
              <w:right w:val="single" w:sz="8"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3404" w:type="dxa"/>
            <w:tcBorders>
              <w:top w:val="nil" w:sz="6" w:space="0" w:color="auto"/>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341" w:hRule="exact"/>
        </w:trPr>
        <w:tc>
          <w:tcPr>
            <w:tcW w:w="1868" w:type="dxa"/>
            <w:tcBorders>
              <w:top w:val="single" w:sz="8" w:space="0" w:color="000000"/>
              <w:left w:val="nil" w:sz="6" w:space="0" w:color="auto"/>
              <w:bottom w:val="single" w:sz="8" w:space="0" w:color="000000"/>
              <w:right w:val="single" w:sz="8" w:space="0" w:color="000000"/>
            </w:tcBorders>
          </w:tcPr>
          <w:p>
            <w:pPr>
              <w:pStyle w:val="TableParagraph"/>
              <w:spacing w:line="262" w:lineRule="exact"/>
              <w:ind w:left="31"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74</w:t>
            </w:r>
          </w:p>
        </w:tc>
        <w:tc>
          <w:tcPr>
            <w:tcW w:w="3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18.27%</w:t>
            </w:r>
          </w:p>
        </w:tc>
      </w:tr>
      <w:tr>
        <w:trPr>
          <w:trHeight w:val="343" w:hRule="exact"/>
        </w:trPr>
        <w:tc>
          <w:tcPr>
            <w:tcW w:w="1868" w:type="dxa"/>
            <w:tcBorders>
              <w:top w:val="single" w:sz="8" w:space="0" w:color="000000"/>
              <w:left w:val="nil" w:sz="6" w:space="0" w:color="auto"/>
              <w:bottom w:val="single" w:sz="8" w:space="0" w:color="000000"/>
              <w:right w:val="single" w:sz="8" w:space="0" w:color="000000"/>
            </w:tcBorders>
          </w:tcPr>
          <w:p>
            <w:pPr>
              <w:pStyle w:val="TableParagraph"/>
              <w:spacing w:line="265" w:lineRule="exact"/>
              <w:ind w:left="31"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sz w:val="21"/>
              </w:rPr>
              <w:t>57</w:t>
            </w:r>
          </w:p>
        </w:tc>
        <w:tc>
          <w:tcPr>
            <w:tcW w:w="3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sz w:val="21"/>
              </w:rPr>
              <w:t>14.07%</w:t>
            </w:r>
          </w:p>
        </w:tc>
      </w:tr>
      <w:tr>
        <w:trPr>
          <w:trHeight w:val="341" w:hRule="exact"/>
        </w:trPr>
        <w:tc>
          <w:tcPr>
            <w:tcW w:w="1868" w:type="dxa"/>
            <w:tcBorders>
              <w:top w:val="single" w:sz="8" w:space="0" w:color="000000"/>
              <w:left w:val="nil" w:sz="6" w:space="0" w:color="auto"/>
              <w:bottom w:val="single" w:sz="8" w:space="0" w:color="000000"/>
              <w:right w:val="single" w:sz="8" w:space="0" w:color="000000"/>
            </w:tcBorders>
          </w:tcPr>
          <w:p>
            <w:pPr>
              <w:pStyle w:val="TableParagraph"/>
              <w:spacing w:line="262" w:lineRule="exact"/>
              <w:ind w:left="29" w:right="0"/>
              <w:jc w:val="center"/>
              <w:rPr>
                <w:rFonts w:ascii="宋体" w:hAnsi="宋体" w:cs="宋体" w:eastAsia="宋体" w:hint="default"/>
                <w:sz w:val="21"/>
                <w:szCs w:val="21"/>
              </w:rPr>
            </w:pPr>
            <w:r>
              <w:rPr>
                <w:rFonts w:ascii="宋体" w:hAnsi="宋体" w:cs="宋体" w:eastAsia="宋体" w:hint="default"/>
                <w:sz w:val="21"/>
                <w:szCs w:val="21"/>
              </w:rPr>
              <w:t>研发、技术人员</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7" w:right="0"/>
              <w:jc w:val="center"/>
              <w:rPr>
                <w:rFonts w:ascii="Times New Roman" w:hAnsi="Times New Roman" w:cs="Times New Roman" w:eastAsia="Times New Roman" w:hint="default"/>
                <w:sz w:val="21"/>
                <w:szCs w:val="21"/>
              </w:rPr>
            </w:pPr>
            <w:r>
              <w:rPr>
                <w:rFonts w:ascii="Times New Roman"/>
                <w:sz w:val="21"/>
              </w:rPr>
              <w:t>209</w:t>
            </w:r>
          </w:p>
        </w:tc>
        <w:tc>
          <w:tcPr>
            <w:tcW w:w="3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51.60%</w:t>
            </w:r>
          </w:p>
        </w:tc>
      </w:tr>
      <w:tr>
        <w:trPr>
          <w:trHeight w:val="343" w:hRule="exact"/>
        </w:trPr>
        <w:tc>
          <w:tcPr>
            <w:tcW w:w="1868" w:type="dxa"/>
            <w:tcBorders>
              <w:top w:val="single" w:sz="8" w:space="0" w:color="000000"/>
              <w:left w:val="nil" w:sz="6" w:space="0" w:color="auto"/>
              <w:bottom w:val="single" w:sz="8" w:space="0" w:color="000000"/>
              <w:right w:val="single" w:sz="8" w:space="0" w:color="000000"/>
            </w:tcBorders>
          </w:tcPr>
          <w:p>
            <w:pPr>
              <w:pStyle w:val="TableParagraph"/>
              <w:spacing w:line="265" w:lineRule="exact"/>
              <w:ind w:left="31"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w w:val="100"/>
                <w:sz w:val="21"/>
              </w:rPr>
              <w:t>8</w:t>
            </w:r>
          </w:p>
        </w:tc>
        <w:tc>
          <w:tcPr>
            <w:tcW w:w="3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sz w:val="21"/>
              </w:rPr>
              <w:t>1.98%</w:t>
            </w:r>
          </w:p>
        </w:tc>
      </w:tr>
      <w:tr>
        <w:trPr>
          <w:trHeight w:val="341" w:hRule="exact"/>
        </w:trPr>
        <w:tc>
          <w:tcPr>
            <w:tcW w:w="1868" w:type="dxa"/>
            <w:tcBorders>
              <w:top w:val="single" w:sz="8" w:space="0" w:color="000000"/>
              <w:left w:val="nil" w:sz="6" w:space="0" w:color="auto"/>
              <w:bottom w:val="single" w:sz="8" w:space="0" w:color="000000"/>
              <w:right w:val="single" w:sz="8" w:space="0" w:color="000000"/>
            </w:tcBorders>
          </w:tcPr>
          <w:p>
            <w:pPr>
              <w:pStyle w:val="TableParagraph"/>
              <w:spacing w:line="262" w:lineRule="exact"/>
              <w:ind w:left="31"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37</w:t>
            </w:r>
          </w:p>
        </w:tc>
        <w:tc>
          <w:tcPr>
            <w:tcW w:w="3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9.14%</w:t>
            </w:r>
          </w:p>
        </w:tc>
      </w:tr>
      <w:tr>
        <w:trPr>
          <w:trHeight w:val="343" w:hRule="exact"/>
        </w:trPr>
        <w:tc>
          <w:tcPr>
            <w:tcW w:w="1868" w:type="dxa"/>
            <w:tcBorders>
              <w:top w:val="single" w:sz="8" w:space="0" w:color="000000"/>
              <w:left w:val="nil" w:sz="6" w:space="0" w:color="auto"/>
              <w:bottom w:val="single" w:sz="8" w:space="0" w:color="000000"/>
              <w:right w:val="single" w:sz="8" w:space="0" w:color="000000"/>
            </w:tcBorders>
          </w:tcPr>
          <w:p>
            <w:pPr>
              <w:pStyle w:val="TableParagraph"/>
              <w:spacing w:line="265" w:lineRule="exact"/>
              <w:ind w:left="31" w:right="0"/>
              <w:jc w:val="center"/>
              <w:rPr>
                <w:rFonts w:ascii="宋体" w:hAnsi="宋体" w:cs="宋体" w:eastAsia="宋体" w:hint="default"/>
                <w:sz w:val="21"/>
                <w:szCs w:val="21"/>
              </w:rPr>
            </w:pPr>
            <w:r>
              <w:rPr>
                <w:rFonts w:ascii="宋体" w:hAnsi="宋体" w:cs="宋体" w:eastAsia="宋体" w:hint="default"/>
                <w:sz w:val="21"/>
                <w:szCs w:val="21"/>
              </w:rPr>
              <w:t>其他人员</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sz w:val="21"/>
              </w:rPr>
              <w:t>20</w:t>
            </w:r>
          </w:p>
        </w:tc>
        <w:tc>
          <w:tcPr>
            <w:tcW w:w="3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sz w:val="21"/>
              </w:rPr>
              <w:t>4.94%</w:t>
            </w:r>
          </w:p>
        </w:tc>
      </w:tr>
      <w:tr>
        <w:trPr>
          <w:trHeight w:val="341" w:hRule="exact"/>
        </w:trPr>
        <w:tc>
          <w:tcPr>
            <w:tcW w:w="1868" w:type="dxa"/>
            <w:tcBorders>
              <w:top w:val="single" w:sz="8" w:space="0" w:color="000000"/>
              <w:left w:val="nil" w:sz="6" w:space="0" w:color="auto"/>
              <w:bottom w:val="single" w:sz="8" w:space="0" w:color="000000"/>
              <w:right w:val="single" w:sz="8" w:space="0" w:color="000000"/>
            </w:tcBorders>
          </w:tcPr>
          <w:p>
            <w:pPr>
              <w:pStyle w:val="TableParagraph"/>
              <w:spacing w:line="262" w:lineRule="exact"/>
              <w:ind w:left="2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7" w:right="0"/>
              <w:jc w:val="center"/>
              <w:rPr>
                <w:rFonts w:ascii="Times New Roman" w:hAnsi="Times New Roman" w:cs="Times New Roman" w:eastAsia="Times New Roman" w:hint="default"/>
                <w:sz w:val="21"/>
                <w:szCs w:val="21"/>
              </w:rPr>
            </w:pPr>
            <w:r>
              <w:rPr>
                <w:rFonts w:ascii="Times New Roman"/>
                <w:sz w:val="21"/>
              </w:rPr>
              <w:t>405</w:t>
            </w:r>
          </w:p>
        </w:tc>
        <w:tc>
          <w:tcPr>
            <w:tcW w:w="3404" w:type="dxa"/>
            <w:tcBorders>
              <w:top w:val="single" w:sz="8" w:space="0" w:color="000000"/>
              <w:left w:val="single" w:sz="8" w:space="0" w:color="000000"/>
              <w:bottom w:val="single" w:sz="8" w:space="0" w:color="000000"/>
              <w:right w:val="single" w:sz="8" w:space="0" w:color="000000"/>
            </w:tcBorders>
          </w:tcPr>
          <w:p>
            <w:pPr/>
          </w:p>
        </w:tc>
      </w:tr>
      <w:tr>
        <w:trPr>
          <w:trHeight w:val="343" w:hRule="exact"/>
        </w:trPr>
        <w:tc>
          <w:tcPr>
            <w:tcW w:w="1868" w:type="dxa"/>
            <w:tcBorders>
              <w:top w:val="single" w:sz="8" w:space="0" w:color="000000"/>
              <w:left w:val="nil" w:sz="6" w:space="0" w:color="auto"/>
              <w:bottom w:val="single" w:sz="8" w:space="0" w:color="000000"/>
              <w:right w:val="single" w:sz="8" w:space="0" w:color="000000"/>
            </w:tcBorders>
          </w:tcPr>
          <w:p>
            <w:pPr>
              <w:pStyle w:val="TableParagraph"/>
              <w:spacing w:line="265" w:lineRule="exact"/>
              <w:ind w:left="31" w:right="0"/>
              <w:jc w:val="center"/>
              <w:rPr>
                <w:rFonts w:ascii="宋体" w:hAnsi="宋体" w:cs="宋体" w:eastAsia="宋体" w:hint="default"/>
                <w:sz w:val="21"/>
                <w:szCs w:val="21"/>
              </w:rPr>
            </w:pPr>
            <w:r>
              <w:rPr>
                <w:rFonts w:ascii="宋体" w:hAnsi="宋体" w:cs="宋体" w:eastAsia="宋体" w:hint="default"/>
                <w:sz w:val="21"/>
                <w:szCs w:val="21"/>
              </w:rPr>
              <w:t>受教育程度</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340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341" w:hRule="exact"/>
        </w:trPr>
        <w:tc>
          <w:tcPr>
            <w:tcW w:w="1868" w:type="dxa"/>
            <w:tcBorders>
              <w:top w:val="single" w:sz="8" w:space="0" w:color="000000"/>
              <w:left w:val="nil" w:sz="6" w:space="0" w:color="auto"/>
              <w:bottom w:val="single" w:sz="8" w:space="0" w:color="000000"/>
              <w:right w:val="single" w:sz="8" w:space="0" w:color="000000"/>
            </w:tcBorders>
          </w:tcPr>
          <w:p>
            <w:pPr>
              <w:pStyle w:val="TableParagraph"/>
              <w:spacing w:line="262" w:lineRule="exact"/>
              <w:ind w:left="31"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40</w:t>
            </w:r>
          </w:p>
        </w:tc>
        <w:tc>
          <w:tcPr>
            <w:tcW w:w="3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9.88%</w:t>
            </w:r>
          </w:p>
        </w:tc>
      </w:tr>
      <w:tr>
        <w:trPr>
          <w:trHeight w:val="343" w:hRule="exact"/>
        </w:trPr>
        <w:tc>
          <w:tcPr>
            <w:tcW w:w="1868" w:type="dxa"/>
            <w:tcBorders>
              <w:top w:val="single" w:sz="8" w:space="0" w:color="000000"/>
              <w:left w:val="nil" w:sz="6" w:space="0" w:color="auto"/>
              <w:bottom w:val="single" w:sz="8" w:space="0" w:color="000000"/>
              <w:right w:val="single" w:sz="8" w:space="0" w:color="000000"/>
            </w:tcBorders>
          </w:tcPr>
          <w:p>
            <w:pPr>
              <w:pStyle w:val="TableParagraph"/>
              <w:spacing w:line="265" w:lineRule="exact"/>
              <w:ind w:left="29"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7" w:right="0"/>
              <w:jc w:val="center"/>
              <w:rPr>
                <w:rFonts w:ascii="Times New Roman" w:hAnsi="Times New Roman" w:cs="Times New Roman" w:eastAsia="Times New Roman" w:hint="default"/>
                <w:sz w:val="21"/>
                <w:szCs w:val="21"/>
              </w:rPr>
            </w:pPr>
            <w:r>
              <w:rPr>
                <w:rFonts w:ascii="Times New Roman"/>
                <w:sz w:val="21"/>
              </w:rPr>
              <w:t>139</w:t>
            </w:r>
          </w:p>
        </w:tc>
        <w:tc>
          <w:tcPr>
            <w:tcW w:w="3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sz w:val="21"/>
              </w:rPr>
              <w:t>34.32%</w:t>
            </w:r>
          </w:p>
        </w:tc>
      </w:tr>
      <w:tr>
        <w:trPr>
          <w:trHeight w:val="341" w:hRule="exact"/>
        </w:trPr>
        <w:tc>
          <w:tcPr>
            <w:tcW w:w="1868" w:type="dxa"/>
            <w:tcBorders>
              <w:top w:val="single" w:sz="8" w:space="0" w:color="000000"/>
              <w:left w:val="nil" w:sz="6" w:space="0" w:color="auto"/>
              <w:bottom w:val="single" w:sz="8" w:space="0" w:color="000000"/>
              <w:right w:val="single" w:sz="8" w:space="0" w:color="000000"/>
            </w:tcBorders>
          </w:tcPr>
          <w:p>
            <w:pPr>
              <w:pStyle w:val="TableParagraph"/>
              <w:spacing w:line="262" w:lineRule="exact"/>
              <w:ind w:left="29"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7" w:right="0"/>
              <w:jc w:val="center"/>
              <w:rPr>
                <w:rFonts w:ascii="Times New Roman" w:hAnsi="Times New Roman" w:cs="Times New Roman" w:eastAsia="Times New Roman" w:hint="default"/>
                <w:sz w:val="21"/>
                <w:szCs w:val="21"/>
              </w:rPr>
            </w:pPr>
            <w:r>
              <w:rPr>
                <w:rFonts w:ascii="Times New Roman"/>
                <w:sz w:val="21"/>
              </w:rPr>
              <w:t>170</w:t>
            </w:r>
          </w:p>
        </w:tc>
        <w:tc>
          <w:tcPr>
            <w:tcW w:w="3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41.98%</w:t>
            </w:r>
          </w:p>
        </w:tc>
      </w:tr>
      <w:tr>
        <w:trPr>
          <w:trHeight w:val="343" w:hRule="exact"/>
        </w:trPr>
        <w:tc>
          <w:tcPr>
            <w:tcW w:w="1868" w:type="dxa"/>
            <w:tcBorders>
              <w:top w:val="single" w:sz="8" w:space="0" w:color="000000"/>
              <w:left w:val="nil" w:sz="6" w:space="0" w:color="auto"/>
              <w:bottom w:val="single" w:sz="8" w:space="0" w:color="000000"/>
              <w:right w:val="single" w:sz="8" w:space="0" w:color="000000"/>
            </w:tcBorders>
          </w:tcPr>
          <w:p>
            <w:pPr>
              <w:pStyle w:val="TableParagraph"/>
              <w:spacing w:line="265" w:lineRule="exact"/>
              <w:ind w:left="31" w:right="0"/>
              <w:jc w:val="center"/>
              <w:rPr>
                <w:rFonts w:ascii="宋体" w:hAnsi="宋体" w:cs="宋体" w:eastAsia="宋体" w:hint="default"/>
                <w:sz w:val="21"/>
                <w:szCs w:val="21"/>
              </w:rPr>
            </w:pPr>
            <w:r>
              <w:rPr>
                <w:rFonts w:ascii="宋体" w:hAnsi="宋体" w:cs="宋体" w:eastAsia="宋体" w:hint="default"/>
                <w:sz w:val="21"/>
                <w:szCs w:val="21"/>
              </w:rPr>
              <w:t>中专及以下</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sz w:val="21"/>
              </w:rPr>
              <w:t>56</w:t>
            </w:r>
          </w:p>
        </w:tc>
        <w:tc>
          <w:tcPr>
            <w:tcW w:w="3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sz w:val="21"/>
              </w:rPr>
              <w:t>13.83%</w:t>
            </w:r>
          </w:p>
        </w:tc>
      </w:tr>
      <w:tr>
        <w:trPr>
          <w:trHeight w:val="343" w:hRule="exact"/>
        </w:trPr>
        <w:tc>
          <w:tcPr>
            <w:tcW w:w="1868" w:type="dxa"/>
            <w:tcBorders>
              <w:top w:val="single" w:sz="8" w:space="0" w:color="000000"/>
              <w:left w:val="nil" w:sz="6" w:space="0" w:color="auto"/>
              <w:bottom w:val="single" w:sz="8" w:space="0" w:color="000000"/>
              <w:right w:val="single" w:sz="8" w:space="0" w:color="000000"/>
            </w:tcBorders>
          </w:tcPr>
          <w:p>
            <w:pPr>
              <w:pStyle w:val="TableParagraph"/>
              <w:spacing w:line="262" w:lineRule="exact"/>
              <w:ind w:left="2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7" w:right="0"/>
              <w:jc w:val="center"/>
              <w:rPr>
                <w:rFonts w:ascii="Times New Roman" w:hAnsi="Times New Roman" w:cs="Times New Roman" w:eastAsia="Times New Roman" w:hint="default"/>
                <w:sz w:val="21"/>
                <w:szCs w:val="21"/>
              </w:rPr>
            </w:pPr>
            <w:r>
              <w:rPr>
                <w:rFonts w:ascii="Times New Roman"/>
                <w:sz w:val="21"/>
              </w:rPr>
              <w:t>405</w:t>
            </w:r>
          </w:p>
        </w:tc>
        <w:tc>
          <w:tcPr>
            <w:tcW w:w="3404" w:type="dxa"/>
            <w:tcBorders>
              <w:top w:val="single" w:sz="8" w:space="0" w:color="000000"/>
              <w:left w:val="single" w:sz="8" w:space="0" w:color="000000"/>
              <w:bottom w:val="single" w:sz="8" w:space="0" w:color="000000"/>
              <w:right w:val="single" w:sz="8" w:space="0" w:color="000000"/>
            </w:tcBorders>
          </w:tcPr>
          <w:p>
            <w:pPr/>
          </w:p>
        </w:tc>
      </w:tr>
    </w:tbl>
    <w:p>
      <w:pPr>
        <w:pStyle w:val="BodyText"/>
        <w:spacing w:line="262" w:lineRule="exact"/>
        <w:ind w:left="604" w:right="0"/>
        <w:jc w:val="left"/>
      </w:pPr>
      <w:r>
        <w:rPr/>
        <w:t>公司无需要承担费用的离退休职工。</w:t>
      </w:r>
    </w:p>
    <w:p>
      <w:pPr>
        <w:spacing w:after="0" w:line="262" w:lineRule="exact"/>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420"/>
        <w:jc w:val="center"/>
        <w:rPr>
          <w:b w:val="0"/>
          <w:bCs w:val="0"/>
        </w:rPr>
      </w:pPr>
      <w:bookmarkStart w:name="_TOC_250002"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46" w:firstLine="199"/>
        <w:jc w:val="both"/>
      </w:pPr>
      <w:r>
        <w:rPr>
          <w:spacing w:val="-2"/>
        </w:rPr>
        <w:t>报告期内，公司严格按照《公司法》、《证券法》、中国证监会《上市公司治理准则》、深圳证券交易</w:t>
      </w:r>
      <w:r>
        <w:rPr>
          <w:w w:val="100"/>
        </w:rPr>
        <w:t> </w:t>
      </w:r>
      <w:r>
        <w:rPr>
          <w:spacing w:val="-2"/>
        </w:rPr>
        <w:t>所《创业板股票上市规则》、《创业板上市公司规范运作指引》等有关法律法规、规范性文件的要求，不</w:t>
      </w:r>
      <w:r>
        <w:rPr>
          <w:spacing w:val="-48"/>
        </w:rPr>
        <w:t> </w:t>
      </w:r>
      <w:r>
        <w:rPr>
          <w:spacing w:val="-48"/>
        </w:rPr>
      </w:r>
      <w:r>
        <w:rPr>
          <w:spacing w:val="-2"/>
        </w:rPr>
        <w:t>断完善公司的法人治理结构，建立健全公司内部管理和控制制度，持续深入开展公司治理活动，促进了公</w:t>
      </w:r>
      <w:r>
        <w:rPr>
          <w:spacing w:val="-43"/>
        </w:rPr>
        <w:t> </w:t>
      </w:r>
      <w:r>
        <w:rPr>
          <w:spacing w:val="-43"/>
        </w:rPr>
      </w:r>
      <w:r>
        <w:rPr/>
        <w:t>司规范运作，提高了公司治理水平。</w:t>
      </w:r>
    </w:p>
    <w:p>
      <w:pPr>
        <w:pStyle w:val="BodyText"/>
        <w:spacing w:line="273" w:lineRule="auto" w:before="163"/>
        <w:ind w:right="125" w:firstLine="199"/>
        <w:jc w:val="both"/>
      </w:pPr>
      <w:r>
        <w:rPr>
          <w:spacing w:val="-7"/>
        </w:rPr>
        <w:t>截至本报告期末，公司治理的实际状况基本符合中国证监会《上市公司治理准则》和深圳证券交易所《创</w:t>
      </w:r>
      <w:r>
        <w:rPr>
          <w:w w:val="100"/>
        </w:rPr>
        <w:t> </w:t>
      </w:r>
      <w:r>
        <w:rPr>
          <w:spacing w:val="-2"/>
        </w:rPr>
        <w:t>业板上市公司规范运作指引》的要求，不存在尚未解决的公司治理问题。不存在因部分改制、行业特性、</w:t>
      </w:r>
      <w:r>
        <w:rPr>
          <w:spacing w:val="-21"/>
        </w:rPr>
        <w:t> </w:t>
      </w:r>
      <w:r>
        <w:rPr>
          <w:spacing w:val="-21"/>
        </w:rPr>
      </w:r>
      <w:r>
        <w:rPr/>
        <w:t>国家政策或收购兼并等原因导致的同业竞争和关联交易问题。</w:t>
      </w:r>
    </w:p>
    <w:p>
      <w:pPr>
        <w:pStyle w:val="BodyText"/>
        <w:spacing w:line="240" w:lineRule="auto" w:before="7"/>
        <w:ind w:left="573" w:right="0"/>
        <w:jc w:val="left"/>
      </w:pPr>
      <w:r>
        <w:rPr>
          <w:rFonts w:ascii="宋体" w:hAnsi="宋体" w:cs="宋体" w:eastAsia="宋体" w:hint="default"/>
        </w:rPr>
        <w:t>1</w:t>
      </w:r>
      <w:r>
        <w:rPr/>
        <w:t>、关于股东与股东大会</w:t>
      </w:r>
    </w:p>
    <w:p>
      <w:pPr>
        <w:spacing w:line="240" w:lineRule="auto" w:before="10"/>
        <w:rPr>
          <w:rFonts w:ascii="宋体" w:hAnsi="宋体" w:cs="宋体" w:eastAsia="宋体" w:hint="default"/>
          <w:sz w:val="14"/>
          <w:szCs w:val="14"/>
        </w:rPr>
      </w:pPr>
    </w:p>
    <w:p>
      <w:pPr>
        <w:pStyle w:val="BodyText"/>
        <w:spacing w:line="273" w:lineRule="auto"/>
        <w:ind w:right="146" w:firstLine="199"/>
        <w:jc w:val="both"/>
      </w:pPr>
      <w:r>
        <w:rPr/>
        <w:t>公司股东大会均严格按照《上市公司股东大会规则》 、</w:t>
      </w:r>
      <w:r>
        <w:rPr>
          <w:spacing w:val="-19"/>
        </w:rPr>
        <w:t> </w:t>
      </w:r>
      <w:r>
        <w:rPr/>
        <w:t>《公司章程》、《股东大会议事规则》等规定</w:t>
      </w:r>
      <w:r>
        <w:rPr>
          <w:w w:val="100"/>
        </w:rPr>
        <w:t> </w:t>
      </w:r>
      <w:r>
        <w:rPr>
          <w:spacing w:val="-2"/>
        </w:rPr>
        <w:t>召集、召开，并尽可能为股东参加股东大会创造便利条件，对每一项需要审议的事项均设定充裕的时间给</w:t>
      </w:r>
      <w:r>
        <w:rPr>
          <w:spacing w:val="-43"/>
        </w:rPr>
        <w:t> </w:t>
      </w:r>
      <w:r>
        <w:rPr>
          <w:spacing w:val="-43"/>
        </w:rPr>
      </w:r>
      <w:r>
        <w:rPr>
          <w:spacing w:val="-2"/>
        </w:rPr>
        <w:t>股东表达意见，确保所有股东，特别是公众股东的平等地位，充分行使自己的权利。同时，公司聘请专业</w:t>
      </w:r>
      <w:r>
        <w:rPr>
          <w:spacing w:val="-43"/>
        </w:rPr>
        <w:t> </w:t>
      </w:r>
      <w:r>
        <w:rPr>
          <w:spacing w:val="-43"/>
        </w:rPr>
      </w:r>
      <w:r>
        <w:rPr/>
        <w:t>律师见证股东大会，确保会议召集召开以及表决程序符合相关法律规定，维护股东的合法权益。</w:t>
      </w:r>
    </w:p>
    <w:p>
      <w:pPr>
        <w:pStyle w:val="BodyText"/>
        <w:spacing w:line="240" w:lineRule="auto" w:before="7"/>
        <w:ind w:left="573" w:right="0"/>
        <w:jc w:val="left"/>
      </w:pPr>
      <w:r>
        <w:rPr>
          <w:rFonts w:ascii="宋体" w:hAnsi="宋体" w:cs="宋体" w:eastAsia="宋体" w:hint="default"/>
        </w:rPr>
        <w:t>2</w:t>
      </w:r>
      <w:r>
        <w:rPr/>
        <w:t>、关于控股股东与公司</w:t>
      </w:r>
    </w:p>
    <w:p>
      <w:pPr>
        <w:spacing w:line="240" w:lineRule="auto" w:before="10"/>
        <w:rPr>
          <w:rFonts w:ascii="宋体" w:hAnsi="宋体" w:cs="宋体" w:eastAsia="宋体" w:hint="default"/>
          <w:sz w:val="14"/>
          <w:szCs w:val="14"/>
        </w:rPr>
      </w:pPr>
    </w:p>
    <w:p>
      <w:pPr>
        <w:pStyle w:val="BodyText"/>
        <w:spacing w:line="273" w:lineRule="auto"/>
        <w:ind w:right="146" w:firstLine="199"/>
        <w:jc w:val="both"/>
      </w:pPr>
      <w:r>
        <w:rPr>
          <w:spacing w:val="-2"/>
        </w:rPr>
        <w:t>公司控股股东为自然人李玉国先生。李玉国先生在公司担任董事长，严格规范自身行为，依法行使其权</w:t>
      </w:r>
      <w:r>
        <w:rPr>
          <w:w w:val="100"/>
        </w:rPr>
        <w:t> </w:t>
      </w:r>
      <w:r>
        <w:rPr>
          <w:spacing w:val="-2"/>
        </w:rPr>
        <w:t>利并承担相应义务，没有超越股东大会直接或间接干预本公司的决策和经营活动。公司的人员、资产、财</w:t>
      </w:r>
      <w:r>
        <w:rPr>
          <w:spacing w:val="-44"/>
        </w:rPr>
        <w:t> </w:t>
      </w:r>
      <w:r>
        <w:rPr>
          <w:spacing w:val="-44"/>
        </w:rPr>
      </w:r>
      <w:r>
        <w:rPr>
          <w:spacing w:val="-2"/>
        </w:rPr>
        <w:t>务、机构、业务独立，不存在控股股东占用资金以及公司为控股股东提供担保的情形。公司严格按照《公</w:t>
      </w:r>
      <w:r>
        <w:rPr>
          <w:spacing w:val="-43"/>
        </w:rPr>
        <w:t> </w:t>
      </w:r>
      <w:r>
        <w:rPr>
          <w:spacing w:val="-43"/>
        </w:rPr>
      </w:r>
      <w:r>
        <w:rPr/>
        <w:t>司法》、《证券法》、《公司章程》及证券监管部门的有关规定正确处理与控股股东的关系。</w:t>
      </w:r>
    </w:p>
    <w:p>
      <w:pPr>
        <w:pStyle w:val="BodyText"/>
        <w:spacing w:line="240" w:lineRule="auto" w:before="7"/>
        <w:ind w:left="573" w:right="0"/>
        <w:jc w:val="left"/>
      </w:pPr>
      <w:r>
        <w:rPr>
          <w:rFonts w:ascii="宋体" w:hAnsi="宋体" w:cs="宋体" w:eastAsia="宋体" w:hint="default"/>
        </w:rPr>
        <w:t>3</w:t>
      </w:r>
      <w:r>
        <w:rPr/>
        <w:t>、关于董事和董事会</w:t>
      </w:r>
    </w:p>
    <w:p>
      <w:pPr>
        <w:spacing w:line="240" w:lineRule="auto" w:before="10"/>
        <w:rPr>
          <w:rFonts w:ascii="宋体" w:hAnsi="宋体" w:cs="宋体" w:eastAsia="宋体" w:hint="default"/>
          <w:sz w:val="14"/>
          <w:szCs w:val="14"/>
        </w:rPr>
      </w:pPr>
    </w:p>
    <w:p>
      <w:pPr>
        <w:pStyle w:val="BodyText"/>
        <w:spacing w:line="273" w:lineRule="auto"/>
        <w:ind w:right="147" w:firstLine="305"/>
        <w:jc w:val="both"/>
      </w:pPr>
      <w:r>
        <w:rPr/>
        <w:t>公司第二届董事会设董事</w:t>
      </w:r>
      <w:r>
        <w:rPr>
          <w:rFonts w:ascii="宋体" w:hAnsi="宋体" w:cs="宋体" w:eastAsia="宋体" w:hint="default"/>
        </w:rPr>
        <w:t>9</w:t>
      </w:r>
      <w:r>
        <w:rPr/>
        <w:t>名，其中独立董事</w:t>
      </w:r>
      <w:r>
        <w:rPr>
          <w:rFonts w:ascii="宋体" w:hAnsi="宋体" w:cs="宋体" w:eastAsia="宋体" w:hint="default"/>
        </w:rPr>
        <w:t>3</w:t>
      </w:r>
      <w:r>
        <w:rPr/>
        <w:t>名，各位董事能够依据《董事会议事规则》、《独立董</w:t>
      </w:r>
      <w:r>
        <w:rPr>
          <w:w w:val="100"/>
        </w:rPr>
        <w:t> </w:t>
      </w:r>
      <w:r>
        <w:rPr>
          <w:spacing w:val="-2"/>
        </w:rPr>
        <w:t>事工作制度》、《深圳证券交易所创业板上市公司规范运作指引》等开展工作，出席董事会、董事会专门</w:t>
      </w:r>
      <w:r>
        <w:rPr>
          <w:spacing w:val="-42"/>
        </w:rPr>
        <w:t> </w:t>
      </w:r>
      <w:r>
        <w:rPr>
          <w:spacing w:val="-42"/>
        </w:rPr>
      </w:r>
      <w:r>
        <w:rPr>
          <w:spacing w:val="-2"/>
        </w:rPr>
        <w:t>委员会和股东大会，勤勉尽责地履行职责和义务，同时积极参加相关培训，熟悉相关法律法规。公司按照</w:t>
      </w:r>
    </w:p>
    <w:p>
      <w:pPr>
        <w:pStyle w:val="BodyText"/>
        <w:spacing w:line="273" w:lineRule="auto" w:before="7"/>
        <w:ind w:right="125"/>
        <w:jc w:val="both"/>
      </w:pPr>
      <w:r>
        <w:rPr>
          <w:spacing w:val="-2"/>
        </w:rPr>
        <w:t>《深圳证券交易所创业板上市公司规范运作指引》的要求，下设有战略委员会、薪酬与考核委员会、审计</w:t>
      </w:r>
      <w:r>
        <w:rPr>
          <w:spacing w:val="-46"/>
        </w:rPr>
        <w:t> </w:t>
      </w:r>
      <w:r>
        <w:rPr>
          <w:spacing w:val="-46"/>
        </w:rPr>
      </w:r>
      <w:r>
        <w:rPr>
          <w:spacing w:val="-2"/>
        </w:rPr>
        <w:t>委员会和提名委员会四个专门委员会。各委员会依据《公司章程》和各委员会议事规则的规定履行职权，</w:t>
      </w:r>
      <w:r>
        <w:rPr>
          <w:spacing w:val="-21"/>
        </w:rPr>
        <w:t> </w:t>
      </w:r>
      <w:r>
        <w:rPr>
          <w:spacing w:val="-21"/>
        </w:rPr>
      </w:r>
      <w:r>
        <w:rPr>
          <w:spacing w:val="-2"/>
        </w:rPr>
        <w:t>不受公司任何其他部门和个人的干预。报告期内，公司董事以多种形式参加相关培训，通过进一步学习、</w:t>
      </w:r>
      <w:r>
        <w:rPr>
          <w:spacing w:val="-21"/>
        </w:rPr>
        <w:t> </w:t>
      </w:r>
      <w:r>
        <w:rPr>
          <w:spacing w:val="-21"/>
        </w:rPr>
      </w:r>
      <w:r>
        <w:rPr/>
        <w:t>熟悉有关法律法规，切实提高了履行董事职责的能力。</w:t>
      </w:r>
    </w:p>
    <w:p>
      <w:pPr>
        <w:pStyle w:val="BodyText"/>
        <w:spacing w:line="240" w:lineRule="auto" w:before="7"/>
        <w:ind w:left="573" w:right="0"/>
        <w:jc w:val="left"/>
      </w:pPr>
      <w:r>
        <w:rPr>
          <w:rFonts w:ascii="宋体" w:hAnsi="宋体" w:cs="宋体" w:eastAsia="宋体" w:hint="default"/>
        </w:rPr>
        <w:t>4</w:t>
      </w:r>
      <w:r>
        <w:rPr/>
        <w:t>、关于监事和监事会</w:t>
      </w:r>
    </w:p>
    <w:p>
      <w:pPr>
        <w:spacing w:line="240" w:lineRule="auto" w:before="11"/>
        <w:rPr>
          <w:rFonts w:ascii="宋体" w:hAnsi="宋体" w:cs="宋体" w:eastAsia="宋体" w:hint="default"/>
          <w:sz w:val="14"/>
          <w:szCs w:val="14"/>
        </w:rPr>
      </w:pPr>
    </w:p>
    <w:p>
      <w:pPr>
        <w:pStyle w:val="BodyText"/>
        <w:spacing w:line="273" w:lineRule="auto"/>
        <w:ind w:right="146" w:firstLine="516"/>
        <w:jc w:val="both"/>
      </w:pPr>
      <w:r>
        <w:rPr/>
        <w:t>公司监事会设监事 </w:t>
      </w:r>
      <w:r>
        <w:rPr>
          <w:rFonts w:ascii="宋体" w:hAnsi="宋体" w:cs="宋体" w:eastAsia="宋体" w:hint="default"/>
        </w:rPr>
        <w:t>3 </w:t>
      </w:r>
      <w:r>
        <w:rPr/>
        <w:t>名，其中职工代表监事</w:t>
      </w:r>
      <w:r>
        <w:rPr>
          <w:rFonts w:ascii="宋体" w:hAnsi="宋体" w:cs="宋体" w:eastAsia="宋体" w:hint="default"/>
        </w:rPr>
        <w:t>1</w:t>
      </w:r>
      <w:r>
        <w:rPr>
          <w:rFonts w:ascii="宋体" w:hAnsi="宋体" w:cs="宋体" w:eastAsia="宋体" w:hint="default"/>
          <w:spacing w:val="-22"/>
        </w:rPr>
        <w:t> </w:t>
      </w:r>
      <w:r>
        <w:rPr/>
        <w:t>名，监事会的人数及人员构成符合法律、法规和公司</w:t>
      </w:r>
      <w:r>
        <w:rPr>
          <w:w w:val="100"/>
        </w:rPr>
        <w:t> </w:t>
      </w:r>
      <w:r>
        <w:rPr>
          <w:spacing w:val="-2"/>
        </w:rPr>
        <w:t>章程的要求。监事会均按照公司章程、《监事会议事规则》规定的程序召集、召开会议。各位监事和监事</w:t>
      </w:r>
      <w:r>
        <w:rPr>
          <w:spacing w:val="-42"/>
        </w:rPr>
        <w:t> </w:t>
      </w:r>
      <w:r>
        <w:rPr>
          <w:spacing w:val="-42"/>
        </w:rPr>
      </w:r>
      <w:r>
        <w:rPr>
          <w:spacing w:val="-2"/>
        </w:rPr>
        <w:t>会，均认真履行自身的职责，本着对公司和全体股东负责的精神，依法、独立地对公司财务状况、重大交</w:t>
      </w:r>
      <w:r>
        <w:rPr>
          <w:spacing w:val="-43"/>
        </w:rPr>
        <w:t> </w:t>
      </w:r>
      <w:r>
        <w:rPr>
          <w:spacing w:val="-43"/>
        </w:rPr>
      </w:r>
      <w:r>
        <w:rPr>
          <w:spacing w:val="-2"/>
        </w:rPr>
        <w:t>易、募集资金管理、公司董事、总经理和其他高级管理人员履行职责的合法性、合规性进行监督，维护公</w:t>
      </w:r>
      <w:r>
        <w:rPr>
          <w:spacing w:val="-43"/>
        </w:rPr>
        <w:t> </w:t>
      </w:r>
      <w:r>
        <w:rPr>
          <w:spacing w:val="-43"/>
        </w:rPr>
      </w:r>
      <w:r>
        <w:rPr/>
        <w:t>司和股东的合法权益。</w:t>
      </w:r>
    </w:p>
    <w:p>
      <w:pPr>
        <w:pStyle w:val="BodyText"/>
        <w:spacing w:line="240" w:lineRule="auto" w:before="7"/>
        <w:ind w:left="573" w:right="0"/>
        <w:jc w:val="left"/>
      </w:pPr>
      <w:r>
        <w:rPr>
          <w:rFonts w:ascii="宋体" w:hAnsi="宋体" w:cs="宋体" w:eastAsia="宋体" w:hint="default"/>
        </w:rPr>
        <w:t>5</w:t>
      </w:r>
      <w:r>
        <w:rPr/>
        <w:t>、关于绩效评价与激励约束机制</w:t>
      </w:r>
    </w:p>
    <w:p>
      <w:pPr>
        <w:spacing w:line="240" w:lineRule="auto" w:before="10"/>
        <w:rPr>
          <w:rFonts w:ascii="宋体" w:hAnsi="宋体" w:cs="宋体" w:eastAsia="宋体" w:hint="default"/>
          <w:sz w:val="14"/>
          <w:szCs w:val="14"/>
        </w:rPr>
      </w:pPr>
    </w:p>
    <w:p>
      <w:pPr>
        <w:pStyle w:val="BodyText"/>
        <w:spacing w:line="273" w:lineRule="auto"/>
        <w:ind w:right="127" w:firstLine="199"/>
        <w:jc w:val="both"/>
      </w:pPr>
      <w:r>
        <w:rPr>
          <w:spacing w:val="-2"/>
        </w:rPr>
        <w:t>公司董事会下设的薪酬与考核委员会负责对公司的董事、监事、高级管理人员进行绩效考核，公司现有</w:t>
      </w:r>
      <w:r>
        <w:rPr>
          <w:w w:val="100"/>
        </w:rPr>
        <w:t> </w:t>
      </w:r>
      <w:r>
        <w:rPr>
          <w:spacing w:val="-2"/>
        </w:rPr>
        <w:t>的考核及激励约束机制符合公司的发展现状。高级管理人员的聘任公开、透明，符合法律、法规的规定。</w:t>
      </w:r>
    </w:p>
    <w:p>
      <w:pPr>
        <w:pStyle w:val="BodyText"/>
        <w:spacing w:line="240" w:lineRule="auto" w:before="7"/>
        <w:ind w:left="573" w:right="0"/>
        <w:jc w:val="left"/>
      </w:pPr>
      <w:r>
        <w:rPr>
          <w:rFonts w:ascii="宋体" w:hAnsi="宋体" w:cs="宋体" w:eastAsia="宋体" w:hint="default"/>
        </w:rPr>
        <w:t>6</w:t>
      </w:r>
      <w:r>
        <w:rPr/>
        <w:t>、关于信息披露与透明度</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47" w:firstLine="410"/>
        <w:jc w:val="both"/>
      </w:pPr>
      <w:r>
        <w:rPr>
          <w:spacing w:val="-2"/>
        </w:rPr>
        <w:t>公司严格按照有关法律法规以及《公司章程》、《信息披露管理办法》、《投资者关系管理制度》等</w:t>
      </w:r>
      <w:r>
        <w:rPr>
          <w:spacing w:val="-5"/>
          <w:w w:val="100"/>
        </w:rPr>
        <w:t> </w:t>
      </w:r>
      <w:r>
        <w:rPr>
          <w:spacing w:val="-2"/>
        </w:rPr>
        <w:t>的要求，真实、准确、及时、公平、完整地披露有关信息，指定公司董事会秘书负责信息披露工作，协调</w:t>
      </w:r>
      <w:r>
        <w:rPr>
          <w:spacing w:val="-45"/>
        </w:rPr>
        <w:t> </w:t>
      </w:r>
      <w:r>
        <w:rPr>
          <w:spacing w:val="-45"/>
        </w:rPr>
      </w:r>
      <w:r>
        <w:rPr>
          <w:spacing w:val="-2"/>
        </w:rPr>
        <w:t>公司与投资者的关系，接待股东来访，回答投资者咨询，向投资者提供公司已披露的资料；并指定《证券</w:t>
      </w:r>
      <w:r>
        <w:rPr>
          <w:spacing w:val="-43"/>
        </w:rPr>
        <w:t> </w:t>
      </w:r>
      <w:r>
        <w:rPr>
          <w:spacing w:val="-43"/>
        </w:rPr>
      </w:r>
      <w:r>
        <w:rPr/>
        <w:t>时报》、《中国证券报》、《证券日报》、《上海证券报》和巨潮资讯网（</w:t>
      </w:r>
      <w:hyperlink r:id="rId13">
        <w:r>
          <w:rPr>
            <w:rFonts w:ascii="宋体" w:hAnsi="宋体" w:cs="宋体" w:eastAsia="宋体" w:hint="default"/>
          </w:rPr>
          <w:t>www.cninfo.com.cn</w:t>
        </w:r>
      </w:hyperlink>
      <w:r>
        <w:rPr/>
        <w:t>）为公司</w:t>
      </w:r>
      <w:r>
        <w:rPr>
          <w:spacing w:val="-23"/>
        </w:rPr>
        <w:t> </w:t>
      </w:r>
      <w:r>
        <w:rPr>
          <w:spacing w:val="-23"/>
        </w:rPr>
      </w:r>
      <w:r>
        <w:rPr/>
        <w:t>信息披露的指定报纸和网站，确保公司所有股东能够以平等的机会获得信息。</w:t>
      </w:r>
    </w:p>
    <w:p>
      <w:pPr>
        <w:pStyle w:val="BodyText"/>
        <w:spacing w:line="240" w:lineRule="auto" w:before="7"/>
        <w:ind w:left="678" w:right="0"/>
        <w:jc w:val="left"/>
      </w:pPr>
      <w:r>
        <w:rPr>
          <w:rFonts w:ascii="宋体" w:hAnsi="宋体" w:cs="宋体" w:eastAsia="宋体" w:hint="default"/>
        </w:rPr>
        <w:t>7</w:t>
      </w:r>
      <w:r>
        <w:rPr/>
        <w:t>、关于相关利益者</w:t>
      </w:r>
    </w:p>
    <w:p>
      <w:pPr>
        <w:spacing w:line="240" w:lineRule="auto" w:before="10"/>
        <w:rPr>
          <w:rFonts w:ascii="宋体" w:hAnsi="宋体" w:cs="宋体" w:eastAsia="宋体" w:hint="default"/>
          <w:sz w:val="14"/>
          <w:szCs w:val="14"/>
        </w:rPr>
      </w:pPr>
    </w:p>
    <w:p>
      <w:pPr>
        <w:pStyle w:val="BodyText"/>
        <w:spacing w:line="273" w:lineRule="auto"/>
        <w:ind w:right="151" w:firstLine="410"/>
        <w:jc w:val="both"/>
      </w:pPr>
      <w:r>
        <w:rPr>
          <w:spacing w:val="-2"/>
        </w:rPr>
        <w:t>公司充分尊重和维护相关利益者的合法权益，实现股东、员工、社会等各方利益的协调平衡，共同推</w:t>
      </w:r>
      <w:r>
        <w:rPr>
          <w:w w:val="100"/>
        </w:rPr>
        <w:t> </w:t>
      </w:r>
      <w:r>
        <w:rPr/>
        <w:t>动公司持续、健康的发展。</w:t>
      </w:r>
    </w:p>
    <w:p>
      <w:pPr>
        <w:spacing w:line="240" w:lineRule="auto" w:before="2"/>
        <w:rPr>
          <w:rFonts w:ascii="宋体" w:hAnsi="宋体" w:cs="宋体" w:eastAsia="宋体" w:hint="default"/>
          <w:sz w:val="29"/>
          <w:szCs w:val="2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7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年度第一次临时股东大 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三、报告期董事会召开情况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第一届董事会第十八次会议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9"/>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第一届董事会第十九次会议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3" w:right="51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h</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ttp:/</w:t>
            </w:r>
            <w:hyperlink r:id="rId13">
              <w:r>
                <w:rPr>
                  <w:rFonts w:ascii="Times New Roman" w:hAnsi="Times New Roman" w:cs="Times New Roman" w:eastAsia="Times New Roman" w:hint="default"/>
                  <w:spacing w:val="-1"/>
                  <w:sz w:val="18"/>
                  <w:szCs w:val="18"/>
                </w:rPr>
                <w:t>/www</w:t>
              </w:r>
            </w:hyperlink>
            <w:r>
              <w:rPr>
                <w:rFonts w:ascii="Times New Roman" w:hAnsi="Times New Roman" w:cs="Times New Roman" w:eastAsia="Times New Roman" w:hint="default"/>
                <w:spacing w:val="-1"/>
                <w:sz w:val="18"/>
                <w:szCs w:val="18"/>
              </w:rPr>
              <w:t>.</w:t>
            </w:r>
            <w:hyperlink r:id="rId13">
              <w:r>
                <w:rPr>
                  <w:rFonts w:ascii="Times New Roman" w:hAnsi="Times New Roman" w:cs="Times New Roman" w:eastAsia="Times New Roman" w:hint="default"/>
                  <w:spacing w:val="-1"/>
                  <w:sz w:val="18"/>
                  <w:szCs w:val="18"/>
                </w:rPr>
                <w:t>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第一届董事会第二十次会议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第二届董事会第一次会议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第二届董事会第二次会议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第二届董事会第三次会议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第二届董事会第四次会议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第二届董事会第五次会议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四、年度报告重大差错责任追究制度的建立与执行情况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48" w:firstLine="420"/>
        <w:jc w:val="both"/>
      </w:pPr>
      <w:r>
        <w:rPr>
          <w:spacing w:val="-2"/>
        </w:rPr>
        <w:t>为提高公司规范运作水平，增强年报信息披露的真实性、准确性、完整性和及时性，提高年报信息披</w:t>
      </w:r>
      <w:r>
        <w:rPr>
          <w:w w:val="100"/>
        </w:rPr>
        <w:t> </w:t>
      </w:r>
      <w:r>
        <w:rPr>
          <w:spacing w:val="-11"/>
          <w:w w:val="100"/>
        </w:rPr>
        <w:t>露的质量和透明度，公司根据《上市公司信息披露管理办法》、《上市公司治理准则》、《深圳证券交易所创</w:t>
      </w:r>
      <w:r>
        <w:rPr>
          <w:spacing w:val="-92"/>
          <w:w w:val="100"/>
        </w:rPr>
        <w:t> </w:t>
      </w:r>
      <w:r>
        <w:rPr>
          <w:spacing w:val="-92"/>
          <w:w w:val="100"/>
        </w:rPr>
      </w:r>
      <w:r>
        <w:rPr>
          <w:spacing w:val="-5"/>
          <w:w w:val="100"/>
        </w:rPr>
        <w:t>业板股票上市规则》的有关规定，制定了《年报信息披露重大差错责任追究制度》，该制度于</w:t>
      </w:r>
      <w:r>
        <w:rPr>
          <w:spacing w:val="-48"/>
          <w:w w:val="100"/>
        </w:rPr>
        <w:t> </w:t>
      </w:r>
      <w:r>
        <w:rPr>
          <w:rFonts w:ascii="宋体" w:hAnsi="宋体" w:cs="宋体" w:eastAsia="宋体" w:hint="default"/>
          <w:spacing w:val="-1"/>
          <w:w w:val="100"/>
        </w:rPr>
        <w:t>2011</w:t>
      </w:r>
      <w:r>
        <w:rPr>
          <w:rFonts w:ascii="宋体" w:hAnsi="宋体" w:cs="宋体" w:eastAsia="宋体" w:hint="default"/>
          <w:spacing w:val="-51"/>
          <w:w w:val="100"/>
        </w:rPr>
        <w:t> </w:t>
      </w:r>
      <w:r>
        <w:rPr>
          <w:w w:val="100"/>
        </w:rPr>
        <w:t>年</w:t>
      </w:r>
      <w:r>
        <w:rPr>
          <w:spacing w:val="-51"/>
          <w:w w:val="100"/>
        </w:rPr>
        <w:t> </w:t>
      </w:r>
      <w:r>
        <w:rPr>
          <w:rFonts w:ascii="宋体" w:hAnsi="宋体" w:cs="宋体" w:eastAsia="宋体" w:hint="default"/>
          <w:w w:val="100"/>
        </w:rPr>
        <w:t>1</w:t>
      </w:r>
      <w:r>
        <w:rPr>
          <w:rFonts w:ascii="宋体" w:hAnsi="宋体" w:cs="宋体" w:eastAsia="宋体" w:hint="default"/>
          <w:spacing w:val="-49"/>
          <w:w w:val="100"/>
        </w:rPr>
        <w:t> </w:t>
      </w:r>
      <w:r>
        <w:rPr>
          <w:w w:val="100"/>
        </w:rPr>
        <w:t>月</w:t>
      </w:r>
    </w:p>
    <w:p>
      <w:pPr>
        <w:pStyle w:val="BodyText"/>
        <w:spacing w:line="273" w:lineRule="auto" w:before="7"/>
        <w:ind w:right="176"/>
        <w:jc w:val="left"/>
      </w:pPr>
      <w:r>
        <w:rPr>
          <w:rFonts w:ascii="宋体" w:hAnsi="宋体" w:cs="宋体" w:eastAsia="宋体" w:hint="default"/>
        </w:rPr>
        <w:t>24 </w:t>
      </w:r>
      <w:r>
        <w:rPr/>
        <w:t>日经公司第一届董事会第九次会议审议通过，并得到有效贯彻执行。</w:t>
      </w:r>
      <w:r>
        <w:rPr>
          <w:spacing w:val="-62"/>
        </w:rPr>
        <w:t> </w:t>
      </w:r>
      <w:r>
        <w:rPr/>
        <w:t>报告期内，公司无年报信息披露</w:t>
      </w:r>
      <w:r>
        <w:rPr>
          <w:w w:val="100"/>
        </w:rPr>
        <w:t> </w:t>
      </w:r>
      <w:r>
        <w:rPr/>
        <w:t>重大差错。</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40" w:lineRule="auto" w:before="115"/>
        <w:ind w:left="152" w:right="6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after="0" w:line="3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90" w:right="3646"/>
        <w:jc w:val="center"/>
        <w:rPr>
          <w:b w:val="0"/>
          <w:bCs w:val="0"/>
        </w:rPr>
      </w:pPr>
      <w:bookmarkStart w:name="_TOC_250001" w:id="9"/>
      <w:r>
        <w:rPr/>
        <w:t>第九节</w:t>
      </w:r>
      <w:r>
        <w:rPr>
          <w:spacing w:val="-2"/>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01"/>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中磊会计师事务所有限责任公司</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）中磊（审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宋体" w:hAnsi="宋体" w:cs="宋体" w:eastAsia="宋体" w:hint="default"/>
                <w:sz w:val="18"/>
                <w:szCs w:val="18"/>
              </w:rPr>
              <w:t>）字第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pStyle w:val="BodyText"/>
        <w:spacing w:line="240" w:lineRule="auto" w:before="28"/>
        <w:ind w:left="3590" w:right="3648"/>
        <w:jc w:val="center"/>
      </w:pPr>
      <w:r>
        <w:rPr/>
        <w:t>审计报告正文</w:t>
      </w:r>
    </w:p>
    <w:p>
      <w:pPr>
        <w:pStyle w:val="Heading3"/>
        <w:spacing w:line="240" w:lineRule="auto" w:before="78"/>
        <w:ind w:right="101"/>
        <w:jc w:val="left"/>
        <w:rPr>
          <w:b w:val="0"/>
          <w:bCs w:val="0"/>
        </w:rPr>
      </w:pPr>
      <w:r>
        <w:rPr/>
        <w:t>河北先河环保科技股份有限公司全体股东：</w:t>
      </w:r>
      <w:r>
        <w:rPr>
          <w:b w:val="0"/>
          <w:bCs w:val="0"/>
        </w:rPr>
      </w:r>
    </w:p>
    <w:p>
      <w:pPr>
        <w:pStyle w:val="BodyText"/>
        <w:spacing w:line="273" w:lineRule="auto" w:before="37"/>
        <w:ind w:right="101" w:firstLine="422"/>
        <w:jc w:val="left"/>
      </w:pPr>
      <w:r>
        <w:rPr>
          <w:spacing w:val="-7"/>
        </w:rPr>
        <w:t>我们审计了后附的河北先河环保科技股份有限公司（以下简称“先河环保公司”）财务报表，包括</w:t>
      </w:r>
      <w:r>
        <w:rPr>
          <w:rFonts w:ascii="宋体" w:hAnsi="宋体" w:cs="宋体" w:eastAsia="宋体" w:hint="default"/>
          <w:spacing w:val="-7"/>
        </w:rPr>
        <w:t>2012</w:t>
      </w:r>
      <w:r>
        <w:rPr>
          <w:rFonts w:ascii="宋体" w:hAnsi="宋体" w:cs="宋体" w:eastAsia="宋体" w:hint="default"/>
          <w:w w:val="100"/>
        </w:rPr>
        <w:t> </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日的合并及母公司资产负债表，</w:t>
      </w:r>
      <w:r>
        <w:rPr>
          <w:rFonts w:ascii="宋体" w:hAnsi="宋体" w:cs="宋体" w:eastAsia="宋体" w:hint="default"/>
          <w:spacing w:val="-4"/>
        </w:rPr>
        <w:t>2012</w:t>
      </w:r>
      <w:r>
        <w:rPr>
          <w:spacing w:val="-4"/>
        </w:rPr>
        <w:t>年度的合并及母公司利润表、合并及母公司股东权益变动表、</w:t>
      </w:r>
      <w:r>
        <w:rPr>
          <w:spacing w:val="-36"/>
        </w:rPr>
        <w:t> </w:t>
      </w:r>
      <w:r>
        <w:rPr>
          <w:spacing w:val="-36"/>
        </w:rPr>
      </w:r>
      <w:r>
        <w:rPr/>
        <w:t>合并及母公司现金流量表以及财务报表附注。</w:t>
      </w:r>
    </w:p>
    <w:p>
      <w:pPr>
        <w:spacing w:line="432" w:lineRule="exact" w:before="27"/>
        <w:ind w:left="573" w:right="101"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z w:val="21"/>
          <w:szCs w:val="21"/>
        </w:rPr>
        <w:t>编制和公允列报财务报表是先河环保公司管理层的责任。这种责任包括：（</w:t>
      </w:r>
      <w:r>
        <w:rPr>
          <w:rFonts w:ascii="宋体" w:hAnsi="宋体" w:cs="宋体" w:eastAsia="宋体" w:hint="default"/>
          <w:sz w:val="21"/>
          <w:szCs w:val="21"/>
        </w:rPr>
        <w:t>1</w:t>
      </w:r>
      <w:r>
        <w:rPr>
          <w:rFonts w:ascii="宋体" w:hAnsi="宋体" w:cs="宋体" w:eastAsia="宋体" w:hint="default"/>
          <w:sz w:val="21"/>
          <w:szCs w:val="21"/>
        </w:rPr>
        <w:t>）按照企业会计准则的</w:t>
      </w:r>
    </w:p>
    <w:p>
      <w:pPr>
        <w:pStyle w:val="BodyText"/>
        <w:spacing w:line="255" w:lineRule="exact"/>
        <w:ind w:right="101"/>
        <w:jc w:val="left"/>
      </w:pPr>
      <w:r>
        <w:rPr/>
        <w:t>规定编制财务报表，并使其实现公允反映；（</w:t>
      </w:r>
      <w:r>
        <w:rPr>
          <w:rFonts w:ascii="宋体" w:hAnsi="宋体" w:cs="宋体" w:eastAsia="宋体" w:hint="default"/>
        </w:rPr>
        <w:t>2</w:t>
      </w:r>
      <w:r>
        <w:rPr/>
        <w:t>）设计、实施和维护必要的内部控制，以使财务报表不存</w:t>
      </w:r>
    </w:p>
    <w:p>
      <w:pPr>
        <w:spacing w:line="376" w:lineRule="auto" w:before="37"/>
        <w:ind w:left="575" w:right="5514" w:hanging="423"/>
        <w:jc w:val="left"/>
        <w:rPr>
          <w:rFonts w:ascii="宋体" w:hAnsi="宋体" w:cs="宋体" w:eastAsia="宋体" w:hint="default"/>
          <w:sz w:val="21"/>
          <w:szCs w:val="21"/>
        </w:rPr>
      </w:pPr>
      <w:r>
        <w:rPr>
          <w:rFonts w:ascii="宋体" w:hAnsi="宋体" w:cs="宋体" w:eastAsia="宋体" w:hint="default"/>
          <w:spacing w:val="-2"/>
          <w:sz w:val="21"/>
          <w:szCs w:val="21"/>
        </w:rPr>
        <w:t>在由于舞弊或错误而导致的重大错报。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注册会计师的责任</w:t>
      </w:r>
      <w:r>
        <w:rPr>
          <w:rFonts w:ascii="宋体" w:hAnsi="宋体" w:cs="宋体" w:eastAsia="宋体" w:hint="default"/>
          <w:sz w:val="21"/>
          <w:szCs w:val="21"/>
        </w:rPr>
      </w:r>
    </w:p>
    <w:p>
      <w:pPr>
        <w:pStyle w:val="BodyText"/>
        <w:spacing w:line="273" w:lineRule="auto" w:before="38"/>
        <w:ind w:right="206" w:firstLine="420"/>
        <w:jc w:val="both"/>
      </w:pPr>
      <w:r>
        <w:rPr>
          <w:spacing w:val="-2"/>
        </w:rPr>
        <w:t>我们的责任是在执行审计工作的基础上对财务报表发表审计意见。我们按照中国注册会计师审计准则</w:t>
      </w:r>
      <w:r>
        <w:rPr>
          <w:w w:val="100"/>
        </w:rPr>
        <w:t> </w:t>
      </w:r>
      <w:r>
        <w:rPr>
          <w:spacing w:val="-2"/>
        </w:rPr>
        <w:t>的规定执行了审计工作。中国注册会计师审计准则要求我们遵守中国注册会计师职业道德守则，计划和实</w:t>
      </w:r>
      <w:r>
        <w:rPr>
          <w:spacing w:val="-42"/>
        </w:rPr>
        <w:t> </w:t>
      </w:r>
      <w:r>
        <w:rPr>
          <w:spacing w:val="-42"/>
        </w:rPr>
      </w:r>
      <w:r>
        <w:rPr/>
        <w:t>施审计工作以对财务报表是否不存在重大错报获取合理保证。</w:t>
      </w:r>
    </w:p>
    <w:p>
      <w:pPr>
        <w:pStyle w:val="BodyText"/>
        <w:spacing w:line="273" w:lineRule="auto" w:before="7"/>
        <w:ind w:right="206" w:firstLine="420"/>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pStyle w:val="BodyText"/>
        <w:spacing w:line="240" w:lineRule="auto" w:before="7"/>
        <w:ind w:left="573" w:right="101"/>
        <w:jc w:val="left"/>
      </w:pPr>
      <w:r>
        <w:rPr/>
        <w:t>我们相信，我们获取的审计证据是充分、适当的，为发表审计意见提供了基础。</w:t>
      </w:r>
    </w:p>
    <w:p>
      <w:pPr>
        <w:pStyle w:val="BodyText"/>
        <w:spacing w:line="430" w:lineRule="atLeast" w:before="2"/>
        <w:ind w:left="573" w:right="101" w:hanging="209"/>
        <w:jc w:val="left"/>
      </w:pPr>
      <w:r>
        <w:rPr>
          <w:rFonts w:ascii="宋体" w:hAnsi="宋体" w:cs="宋体" w:eastAsia="宋体" w:hint="default"/>
          <w:b/>
          <w:bCs/>
        </w:rPr>
        <w:t>（三）审计意见</w:t>
      </w:r>
      <w:r>
        <w:rPr>
          <w:rFonts w:ascii="宋体" w:hAnsi="宋体" w:cs="宋体" w:eastAsia="宋体" w:hint="default"/>
          <w:b/>
          <w:bCs/>
          <w:spacing w:val="-104"/>
        </w:rPr>
        <w:t> </w:t>
      </w:r>
      <w:r>
        <w:rPr>
          <w:spacing w:val="-2"/>
        </w:rPr>
        <w:t>我们认为，先河环保公司财务报表在所有重大方面按照企业会计准则的规定编制，公允反映了先河环</w:t>
      </w:r>
    </w:p>
    <w:p>
      <w:pPr>
        <w:pStyle w:val="BodyText"/>
        <w:spacing w:line="240" w:lineRule="auto" w:before="37"/>
        <w:ind w:right="101"/>
        <w:jc w:val="left"/>
      </w:pPr>
      <w:r>
        <w:rPr/>
        <w:t>保公司</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2012</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2"/>
        <w:spacing w:line="240" w:lineRule="auto"/>
        <w:ind w:right="101"/>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after="0"/>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编制单位：河北先河环保科技股份有限公司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472,586,244.64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563,981,846.75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167,426,061.75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166,264,090.42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81,141,336.82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23,871,590.66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1,912,221.88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933,757.50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22,393,916.78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9,275,211.36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76,296,955.65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41,025,925.31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821,756,737.52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805,352,422.00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153,271,715.42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39,786,215.97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3,418,893.00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59,963,176.27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14,573,346.66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14,624,682.51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172,000.12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177,333.36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3,383,991.05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2,297,409.87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174,819,946.25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116,848,817.98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996,576,683.77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922,201,239.98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30,218,996.92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15,146,641.97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12,914,042.22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11,334,532.72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3,383,638.37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2,889,709.01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7,990,763.29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9,384,823.80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1,596,768.55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15,899,538.73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2,364,822.74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6,979,166.40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7,657,325.00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78,982,914.48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48,777,855.24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9,685,832.48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4,101,454.18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9,685,832.48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4,101,454.18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88,668,746.96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52,879,309.42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600,505,405.86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600,505,405.86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15,915,493.13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11,268,646.07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135,156,861.67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101,087,189.21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907,577,760.66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868,861,241.14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330,176.15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460,689.42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907,907,936.81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869,321,930.56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996,576,683.77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922,201,239.98</w:t>
            </w:r>
          </w:p>
        </w:tc>
      </w:tr>
    </w:tbl>
    <w:p>
      <w:pPr>
        <w:spacing w:line="240" w:lineRule="auto" w:before="11"/>
        <w:rPr>
          <w:rFonts w:ascii="Times New Roman" w:hAnsi="Times New Roman" w:cs="Times New Roman" w:eastAsia="Times New Roman" w:hint="default"/>
          <w:sz w:val="22"/>
          <w:szCs w:val="22"/>
        </w:rPr>
      </w:pPr>
    </w:p>
    <w:p>
      <w:pPr>
        <w:tabs>
          <w:tab w:pos="3307" w:val="left" w:leader="none"/>
          <w:tab w:pos="7087"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法定代表人：李玉国</w:t>
        <w:tab/>
      </w:r>
      <w:r>
        <w:rPr>
          <w:rFonts w:ascii="宋体" w:hAnsi="宋体" w:cs="宋体" w:eastAsia="宋体" w:hint="default"/>
          <w:spacing w:val="-1"/>
          <w:sz w:val="18"/>
          <w:szCs w:val="18"/>
        </w:rPr>
        <w:t>主管会计工作负责人：陈荣强</w:t>
        <w:tab/>
        <w:t>会计机构负责人：吴江</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编制单位：河北先河环保科技股份有限公司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3"/>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455,199,449.21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553,641,929.07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8"/>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169,587,386.75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166,468,740.42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80,401,383.82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23,801,815.66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1,912,221.88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933,757.50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25,279,994.12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10,227,204.63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74,752,358.41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40,479,845.09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807,132,794.19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795,553,292.37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15,250,000.00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151,552,640.33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39,246,436.80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3,418,893.00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59,963,176.27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14,573,346.66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14,624,682.51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3,360,962.90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2,297,409.87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188,155,842.89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131,381,705.45</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995,288,637.08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926,934,997.82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27,564,206.42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14,510,175.47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11,246,632.22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11,082,622.72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3,243,638.37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2,889,709.01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7,457,743.18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9,401,002.15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1,596,768.55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14,678,659.14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3,125,189.59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6,979,166.40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7,657,325.00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72,766,814.28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48,666,023.94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9,685,832.48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4,101,454.18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9,685,832.48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4,101,454.18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82,452,646.76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52,767,478.12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156,000,000.00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600,505,405.86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600,505,405.86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15,915,493.13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11,268,646.07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140,415,091.33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106,393,467.77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912,835,990.32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874,167,519.70</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995,288,637.08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926,934,997.82</w:t>
            </w:r>
          </w:p>
        </w:tc>
      </w:tr>
    </w:tbl>
    <w:p>
      <w:pPr>
        <w:spacing w:line="240" w:lineRule="auto" w:before="11"/>
        <w:rPr>
          <w:rFonts w:ascii="Times New Roman" w:hAnsi="Times New Roman" w:cs="Times New Roman" w:eastAsia="Times New Roman" w:hint="default"/>
          <w:sz w:val="22"/>
          <w:szCs w:val="22"/>
        </w:rPr>
      </w:pPr>
    </w:p>
    <w:p>
      <w:pPr>
        <w:tabs>
          <w:tab w:pos="3307" w:val="left" w:leader="none"/>
          <w:tab w:pos="7178"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法定代表人：李玉国</w:t>
        <w:tab/>
      </w:r>
      <w:r>
        <w:rPr>
          <w:rFonts w:ascii="宋体" w:hAnsi="宋体" w:cs="宋体" w:eastAsia="宋体" w:hint="default"/>
          <w:spacing w:val="-1"/>
          <w:sz w:val="18"/>
          <w:szCs w:val="18"/>
        </w:rPr>
        <w:t>主管会计工作负责人：陈荣强</w:t>
        <w:tab/>
        <w:t>会计机构负责人：吴江</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编制单位：河北先河环保科技股份有限公司</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210,402,129.15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146,557,775.63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210,402,129.15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146,557,775.63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167,966,377.57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111,880,386.90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104,414,362.82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65,184,328.97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1,903,848.04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1,870,776.69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32,334,222.94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26,529,159.40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30,497,228.21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21,929,290.69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-8,280,817.73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-11,439,372.33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7,097,533.29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7,806,203.48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42,435,751.58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34,677,388.73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12,368,265.90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13,021,298.00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391,591.20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54,804,017.48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47,307,095.53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8,418,011.23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7,114,618.51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46,386,006.25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40,192,477.02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46,516,519.52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40,209,990.19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-130,513.27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-17,513.17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46,386,006.25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40,192,477.02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46,516,519.52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40,209,990.19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-130,513.27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-17,513.17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tabs>
          <w:tab w:pos="3307" w:val="left" w:leader="none"/>
          <w:tab w:pos="7178" w:val="left" w:leader="none"/>
        </w:tabs>
        <w:spacing w:before="138"/>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法定代表人：李玉国</w:t>
        <w:tab/>
      </w:r>
      <w:r>
        <w:rPr>
          <w:rFonts w:ascii="宋体" w:hAnsi="宋体" w:cs="宋体" w:eastAsia="宋体" w:hint="default"/>
          <w:spacing w:val="-1"/>
          <w:sz w:val="18"/>
          <w:szCs w:val="18"/>
        </w:rPr>
        <w:t>主管会计工作负责人：陈荣强</w:t>
        <w:tab/>
        <w:t>会计机构负责人：吴江</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编制单位：河北先河环保科技股份有限公司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197,974,717.50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145,347,934.49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97,830,022.63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67,186,109.58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1,811,477.72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1,847,600.74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28,099,708.03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23,886,927.66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28,954,602.78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21,054,780.81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-8,239,008.81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-11,406,621.18</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7,090,353.49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7,450,312.45</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42,427,561.66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35,328,824.43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12,368,265.90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13,021,298.00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280,200.00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54,795,827.56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48,069,922.43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8,327,356.94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7,114,617.91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46,468,470.62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40,955,304.52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46,468,470.62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40,955,304.52</w:t>
            </w:r>
          </w:p>
        </w:tc>
      </w:tr>
    </w:tbl>
    <w:p>
      <w:pPr>
        <w:spacing w:line="240" w:lineRule="auto" w:before="2"/>
        <w:rPr>
          <w:rFonts w:ascii="宋体" w:hAnsi="宋体" w:cs="宋体" w:eastAsia="宋体" w:hint="default"/>
          <w:sz w:val="20"/>
          <w:szCs w:val="20"/>
        </w:rPr>
      </w:pPr>
    </w:p>
    <w:p>
      <w:pPr>
        <w:tabs>
          <w:tab w:pos="3307" w:val="left" w:leader="none"/>
          <w:tab w:pos="7178"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法定代表人：李玉国</w:t>
        <w:tab/>
      </w:r>
      <w:r>
        <w:rPr>
          <w:rFonts w:ascii="宋体" w:hAnsi="宋体" w:cs="宋体" w:eastAsia="宋体" w:hint="default"/>
          <w:spacing w:val="-1"/>
          <w:sz w:val="18"/>
          <w:szCs w:val="18"/>
        </w:rPr>
        <w:t>主管会计工作负责人：陈荣强</w:t>
        <w:tab/>
        <w:t>会计机构负责人：吴江</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编制单位：河北先河环保科技股份有限公司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239,509,499.67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94,679,269.91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4,932,284.20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7,008,218.49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32,528,552.93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19,006,821.96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276,970,336.80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120,694,310.36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191,190,161.70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80,161,902.96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21,539,234.84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17,301,157.95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28,267,870.84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30,111,162.54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48,286,642.43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32,224,728.71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289,283,909.81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159,798,952.16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-12,313,573.01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-39,104,641.80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68,137,604.69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65,034,531.92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68,137,604.69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65,034,531.92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-68,137,604.69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-65,034,531.92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7,679,789.75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6,028,071.02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53,707,860.77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-13,707,860.77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-14,060,000.00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-94,159,038.47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-118,199,173.72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563,981,846.75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682,181,020.47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469,822,808.28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563,981,846.75</w:t>
            </w:r>
          </w:p>
        </w:tc>
      </w:tr>
    </w:tbl>
    <w:p>
      <w:pPr>
        <w:spacing w:line="240" w:lineRule="auto" w:before="11"/>
        <w:rPr>
          <w:rFonts w:ascii="Times New Roman" w:hAnsi="Times New Roman" w:cs="Times New Roman" w:eastAsia="Times New Roman" w:hint="default"/>
          <w:sz w:val="22"/>
          <w:szCs w:val="22"/>
        </w:rPr>
      </w:pPr>
    </w:p>
    <w:p>
      <w:pPr>
        <w:tabs>
          <w:tab w:pos="3307" w:val="left" w:leader="none"/>
          <w:tab w:pos="7178"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法定代表人：李玉国</w:t>
        <w:tab/>
      </w:r>
      <w:r>
        <w:rPr>
          <w:rFonts w:ascii="宋体" w:hAnsi="宋体" w:cs="宋体" w:eastAsia="宋体" w:hint="default"/>
          <w:spacing w:val="-1"/>
          <w:sz w:val="18"/>
          <w:szCs w:val="18"/>
        </w:rPr>
        <w:t>主管会计工作负责人：陈荣强</w:t>
        <w:tab/>
        <w:t>会计机构负责人：吴江</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编制单位：河北先河环保科技股份有限公司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221,475,259.67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93,266,259.91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4,932,284.20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7,008,218.49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32,037,992.15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17,977,929.58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258,445,536.02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118,252,407.98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180,571,098.11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81,945,394.46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20,383,374.69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16,307,839.29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27,839,471.15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29,870,975.93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48,101,443.65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28,380,226.68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276,895,387.60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156,504,436.36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-18,449,851.58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-38,252,028.38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66,284,767.51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64,807,621.92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66,284,767.51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72,807,621.92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-66,284,767.51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-72,807,621.92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7,679,789.75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6,028,071.02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53,707,860.77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-13,707,860.77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-14,060,000.00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-98,442,479.86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-125,119,650.30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553,641,929.07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678,761,579.37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455,199,449.21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553,641,929.07</w:t>
            </w:r>
          </w:p>
        </w:tc>
      </w:tr>
    </w:tbl>
    <w:p>
      <w:pPr>
        <w:spacing w:line="240" w:lineRule="auto" w:before="2"/>
        <w:rPr>
          <w:rFonts w:ascii="宋体" w:hAnsi="宋体" w:cs="宋体" w:eastAsia="宋体" w:hint="default"/>
          <w:sz w:val="20"/>
          <w:szCs w:val="20"/>
        </w:rPr>
      </w:pPr>
    </w:p>
    <w:p>
      <w:pPr>
        <w:tabs>
          <w:tab w:pos="3307" w:val="left" w:leader="none"/>
          <w:tab w:pos="7087"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法定代表人：李玉国</w:t>
        <w:tab/>
      </w:r>
      <w:r>
        <w:rPr>
          <w:rFonts w:ascii="宋体" w:hAnsi="宋体" w:cs="宋体" w:eastAsia="宋体" w:hint="default"/>
          <w:spacing w:val="-1"/>
          <w:sz w:val="18"/>
          <w:szCs w:val="18"/>
        </w:rPr>
        <w:t>主管会计工作负责人：陈荣强</w:t>
        <w:tab/>
        <w:t>会计机构负责人：吴江</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编制单位：河北先河环保科技股份有限公司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573" w:space="5347"/>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156,000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600,505,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405.86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11,268,6</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46.07</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101,087,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189.21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460,689.4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869,321,93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0.56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156,000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600,505,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405.86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11,268,6</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46.07</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101,087,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189.21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460,689.4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869,321,93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0.56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4,646,8</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47.06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34,069,6</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72.46</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-130,513.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38,586,006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.25</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46,516,5</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19.52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46,386,006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46,516,5</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19.52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46,386,006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4,646,8</w:t>
            </w:r>
          </w:p>
          <w:p>
            <w:pPr>
              <w:pStyle w:val="TableParagraph"/>
              <w:spacing w:line="240" w:lineRule="auto" w:before="103"/>
              <w:ind w:left="226" w:right="0"/>
              <w:jc w:val="center"/>
              <w:rPr>
                <w:rFonts w:ascii="Times New Roman" w:hAnsi="Times New Roman" w:cs="Times New Roman" w:eastAsia="Times New Roman" w:hint="default"/>
                <w:sz w:val="18"/>
                <w:szCs w:val="18"/>
              </w:rPr>
            </w:pPr>
            <w:r>
              <w:rPr>
                <w:rFonts w:ascii="Times New Roman"/>
                <w:sz w:val="18"/>
              </w:rPr>
              <w:t>47.06</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-12,446,</w:t>
            </w:r>
          </w:p>
          <w:p>
            <w:pPr>
              <w:pStyle w:val="TableParagraph"/>
              <w:spacing w:line="240" w:lineRule="auto" w:before="103"/>
              <w:ind w:left="144" w:right="0"/>
              <w:jc w:val="center"/>
              <w:rPr>
                <w:rFonts w:ascii="Times New Roman" w:hAnsi="Times New Roman" w:cs="Times New Roman" w:eastAsia="Times New Roman" w:hint="default"/>
                <w:sz w:val="18"/>
                <w:szCs w:val="18"/>
              </w:rPr>
            </w:pPr>
            <w:r>
              <w:rPr>
                <w:rFonts w:ascii="Times New Roman"/>
                <w:sz w:val="18"/>
              </w:rPr>
              <w:t>847.06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-7,800,000.</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4,646,8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47.06</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-4,646,8</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47.06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-7,800,0</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156,000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600,505,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405.86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15,915,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493.13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135,156,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861.67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330,176.1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907,907,93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6.81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55"/>
        <w:gridCol w:w="687"/>
        <w:gridCol w:w="686"/>
        <w:gridCol w:w="686"/>
        <w:gridCol w:w="686"/>
        <w:gridCol w:w="684"/>
        <w:gridCol w:w="684"/>
        <w:gridCol w:w="686"/>
        <w:gridCol w:w="687"/>
        <w:gridCol w:w="818"/>
        <w:gridCol w:w="893"/>
      </w:tblGrid>
      <w:tr>
        <w:trPr>
          <w:trHeight w:val="401" w:hRule="exact"/>
        </w:trPr>
        <w:tc>
          <w:tcPr>
            <w:tcW w:w="2355" w:type="dxa"/>
            <w:vMerge w:val="restart"/>
            <w:tcBorders>
              <w:top w:val="single" w:sz="4" w:space="0" w:color="000000"/>
              <w:left w:val="single" w:sz="4" w:space="0" w:color="000000"/>
              <w:right w:val="single" w:sz="4" w:space="0" w:color="000000"/>
            </w:tcBorders>
            <w:shd w:val="clear" w:color="auto" w:fill="D2D2D2"/>
          </w:tcPr>
          <w:p>
            <w:pPr/>
          </w:p>
        </w:tc>
        <w:tc>
          <w:tcPr>
            <w:tcW w:w="719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548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67"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55" w:type="dxa"/>
            <w:vMerge w:val="restart"/>
            <w:tcBorders>
              <w:top w:val="nil" w:sz="6" w:space="0" w:color="auto"/>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55"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55"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636,505,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405.86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7,173,11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5.62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64,972,7</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29.47</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478,202.5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829,129,45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3.54</w:t>
            </w: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636,505,</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405.86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7,173,11</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5.62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64,972,7</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29.47</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478,202.5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829,129,45</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3.54</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6"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4,095,5</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30.45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36,114,4</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59.74</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40,192,477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40,209,9</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90.19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-17,513.1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40,192,477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.02</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40,209,9</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90.19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-17,513.1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40,192,477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.02</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4,095,5</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30.45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-4,095,5</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30.45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4,095,5</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30.45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-4,095,5</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30.45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156,000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600,505,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405.86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11,268,6</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46.07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101,087,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189.21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460,689.4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869,321,93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0.56</w:t>
            </w:r>
          </w:p>
        </w:tc>
      </w:tr>
    </w:tbl>
    <w:p>
      <w:pPr>
        <w:spacing w:line="240" w:lineRule="auto" w:before="2"/>
        <w:rPr>
          <w:rFonts w:ascii="宋体" w:hAnsi="宋体" w:cs="宋体" w:eastAsia="宋体" w:hint="default"/>
          <w:sz w:val="20"/>
          <w:szCs w:val="20"/>
        </w:rPr>
      </w:pPr>
    </w:p>
    <w:p>
      <w:pPr>
        <w:tabs>
          <w:tab w:pos="3307" w:val="left" w:leader="none"/>
          <w:tab w:pos="7178"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法定代表人：李玉国</w:t>
        <w:tab/>
      </w:r>
      <w:r>
        <w:rPr>
          <w:rFonts w:ascii="宋体" w:hAnsi="宋体" w:cs="宋体" w:eastAsia="宋体" w:hint="default"/>
          <w:spacing w:val="-1"/>
          <w:sz w:val="18"/>
          <w:szCs w:val="18"/>
        </w:rPr>
        <w:t>主管会计工作负责人：陈荣强</w:t>
        <w:tab/>
        <w:t>会计机构负责人：吴江</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编制单位：河北先河环保科技股份有限公司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573" w:space="5347"/>
            <w:col w:w="103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65"/>
        <w:gridCol w:w="884"/>
        <w:gridCol w:w="886"/>
        <w:gridCol w:w="886"/>
        <w:gridCol w:w="886"/>
        <w:gridCol w:w="886"/>
        <w:gridCol w:w="886"/>
        <w:gridCol w:w="888"/>
        <w:gridCol w:w="880"/>
      </w:tblGrid>
      <w:tr>
        <w:trPr>
          <w:trHeight w:val="398"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66"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65"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80" w:type="dxa"/>
            <w:vMerge/>
            <w:tcBorders>
              <w:left w:val="single" w:sz="4" w:space="0" w:color="000000"/>
              <w:right w:val="single" w:sz="4" w:space="0" w:color="000000"/>
            </w:tcBorders>
            <w:shd w:val="clear" w:color="auto" w:fill="D2D2D2"/>
          </w:tcPr>
          <w:p>
            <w:pPr/>
          </w:p>
        </w:tc>
      </w:tr>
      <w:tr>
        <w:trPr>
          <w:trHeight w:val="202" w:hRule="exact"/>
        </w:trPr>
        <w:tc>
          <w:tcPr>
            <w:tcW w:w="2465" w:type="dxa"/>
            <w:vMerge w:val="restart"/>
            <w:tcBorders>
              <w:top w:val="nil" w:sz="6" w:space="0" w:color="auto"/>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80" w:type="dxa"/>
            <w:vMerge/>
            <w:tcBorders>
              <w:left w:val="single" w:sz="4" w:space="0" w:color="000000"/>
              <w:right w:val="single" w:sz="4" w:space="0" w:color="000000"/>
            </w:tcBorders>
            <w:shd w:val="clear" w:color="auto" w:fill="D2D2D2"/>
          </w:tcPr>
          <w:p>
            <w:pPr/>
          </w:p>
        </w:tc>
      </w:tr>
      <w:tr>
        <w:trPr>
          <w:trHeight w:val="161" w:hRule="exact"/>
        </w:trPr>
        <w:tc>
          <w:tcPr>
            <w:tcW w:w="2465"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156,000,00</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600,505,40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5.86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11,268,646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106,393,46</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7.77</w:t>
            </w:r>
          </w:p>
        </w:tc>
        <w:tc>
          <w:tcPr>
            <w:tcW w:w="88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874,167,51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9.70</w:t>
            </w:r>
          </w:p>
        </w:tc>
      </w:tr>
      <w:tr>
        <w:trPr>
          <w:trHeight w:val="394"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0"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38.600006pt;margin-top:559.149963pt;width:84.8pt;height:19.6pt;mso-position-horizontal-relative:page;mso-position-vertical-relative:page;z-index:-66666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8.619995pt;margin-top:579.309998pt;width:84.75pt;height:19.6pt;mso-position-horizontal-relative:page;mso-position-vertical-relative:page;z-index:-66664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0.740005pt;margin-top:558.549988pt;width:42.65pt;height:40.950pt;mso-position-horizontal-relative:page;mso-position-vertical-relative:page;z-index:-666616" coordorigin="3615,11171" coordsize="853,819">
            <v:group style="position:absolute;left:3627;top:11183;width:2;height:392" coordorigin="3627,11183" coordsize="2,392">
              <v:shape style="position:absolute;left:3627;top:11183;width:2;height:392" coordorigin="3627,11183" coordsize="0,392" path="m3627,11183l3627,11574e" filled="false" stroked="true" strokeweight="1.2pt" strokecolor="#ffffff">
                <v:path arrowok="t"/>
              </v:shape>
            </v:group>
            <v:group style="position:absolute;left:3639;top:11183;width:829;height:392" coordorigin="3639,11183" coordsize="829,392">
              <v:shape style="position:absolute;left:3639;top:11183;width:829;height:392" coordorigin="3639,11183" coordsize="829,392" path="m3639,11574l4467,11574,4467,11183,3639,11183,3639,11574xe" filled="true" fillcolor="#ffffff" stroked="false">
                <v:path arrowok="t"/>
                <v:fill type="solid"/>
              </v:shape>
            </v:group>
            <v:group style="position:absolute;left:3627;top:11586;width:2;height:392" coordorigin="3627,11586" coordsize="2,392">
              <v:shape style="position:absolute;left:3627;top:11586;width:2;height:392" coordorigin="3627,11586" coordsize="0,392" path="m3627,11586l3627,11977e" filled="false" stroked="true" strokeweight="1.2pt" strokecolor="#ffffff">
                <v:path arrowok="t"/>
              </v:shape>
            </v:group>
            <v:group style="position:absolute;left:3639;top:11586;width:829;height:392" coordorigin="3639,11586" coordsize="829,392">
              <v:shape style="position:absolute;left:3639;top:11586;width:829;height:392" coordorigin="3639,11586" coordsize="829,392" path="m3639,11977l4467,11977,4467,11586,3639,11586,3639,1197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156,000,00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600,505,40</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5.86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11,268,646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106,393,46</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7.77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874,167,51</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9.70</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4,646,847.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34,021,623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38,668,470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46,468,470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46,468,470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.62</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46,468,470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46,468,470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.62</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4,646,847.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-12,446,84</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7.06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16"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4,646,847.</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-4,646,847.</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06</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156,000,00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600,505,40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5.86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15,915,493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140,415,09</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1.33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912,835,99</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0.32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3"/>
        <w:rPr>
          <w:rFonts w:ascii="Times New Roman" w:hAnsi="Times New Roman" w:cs="Times New Roman" w:eastAsia="Times New Roman" w:hint="default"/>
          <w:sz w:val="29"/>
          <w:szCs w:val="29"/>
        </w:rPr>
      </w:pPr>
      <w:r>
        <w:rPr/>
        <w:pict>
          <v:shape style="position:absolute;margin-left:139.554001pt;margin-top:701.5pt;width:84.8pt;height:19.6pt;mso-position-horizontal-relative:page;mso-position-vertical-relative:page;z-index:-66659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9.554001pt;margin-top:721.539978pt;width:84.8pt;height:19.7pt;mso-position-horizontal-relative:page;mso-position-vertical-relative:page;z-index:-66656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2.899994pt;margin-top:701.5pt;width:41.45pt;height:39.75pt;mso-position-horizontal-relative:page;mso-position-vertical-relative:page;z-index:-666544" coordorigin="3658,14030" coordsize="829,795">
            <v:group style="position:absolute;left:3658;top:14030;width:829;height:392" coordorigin="3658,14030" coordsize="829,392">
              <v:shape style="position:absolute;left:3658;top:14030;width:829;height:392" coordorigin="3658,14030" coordsize="829,392" path="m3658,14421l4486,14421,4486,14030,3658,14030,3658,14421xe" filled="true" fillcolor="#ffffff" stroked="false">
                <v:path arrowok="t"/>
                <v:fill type="solid"/>
              </v:shape>
            </v:group>
            <v:group style="position:absolute;left:3658;top:14431;width:829;height:394" coordorigin="3658,14431" coordsize="829,394">
              <v:shape style="position:absolute;left:3658;top:14431;width:829;height:394" coordorigin="3658,14431" coordsize="829,394" path="m3658,14824l4486,14824,4486,14431,3658,14431,3658,14824xe" filled="true" fillcolor="#ffffff" stroked="false">
                <v:path arrowok="t"/>
                <v:fill type="solid"/>
              </v:shape>
            </v:group>
            <w10:wrap type="none"/>
          </v:group>
        </w:pict>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398"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99"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636,505,40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5.86</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7,173,115.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69,533,693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833,212,21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5.18</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636,505,40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5.86</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7,173,115.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69,533,693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833,212,21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5.18</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4,095,530.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36,859,774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40,955,304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40,955,304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.52</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40,955,304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40,955,304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.52</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40,955,304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4,095,530.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-4,095,530.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883" w:type="dxa"/>
            <w:vMerge w:val="restart"/>
            <w:tcBorders>
              <w:top w:val="single" w:sz="4" w:space="0" w:color="000000"/>
              <w:left w:val="single" w:sz="4" w:space="0" w:color="000000"/>
              <w:right w:val="single" w:sz="4" w:space="0" w:color="000000"/>
            </w:tcBorders>
          </w:tcPr>
          <w:p>
            <w:pP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4,095,530.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-4,095,530.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883" w:type="dxa"/>
            <w:vMerge w:val="restart"/>
            <w:tcBorders>
              <w:top w:val="single" w:sz="4" w:space="0" w:color="000000"/>
              <w:left w:val="single" w:sz="4" w:space="0" w:color="000000"/>
              <w:right w:val="single" w:sz="4" w:space="0" w:color="000000"/>
            </w:tcBorders>
          </w:tcPr>
          <w:p>
            <w:pP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96" w:type="dxa"/>
            <w:tcBorders>
              <w:top w:val="single" w:sz="4" w:space="0" w:color="000000"/>
              <w:left w:val="single" w:sz="2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96" w:type="dxa"/>
            <w:tcBorders>
              <w:top w:val="single" w:sz="4" w:space="0" w:color="000000"/>
              <w:left w:val="single" w:sz="2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156,000,00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600,505,40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5.86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11,268,646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.07</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106,393,46</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7.77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874,167,51</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9.70</w:t>
            </w:r>
          </w:p>
        </w:tc>
      </w:tr>
    </w:tbl>
    <w:p>
      <w:pPr>
        <w:spacing w:line="240" w:lineRule="auto" w:before="2"/>
        <w:rPr>
          <w:rFonts w:ascii="宋体" w:hAnsi="宋体" w:cs="宋体" w:eastAsia="宋体" w:hint="default"/>
          <w:sz w:val="20"/>
          <w:szCs w:val="20"/>
        </w:rPr>
      </w:pPr>
    </w:p>
    <w:p>
      <w:pPr>
        <w:tabs>
          <w:tab w:pos="3307" w:val="left" w:leader="none"/>
          <w:tab w:pos="7178" w:val="left" w:leader="none"/>
        </w:tabs>
        <w:spacing w:before="44"/>
        <w:ind w:left="152" w:right="0" w:firstLine="0"/>
        <w:jc w:val="both"/>
        <w:rPr>
          <w:rFonts w:ascii="宋体" w:hAnsi="宋体" w:cs="宋体" w:eastAsia="宋体" w:hint="default"/>
          <w:sz w:val="18"/>
          <w:szCs w:val="18"/>
        </w:rPr>
      </w:pPr>
      <w:r>
        <w:rPr>
          <w:rFonts w:ascii="宋体" w:hAnsi="宋体" w:cs="宋体" w:eastAsia="宋体" w:hint="default"/>
          <w:sz w:val="18"/>
          <w:szCs w:val="18"/>
        </w:rPr>
        <w:t>法定代表人：李玉国</w:t>
        <w:tab/>
      </w:r>
      <w:r>
        <w:rPr>
          <w:rFonts w:ascii="宋体" w:hAnsi="宋体" w:cs="宋体" w:eastAsia="宋体" w:hint="default"/>
          <w:spacing w:val="-1"/>
          <w:sz w:val="18"/>
          <w:szCs w:val="18"/>
        </w:rPr>
        <w:t>主管会计工作负责人：陈荣强</w:t>
        <w:tab/>
        <w:t>会计机构负责人：吴江</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75" w:right="101"/>
        <w:jc w:val="left"/>
        <w:rPr>
          <w:b w:val="0"/>
          <w:bCs w:val="0"/>
        </w:rPr>
      </w:pPr>
      <w:r>
        <w:rPr>
          <w:rFonts w:ascii="Times New Roman" w:hAnsi="Times New Roman" w:cs="Times New Roman" w:eastAsia="Times New Roman" w:hint="default"/>
        </w:rPr>
        <w:t>1</w:t>
      </w:r>
      <w:r>
        <w:rPr/>
        <w:t>、公司简介及历史沿革</w:t>
      </w:r>
      <w:r>
        <w:rPr>
          <w:b w:val="0"/>
          <w:bCs w:val="0"/>
        </w:rPr>
      </w:r>
    </w:p>
    <w:p>
      <w:pPr>
        <w:pStyle w:val="BodyText"/>
        <w:spacing w:line="264" w:lineRule="auto" w:before="21"/>
        <w:ind w:right="105" w:firstLine="420"/>
        <w:jc w:val="both"/>
      </w:pPr>
      <w:r>
        <w:rPr/>
        <w:t>河北先河环保科技股份有限公司（以下简称</w:t>
      </w:r>
      <w:r>
        <w:rPr>
          <w:rFonts w:ascii="Times New Roman" w:hAnsi="Times New Roman" w:cs="Times New Roman" w:eastAsia="Times New Roman" w:hint="default"/>
        </w:rPr>
        <w:t>“</w:t>
      </w:r>
      <w:r>
        <w:rPr/>
        <w:t>公司或本公司</w:t>
      </w:r>
      <w:r>
        <w:rPr>
          <w:rFonts w:ascii="Times New Roman" w:hAnsi="Times New Roman" w:cs="Times New Roman" w:eastAsia="Times New Roman" w:hint="default"/>
        </w:rPr>
        <w:t>”</w:t>
      </w:r>
      <w:r>
        <w:rPr/>
        <w:t>），</w:t>
      </w:r>
      <w:r>
        <w:rPr>
          <w:spacing w:val="-14"/>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日在原河北先河科技发</w:t>
      </w:r>
      <w:r>
        <w:rPr>
          <w:w w:val="100"/>
        </w:rPr>
        <w:t> </w:t>
      </w:r>
      <w:r>
        <w:rPr>
          <w:spacing w:val="-2"/>
        </w:rPr>
        <w:t>展有限公司的基础上，经河北省工商行政管理局批准，整体变更为河北先河环保科技股份有限公司，公司</w:t>
      </w:r>
      <w:r>
        <w:rPr>
          <w:spacing w:val="-43"/>
        </w:rPr>
        <w:t> </w:t>
      </w:r>
      <w:r>
        <w:rPr>
          <w:spacing w:val="-43"/>
        </w:rPr>
      </w:r>
      <w:r>
        <w:rPr>
          <w:spacing w:val="-4"/>
        </w:rPr>
        <w:t>企业法人营业执照注册号为</w:t>
      </w:r>
      <w:r>
        <w:rPr>
          <w:rFonts w:ascii="Times New Roman" w:hAnsi="Times New Roman" w:cs="Times New Roman" w:eastAsia="Times New Roman" w:hint="default"/>
          <w:spacing w:val="-4"/>
        </w:rPr>
        <w:t>130000000008742</w:t>
      </w:r>
      <w:r>
        <w:rPr>
          <w:spacing w:val="-4"/>
        </w:rPr>
        <w:t>，公司法定代表人为李玉国；注册地：石家庄市湘江道</w:t>
      </w:r>
      <w:r>
        <w:rPr>
          <w:rFonts w:ascii="Times New Roman" w:hAnsi="Times New Roman" w:cs="Times New Roman" w:eastAsia="Times New Roman" w:hint="default"/>
          <w:spacing w:val="-4"/>
        </w:rPr>
        <w:t>251</w:t>
      </w:r>
      <w:r>
        <w:rPr>
          <w:spacing w:val="-4"/>
        </w:rPr>
        <w:t>号。</w:t>
      </w:r>
      <w:r>
        <w:rPr/>
      </w:r>
    </w:p>
    <w:p>
      <w:pPr>
        <w:pStyle w:val="BodyText"/>
        <w:spacing w:line="256" w:lineRule="auto"/>
        <w:ind w:right="206" w:firstLine="420"/>
        <w:jc w:val="both"/>
      </w:pPr>
      <w:r>
        <w:rPr>
          <w:spacing w:val="-2"/>
        </w:rPr>
        <w:t>公司前身河北先河科技发展有限公司（以下简称</w:t>
      </w:r>
      <w:r>
        <w:rPr>
          <w:rFonts w:ascii="Times New Roman" w:hAnsi="Times New Roman" w:cs="Times New Roman" w:eastAsia="Times New Roman" w:hint="default"/>
          <w:spacing w:val="-2"/>
        </w:rPr>
        <w:t>“</w:t>
      </w:r>
      <w:r>
        <w:rPr>
          <w:spacing w:val="-2"/>
        </w:rPr>
        <w:t>先河有限</w:t>
      </w:r>
      <w:r>
        <w:rPr>
          <w:rFonts w:ascii="Times New Roman" w:hAnsi="Times New Roman" w:cs="Times New Roman" w:eastAsia="Times New Roman" w:hint="default"/>
          <w:spacing w:val="-2"/>
        </w:rPr>
        <w:t>”</w:t>
      </w:r>
      <w:r>
        <w:rPr>
          <w:spacing w:val="-2"/>
        </w:rPr>
        <w:t>）成立于</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日，注册资本人民币</w:t>
      </w:r>
      <w:r>
        <w:rPr>
          <w:w w:val="100"/>
        </w:rPr>
        <w:t> </w:t>
      </w:r>
      <w:r>
        <w:rPr>
          <w:rFonts w:ascii="Times New Roman" w:hAnsi="Times New Roman" w:cs="Times New Roman" w:eastAsia="Times New Roman" w:hint="default"/>
          <w:spacing w:val="-2"/>
        </w:rPr>
        <w:t>50</w:t>
      </w:r>
      <w:r>
        <w:rPr>
          <w:spacing w:val="-2"/>
        </w:rPr>
        <w:t>万元，公司于</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4</w:t>
      </w:r>
      <w:r>
        <w:rPr>
          <w:spacing w:val="-2"/>
        </w:rPr>
        <w:t>月进行了增资，增资后注册资本变更为人民币</w:t>
      </w:r>
      <w:r>
        <w:rPr>
          <w:rFonts w:ascii="Times New Roman" w:hAnsi="Times New Roman" w:cs="Times New Roman" w:eastAsia="Times New Roman" w:hint="default"/>
          <w:spacing w:val="-2"/>
        </w:rPr>
        <w:t>130</w:t>
      </w:r>
      <w:r>
        <w:rPr>
          <w:spacing w:val="-2"/>
        </w:rPr>
        <w:t>万元；公司于</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12</w:t>
      </w:r>
      <w:r>
        <w:rPr>
          <w:spacing w:val="-2"/>
        </w:rPr>
        <w:t>月进行了</w:t>
      </w:r>
      <w:r>
        <w:rPr>
          <w:spacing w:val="-30"/>
        </w:rPr>
        <w:t> </w:t>
      </w:r>
      <w:r>
        <w:rPr>
          <w:spacing w:val="-30"/>
        </w:rPr>
      </w:r>
      <w:r>
        <w:rPr>
          <w:spacing w:val="-3"/>
        </w:rPr>
        <w:t>增资，增资后注册资本变更为人民币</w:t>
      </w:r>
      <w:r>
        <w:rPr>
          <w:rFonts w:ascii="Times New Roman" w:hAnsi="Times New Roman" w:cs="Times New Roman" w:eastAsia="Times New Roman" w:hint="default"/>
          <w:spacing w:val="-3"/>
        </w:rPr>
        <w:t>1,743</w:t>
      </w:r>
      <w:r>
        <w:rPr>
          <w:spacing w:val="-3"/>
        </w:rPr>
        <w:t>万元；公司于</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12</w:t>
      </w:r>
      <w:r>
        <w:rPr>
          <w:spacing w:val="-3"/>
        </w:rPr>
        <w:t>月进行了增资，增资后的注册资本为人民</w:t>
      </w:r>
      <w:r>
        <w:rPr>
          <w:spacing w:val="-36"/>
        </w:rPr>
        <w:t> </w:t>
      </w:r>
      <w:r>
        <w:rPr>
          <w:spacing w:val="-36"/>
        </w:rPr>
      </w:r>
      <w:r>
        <w:rPr/>
        <w:t>币</w:t>
      </w:r>
      <w:r>
        <w:rPr>
          <w:rFonts w:ascii="Times New Roman" w:hAnsi="Times New Roman" w:cs="Times New Roman" w:eastAsia="Times New Roman" w:hint="default"/>
        </w:rPr>
        <w:t>2,218.3636</w:t>
      </w:r>
      <w:r>
        <w:rPr/>
        <w:t>万元；公司于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月进行了增资，增资后的注册资本为人民币</w:t>
      </w:r>
      <w:r>
        <w:rPr>
          <w:rFonts w:ascii="Times New Roman" w:hAnsi="Times New Roman" w:cs="Times New Roman" w:eastAsia="Times New Roman" w:hint="default"/>
        </w:rPr>
        <w:t>2,838.1982</w:t>
      </w:r>
      <w:r>
        <w:rPr/>
        <w:t>万元。</w:t>
      </w:r>
    </w:p>
    <w:p>
      <w:pPr>
        <w:pStyle w:val="BodyText"/>
        <w:spacing w:line="256" w:lineRule="auto" w:before="5"/>
        <w:ind w:right="208" w:firstLine="420"/>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月，根据公司股东会决议、发起人协议和公司章程的规定，由李玉国、北京科桥投资顾问有</w:t>
      </w:r>
      <w:r>
        <w:rPr>
          <w:w w:val="100"/>
        </w:rPr>
        <w:t> </w:t>
      </w:r>
      <w:r>
        <w:rPr>
          <w:spacing w:val="-2"/>
        </w:rPr>
        <w:t>限公司、红塔创新投资股份有限公司、上海兴烨创业投资有限公司、上海正同创业投资有限公司及其他</w:t>
      </w:r>
      <w:r>
        <w:rPr>
          <w:rFonts w:ascii="Times New Roman" w:hAnsi="Times New Roman" w:cs="Times New Roman" w:eastAsia="Times New Roman" w:hint="default"/>
          <w:spacing w:val="-2"/>
        </w:rPr>
        <w:t>41</w:t>
      </w:r>
      <w:r>
        <w:rPr>
          <w:rFonts w:ascii="Times New Roman" w:hAnsi="Times New Roman" w:cs="Times New Roman" w:eastAsia="Times New Roman" w:hint="default"/>
          <w:spacing w:val="8"/>
        </w:rPr>
        <w:t> </w:t>
      </w:r>
      <w:r>
        <w:rPr/>
        <w:t>名自然人股东作为发起人，由公司前身先河有限截至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日经审计后的净资产</w:t>
      </w:r>
      <w:r>
        <w:rPr>
          <w:rFonts w:ascii="Times New Roman" w:hAnsi="Times New Roman" w:cs="Times New Roman" w:eastAsia="Times New Roman" w:hint="default"/>
        </w:rPr>
        <w:t>13,000.21</w:t>
      </w:r>
      <w:r>
        <w:rPr/>
        <w:t>万元，按</w:t>
      </w:r>
      <w:r>
        <w:rPr>
          <w:spacing w:val="-24"/>
        </w:rPr>
        <w:t> </w:t>
      </w:r>
      <w:r>
        <w:rPr>
          <w:rFonts w:ascii="Times New Roman" w:hAnsi="Times New Roman" w:cs="Times New Roman" w:eastAsia="Times New Roman" w:hint="default"/>
        </w:rPr>
        <w:t>1:0.6923</w:t>
      </w:r>
      <w:r>
        <w:rPr/>
        <w:t>的比例折为股本总额</w:t>
      </w:r>
      <w:r>
        <w:rPr>
          <w:rFonts w:ascii="Times New Roman" w:hAnsi="Times New Roman" w:cs="Times New Roman" w:eastAsia="Times New Roman" w:hint="default"/>
        </w:rPr>
        <w:t>9,000.00</w:t>
      </w:r>
      <w:r>
        <w:rPr/>
        <w:t>万元，整体变更为股份有限公司。整体变更后公司注册资本变更为</w:t>
      </w:r>
    </w:p>
    <w:p>
      <w:pPr>
        <w:pStyle w:val="BodyText"/>
        <w:spacing w:line="240" w:lineRule="auto" w:before="5"/>
        <w:ind w:right="0"/>
        <w:jc w:val="both"/>
      </w:pPr>
      <w:r>
        <w:rPr>
          <w:rFonts w:ascii="Times New Roman" w:hAnsi="Times New Roman" w:cs="Times New Roman" w:eastAsia="Times New Roman" w:hint="default"/>
        </w:rPr>
        <w:t>9,000.00</w:t>
      </w:r>
      <w:r>
        <w:rPr/>
        <w:t>万元。</w:t>
      </w:r>
    </w:p>
    <w:p>
      <w:pPr>
        <w:pStyle w:val="BodyText"/>
        <w:spacing w:line="259" w:lineRule="auto" w:before="21"/>
        <w:ind w:right="206" w:firstLine="420"/>
        <w:jc w:val="both"/>
      </w:pPr>
      <w:r>
        <w:rPr>
          <w:spacing w:val="-2"/>
        </w:rPr>
        <w:t>经中国证券监督管理委员会《关于核准河北先河环保科技股份有限公司首次公开发行股票并在创业板</w:t>
      </w:r>
      <w:r>
        <w:rPr>
          <w:w w:val="100"/>
        </w:rPr>
        <w:t> </w:t>
      </w:r>
      <w:r>
        <w:rPr>
          <w:spacing w:val="-3"/>
        </w:rPr>
        <w:t>上市的批复》（证监许可</w:t>
      </w:r>
      <w:r>
        <w:rPr>
          <w:rFonts w:ascii="Times New Roman" w:hAnsi="Times New Roman" w:cs="Times New Roman" w:eastAsia="Times New Roman" w:hint="default"/>
          <w:spacing w:val="-3"/>
        </w:rPr>
        <w:t>[2010]1402</w:t>
      </w:r>
      <w:r>
        <w:rPr>
          <w:rFonts w:ascii="Times New Roman" w:hAnsi="Times New Roman" w:cs="Times New Roman" w:eastAsia="Times New Roman" w:hint="default"/>
          <w:spacing w:val="31"/>
        </w:rPr>
        <w:t> </w:t>
      </w:r>
      <w:r>
        <w:rPr>
          <w:spacing w:val="-3"/>
        </w:rPr>
        <w:t>号文）的批准，同意核准本公司公开发行不超过</w:t>
      </w:r>
      <w:r>
        <w:rPr>
          <w:rFonts w:ascii="Times New Roman" w:hAnsi="Times New Roman" w:cs="Times New Roman" w:eastAsia="Times New Roman" w:hint="default"/>
          <w:spacing w:val="-3"/>
        </w:rPr>
        <w:t>3,000</w:t>
      </w:r>
      <w:r>
        <w:rPr>
          <w:spacing w:val="-3"/>
        </w:rPr>
        <w:t>万股新股。公司</w:t>
      </w:r>
      <w:r>
        <w:rPr>
          <w:spacing w:val="-91"/>
        </w:rPr>
        <w:t> </w:t>
      </w:r>
      <w:r>
        <w:rPr>
          <w:spacing w:val="-91"/>
        </w:rPr>
      </w:r>
      <w:r>
        <w:rPr>
          <w:spacing w:val="-2"/>
        </w:rPr>
        <w:t>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日通过深圳证券交易所，采用网下向配售对象询价配售和网上向社会公众投资者定价发行</w:t>
      </w:r>
      <w:r>
        <w:rPr>
          <w:spacing w:val="-35"/>
        </w:rPr>
        <w:t> </w:t>
      </w:r>
      <w:r>
        <w:rPr>
          <w:spacing w:val="-35"/>
        </w:rPr>
      </w:r>
      <w:r>
        <w:rPr>
          <w:spacing w:val="-2"/>
        </w:rPr>
        <w:t>相结合的方式，公开发行人民币普通股（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3,000</w:t>
      </w:r>
      <w:r>
        <w:rPr>
          <w:spacing w:val="-2"/>
        </w:rPr>
        <w:t>万股，共募集资金人民币</w:t>
      </w:r>
      <w:r>
        <w:rPr>
          <w:rFonts w:ascii="Times New Roman" w:hAnsi="Times New Roman" w:cs="Times New Roman" w:eastAsia="Times New Roman" w:hint="default"/>
          <w:spacing w:val="-2"/>
        </w:rPr>
        <w:t>62,650.33</w:t>
      </w:r>
      <w:r>
        <w:rPr>
          <w:spacing w:val="-2"/>
        </w:rPr>
        <w:t>万元（已扣除发行</w:t>
      </w:r>
      <w:r>
        <w:rPr>
          <w:spacing w:val="-29"/>
        </w:rPr>
        <w:t> </w:t>
      </w:r>
      <w:r>
        <w:rPr>
          <w:spacing w:val="-29"/>
        </w:rPr>
      </w:r>
      <w:r>
        <w:rPr/>
        <w:t>费用），其中新增注册资本（股本）</w:t>
      </w:r>
      <w:r>
        <w:rPr>
          <w:rFonts w:ascii="Times New Roman" w:hAnsi="Times New Roman" w:cs="Times New Roman" w:eastAsia="Times New Roman" w:hint="default"/>
        </w:rPr>
        <w:t>3,000.00</w:t>
      </w:r>
      <w:r>
        <w:rPr/>
        <w:t>万元，其余计入资本公积，首次公开发行后注册资本变更为</w:t>
      </w:r>
      <w:r>
        <w:rPr>
          <w:spacing w:val="-24"/>
        </w:rPr>
        <w:t> </w:t>
      </w:r>
      <w:r>
        <w:rPr>
          <w:spacing w:val="-24"/>
        </w:rPr>
      </w:r>
      <w:r>
        <w:rPr>
          <w:rFonts w:ascii="Times New Roman" w:hAnsi="Times New Roman" w:cs="Times New Roman" w:eastAsia="Times New Roman" w:hint="default"/>
        </w:rPr>
        <w:t>12,000.00</w:t>
      </w:r>
      <w:r>
        <w:rPr/>
        <w:t>万元。经深圳证券交易所深证上</w:t>
      </w:r>
      <w:r>
        <w:rPr>
          <w:rFonts w:ascii="Times New Roman" w:hAnsi="Times New Roman" w:cs="Times New Roman" w:eastAsia="Times New Roman" w:hint="default"/>
        </w:rPr>
        <w:t>[2010]353</w:t>
      </w:r>
      <w:r>
        <w:rPr/>
        <w:t>号文批准，公司股票于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日在深圳证券交易</w:t>
      </w:r>
      <w:r>
        <w:rPr>
          <w:spacing w:val="-60"/>
        </w:rPr>
        <w:t> </w:t>
      </w:r>
      <w:r>
        <w:rPr/>
        <w:t>所创业板挂牌交易，股票代码为</w:t>
      </w:r>
      <w:r>
        <w:rPr>
          <w:rFonts w:ascii="Times New Roman" w:hAnsi="Times New Roman" w:cs="Times New Roman" w:eastAsia="Times New Roman" w:hint="default"/>
        </w:rPr>
        <w:t>300137</w:t>
      </w:r>
      <w:r>
        <w:rPr/>
        <w:t>。</w:t>
      </w:r>
    </w:p>
    <w:p>
      <w:pPr>
        <w:pStyle w:val="BodyText"/>
        <w:spacing w:line="240" w:lineRule="auto" w:before="2"/>
        <w:ind w:left="573" w:right="101"/>
        <w:jc w:val="left"/>
      </w:pP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5</w:t>
      </w:r>
      <w:r>
        <w:rPr>
          <w:spacing w:val="-3"/>
        </w:rPr>
        <w:t>月根据</w:t>
      </w:r>
      <w:r>
        <w:rPr>
          <w:rFonts w:ascii="Times New Roman" w:hAnsi="Times New Roman" w:cs="Times New Roman" w:eastAsia="Times New Roman" w:hint="default"/>
          <w:spacing w:val="-3"/>
        </w:rPr>
        <w:t>2010</w:t>
      </w:r>
      <w:r>
        <w:rPr>
          <w:spacing w:val="-3"/>
        </w:rPr>
        <w:t>年度股东大会决议，公司以总股本</w:t>
      </w:r>
      <w:r>
        <w:rPr>
          <w:rFonts w:ascii="Times New Roman" w:hAnsi="Times New Roman" w:cs="Times New Roman" w:eastAsia="Times New Roman" w:hint="default"/>
          <w:spacing w:val="-3"/>
        </w:rPr>
        <w:t>12,000</w:t>
      </w:r>
      <w:r>
        <w:rPr>
          <w:spacing w:val="-3"/>
        </w:rPr>
        <w:t>万股为基数，以资本公积金向全体股东每</w:t>
      </w:r>
    </w:p>
    <w:p>
      <w:pPr>
        <w:pStyle w:val="BodyText"/>
        <w:spacing w:line="240" w:lineRule="auto" w:before="22"/>
        <w:ind w:right="0"/>
        <w:jc w:val="both"/>
      </w:pP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股，此次送配后注册资本由</w:t>
      </w:r>
      <w:r>
        <w:rPr>
          <w:rFonts w:ascii="Times New Roman" w:hAnsi="Times New Roman" w:cs="Times New Roman" w:eastAsia="Times New Roman" w:hint="default"/>
        </w:rPr>
        <w:t>12,000</w:t>
      </w:r>
      <w:r>
        <w:rPr/>
        <w:t>万元变更为</w:t>
      </w:r>
      <w:r>
        <w:rPr>
          <w:rFonts w:ascii="Times New Roman" w:hAnsi="Times New Roman" w:cs="Times New Roman" w:eastAsia="Times New Roman" w:hint="default"/>
        </w:rPr>
        <w:t>15,600</w:t>
      </w:r>
      <w:r>
        <w:rPr/>
        <w:t>万元。</w:t>
      </w:r>
    </w:p>
    <w:p>
      <w:pPr>
        <w:pStyle w:val="BodyText"/>
        <w:spacing w:line="256" w:lineRule="auto" w:before="21"/>
        <w:ind w:right="210" w:firstLine="420"/>
        <w:jc w:val="both"/>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日，自然人李玉国出资</w:t>
      </w:r>
      <w:r>
        <w:rPr>
          <w:rFonts w:ascii="Times New Roman" w:hAnsi="Times New Roman" w:cs="Times New Roman" w:eastAsia="Times New Roman" w:hint="default"/>
        </w:rPr>
        <w:t>3,033.6583</w:t>
      </w:r>
      <w:r>
        <w:rPr/>
        <w:t>万元，持有公司</w:t>
      </w:r>
      <w:r>
        <w:rPr>
          <w:rFonts w:ascii="Times New Roman" w:hAnsi="Times New Roman" w:cs="Times New Roman" w:eastAsia="Times New Roman" w:hint="default"/>
        </w:rPr>
        <w:t>19.45%</w:t>
      </w:r>
      <w:r>
        <w:rPr/>
        <w:t>的股份，为公司的第一大</w:t>
      </w:r>
      <w:r>
        <w:rPr>
          <w:w w:val="100"/>
        </w:rPr>
        <w:t> </w:t>
      </w:r>
      <w:r>
        <w:rPr/>
        <w:t>股东和实际控制人。</w:t>
      </w:r>
      <w:r>
        <w:rPr>
          <w:rFonts w:ascii="Times New Roman" w:hAnsi="Times New Roman" w:cs="Times New Roman" w:eastAsia="Times New Roman" w:hint="default"/>
        </w:rPr>
        <w:t>2</w:t>
      </w:r>
      <w:r>
        <w:rPr/>
        <w:t>、公司行业性质和经营范围</w:t>
      </w:r>
    </w:p>
    <w:p>
      <w:pPr>
        <w:pStyle w:val="BodyText"/>
        <w:spacing w:line="273" w:lineRule="auto" w:before="5"/>
        <w:ind w:left="573" w:right="101"/>
        <w:jc w:val="left"/>
      </w:pPr>
      <w:r>
        <w:rPr/>
        <w:t>公司属于环境监测专用仪器仪表制造行业。</w:t>
      </w:r>
      <w:r>
        <w:rPr>
          <w:w w:val="100"/>
        </w:rPr>
        <w:t> </w:t>
      </w:r>
      <w:r>
        <w:rPr>
          <w:spacing w:val="-2"/>
        </w:rPr>
        <w:t>本公司经批准的经营范围：从事计量仪器、环保设备的研制开发；化工产品（不含化学危险品）、电</w:t>
      </w:r>
    </w:p>
    <w:p>
      <w:pPr>
        <w:pStyle w:val="BodyText"/>
        <w:spacing w:line="273" w:lineRule="auto" w:before="7"/>
        <w:ind w:right="207"/>
        <w:jc w:val="both"/>
      </w:pPr>
      <w:r>
        <w:rPr>
          <w:spacing w:val="-2"/>
        </w:rPr>
        <w:t>子产品、五金交电、仪器、仪表、针纺织品、塑料制品、橡胶制品、通讯器材（不含无线电移动电话、地</w:t>
      </w:r>
      <w:r>
        <w:rPr>
          <w:spacing w:val="-43"/>
        </w:rPr>
        <w:t> </w:t>
      </w:r>
      <w:r>
        <w:rPr>
          <w:spacing w:val="-43"/>
        </w:rPr>
      </w:r>
      <w:r>
        <w:rPr>
          <w:spacing w:val="-3"/>
        </w:rPr>
        <w:t>面卫星接收设备）的批发、零售；软件产品的开发、生产和销售；环境监测仪器的研制、生产、销售；产</w:t>
      </w:r>
      <w:r>
        <w:rPr>
          <w:spacing w:val="-7"/>
        </w:rPr>
        <w:t> </w:t>
      </w:r>
      <w:r>
        <w:rPr>
          <w:spacing w:val="-7"/>
        </w:rPr>
      </w:r>
      <w:r>
        <w:rPr>
          <w:spacing w:val="-2"/>
        </w:rPr>
        <w:t>品的自营进出口（法律法规、国务院禁止或限制经营的除外），计算机信息系统集成服务，环境监测仪器</w:t>
      </w:r>
      <w:r>
        <w:rPr>
          <w:spacing w:val="-43"/>
        </w:rPr>
        <w:t> </w:t>
      </w:r>
      <w:r>
        <w:rPr>
          <w:spacing w:val="-43"/>
        </w:rPr>
      </w:r>
      <w:r>
        <w:rPr/>
        <w:t>的维修、运营服务。</w:t>
      </w:r>
    </w:p>
    <w:p>
      <w:pPr>
        <w:pStyle w:val="Heading3"/>
        <w:spacing w:line="240" w:lineRule="auto" w:before="7"/>
        <w:ind w:left="575" w:right="101"/>
        <w:jc w:val="left"/>
        <w:rPr>
          <w:b w:val="0"/>
          <w:bCs w:val="0"/>
        </w:rPr>
      </w:pPr>
      <w:r>
        <w:rPr>
          <w:rFonts w:ascii="Times New Roman" w:hAnsi="Times New Roman" w:cs="Times New Roman" w:eastAsia="Times New Roman" w:hint="default"/>
        </w:rPr>
        <w:t>3</w:t>
      </w:r>
      <w:r>
        <w:rPr/>
        <w:t>、主业变更情况</w:t>
      </w:r>
      <w:r>
        <w:rPr>
          <w:b w:val="0"/>
          <w:bCs w:val="0"/>
        </w:rPr>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b/>
          <w:bCs/>
          <w:sz w:val="24"/>
          <w:szCs w:val="24"/>
        </w:rPr>
      </w:pPr>
    </w:p>
    <w:p>
      <w:pPr>
        <w:pStyle w:val="BodyText"/>
        <w:spacing w:line="240" w:lineRule="auto" w:before="36"/>
        <w:ind w:left="573" w:right="0"/>
        <w:jc w:val="left"/>
      </w:pPr>
      <w:r>
        <w:rPr/>
        <w:t>公司</w:t>
      </w:r>
      <w:r>
        <w:rPr>
          <w:rFonts w:ascii="Times New Roman" w:hAnsi="Times New Roman" w:cs="Times New Roman" w:eastAsia="Times New Roman" w:hint="default"/>
        </w:rPr>
        <w:t>2012</w:t>
      </w:r>
      <w:r>
        <w:rPr/>
        <w:t>年度主业未发生重大变更。</w:t>
      </w:r>
    </w:p>
    <w:p>
      <w:pPr>
        <w:pStyle w:val="BodyText"/>
        <w:spacing w:line="256" w:lineRule="auto" w:before="21"/>
        <w:ind w:left="573" w:right="0" w:firstLine="2"/>
        <w:jc w:val="left"/>
      </w:pPr>
      <w:r>
        <w:rPr>
          <w:rFonts w:ascii="Times New Roman" w:hAnsi="Times New Roman" w:cs="Times New Roman" w:eastAsia="Times New Roman" w:hint="default"/>
          <w:b/>
          <w:bCs/>
        </w:rPr>
        <w:t>4</w:t>
      </w:r>
      <w:r>
        <w:rPr>
          <w:rFonts w:ascii="宋体" w:hAnsi="宋体" w:cs="宋体" w:eastAsia="宋体" w:hint="default"/>
          <w:b/>
          <w:bCs/>
        </w:rPr>
        <w:t>、公司基本组织架构</w:t>
      </w:r>
      <w:r>
        <w:rPr>
          <w:rFonts w:ascii="宋体" w:hAnsi="宋体" w:cs="宋体" w:eastAsia="宋体" w:hint="default"/>
          <w:b/>
          <w:bCs/>
          <w:w w:val="100"/>
        </w:rPr>
        <w:t> </w:t>
      </w:r>
      <w:r>
        <w:rPr>
          <w:spacing w:val="-2"/>
        </w:rPr>
        <w:t>本公司的组织架构包括股东大会、董事会、监事会和经理层。股东大会是本公司的最高权力机构，依</w:t>
      </w:r>
    </w:p>
    <w:p>
      <w:pPr>
        <w:pStyle w:val="BodyText"/>
        <w:spacing w:line="273" w:lineRule="auto" w:before="22"/>
        <w:ind w:right="147"/>
        <w:jc w:val="both"/>
      </w:pPr>
      <w:r>
        <w:rPr>
          <w:spacing w:val="-2"/>
        </w:rPr>
        <w:t>法行使公司经营方针、筹资、投资、利润分配等重大事项的决议权；董事会对股东大会负责，依法行使公</w:t>
      </w:r>
      <w:r>
        <w:rPr>
          <w:spacing w:val="-43"/>
        </w:rPr>
        <w:t> </w:t>
      </w:r>
      <w:r>
        <w:rPr>
          <w:spacing w:val="-43"/>
        </w:rPr>
      </w:r>
      <w:r>
        <w:rPr>
          <w:spacing w:val="-2"/>
        </w:rPr>
        <w:t>司的经营决策权；监事会是本公司的内部监督机构；经理层负责组织实施股东大会、董事会决议事项，主</w:t>
      </w:r>
      <w:r>
        <w:rPr>
          <w:spacing w:val="-47"/>
        </w:rPr>
        <w:t> </w:t>
      </w:r>
      <w:r>
        <w:rPr>
          <w:spacing w:val="-47"/>
        </w:rPr>
      </w:r>
      <w:r>
        <w:rPr/>
        <w:t>持企业的生产经营管理工作。</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四、公司主要会计政策、会计估计和前期差错</w:t>
      </w:r>
      <w:r>
        <w:rPr>
          <w:b w:val="0"/>
          <w:bCs w:val="0"/>
        </w:rPr>
      </w:r>
    </w:p>
    <w:p>
      <w:pPr>
        <w:spacing w:line="590" w:lineRule="atLeast" w:before="26"/>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本公司以持续经营为前提，根据实际发生的交易和事项，按照《企业会计准则》及其相关规定进行确</w:t>
      </w:r>
    </w:p>
    <w:p>
      <w:pPr>
        <w:pStyle w:val="BodyText"/>
        <w:spacing w:line="240" w:lineRule="auto" w:before="37"/>
        <w:ind w:right="0"/>
        <w:jc w:val="left"/>
      </w:pPr>
      <w:r>
        <w:rPr/>
        <w:t>认和计量，在此基础上编制财务报表。</w:t>
      </w:r>
    </w:p>
    <w:p>
      <w:pPr>
        <w:spacing w:line="240" w:lineRule="auto" w:before="13"/>
        <w:rPr>
          <w:rFonts w:ascii="宋体" w:hAnsi="宋体" w:cs="宋体" w:eastAsia="宋体" w:hint="default"/>
          <w:sz w:val="25"/>
          <w:szCs w:val="25"/>
        </w:rPr>
      </w:pPr>
    </w:p>
    <w:p>
      <w:pPr>
        <w:spacing w:line="600" w:lineRule="atLeast" w:before="0"/>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本公司编制的财务报表符合企业会计准则的要求，真实、完整地反映了公司的财务状况、经营成果和</w:t>
      </w:r>
    </w:p>
    <w:p>
      <w:pPr>
        <w:pStyle w:val="BodyText"/>
        <w:spacing w:line="240" w:lineRule="auto" w:before="37"/>
        <w:ind w:right="0"/>
        <w:jc w:val="left"/>
      </w:pPr>
      <w:r>
        <w:rPr/>
        <w:t>现金流量等有关信息。</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line="506" w:lineRule="auto" w:before="0"/>
        <w:ind w:left="152" w:right="4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本公司会计年度自公历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日起至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65"/>
        <w:ind w:right="0"/>
        <w:jc w:val="left"/>
      </w:pPr>
      <w:r>
        <w:rPr/>
        <w:t>本公司以人民币为记账本位币。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73" w:right="0"/>
        <w:jc w:val="left"/>
      </w:pPr>
      <w:r>
        <w:rPr/>
        <w:t>（</w:t>
      </w:r>
      <w:r>
        <w:rPr>
          <w:rFonts w:ascii="Times New Roman" w:hAnsi="Times New Roman" w:cs="Times New Roman" w:eastAsia="Times New Roman" w:hint="default"/>
        </w:rPr>
        <w:t>1</w:t>
      </w:r>
      <w:r>
        <w:rPr/>
        <w:t>）同一控制下的企业合并的会计处理方法</w:t>
      </w:r>
      <w:r>
        <w:rPr>
          <w:w w:val="100"/>
        </w:rPr>
        <w:t> </w:t>
      </w:r>
      <w:r>
        <w:rPr>
          <w:spacing w:val="-2"/>
        </w:rPr>
        <w:t>本公司在企业合并中取得的资产和负债，按照合并日被合并方的账面价值计量。本公司取得的净资产</w:t>
      </w:r>
    </w:p>
    <w:p>
      <w:pPr>
        <w:pStyle w:val="BodyText"/>
        <w:spacing w:line="273" w:lineRule="auto" w:before="23"/>
        <w:ind w:right="0"/>
        <w:jc w:val="left"/>
      </w:pPr>
      <w:r>
        <w:rPr>
          <w:spacing w:val="-2"/>
        </w:rPr>
        <w:t>账面价值与支付的合并对价账面价值（或发生股份面值总额）的差额，应当调整资本公积；资本公积不足</w:t>
      </w:r>
      <w:r>
        <w:rPr>
          <w:spacing w:val="-47"/>
        </w:rPr>
        <w:t> </w:t>
      </w:r>
      <w:r>
        <w:rPr>
          <w:spacing w:val="-47"/>
        </w:rPr>
      </w:r>
      <w:r>
        <w:rPr/>
        <w:t>冲减的，调整留存收益。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3" w:right="0"/>
        <w:jc w:val="left"/>
      </w:pPr>
      <w:r>
        <w:rPr/>
        <w:t>（</w:t>
      </w:r>
      <w:r>
        <w:rPr>
          <w:rFonts w:ascii="Times New Roman" w:hAnsi="Times New Roman" w:cs="Times New Roman" w:eastAsia="Times New Roman" w:hint="default"/>
        </w:rPr>
        <w:t>2</w:t>
      </w:r>
      <w:r>
        <w:rPr/>
        <w:t>）非同一控制下的企业合并的会计处理方法</w:t>
      </w:r>
      <w:r>
        <w:rPr>
          <w:w w:val="100"/>
        </w:rPr>
        <w:t> </w:t>
      </w:r>
      <w:r>
        <w:rPr>
          <w:spacing w:val="-2"/>
        </w:rPr>
        <w:t>本公司在购买日对合并成本大于合并中取得的被购买方可辨认净资产公允价值份额的差额，确认为商</w:t>
      </w:r>
    </w:p>
    <w:p>
      <w:pPr>
        <w:pStyle w:val="BodyText"/>
        <w:spacing w:line="240" w:lineRule="auto" w:before="22"/>
        <w:ind w:right="0"/>
        <w:jc w:val="left"/>
      </w:pPr>
      <w:r>
        <w:rPr/>
        <w:t>誉；如果合并成本小于合并中取得的被购买方可辨认净资产公允价值份额的差额，首先对取得的被购买方</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r>
        <w:rPr>
          <w:spacing w:val="-2"/>
        </w:rPr>
        <w:t>的各项可辨认资产、负债及或有负债的公允价值以及合并成本的计量进行复核，经复核后合并成本仍小于</w:t>
      </w:r>
      <w:r>
        <w:rPr>
          <w:spacing w:val="-43"/>
        </w:rPr>
        <w:t> </w:t>
      </w:r>
      <w:r>
        <w:rPr>
          <w:spacing w:val="-43"/>
        </w:rPr>
      </w:r>
      <w:r>
        <w:rPr/>
        <w:t>合并中取得的被购买方可辨认净资产公允价值份额的，其差额应当计入当期损益。</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0"/>
        <w:jc w:val="left"/>
      </w:pPr>
      <w:r>
        <w:rPr/>
        <w:t>（</w:t>
      </w:r>
      <w:r>
        <w:rPr>
          <w:rFonts w:ascii="Times New Roman" w:hAnsi="Times New Roman" w:cs="Times New Roman" w:eastAsia="Times New Roman" w:hint="default"/>
        </w:rPr>
        <w:t>1</w:t>
      </w:r>
      <w:r>
        <w:rPr/>
        <w:t>）合并范围的确定</w:t>
      </w:r>
    </w:p>
    <w:p>
      <w:pPr>
        <w:pStyle w:val="BodyText"/>
        <w:spacing w:line="264" w:lineRule="auto" w:before="21"/>
        <w:ind w:right="125" w:firstLine="420"/>
        <w:jc w:val="both"/>
      </w:pPr>
      <w:r>
        <w:rPr>
          <w:spacing w:val="-1"/>
        </w:rPr>
        <w:t>合并财务报表按照</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2</w:t>
      </w:r>
      <w:r>
        <w:rPr>
          <w:spacing w:val="-1"/>
        </w:rPr>
        <w:t>月颁布的《企业会计准则第</w:t>
      </w:r>
      <w:r>
        <w:rPr>
          <w:rFonts w:ascii="Times New Roman" w:hAnsi="Times New Roman" w:cs="Times New Roman" w:eastAsia="Times New Roman" w:hint="default"/>
          <w:spacing w:val="-1"/>
        </w:rPr>
        <w:t>33</w:t>
      </w:r>
      <w:r>
        <w:rPr>
          <w:spacing w:val="-1"/>
        </w:rPr>
        <w:t>号</w:t>
      </w:r>
      <w:r>
        <w:rPr>
          <w:rFonts w:ascii="Times New Roman" w:hAnsi="Times New Roman" w:cs="Times New Roman" w:eastAsia="Times New Roman" w:hint="default"/>
          <w:spacing w:val="-1"/>
        </w:rPr>
        <w:t>-</w:t>
      </w:r>
      <w:r>
        <w:rPr>
          <w:spacing w:val="-1"/>
        </w:rPr>
        <w:t>合并财务报表》执行。以控制为基础确定</w:t>
      </w:r>
      <w:r>
        <w:rPr>
          <w:w w:val="100"/>
        </w:rPr>
        <w:t> </w:t>
      </w:r>
      <w:r>
        <w:rPr>
          <w:spacing w:val="-2"/>
        </w:rPr>
        <w:t>合并财务报表的合并范围，合并了本公司及本公司直接或间接控制的子公司、特殊目的主体的财务报表。</w:t>
      </w:r>
      <w:r>
        <w:rPr>
          <w:spacing w:val="-21"/>
        </w:rPr>
        <w:t> </w:t>
      </w:r>
      <w:r>
        <w:rPr>
          <w:spacing w:val="-21"/>
        </w:rPr>
      </w:r>
      <w:r>
        <w:rPr/>
        <w:t>控制是指本公司有权决定被投资单位的财务和经营政策，并能据以从该企业的经营活动中获取利益。</w:t>
      </w:r>
    </w:p>
    <w:p>
      <w:pPr>
        <w:pStyle w:val="BodyText"/>
        <w:spacing w:line="240" w:lineRule="auto" w:before="16"/>
        <w:ind w:left="573" w:right="0"/>
        <w:jc w:val="left"/>
      </w:pPr>
      <w:r>
        <w:rPr/>
        <w:t>有证据表明母公司不能控制被投资单位的，不纳入合并报表范围。</w:t>
      </w:r>
    </w:p>
    <w:p>
      <w:pPr>
        <w:spacing w:line="600" w:lineRule="atLeast" w:before="28"/>
        <w:ind w:left="152" w:right="14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）对同一子公司的股权在连续两个会计年度买入再卖出，或卖出再买入的应披露相关的会计处理方法</w:t>
      </w:r>
      <w:r>
        <w:rPr>
          <w:rFonts w:ascii="宋体" w:hAnsi="宋体" w:cs="宋体" w:eastAsia="宋体" w:hint="default"/>
          <w:b/>
          <w:bCs/>
          <w:spacing w:val="-68"/>
          <w:sz w:val="21"/>
          <w:szCs w:val="21"/>
        </w:rPr>
        <w:t> </w:t>
      </w:r>
      <w:r>
        <w:rPr>
          <w:rFonts w:ascii="宋体" w:hAnsi="宋体" w:cs="宋体" w:eastAsia="宋体" w:hint="default"/>
          <w:b/>
          <w:bCs/>
          <w:spacing w:val="-68"/>
          <w:sz w:val="21"/>
          <w:szCs w:val="21"/>
        </w:rPr>
      </w: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z w:val="21"/>
          <w:szCs w:val="21"/>
        </w:rPr>
        <w:t>购买或出售子公司股权的处理</w:t>
      </w:r>
    </w:p>
    <w:p>
      <w:pPr>
        <w:pStyle w:val="BodyText"/>
        <w:spacing w:line="273" w:lineRule="auto" w:before="37"/>
        <w:ind w:right="146" w:firstLine="420"/>
        <w:jc w:val="both"/>
      </w:pPr>
      <w:r>
        <w:rPr>
          <w:spacing w:val="2"/>
        </w:rPr>
        <w:t>本公司将与购买或出售子公司股权所有权相关的风险和报酬实质上发生转移的时间确认为购买日和</w:t>
      </w:r>
      <w:r>
        <w:rPr>
          <w:w w:val="100"/>
        </w:rPr>
        <w:t> </w:t>
      </w:r>
      <w:r>
        <w:rPr>
          <w:spacing w:val="-2"/>
        </w:rPr>
        <w:t>出售日。对于非同一控制下企业合并取得或出售的子公司，在购买日后及出售日前的经营成果及现金流量</w:t>
      </w:r>
      <w:r>
        <w:rPr>
          <w:spacing w:val="-44"/>
        </w:rPr>
        <w:t> </w:t>
      </w:r>
      <w:r>
        <w:rPr>
          <w:spacing w:val="-44"/>
        </w:rPr>
      </w:r>
      <w:r>
        <w:rPr>
          <w:spacing w:val="-2"/>
        </w:rPr>
        <w:t>已适当地包括在合并利润表和合并现金流量表中；对于同一控制下企业合并取得的子公司，自合并当期期</w:t>
      </w:r>
      <w:r>
        <w:rPr>
          <w:spacing w:val="-42"/>
        </w:rPr>
        <w:t> </w:t>
      </w:r>
      <w:r>
        <w:rPr>
          <w:spacing w:val="-42"/>
        </w:rPr>
      </w:r>
      <w:r>
        <w:rPr>
          <w:spacing w:val="-2"/>
        </w:rPr>
        <w:t>初至合并日的经营成果和现金流量也已包括在合并利润表和合并现金流量表中并单独列示，合并财务报表</w:t>
      </w:r>
      <w:r>
        <w:rPr>
          <w:spacing w:val="-42"/>
        </w:rPr>
        <w:t> </w:t>
      </w:r>
      <w:r>
        <w:rPr>
          <w:spacing w:val="-42"/>
        </w:rPr>
      </w:r>
      <w:r>
        <w:rPr/>
        <w:t>的比较数也已作出了相应的调整。</w:t>
      </w:r>
    </w:p>
    <w:p>
      <w:pPr>
        <w:pStyle w:val="BodyText"/>
        <w:spacing w:line="264" w:lineRule="auto" w:before="7"/>
        <w:ind w:right="146" w:firstLine="420"/>
        <w:jc w:val="both"/>
      </w:pPr>
      <w:r>
        <w:rPr>
          <w:spacing w:val="-2"/>
        </w:rPr>
        <w:t>购买子公司少数股权所形成的长期股权投资，公司在编制合并财务报表时，因购买少数股权新取得的</w:t>
      </w:r>
      <w:r>
        <w:rPr>
          <w:w w:val="100"/>
        </w:rPr>
        <w:t> </w:t>
      </w:r>
      <w:r>
        <w:rPr/>
        <w:t>长期股权投资与按照新增持股比例计算应享有子公司自购买日</w:t>
      </w:r>
      <w:r>
        <w:rPr>
          <w:rFonts w:ascii="Times New Roman" w:hAnsi="Times New Roman" w:cs="Times New Roman" w:eastAsia="Times New Roman" w:hint="default"/>
        </w:rPr>
        <w:t>(</w:t>
      </w:r>
      <w:r>
        <w:rPr/>
        <w:t>或合并日</w:t>
      </w:r>
      <w:r>
        <w:rPr>
          <w:rFonts w:ascii="Times New Roman" w:hAnsi="Times New Roman" w:cs="Times New Roman" w:eastAsia="Times New Roman" w:hint="default"/>
        </w:rPr>
        <w:t>)</w:t>
      </w:r>
      <w:r>
        <w:rPr/>
        <w:t>开始持续计算的净资产份额之间</w:t>
      </w:r>
      <w:r>
        <w:rPr>
          <w:spacing w:val="-59"/>
        </w:rPr>
        <w:t> </w:t>
      </w:r>
      <w:r>
        <w:rPr>
          <w:spacing w:val="-59"/>
        </w:rPr>
      </w:r>
      <w:r>
        <w:rPr/>
        <w:t>的差额，调整所有者权益</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，资本公积不足冲减的，调整留存收益。</w:t>
      </w:r>
    </w:p>
    <w:p>
      <w:pPr>
        <w:pStyle w:val="BodyText"/>
        <w:spacing w:line="256" w:lineRule="auto"/>
        <w:ind w:left="573" w:right="0"/>
        <w:jc w:val="left"/>
      </w:pPr>
      <w:r>
        <w:rPr/>
        <w:t>（</w:t>
      </w:r>
      <w:r>
        <w:rPr>
          <w:rFonts w:ascii="Times New Roman" w:hAnsi="Times New Roman" w:cs="Times New Roman" w:eastAsia="Times New Roman" w:hint="default"/>
        </w:rPr>
        <w:t>3</w:t>
      </w:r>
      <w:r>
        <w:rPr/>
        <w:t>）当子公司的会计政策、会计期间与母公司不一致时，对子公司的财务报表进行调整。</w:t>
      </w:r>
      <w:r>
        <w:rPr>
          <w:w w:val="100"/>
        </w:rPr>
        <w:t> </w:t>
      </w:r>
      <w:r>
        <w:rPr>
          <w:spacing w:val="-2"/>
        </w:rPr>
        <w:t>如果子公司执行的会计政策与本公司不一致，编制合并财务报表时已按照本公司的会计政策对子公司</w:t>
      </w:r>
    </w:p>
    <w:p>
      <w:pPr>
        <w:pStyle w:val="BodyText"/>
        <w:spacing w:line="273" w:lineRule="auto" w:before="22"/>
        <w:ind w:right="0"/>
        <w:jc w:val="left"/>
      </w:pPr>
      <w:r>
        <w:rPr>
          <w:spacing w:val="-2"/>
        </w:rPr>
        <w:t>财务报表进行了相应的调整；对非同一控制下企业合并取得的子公司，已按照购买日该子公司可辨认的资</w:t>
      </w:r>
      <w:r>
        <w:rPr>
          <w:spacing w:val="-43"/>
        </w:rPr>
        <w:t> </w:t>
      </w:r>
      <w:r>
        <w:rPr>
          <w:spacing w:val="-43"/>
        </w:rPr>
      </w:r>
      <w:r>
        <w:rPr/>
        <w:t>产、负债及或有负债的公允价值对子公司财务报表进行了相应的调整。</w:t>
      </w:r>
    </w:p>
    <w:p>
      <w:pPr>
        <w:pStyle w:val="BodyText"/>
        <w:spacing w:line="264" w:lineRule="auto" w:before="7"/>
        <w:ind w:left="573" w:right="0"/>
        <w:jc w:val="left"/>
      </w:pPr>
      <w:r>
        <w:rPr/>
        <w:t>（</w:t>
      </w:r>
      <w:r>
        <w:rPr>
          <w:rFonts w:ascii="Times New Roman" w:hAnsi="Times New Roman" w:cs="Times New Roman" w:eastAsia="Times New Roman" w:hint="default"/>
        </w:rPr>
        <w:t>4</w:t>
      </w:r>
      <w:r>
        <w:rPr/>
        <w:t>）合并方法</w:t>
      </w:r>
      <w:r>
        <w:rPr>
          <w:w w:val="100"/>
        </w:rPr>
        <w:t> </w:t>
      </w:r>
      <w:r>
        <w:rPr/>
        <w:t>在编制合并财务报表时，本公司与子公司及子公司相互之间的所有重大账户及交易将予以抵销。</w:t>
      </w:r>
      <w:r>
        <w:rPr>
          <w:w w:val="100"/>
        </w:rPr>
        <w:t> </w:t>
      </w:r>
      <w:r>
        <w:rPr>
          <w:spacing w:val="-2"/>
        </w:rPr>
        <w:t>被合并子公司净资产属于少数股东权益的部分在合并财务报表的股东权益中单独列报。少数股东分担</w:t>
      </w:r>
    </w:p>
    <w:p>
      <w:pPr>
        <w:pStyle w:val="BodyText"/>
        <w:spacing w:line="273" w:lineRule="auto" w:before="16"/>
        <w:ind w:right="0"/>
        <w:jc w:val="left"/>
      </w:pPr>
      <w:r>
        <w:rPr>
          <w:spacing w:val="-2"/>
        </w:rPr>
        <w:t>的亏损如果超过其在子公司的权益份额，如该少数股东有义务且有能力弥补，则冲减少数股东权益；否则</w:t>
      </w:r>
      <w:r>
        <w:rPr>
          <w:spacing w:val="-44"/>
        </w:rPr>
        <w:t> </w:t>
      </w:r>
      <w:r>
        <w:rPr>
          <w:spacing w:val="-44"/>
        </w:rPr>
      </w:r>
      <w:r>
        <w:rPr/>
        <w:t>有关超额亏损将由本公司承担。</w:t>
      </w:r>
    </w:p>
    <w:p>
      <w:pPr>
        <w:spacing w:line="590" w:lineRule="atLeast" w:before="8"/>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本公司之现金等价物指持有期限短（一般是指从购买日起三个月内到期）、流动性强、易于转换为已</w:t>
      </w:r>
    </w:p>
    <w:p>
      <w:pPr>
        <w:pStyle w:val="BodyText"/>
        <w:spacing w:line="240" w:lineRule="auto" w:before="37"/>
        <w:ind w:right="0"/>
        <w:jc w:val="left"/>
      </w:pPr>
      <w:r>
        <w:rPr/>
        <w:t>知金额现金、价值变动风险很小的投资。</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46" w:firstLine="420"/>
        <w:jc w:val="both"/>
      </w:pPr>
      <w:r>
        <w:rPr>
          <w:spacing w:val="-2"/>
        </w:rPr>
        <w:t>本公司发生的外币交易，采用交易发生日的即期汇率（通常指中国人民银行公布的当日外汇牌价的中</w:t>
      </w:r>
      <w:r>
        <w:rPr>
          <w:w w:val="100"/>
        </w:rPr>
        <w:t> </w:t>
      </w:r>
      <w:r>
        <w:rPr/>
        <w:t>间价，下同）折合算成人民币记账。</w:t>
      </w:r>
    </w:p>
    <w:p>
      <w:pPr>
        <w:spacing w:after="0" w:line="273"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46" w:firstLine="420"/>
        <w:jc w:val="both"/>
      </w:pPr>
      <w:r>
        <w:rPr>
          <w:spacing w:val="-2"/>
        </w:rPr>
        <w:t>在资产负债表日，对外币货币性项目，采用资产负债表日即期汇率折算，因资产负债表日即期汇率与</w:t>
      </w:r>
      <w:r>
        <w:rPr>
          <w:w w:val="100"/>
        </w:rPr>
        <w:t> </w:t>
      </w:r>
      <w:r>
        <w:rPr>
          <w:spacing w:val="-2"/>
        </w:rPr>
        <w:t>初始确认时或者前一资产负债表日即期汇率不同而产生的汇兑差额，计入当期损益。以历史成本计量的外</w:t>
      </w:r>
      <w:r>
        <w:rPr>
          <w:spacing w:val="-44"/>
        </w:rPr>
        <w:t> </w:t>
      </w:r>
      <w:r>
        <w:rPr>
          <w:spacing w:val="-44"/>
        </w:rPr>
      </w:r>
      <w:r>
        <w:rPr>
          <w:spacing w:val="-2"/>
        </w:rPr>
        <w:t>币非货币性项目，仍采用交易发生日的即期汇率折算，不改变其记账本位币金额。以公允价值计量的外币</w:t>
      </w:r>
      <w:r>
        <w:rPr>
          <w:spacing w:val="-44"/>
        </w:rPr>
        <w:t> </w:t>
      </w:r>
      <w:r>
        <w:rPr>
          <w:spacing w:val="-44"/>
        </w:rPr>
      </w:r>
      <w:r>
        <w:rPr>
          <w:spacing w:val="-2"/>
        </w:rPr>
        <w:t>非货币性项目，采用公允价值确定日的即期汇率折算，折算后的记账本位币金额与原记账本位币金额的差</w:t>
      </w:r>
      <w:r>
        <w:rPr>
          <w:spacing w:val="-43"/>
        </w:rPr>
        <w:t> </w:t>
      </w:r>
      <w:r>
        <w:rPr>
          <w:spacing w:val="-43"/>
        </w:rPr>
      </w:r>
      <w:r>
        <w:rPr/>
        <w:t>额，作为公允价值变动处理，计入当期损益。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46" w:firstLine="420"/>
        <w:jc w:val="both"/>
      </w:pPr>
      <w:r>
        <w:rPr/>
        <w:t>①</w:t>
      </w:r>
      <w:r>
        <w:rPr>
          <w:spacing w:val="-16"/>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w:t>
      </w:r>
      <w:r>
        <w:rPr>
          <w:w w:val="100"/>
        </w:rPr>
        <w:t> </w:t>
      </w:r>
      <w:r>
        <w:rPr/>
        <w:t>利润</w:t>
      </w:r>
      <w:r>
        <w:rPr>
          <w:rFonts w:ascii="Times New Roman" w:hAnsi="Times New Roman" w:cs="Times New Roman" w:eastAsia="Times New Roman" w:hint="default"/>
        </w:rPr>
        <w:t>”</w:t>
      </w:r>
      <w:r>
        <w:rPr/>
        <w:t>项目外，其他项目采用发生时的即期汇率折算。</w:t>
      </w:r>
    </w:p>
    <w:p>
      <w:pPr>
        <w:pStyle w:val="BodyText"/>
        <w:spacing w:line="273" w:lineRule="auto" w:before="5"/>
        <w:ind w:left="573" w:right="0"/>
        <w:jc w:val="left"/>
      </w:pPr>
      <w:r>
        <w:rPr/>
        <w:t>②</w:t>
      </w:r>
      <w:r>
        <w:rPr>
          <w:spacing w:val="-22"/>
        </w:rPr>
        <w:t> </w:t>
      </w:r>
      <w:r>
        <w:rPr/>
        <w:t>利润表中的收入和费用项目，采用交易发生日的即期汇率折算。</w:t>
      </w:r>
      <w:r>
        <w:rPr>
          <w:w w:val="100"/>
        </w:rPr>
        <w:t> </w:t>
      </w:r>
      <w:r>
        <w:rPr>
          <w:spacing w:val="-2"/>
        </w:rPr>
        <w:t>按照上述折算产生的外币财务报表折算差额，在资产负债表中所有者权益项目下单独列示。</w:t>
      </w:r>
    </w:p>
    <w:p>
      <w:pPr>
        <w:pStyle w:val="BodyText"/>
        <w:spacing w:line="273" w:lineRule="auto" w:before="7"/>
        <w:ind w:right="150" w:firstLine="420"/>
        <w:jc w:val="both"/>
      </w:pPr>
      <w:r>
        <w:rPr/>
        <w:t>③</w:t>
      </w:r>
      <w:r>
        <w:rPr>
          <w:spacing w:val="70"/>
        </w:rPr>
        <w:t> </w:t>
      </w:r>
      <w:r>
        <w:rPr/>
        <w:t>现金流量表采用现金流量发生日的即期汇率折算。汇率变动对现金的影响额作为调节项目，在现</w:t>
      </w:r>
      <w:r>
        <w:rPr>
          <w:w w:val="100"/>
        </w:rPr>
        <w:t> </w:t>
      </w:r>
      <w:r>
        <w:rPr/>
        <w:t>金流量表中单独列示。</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3" w:right="0"/>
        <w:jc w:val="left"/>
      </w:pPr>
      <w:r>
        <w:rPr/>
        <w:t>（</w:t>
      </w:r>
      <w:r>
        <w:rPr>
          <w:rFonts w:ascii="Times New Roman" w:hAnsi="Times New Roman" w:cs="Times New Roman" w:eastAsia="Times New Roman" w:hint="default"/>
        </w:rPr>
        <w:t>1</w:t>
      </w:r>
      <w:r>
        <w:rPr/>
        <w:t>）金融资产和金融负债的分类</w:t>
      </w:r>
      <w:r>
        <w:rPr>
          <w:w w:val="100"/>
        </w:rPr>
        <w:t> </w:t>
      </w:r>
      <w:r>
        <w:rPr>
          <w:spacing w:val="2"/>
        </w:rPr>
        <w:t>本公司按照投资目的和经济实质对拥有的金融资产分为以公允价值计量且其变动计入当期损益的金</w:t>
      </w:r>
    </w:p>
    <w:p>
      <w:pPr>
        <w:pStyle w:val="BodyText"/>
        <w:spacing w:line="273" w:lineRule="auto" w:before="22"/>
        <w:ind w:left="573" w:right="0" w:hanging="421"/>
        <w:jc w:val="left"/>
      </w:pPr>
      <w:r>
        <w:rPr/>
        <w:t>融资产、持有至到期投资、贷款及应收款项和可供出售金融资产四大类。</w:t>
      </w:r>
      <w:r>
        <w:rPr>
          <w:w w:val="100"/>
        </w:rPr>
        <w:t> </w:t>
      </w:r>
      <w:r>
        <w:rPr>
          <w:spacing w:val="2"/>
        </w:rPr>
        <w:t>按照经济实质将金融负债划分为以公允价值计量且其变动计入当期损益的金融负债和其他金融负债</w:t>
      </w:r>
    </w:p>
    <w:p>
      <w:pPr>
        <w:pStyle w:val="BodyText"/>
        <w:spacing w:line="240" w:lineRule="auto" w:before="7"/>
        <w:ind w:right="0"/>
        <w:jc w:val="left"/>
      </w:pPr>
      <w:r>
        <w:rPr/>
        <w:t>两大类。</w:t>
      </w:r>
    </w:p>
    <w:p>
      <w:pPr>
        <w:pStyle w:val="BodyText"/>
        <w:spacing w:line="273" w:lineRule="auto" w:before="37"/>
        <w:ind w:right="154" w:firstLine="420"/>
        <w:jc w:val="both"/>
      </w:pPr>
      <w:r>
        <w:rPr/>
        <w:t>①</w:t>
      </w:r>
      <w:r>
        <w:rPr>
          <w:spacing w:val="68"/>
        </w:rPr>
        <w:t> </w:t>
      </w:r>
      <w:r>
        <w:rPr/>
        <w:t>以公允价值计量且其变动计入当期损益的金融资产或金融负债：包括交易性金融资产或金融负债</w:t>
      </w:r>
      <w:r>
        <w:rPr>
          <w:w w:val="100"/>
        </w:rPr>
        <w:t> </w:t>
      </w:r>
      <w:r>
        <w:rPr/>
        <w:t>和指定以公允价值计量且其变动计入当期损益的金融资产或金融负债。</w:t>
      </w:r>
    </w:p>
    <w:p>
      <w:pPr>
        <w:pStyle w:val="BodyText"/>
        <w:spacing w:line="264" w:lineRule="auto" w:before="7"/>
        <w:ind w:left="573" w:right="0"/>
        <w:jc w:val="left"/>
      </w:pPr>
      <w:r>
        <w:rPr/>
        <w:t>交易性金融资产或金融负债是指满足下列条件之一的金融资产或金融负债：</w:t>
      </w:r>
      <w:r>
        <w:rPr>
          <w:w w:val="100"/>
        </w:rPr>
        <w:t> </w:t>
      </w:r>
      <w:r>
        <w:rPr>
          <w:rFonts w:ascii="Times New Roman" w:hAnsi="Times New Roman" w:cs="Times New Roman" w:eastAsia="Times New Roman" w:hint="default"/>
        </w:rPr>
        <w:t>a</w:t>
      </w:r>
      <w:r>
        <w:rPr/>
        <w:t>、取得该金融资产或承担该金融负债的目的，主要是为了近期内出售或回购；</w:t>
      </w:r>
      <w:r>
        <w:rPr>
          <w:w w:val="100"/>
        </w:rPr>
        <w:t> </w:t>
      </w:r>
      <w:r>
        <w:rPr>
          <w:rFonts w:ascii="Times New Roman" w:hAnsi="Times New Roman" w:cs="Times New Roman" w:eastAsia="Times New Roman" w:hint="default"/>
        </w:rPr>
        <w:t>b</w:t>
      </w:r>
      <w:r>
        <w:rPr/>
        <w:t>、属于进行集中管理的可辨认金融工具组合的一部分，且有客观证据表明企业近期采用短期获利方</w:t>
      </w:r>
    </w:p>
    <w:p>
      <w:pPr>
        <w:pStyle w:val="BodyText"/>
        <w:spacing w:line="273" w:lineRule="exact"/>
        <w:ind w:right="0"/>
        <w:jc w:val="left"/>
      </w:pPr>
      <w:r>
        <w:rPr/>
        <w:t>式对该组合进行管理；</w:t>
      </w:r>
    </w:p>
    <w:p>
      <w:pPr>
        <w:pStyle w:val="BodyText"/>
        <w:spacing w:line="264" w:lineRule="auto" w:before="37"/>
        <w:ind w:right="155" w:firstLine="420"/>
        <w:jc w:val="both"/>
      </w:pPr>
      <w:r>
        <w:rPr>
          <w:rFonts w:ascii="Times New Roman" w:hAnsi="Times New Roman" w:cs="Times New Roman" w:eastAsia="Times New Roman" w:hint="default"/>
        </w:rPr>
        <w:t>c</w:t>
      </w:r>
      <w:r>
        <w:rPr/>
        <w:t>、属于衍生工具。但是，被指定且为有效套期工具的衍生工具、属于财务担保合同的衍生工具、与</w:t>
      </w:r>
      <w:r>
        <w:rPr>
          <w:w w:val="100"/>
        </w:rPr>
        <w:t> </w:t>
      </w:r>
      <w:r>
        <w:rPr>
          <w:spacing w:val="2"/>
        </w:rPr>
        <w:t>在活跃市场中没有报价且其公允价值不能可靠计量的权益工具投资挂钩并须通过交付该权益工具结算的</w:t>
      </w:r>
      <w:r>
        <w:rPr>
          <w:spacing w:val="-30"/>
        </w:rPr>
        <w:t> </w:t>
      </w:r>
      <w:r>
        <w:rPr>
          <w:spacing w:val="-30"/>
        </w:rPr>
      </w:r>
      <w:r>
        <w:rPr/>
        <w:t>衍生工具除外。</w:t>
      </w:r>
    </w:p>
    <w:p>
      <w:pPr>
        <w:pStyle w:val="BodyText"/>
        <w:spacing w:line="273" w:lineRule="auto" w:before="16"/>
        <w:ind w:right="151" w:firstLine="420"/>
        <w:jc w:val="both"/>
      </w:pPr>
      <w:r>
        <w:rPr>
          <w:spacing w:val="2"/>
        </w:rPr>
        <w:t>指定以公允价值计量且其变动计入当期损益的金融资产或金融负债是指满足下列条件之一的金融资</w:t>
      </w:r>
      <w:r>
        <w:rPr>
          <w:w w:val="100"/>
        </w:rPr>
        <w:t> </w:t>
      </w:r>
      <w:r>
        <w:rPr/>
        <w:t>产或金融：</w:t>
      </w:r>
    </w:p>
    <w:p>
      <w:pPr>
        <w:pStyle w:val="BodyText"/>
        <w:spacing w:line="256" w:lineRule="auto" w:before="8"/>
        <w:ind w:right="155" w:firstLine="420"/>
        <w:jc w:val="both"/>
      </w:pPr>
      <w:r>
        <w:rPr>
          <w:rFonts w:ascii="Times New Roman" w:hAnsi="Times New Roman" w:cs="Times New Roman" w:eastAsia="Times New Roman" w:hint="default"/>
        </w:rPr>
        <w:t>a</w:t>
      </w:r>
      <w:r>
        <w:rPr/>
        <w:t>、该指定可以消除或明显减少由于该金融资产或金融负债的计量基础不同所导致的相关利得或损失</w:t>
      </w:r>
      <w:r>
        <w:rPr>
          <w:w w:val="100"/>
        </w:rPr>
        <w:t> </w:t>
      </w:r>
      <w:r>
        <w:rPr/>
        <w:t>在确认或计量方面不一致的情况；</w:t>
      </w:r>
    </w:p>
    <w:p>
      <w:pPr>
        <w:pStyle w:val="BodyText"/>
        <w:spacing w:line="256" w:lineRule="auto" w:before="22"/>
        <w:ind w:right="156" w:firstLine="420"/>
        <w:jc w:val="both"/>
      </w:pPr>
      <w:r>
        <w:rPr>
          <w:rFonts w:ascii="Times New Roman" w:hAnsi="Times New Roman" w:cs="Times New Roman" w:eastAsia="Times New Roman" w:hint="default"/>
        </w:rPr>
        <w:t>b</w:t>
      </w:r>
      <w:r>
        <w:rPr/>
        <w:t>、企业风险管理或投资策略的正式书面文件已载明，该金融资产组合、该金融负债组合、或该金融</w:t>
      </w:r>
      <w:r>
        <w:rPr>
          <w:w w:val="100"/>
        </w:rPr>
        <w:t> </w:t>
      </w:r>
      <w:r>
        <w:rPr/>
        <w:t>资产和金融负债组合，以公允价值为基础进行管理、评价并向关键管理人员报告。</w:t>
      </w:r>
    </w:p>
    <w:p>
      <w:pPr>
        <w:pStyle w:val="BodyText"/>
        <w:spacing w:line="273" w:lineRule="auto" w:before="22"/>
        <w:ind w:right="146" w:firstLine="420"/>
        <w:jc w:val="both"/>
      </w:pPr>
      <w:r>
        <w:rPr>
          <w:spacing w:val="-2"/>
        </w:rPr>
        <w:t>②持有至到期投资：是指到期日固定、回收金额固定或可确定，且企业有明确意图和能力持有至到期</w:t>
      </w:r>
      <w:r>
        <w:rPr>
          <w:w w:val="100"/>
        </w:rPr>
        <w:t> </w:t>
      </w:r>
      <w:r>
        <w:rPr>
          <w:spacing w:val="-2"/>
        </w:rPr>
        <w:t>的非衍生金融资产。主要包括本公司管理层有明确意图和能力持有至到期的固定利率国债、浮动利率公司</w:t>
      </w:r>
      <w:r>
        <w:rPr>
          <w:spacing w:val="-42"/>
        </w:rPr>
        <w:t> </w:t>
      </w:r>
      <w:r>
        <w:rPr>
          <w:spacing w:val="-42"/>
        </w:rPr>
      </w:r>
      <w:r>
        <w:rPr/>
        <w:t>债券等。</w:t>
      </w:r>
    </w:p>
    <w:p>
      <w:pPr>
        <w:pStyle w:val="BodyText"/>
        <w:spacing w:line="273" w:lineRule="auto" w:before="7"/>
        <w:ind w:right="146" w:firstLine="420"/>
        <w:jc w:val="both"/>
      </w:pPr>
      <w:r>
        <w:rPr>
          <w:spacing w:val="-2"/>
        </w:rPr>
        <w:t>③应收款项：是指在活跃市场中没有报价、回收金额固定或可确定的非衍生金融资产。本公司应收款</w:t>
      </w:r>
      <w:r>
        <w:rPr>
          <w:w w:val="100"/>
        </w:rPr>
        <w:t> </w:t>
      </w:r>
      <w:r>
        <w:rPr/>
        <w:t>项主要是指本公司销售商品或提供劳务形成的应收账款以及其他应收款。</w:t>
      </w:r>
    </w:p>
    <w:p>
      <w:pPr>
        <w:spacing w:after="0" w:line="273"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46" w:firstLine="420"/>
        <w:jc w:val="both"/>
      </w:pPr>
      <w:r>
        <w:rPr>
          <w:spacing w:val="-2"/>
        </w:rPr>
        <w:t>④可供出售金融资产：是指初始确认时即被指定为可供出售的非衍生金融资产，以及没有划分为以公</w:t>
      </w:r>
      <w:r>
        <w:rPr>
          <w:w w:val="100"/>
        </w:rPr>
        <w:t> </w:t>
      </w:r>
      <w:r>
        <w:rPr/>
        <w:t>允价值计量且其变动计入当期损益的金融资产、持有至到期投资、贷款和应收款项的金融资产。</w:t>
      </w:r>
    </w:p>
    <w:p>
      <w:pPr>
        <w:pStyle w:val="BodyText"/>
        <w:spacing w:line="240" w:lineRule="auto" w:before="7"/>
        <w:ind w:left="573" w:right="0"/>
        <w:jc w:val="left"/>
      </w:pPr>
      <w:r>
        <w:rPr/>
        <w:t>⑤其他金融负债：指没有划分为以公允价值计量且其变动计入当期损益的金融负债。</w:t>
      </w:r>
    </w:p>
    <w:p>
      <w:pPr>
        <w:pStyle w:val="BodyText"/>
        <w:spacing w:line="256" w:lineRule="auto" w:before="37"/>
        <w:ind w:left="573" w:right="0"/>
        <w:jc w:val="left"/>
      </w:pPr>
      <w:r>
        <w:rPr/>
        <w:t>（</w:t>
      </w:r>
      <w:r>
        <w:rPr>
          <w:rFonts w:ascii="Times New Roman" w:hAnsi="Times New Roman" w:cs="Times New Roman" w:eastAsia="Times New Roman" w:hint="default"/>
        </w:rPr>
        <w:t>2</w:t>
      </w:r>
      <w:r>
        <w:rPr/>
        <w:t>）金融资产和金融负债的计量</w:t>
      </w:r>
      <w:r>
        <w:rPr>
          <w:w w:val="100"/>
        </w:rPr>
        <w:t> </w:t>
      </w:r>
      <w:r>
        <w:rPr>
          <w:spacing w:val="-2"/>
        </w:rPr>
        <w:t>本公司金融资产或金融负债在初始确认时，按照公允价值计量。对于以公允价值计量且其变动计入当</w:t>
      </w:r>
    </w:p>
    <w:p>
      <w:pPr>
        <w:pStyle w:val="BodyText"/>
        <w:spacing w:line="273" w:lineRule="auto" w:before="22"/>
        <w:ind w:right="125"/>
        <w:jc w:val="both"/>
      </w:pPr>
      <w:r>
        <w:rPr>
          <w:spacing w:val="-2"/>
        </w:rPr>
        <w:t>期损益的金融资产或金融负债，相关交易费用直接计入当期损益；对于其他类别的金融资产或金融负债，</w:t>
      </w:r>
      <w:r>
        <w:rPr>
          <w:spacing w:val="-21"/>
        </w:rPr>
        <w:t> </w:t>
      </w:r>
      <w:r>
        <w:rPr>
          <w:spacing w:val="-21"/>
        </w:rPr>
      </w:r>
      <w:r>
        <w:rPr/>
        <w:t>相关交易费用计入初始确认金额。</w:t>
      </w:r>
    </w:p>
    <w:p>
      <w:pPr>
        <w:pStyle w:val="BodyText"/>
        <w:spacing w:line="273" w:lineRule="auto" w:before="7"/>
        <w:ind w:left="573" w:right="0"/>
        <w:jc w:val="left"/>
      </w:pPr>
      <w:r>
        <w:rPr/>
        <w:t>本公司对金融资产和金融负债的后续计量方法如下：</w:t>
      </w:r>
      <w:r>
        <w:rPr>
          <w:w w:val="100"/>
        </w:rPr>
        <w:t> </w:t>
      </w:r>
      <w:r>
        <w:rPr>
          <w:rFonts w:ascii="宋体" w:hAnsi="宋体" w:cs="宋体" w:eastAsia="宋体" w:hint="default"/>
          <w:spacing w:val="-2"/>
        </w:rPr>
        <w:t>1.</w:t>
      </w:r>
      <w:r>
        <w:rPr>
          <w:spacing w:val="-2"/>
        </w:rPr>
        <w:t>以公允价值计量且其变动计入当期损益的金融资产和金融负债，按照公允价值进行后续计量，公允</w:t>
      </w:r>
    </w:p>
    <w:p>
      <w:pPr>
        <w:pStyle w:val="BodyText"/>
        <w:spacing w:line="273" w:lineRule="auto" w:before="7"/>
        <w:ind w:left="573" w:right="0" w:hanging="421"/>
        <w:jc w:val="left"/>
      </w:pPr>
      <w:r>
        <w:rPr/>
        <w:t>价值变动及终止确认产生的利得或损失计入当期损益。</w:t>
      </w:r>
      <w:r>
        <w:rPr>
          <w:w w:val="100"/>
        </w:rPr>
        <w:t> </w:t>
      </w:r>
      <w:r>
        <w:rPr>
          <w:rFonts w:ascii="宋体" w:hAnsi="宋体" w:cs="宋体" w:eastAsia="宋体" w:hint="default"/>
          <w:spacing w:val="-2"/>
        </w:rPr>
        <w:t>2.</w:t>
      </w:r>
      <w:r>
        <w:rPr>
          <w:spacing w:val="-2"/>
        </w:rPr>
        <w:t>持有至到期投资，采用实际利率法，按照摊余成本进行后续计量，其终止确认、发生减值或摊销产</w:t>
      </w:r>
    </w:p>
    <w:p>
      <w:pPr>
        <w:pStyle w:val="BodyText"/>
        <w:spacing w:line="273" w:lineRule="auto" w:before="7"/>
        <w:ind w:left="573" w:right="0" w:hanging="421"/>
        <w:jc w:val="left"/>
      </w:pPr>
      <w:r>
        <w:rPr/>
        <w:t>生的利得或损失计入当期收益。</w:t>
      </w:r>
      <w:r>
        <w:rPr>
          <w:w w:val="100"/>
        </w:rPr>
        <w:t> </w:t>
      </w:r>
      <w:r>
        <w:rPr>
          <w:rFonts w:ascii="宋体" w:hAnsi="宋体" w:cs="宋体" w:eastAsia="宋体" w:hint="default"/>
          <w:spacing w:val="-2"/>
        </w:rPr>
        <w:t>3.</w:t>
      </w:r>
      <w:r>
        <w:rPr>
          <w:spacing w:val="-2"/>
        </w:rPr>
        <w:t>应收款项，采用实际利率法，按照摊余成本进行后续计量，其终止确认、发生减值或摊销产生的利</w:t>
      </w:r>
    </w:p>
    <w:p>
      <w:pPr>
        <w:pStyle w:val="BodyText"/>
        <w:spacing w:line="273" w:lineRule="auto" w:before="7"/>
        <w:ind w:left="573" w:right="0" w:hanging="421"/>
        <w:jc w:val="left"/>
      </w:pPr>
      <w:r>
        <w:rPr/>
        <w:t>得或损失计入当期收益。</w:t>
      </w:r>
      <w:r>
        <w:rPr>
          <w:w w:val="100"/>
        </w:rPr>
        <w:t> </w:t>
      </w:r>
      <w:r>
        <w:rPr>
          <w:rFonts w:ascii="宋体" w:hAnsi="宋体" w:cs="宋体" w:eastAsia="宋体" w:hint="default"/>
          <w:spacing w:val="-2"/>
        </w:rPr>
        <w:t>4.</w:t>
      </w:r>
      <w:r>
        <w:rPr>
          <w:spacing w:val="-2"/>
        </w:rPr>
        <w:t>可供出售金融资产，按照公允价值进行后续计量，公允价值变动形成的利得或损失计入资本公积。</w:t>
      </w:r>
    </w:p>
    <w:p>
      <w:pPr>
        <w:pStyle w:val="BodyText"/>
        <w:spacing w:line="273" w:lineRule="auto" w:before="7"/>
        <w:ind w:right="146"/>
        <w:jc w:val="both"/>
      </w:pPr>
      <w:r>
        <w:rPr>
          <w:spacing w:val="-2"/>
        </w:rPr>
        <w:t>处置可供出售金融资产时，将取得的价款与该金融资产账面价值之间差额计入投资损益；同时，将原直接</w:t>
      </w:r>
      <w:r>
        <w:rPr>
          <w:spacing w:val="-44"/>
        </w:rPr>
        <w:t> </w:t>
      </w:r>
      <w:r>
        <w:rPr>
          <w:spacing w:val="-44"/>
        </w:rPr>
      </w:r>
      <w:r>
        <w:rPr>
          <w:spacing w:val="-2"/>
        </w:rPr>
        <w:t>计入所有者权益的公允价值变动累计额对应处置部分的金额转出，计入投资损益。该类金融资产减值损失</w:t>
      </w:r>
      <w:r>
        <w:rPr>
          <w:spacing w:val="-42"/>
        </w:rPr>
        <w:t> </w:t>
      </w:r>
      <w:r>
        <w:rPr>
          <w:spacing w:val="-42"/>
        </w:rPr>
      </w:r>
      <w:r>
        <w:rPr>
          <w:spacing w:val="-2"/>
        </w:rPr>
        <w:t>及外币货币性金融资产汇兑差额计入当期损益。可供出售金融资产持有期间取得的利息及被投资单位宣告</w:t>
      </w:r>
      <w:r>
        <w:rPr>
          <w:spacing w:val="-43"/>
        </w:rPr>
        <w:t> </w:t>
      </w:r>
      <w:r>
        <w:rPr>
          <w:spacing w:val="-43"/>
        </w:rPr>
      </w:r>
      <w:r>
        <w:rPr/>
        <w:t>发放的现金股利，计入投资收益。</w:t>
      </w:r>
    </w:p>
    <w:p>
      <w:pPr>
        <w:pStyle w:val="BodyText"/>
        <w:spacing w:line="273" w:lineRule="auto" w:before="7"/>
        <w:ind w:right="146" w:firstLine="420"/>
        <w:jc w:val="both"/>
      </w:pPr>
      <w:r>
        <w:rPr>
          <w:rFonts w:ascii="宋体" w:hAnsi="宋体" w:cs="宋体" w:eastAsia="宋体" w:hint="default"/>
          <w:spacing w:val="-2"/>
        </w:rPr>
        <w:t>5.</w:t>
      </w:r>
      <w:r>
        <w:rPr>
          <w:spacing w:val="-2"/>
        </w:rPr>
        <w:t>其他金融负债，与在活跃市场中没有报价且其公允价值不能可靠计量的权益工具投资挂钩并须通过</w:t>
      </w:r>
      <w:r>
        <w:rPr>
          <w:w w:val="100"/>
        </w:rPr>
        <w:t> </w:t>
      </w:r>
      <w:r>
        <w:rPr/>
        <w:t>交付该权益工具结算的衍生金融负债按照成本进行后续计量。</w:t>
      </w:r>
    </w:p>
    <w:p>
      <w:pPr>
        <w:pStyle w:val="BodyText"/>
        <w:spacing w:line="268" w:lineRule="auto" w:before="7"/>
        <w:ind w:right="146" w:firstLine="314"/>
        <w:jc w:val="both"/>
      </w:pPr>
      <w:r>
        <w:rPr/>
        <w:t>不属于指定为以公允价值计量且其变动计入当期损益的金融负债的财务担保合同，以及没有指定为以</w:t>
      </w:r>
      <w:r>
        <w:rPr>
          <w:w w:val="100"/>
        </w:rPr>
        <w:t> </w:t>
      </w:r>
      <w:r>
        <w:rPr>
          <w:spacing w:val="-2"/>
        </w:rPr>
        <w:t>公允价值计量且其变动计入当期损益并将以低于市场利率贷款的贷款承诺，在初始确认后按照下列两项金</w:t>
      </w:r>
      <w:r>
        <w:rPr>
          <w:spacing w:val="-43"/>
        </w:rPr>
        <w:t> </w:t>
      </w:r>
      <w:r>
        <w:rPr>
          <w:spacing w:val="-43"/>
        </w:rPr>
      </w:r>
      <w:r>
        <w:rPr>
          <w:spacing w:val="-3"/>
        </w:rPr>
        <w:t>额之中的较高者进行后续计量：</w:t>
      </w:r>
      <w:r>
        <w:rPr>
          <w:rFonts w:ascii="Times New Roman" w:hAnsi="Times New Roman" w:cs="Times New Roman" w:eastAsia="Times New Roman" w:hint="default"/>
          <w:spacing w:val="-3"/>
        </w:rPr>
        <w:t>a</w:t>
      </w:r>
      <w:r>
        <w:rPr>
          <w:spacing w:val="-3"/>
        </w:rPr>
        <w:t>、《企业会计准则第</w:t>
      </w:r>
      <w:r>
        <w:rPr>
          <w:rFonts w:ascii="Times New Roman" w:hAnsi="Times New Roman" w:cs="Times New Roman" w:eastAsia="Times New Roman" w:hint="default"/>
          <w:spacing w:val="-3"/>
        </w:rPr>
        <w:t>13</w:t>
      </w:r>
      <w:r>
        <w:rPr>
          <w:spacing w:val="-3"/>
        </w:rPr>
        <w:t>号</w:t>
      </w:r>
      <w:r>
        <w:rPr>
          <w:rFonts w:ascii="Times New Roman" w:hAnsi="Times New Roman" w:cs="Times New Roman" w:eastAsia="Times New Roman" w:hint="default"/>
          <w:spacing w:val="-3"/>
        </w:rPr>
        <w:t>-</w:t>
      </w:r>
      <w:r>
        <w:rPr>
          <w:spacing w:val="-3"/>
        </w:rPr>
        <w:t>或有事项》确定的金额；</w:t>
      </w:r>
      <w:r>
        <w:rPr>
          <w:rFonts w:ascii="Times New Roman" w:hAnsi="Times New Roman" w:cs="Times New Roman" w:eastAsia="Times New Roman" w:hint="default"/>
          <w:spacing w:val="-3"/>
        </w:rPr>
        <w:t>b</w:t>
      </w:r>
      <w:r>
        <w:rPr>
          <w:spacing w:val="-3"/>
        </w:rPr>
        <w:t>、初始确认金额扣除</w:t>
      </w:r>
      <w:r>
        <w:rPr>
          <w:spacing w:val="-49"/>
        </w:rPr>
        <w:t> </w:t>
      </w:r>
      <w:r>
        <w:rPr>
          <w:spacing w:val="-49"/>
        </w:rPr>
      </w:r>
      <w:r>
        <w:rPr/>
        <w:t>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收入》的原则确定的累计摊销额的余额。</w:t>
      </w:r>
    </w:p>
    <w:p>
      <w:pPr>
        <w:pStyle w:val="BodyText"/>
        <w:spacing w:line="273" w:lineRule="auto"/>
        <w:ind w:right="146" w:firstLine="420"/>
        <w:jc w:val="both"/>
      </w:pPr>
      <w:r>
        <w:rPr>
          <w:spacing w:val="-2"/>
        </w:rPr>
        <w:t>其他金融负债采用实际利率法，按摊余成本进行后续计量，终止确认或摊销时产生的损益计入当期损</w:t>
      </w:r>
      <w:r>
        <w:rPr>
          <w:w w:val="100"/>
        </w:rPr>
        <w:t> </w:t>
      </w:r>
      <w:r>
        <w:rPr/>
        <w:t>益。</w:t>
      </w:r>
    </w:p>
    <w:p>
      <w:pPr>
        <w:pStyle w:val="BodyText"/>
        <w:spacing w:line="273" w:lineRule="auto" w:before="7"/>
        <w:ind w:right="146" w:firstLine="420"/>
        <w:jc w:val="both"/>
      </w:pPr>
      <w:r>
        <w:rPr>
          <w:rFonts w:ascii="宋体" w:hAnsi="宋体" w:cs="宋体" w:eastAsia="宋体" w:hint="default"/>
          <w:spacing w:val="-2"/>
        </w:rPr>
        <w:t>1.</w:t>
      </w:r>
      <w:r>
        <w:rPr>
          <w:spacing w:val="-2"/>
        </w:rPr>
        <w:t>公允价值：是指在公平交易中，熟悉情况的交易双方自愿进行资产交换或者债务清偿的金额。在公</w:t>
      </w:r>
      <w:r>
        <w:rPr>
          <w:w w:val="100"/>
        </w:rPr>
        <w:t> </w:t>
      </w:r>
      <w:r>
        <w:rPr>
          <w:spacing w:val="-2"/>
        </w:rPr>
        <w:t>平交易中，交易双方应当是持续经营企业，不打算或不需要进行清算、重大缩减经营规模，或在不利条件</w:t>
      </w:r>
      <w:r>
        <w:rPr>
          <w:spacing w:val="-50"/>
        </w:rPr>
        <w:t> </w:t>
      </w:r>
      <w:r>
        <w:rPr>
          <w:spacing w:val="-50"/>
        </w:rPr>
      </w:r>
      <w:r>
        <w:rPr>
          <w:spacing w:val="-2"/>
        </w:rPr>
        <w:t>下仍进行交易。存在活跃市场的金融资产或金融负债，活跃市场中的报价应当用于确定其公允价值。不存</w:t>
      </w:r>
      <w:r>
        <w:rPr>
          <w:spacing w:val="-43"/>
        </w:rPr>
        <w:t> </w:t>
      </w:r>
      <w:r>
        <w:rPr>
          <w:spacing w:val="-43"/>
        </w:rPr>
      </w:r>
      <w:r>
        <w:rPr/>
        <w:t>在活跃市场的，企业应当采用估值技术确定其公允价值。</w:t>
      </w:r>
    </w:p>
    <w:p>
      <w:pPr>
        <w:pStyle w:val="BodyText"/>
        <w:spacing w:line="273" w:lineRule="auto" w:before="7"/>
        <w:ind w:right="146" w:firstLine="420"/>
        <w:jc w:val="both"/>
      </w:pPr>
      <w:r>
        <w:rPr>
          <w:rFonts w:ascii="宋体" w:hAnsi="宋体" w:cs="宋体" w:eastAsia="宋体" w:hint="default"/>
          <w:spacing w:val="-2"/>
        </w:rPr>
        <w:t>2.</w:t>
      </w:r>
      <w:r>
        <w:rPr>
          <w:spacing w:val="-2"/>
        </w:rPr>
        <w:t>摊余成本：金融资产或金融负债的摊余成本，是指该金融资产或金融负债的初始确认金额扣除已偿</w:t>
      </w:r>
      <w:r>
        <w:rPr>
          <w:w w:val="100"/>
        </w:rPr>
        <w:t> </w:t>
      </w:r>
      <w:r>
        <w:rPr>
          <w:spacing w:val="-2"/>
        </w:rPr>
        <w:t>还的本金，加上或减去采用实际利率法将该初始确认金额与到期日金额之间的差额进行摊销形成的累计摊</w:t>
      </w:r>
      <w:r>
        <w:rPr>
          <w:spacing w:val="-43"/>
        </w:rPr>
        <w:t> </w:t>
      </w:r>
      <w:r>
        <w:rPr>
          <w:spacing w:val="-43"/>
        </w:rPr>
      </w:r>
      <w:r>
        <w:rPr/>
        <w:t>销额，并扣除金融资产已发生的减值损失后的余额。</w:t>
      </w:r>
    </w:p>
    <w:p>
      <w:pPr>
        <w:pStyle w:val="BodyText"/>
        <w:spacing w:line="273" w:lineRule="auto" w:before="7"/>
        <w:ind w:right="146" w:firstLine="420"/>
        <w:jc w:val="both"/>
      </w:pPr>
      <w:r>
        <w:rPr>
          <w:rFonts w:ascii="宋体" w:hAnsi="宋体" w:cs="宋体" w:eastAsia="宋体" w:hint="default"/>
          <w:spacing w:val="-2"/>
        </w:rPr>
        <w:t>3.</w:t>
      </w:r>
      <w:r>
        <w:rPr>
          <w:spacing w:val="-2"/>
        </w:rPr>
        <w:t>实际利率法，是指按照金融资产或金融负债（含一组金融资产或金融负债）的实际利率计算其摊余</w:t>
      </w:r>
      <w:r>
        <w:rPr>
          <w:w w:val="100"/>
        </w:rPr>
        <w:t> </w:t>
      </w:r>
      <w:r>
        <w:rPr>
          <w:spacing w:val="-2"/>
        </w:rPr>
        <w:t>成本及各期利息收入或利息费用的方法。实际利率，是指将金融资产或金融负债在预期存续期间或适用的</w:t>
      </w:r>
      <w:r>
        <w:rPr>
          <w:spacing w:val="-43"/>
        </w:rPr>
        <w:t> </w:t>
      </w:r>
      <w:r>
        <w:rPr>
          <w:spacing w:val="-43"/>
        </w:rPr>
      </w:r>
      <w:r>
        <w:rPr>
          <w:spacing w:val="-2"/>
        </w:rPr>
        <w:t>更短期间内的未来现金流量，折现为该金融资产或金融负债当前账面价值所使用的利率。在确定实际利率</w:t>
      </w:r>
      <w:r>
        <w:rPr>
          <w:spacing w:val="-44"/>
        </w:rPr>
        <w:t> </w:t>
      </w:r>
      <w:r>
        <w:rPr>
          <w:spacing w:val="-44"/>
        </w:rPr>
      </w:r>
      <w:r>
        <w:rPr>
          <w:spacing w:val="-2"/>
        </w:rPr>
        <w:t>时，应当在考虑金融资产或金融负债所有合同条款（包括提前还款权、看涨期权、类似期权等）的基础上</w:t>
      </w:r>
      <w:r>
        <w:rPr>
          <w:spacing w:val="-43"/>
        </w:rPr>
        <w:t> </w:t>
      </w:r>
      <w:r>
        <w:rPr>
          <w:spacing w:val="-43"/>
        </w:rPr>
      </w:r>
      <w:r>
        <w:rPr/>
        <w:t>预计未来现金流量，但不应当考虑未来信用损失。</w:t>
      </w:r>
    </w:p>
    <w:p>
      <w:pPr>
        <w:pStyle w:val="BodyText"/>
        <w:spacing w:line="240" w:lineRule="auto" w:before="7"/>
        <w:ind w:left="573" w:right="0"/>
        <w:jc w:val="left"/>
      </w:pPr>
      <w:r>
        <w:rPr/>
        <w:t>（</w:t>
      </w:r>
      <w:r>
        <w:rPr>
          <w:rFonts w:ascii="Times New Roman" w:hAnsi="Times New Roman" w:cs="Times New Roman" w:eastAsia="Times New Roman" w:hint="default"/>
        </w:rPr>
        <w:t>3</w:t>
      </w:r>
      <w:r>
        <w:rPr/>
        <w:t>）金融资产的转移及终止确认</w:t>
      </w:r>
    </w:p>
    <w:p>
      <w:pPr>
        <w:pStyle w:val="BodyText"/>
        <w:spacing w:line="264" w:lineRule="auto" w:before="21"/>
        <w:ind w:left="573" w:right="1227"/>
        <w:jc w:val="left"/>
      </w:pPr>
      <w:r>
        <w:rPr/>
        <w:t>①满足下列条件之一的金融资产，予以终止确认：</w:t>
      </w:r>
      <w:r>
        <w:rPr>
          <w:w w:val="100"/>
        </w:rPr>
        <w:t> </w:t>
      </w:r>
      <w:r>
        <w:rPr>
          <w:rFonts w:ascii="Times New Roman" w:hAnsi="Times New Roman" w:cs="Times New Roman" w:eastAsia="Times New Roman" w:hint="default"/>
        </w:rPr>
        <w:t>a</w:t>
      </w:r>
      <w:r>
        <w:rPr/>
        <w:t>、将收取金融资产现金流量的合同权利终止；</w:t>
      </w:r>
      <w:r>
        <w:rPr>
          <w:w w:val="100"/>
        </w:rPr>
        <w:t> </w:t>
      </w:r>
      <w:r>
        <w:rPr>
          <w:rFonts w:ascii="Times New Roman" w:hAnsi="Times New Roman" w:cs="Times New Roman" w:eastAsia="Times New Roman" w:hint="default"/>
          <w:spacing w:val="-2"/>
        </w:rPr>
        <w:t>b</w:t>
      </w:r>
      <w:r>
        <w:rPr>
          <w:spacing w:val="-2"/>
        </w:rPr>
        <w:t>、该金融资产已经转移，且该金融资产所有权上几乎所有的风险和报酬转移给转入方；</w:t>
      </w:r>
    </w:p>
    <w:p>
      <w:pPr>
        <w:pStyle w:val="BodyText"/>
        <w:spacing w:line="289" w:lineRule="exact"/>
        <w:ind w:left="573" w:right="0"/>
        <w:jc w:val="left"/>
      </w:pPr>
      <w:r>
        <w:rPr>
          <w:rFonts w:ascii="Times New Roman" w:hAnsi="Times New Roman" w:cs="Times New Roman" w:eastAsia="Times New Roman" w:hint="default"/>
        </w:rPr>
        <w:t>c</w:t>
      </w:r>
      <w:r>
        <w:rPr/>
        <w:t>、该金融资产已经转移，但是企业既没有转移也没有保留该金融资产所有权上几乎所有的风险和报</w:t>
      </w:r>
    </w:p>
    <w:p>
      <w:pPr>
        <w:spacing w:after="0" w:line="289" w:lineRule="exact"/>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01"/>
        <w:jc w:val="left"/>
      </w:pPr>
      <w:r>
        <w:rPr/>
        <w:t>酬，且放弃了对该金融资产的控制。</w:t>
      </w:r>
    </w:p>
    <w:p>
      <w:pPr>
        <w:pStyle w:val="BodyText"/>
        <w:spacing w:line="264" w:lineRule="auto" w:before="37"/>
        <w:ind w:left="573" w:right="101"/>
        <w:jc w:val="left"/>
      </w:pPr>
      <w:r>
        <w:rPr>
          <w:spacing w:val="-2"/>
        </w:rPr>
        <w:t>②本公司在金融资产整体转移满足终止确认条件的，将下列两项的差额计入当期损益：</w:t>
      </w:r>
      <w:r>
        <w:rPr>
          <w:spacing w:val="-32"/>
        </w:rPr>
        <w:t> </w:t>
      </w:r>
      <w:r>
        <w:rPr>
          <w:spacing w:val="-32"/>
        </w:rPr>
      </w:r>
      <w:r>
        <w:rPr>
          <w:rFonts w:ascii="Times New Roman" w:hAnsi="Times New Roman" w:cs="Times New Roman" w:eastAsia="Times New Roman" w:hint="default"/>
        </w:rPr>
        <w:t>a</w:t>
      </w:r>
      <w:r>
        <w:rPr/>
        <w:t>、所转移金融资产的账面价值；</w:t>
      </w:r>
      <w:r>
        <w:rPr>
          <w:w w:val="100"/>
        </w:rPr>
        <w:t> </w:t>
      </w:r>
      <w:r>
        <w:rPr>
          <w:rFonts w:ascii="Times New Roman" w:hAnsi="Times New Roman" w:cs="Times New Roman" w:eastAsia="Times New Roman" w:hint="default"/>
        </w:rPr>
        <w:t>b</w:t>
      </w:r>
      <w:r>
        <w:rPr/>
        <w:t>、因转移而收到的对价，与原直接计入所有者权益的公允价值变动累计额之和。</w:t>
      </w:r>
    </w:p>
    <w:p>
      <w:pPr>
        <w:pStyle w:val="BodyText"/>
        <w:spacing w:line="273" w:lineRule="auto"/>
        <w:ind w:right="101" w:firstLine="420"/>
        <w:jc w:val="left"/>
      </w:pPr>
      <w:r>
        <w:rPr/>
        <w:t>③本公司的金融资产部分转移满足终止确认条件的，将所转移金融资产整体的账面价值，在终止确认</w:t>
      </w:r>
      <w:r>
        <w:rPr>
          <w:w w:val="100"/>
        </w:rPr>
        <w:t> </w:t>
      </w:r>
      <w:r>
        <w:rPr>
          <w:spacing w:val="-5"/>
        </w:rPr>
        <w:t>部分和未终止确认部分之间，按照各自的相对公允价值进行分摊，并将下列两项金额的差额计入当期损益：</w:t>
      </w:r>
    </w:p>
    <w:p>
      <w:pPr>
        <w:pStyle w:val="BodyText"/>
        <w:spacing w:line="256" w:lineRule="auto" w:before="7"/>
        <w:ind w:left="573" w:right="101"/>
        <w:jc w:val="left"/>
      </w:pPr>
      <w:r>
        <w:rPr>
          <w:rFonts w:ascii="Times New Roman" w:hAnsi="Times New Roman" w:cs="Times New Roman" w:eastAsia="Times New Roman" w:hint="default"/>
        </w:rPr>
        <w:t>a</w:t>
      </w:r>
      <w:r>
        <w:rPr/>
        <w:t>、终止确认部分的账面价值；</w:t>
      </w:r>
      <w:r>
        <w:rPr>
          <w:w w:val="100"/>
        </w:rPr>
        <w:t> </w:t>
      </w:r>
      <w:r>
        <w:rPr>
          <w:rFonts w:ascii="Times New Roman" w:hAnsi="Times New Roman" w:cs="Times New Roman" w:eastAsia="Times New Roman" w:hint="default"/>
        </w:rPr>
        <w:t>b</w:t>
      </w:r>
      <w:r>
        <w:rPr/>
        <w:t>、终止确认部分的对价，与原直接计入所有者权益的公允价值变动累计额中对应终止确认部分的金</w:t>
      </w:r>
    </w:p>
    <w:p>
      <w:pPr>
        <w:pStyle w:val="BodyText"/>
        <w:spacing w:line="240" w:lineRule="auto" w:before="5"/>
        <w:ind w:right="101"/>
        <w:jc w:val="left"/>
      </w:pPr>
      <w:r>
        <w:rPr/>
        <w:t>额之和。</w:t>
      </w:r>
    </w:p>
    <w:p>
      <w:pPr>
        <w:pStyle w:val="BodyText"/>
        <w:spacing w:line="273" w:lineRule="auto" w:before="37"/>
        <w:ind w:right="206" w:firstLine="420"/>
        <w:jc w:val="both"/>
      </w:pPr>
      <w:r>
        <w:rPr/>
        <w:t>④</w:t>
      </w:r>
      <w:r>
        <w:rPr>
          <w:spacing w:val="61"/>
        </w:rPr>
        <w:t> </w:t>
      </w:r>
      <w:r>
        <w:rPr/>
        <w:t>金融资产转移不满足终止确认条件的，继续确认该金融资产，将所收到的对价确认为一项金融负</w:t>
      </w:r>
      <w:r>
        <w:rPr>
          <w:w w:val="100"/>
        </w:rPr>
        <w:t> </w:t>
      </w:r>
      <w:r>
        <w:rPr>
          <w:spacing w:val="-2"/>
        </w:rPr>
        <w:t>债。对于采用继续涉入方式的金融资产转移，企业应当按照继续涉入所转移金融资产的程度确认一项金融</w:t>
      </w:r>
      <w:r>
        <w:rPr>
          <w:spacing w:val="-43"/>
        </w:rPr>
        <w:t> </w:t>
      </w:r>
      <w:r>
        <w:rPr>
          <w:spacing w:val="-43"/>
        </w:rPr>
      </w:r>
      <w:r>
        <w:rPr/>
        <w:t>资产，同时确认一项金融负债。</w:t>
      </w:r>
    </w:p>
    <w:p>
      <w:pPr>
        <w:pStyle w:val="BodyText"/>
        <w:spacing w:line="240" w:lineRule="auto" w:before="8"/>
        <w:ind w:left="573" w:right="101"/>
        <w:jc w:val="left"/>
      </w:pPr>
      <w:r>
        <w:rPr/>
        <w:t>（</w:t>
      </w:r>
      <w:r>
        <w:rPr>
          <w:rFonts w:ascii="Times New Roman" w:hAnsi="Times New Roman" w:cs="Times New Roman" w:eastAsia="Times New Roman" w:hint="default"/>
        </w:rPr>
        <w:t>4</w:t>
      </w:r>
      <w:r>
        <w:rPr/>
        <w:t>）金融资产减值测试方法及减值准备计提方法</w:t>
      </w:r>
    </w:p>
    <w:p>
      <w:pPr>
        <w:pStyle w:val="BodyText"/>
        <w:spacing w:line="273" w:lineRule="auto" w:before="21"/>
        <w:ind w:left="513" w:right="101" w:firstLine="60"/>
        <w:jc w:val="left"/>
      </w:pPr>
      <w:r>
        <w:rPr/>
        <w:t>①</w:t>
      </w:r>
      <w:r>
        <w:rPr>
          <w:spacing w:val="43"/>
        </w:rPr>
        <w:t> </w:t>
      </w:r>
      <w:r>
        <w:rPr/>
        <w:t>本公司在有以下证据表明该金融资产发生减值的，计提减值准备：</w:t>
      </w:r>
      <w:r>
        <w:rPr>
          <w:w w:val="100"/>
        </w:rPr>
        <w:t> </w:t>
      </w:r>
      <w:r>
        <w:rPr>
          <w:rFonts w:ascii="宋体" w:hAnsi="宋体" w:cs="宋体" w:eastAsia="宋体" w:hint="default"/>
        </w:rPr>
        <w:t>a.</w:t>
      </w:r>
      <w:r>
        <w:rPr/>
        <w:t>发行方或债务人发生严重财务困难；</w:t>
      </w:r>
      <w:r>
        <w:rPr>
          <w:w w:val="100"/>
        </w:rPr>
        <w:t> </w:t>
      </w:r>
      <w:r>
        <w:rPr>
          <w:rFonts w:ascii="宋体" w:hAnsi="宋体" w:cs="宋体" w:eastAsia="宋体" w:hint="default"/>
        </w:rPr>
        <w:t>b.</w:t>
      </w:r>
      <w:r>
        <w:rPr/>
        <w:t>债务人违反了合同条款，如偿付利息或本金发生违约或逾期等；</w:t>
      </w:r>
      <w:r>
        <w:rPr>
          <w:w w:val="100"/>
        </w:rPr>
        <w:t> </w:t>
      </w:r>
      <w:r>
        <w:rPr>
          <w:rFonts w:ascii="宋体" w:hAnsi="宋体" w:cs="宋体" w:eastAsia="宋体" w:hint="default"/>
        </w:rPr>
        <w:t>c.</w:t>
      </w:r>
      <w:r>
        <w:rPr/>
        <w:t>债权人出于经济或法律等方面的考虑，对发生财务困难的债务人作出让步；</w:t>
      </w:r>
      <w:r>
        <w:rPr>
          <w:w w:val="100"/>
        </w:rPr>
        <w:t> </w:t>
      </w:r>
      <w:r>
        <w:rPr>
          <w:rFonts w:ascii="宋体" w:hAnsi="宋体" w:cs="宋体" w:eastAsia="宋体" w:hint="default"/>
        </w:rPr>
        <w:t>d.</w:t>
      </w:r>
      <w:r>
        <w:rPr/>
        <w:t>债务人可能倒闭或进行其他财务重组；</w:t>
      </w:r>
      <w:r>
        <w:rPr>
          <w:w w:val="100"/>
        </w:rPr>
        <w:t> </w:t>
      </w:r>
      <w:r>
        <w:rPr>
          <w:rFonts w:ascii="宋体" w:hAnsi="宋体" w:cs="宋体" w:eastAsia="宋体" w:hint="default"/>
        </w:rPr>
        <w:t>e.</w:t>
      </w:r>
      <w:r>
        <w:rPr/>
        <w:t>因发行方发生重大财务困难，该金融资产无法在活跃市场继续交易；</w:t>
      </w:r>
      <w:r>
        <w:rPr>
          <w:w w:val="100"/>
        </w:rPr>
        <w:t> </w:t>
      </w:r>
      <w:r>
        <w:rPr>
          <w:rFonts w:ascii="宋体" w:hAnsi="宋体" w:cs="宋体" w:eastAsia="宋体" w:hint="default"/>
          <w:spacing w:val="-1"/>
        </w:rPr>
        <w:t>f.</w:t>
      </w:r>
      <w:r>
        <w:rPr>
          <w:spacing w:val="-1"/>
        </w:rPr>
        <w:t>无法辨认一组金融资产中的某项资产的现金流量是否已经减少，但根据公开的数据对其进行总体评</w:t>
      </w:r>
      <w:r>
        <w:rPr>
          <w:spacing w:val="-20"/>
        </w:rPr>
        <w:t> </w:t>
      </w:r>
      <w:r>
        <w:rPr>
          <w:spacing w:val="-20"/>
        </w:rPr>
      </w:r>
      <w:r>
        <w:rPr/>
        <w:t>价后发现，该组金融资产自初始确认以来的预计未来现金流量确已减少且可计量；</w:t>
      </w:r>
      <w:r>
        <w:rPr>
          <w:w w:val="100"/>
        </w:rPr>
        <w:t> </w:t>
      </w:r>
      <w:r>
        <w:rPr>
          <w:rFonts w:ascii="宋体" w:hAnsi="宋体" w:cs="宋体" w:eastAsia="宋体" w:hint="default"/>
          <w:spacing w:val="-1"/>
        </w:rPr>
        <w:t>g.</w:t>
      </w:r>
      <w:r>
        <w:rPr>
          <w:spacing w:val="-1"/>
        </w:rPr>
        <w:t>债务人经营所处的技术、市场、经济或法律环境等发生重大不利变化，使权益工具投资人可能无法</w:t>
      </w:r>
      <w:r>
        <w:rPr>
          <w:spacing w:val="-20"/>
        </w:rPr>
        <w:t> </w:t>
      </w:r>
      <w:r>
        <w:rPr>
          <w:spacing w:val="-20"/>
        </w:rPr>
      </w:r>
      <w:r>
        <w:rPr/>
        <w:t>收回投资成本；</w:t>
      </w:r>
    </w:p>
    <w:p>
      <w:pPr>
        <w:pStyle w:val="BodyText"/>
        <w:spacing w:line="273" w:lineRule="auto" w:before="7"/>
        <w:ind w:left="513" w:right="3354"/>
        <w:jc w:val="left"/>
      </w:pPr>
      <w:r>
        <w:rPr>
          <w:rFonts w:ascii="宋体" w:hAnsi="宋体" w:cs="宋体" w:eastAsia="宋体" w:hint="default"/>
          <w:spacing w:val="-2"/>
        </w:rPr>
        <w:t>h.</w:t>
      </w:r>
      <w:r>
        <w:rPr>
          <w:spacing w:val="-2"/>
        </w:rPr>
        <w:t>权益工具投资的公允价值发生严重或非暂时性下跌；</w:t>
      </w:r>
      <w:r>
        <w:rPr>
          <w:spacing w:val="-57"/>
        </w:rPr>
        <w:t> </w:t>
      </w:r>
      <w:r>
        <w:rPr>
          <w:spacing w:val="-57"/>
        </w:rPr>
      </w:r>
      <w:r>
        <w:rPr>
          <w:rFonts w:ascii="宋体" w:hAnsi="宋体" w:cs="宋体" w:eastAsia="宋体" w:hint="default"/>
        </w:rPr>
        <w:t>i.</w:t>
      </w:r>
      <w:r>
        <w:rPr/>
        <w:t>其他表明金融资产发生减值的客观证据。</w:t>
      </w:r>
    </w:p>
    <w:p>
      <w:pPr>
        <w:pStyle w:val="BodyText"/>
        <w:spacing w:line="240" w:lineRule="auto" w:before="7"/>
        <w:ind w:left="573" w:right="101"/>
        <w:jc w:val="left"/>
      </w:pPr>
      <w:r>
        <w:rPr/>
        <w:t>②本公司在资产负债表日分别不同类别的金融资产采取不同的方法进行减值测试，并计提减值准备：</w:t>
      </w:r>
    </w:p>
    <w:p>
      <w:pPr>
        <w:pStyle w:val="BodyText"/>
        <w:spacing w:line="256" w:lineRule="auto" w:before="37"/>
        <w:ind w:right="101" w:firstLine="420"/>
        <w:jc w:val="left"/>
      </w:pPr>
      <w:r>
        <w:rPr>
          <w:rFonts w:ascii="Times New Roman" w:hAnsi="Times New Roman" w:cs="Times New Roman" w:eastAsia="Times New Roman" w:hint="default"/>
        </w:rPr>
        <w:t>a</w:t>
      </w:r>
      <w:r>
        <w:rPr/>
        <w:t>、持有至到期投资：在资产负债表日本公司对于持有至到期投资有客观证据表明其发生了减值的，</w:t>
      </w:r>
      <w:r>
        <w:rPr>
          <w:w w:val="100"/>
        </w:rPr>
        <w:t> </w:t>
      </w:r>
      <w:r>
        <w:rPr/>
        <w:t>应当根据其账面价值与预计未来现金流量现值之间差额计算确认减值损失。</w:t>
      </w:r>
    </w:p>
    <w:p>
      <w:pPr>
        <w:pStyle w:val="BodyText"/>
        <w:spacing w:line="268" w:lineRule="auto" w:before="22"/>
        <w:ind w:right="101" w:firstLine="420"/>
        <w:jc w:val="left"/>
      </w:pPr>
      <w:r>
        <w:rPr>
          <w:rFonts w:ascii="Times New Roman" w:hAnsi="Times New Roman" w:cs="Times New Roman" w:eastAsia="Times New Roman" w:hint="default"/>
        </w:rPr>
        <w:t>b</w:t>
      </w:r>
      <w:r>
        <w:rPr/>
        <w:t>、可供出售金融资产：在资产负债表日本公司对可供出售金融资产的减值情况进行分析，判断该项</w:t>
      </w:r>
      <w:r>
        <w:rPr>
          <w:w w:val="100"/>
        </w:rPr>
        <w:t> </w:t>
      </w:r>
      <w:r>
        <w:rPr>
          <w:spacing w:val="-2"/>
        </w:rPr>
        <w:t>金融资产公允价值是否持续下降。通常情况下，如果可供出售金融资产的公允价值发生较大幅度下降，在</w:t>
      </w:r>
      <w:r>
        <w:rPr>
          <w:spacing w:val="-43"/>
        </w:rPr>
        <w:t> </w:t>
      </w:r>
      <w:r>
        <w:rPr>
          <w:spacing w:val="-43"/>
        </w:rPr>
      </w:r>
      <w:r>
        <w:rPr>
          <w:spacing w:val="-5"/>
        </w:rPr>
        <w:t>综合考虑各种相关因素后，预期这种下降趋势属于非暂时性的，可以认定该可供出售金融资产已发生减值， </w:t>
      </w:r>
      <w:r>
        <w:rPr>
          <w:spacing w:val="-5"/>
        </w:rPr>
      </w:r>
      <w:r>
        <w:rPr>
          <w:spacing w:val="-2"/>
        </w:rPr>
        <w:t>确认减值损失。可供出售金融资产发生减值的，在确认减值损失时，将原直接计入所有者权益的公允价值</w:t>
      </w:r>
      <w:r>
        <w:rPr>
          <w:spacing w:val="-45"/>
        </w:rPr>
        <w:t> </w:t>
      </w:r>
      <w:r>
        <w:rPr>
          <w:spacing w:val="-45"/>
        </w:rPr>
      </w:r>
      <w:r>
        <w:rPr/>
        <w:t>下降形成的累计损失一并转出，计入资产减值损失。</w:t>
      </w:r>
    </w:p>
    <w:p>
      <w:pPr>
        <w:spacing w:line="240" w:lineRule="auto" w:before="11"/>
        <w:rPr>
          <w:rFonts w:ascii="宋体" w:hAnsi="宋体" w:cs="宋体" w:eastAsia="宋体" w:hint="default"/>
          <w:sz w:val="24"/>
          <w:szCs w:val="24"/>
        </w:rPr>
      </w:pPr>
    </w:p>
    <w:p>
      <w:pPr>
        <w:spacing w:line="590" w:lineRule="atLeast" w:before="0"/>
        <w:ind w:left="573" w:right="335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、应收款项坏账准备的确认标准和计提方法</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单项金额重大并单项计提坏账准备的应收款项</w:t>
      </w:r>
    </w:p>
    <w:p>
      <w:pPr>
        <w:pStyle w:val="BodyText"/>
        <w:spacing w:line="264" w:lineRule="auto" w:before="37"/>
        <w:ind w:right="206" w:firstLine="420"/>
        <w:jc w:val="both"/>
      </w:pPr>
      <w:r>
        <w:rPr/>
        <w:t>本公司于资产负债表日，将应收账款及其他应收款中余额大于</w:t>
      </w:r>
      <w:r>
        <w:rPr>
          <w:rFonts w:ascii="Times New Roman" w:hAnsi="Times New Roman" w:cs="Times New Roman" w:eastAsia="Times New Roman" w:hint="default"/>
        </w:rPr>
        <w:t>100</w:t>
      </w:r>
      <w:r>
        <w:rPr/>
        <w:t>万元的应收款项划分为单项金额重</w:t>
      </w:r>
      <w:r>
        <w:rPr>
          <w:w w:val="100"/>
        </w:rPr>
        <w:t> </w:t>
      </w:r>
      <w:r>
        <w:rPr>
          <w:spacing w:val="-2"/>
        </w:rPr>
        <w:t>大的应收款项，逐项进行减值测试，有客观证据表明其发生了减值的，根据其未来现金流量现值低于其账</w:t>
      </w:r>
      <w:r>
        <w:rPr>
          <w:spacing w:val="-44"/>
        </w:rPr>
        <w:t> </w:t>
      </w:r>
      <w:r>
        <w:rPr>
          <w:spacing w:val="-44"/>
        </w:rPr>
      </w:r>
      <w:r>
        <w:rPr/>
        <w:t>面价值的差额，确认减值损失，计提坏账准备。</w:t>
      </w:r>
    </w:p>
    <w:p>
      <w:pPr>
        <w:pStyle w:val="BodyText"/>
        <w:spacing w:line="273" w:lineRule="auto" w:before="16"/>
        <w:ind w:left="573" w:right="101"/>
        <w:jc w:val="left"/>
      </w:pPr>
      <w:r>
        <w:rPr/>
        <w:t>单项金额虽不重大但单项计提坏账准备的应收款项</w:t>
      </w:r>
      <w:r>
        <w:rPr>
          <w:w w:val="100"/>
        </w:rPr>
        <w:t> </w:t>
      </w:r>
      <w:r>
        <w:rPr>
          <w:spacing w:val="-2"/>
        </w:rPr>
        <w:t>对单项金额不重大但个别信用风险特征明显不同，已有客观证据表明其发生了减值的应收款项，按账</w:t>
      </w:r>
    </w:p>
    <w:p>
      <w:pPr>
        <w:pStyle w:val="BodyText"/>
        <w:spacing w:line="240" w:lineRule="auto" w:before="7"/>
        <w:ind w:right="101"/>
        <w:jc w:val="left"/>
      </w:pPr>
      <w:r>
        <w:rPr/>
        <w:t>龄分析法计提的坏账准备不能反映实际情况，本公司单独进行减值测试，根据其未来现金流量现值低于其</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left="573" w:right="3834" w:hanging="421"/>
        <w:jc w:val="left"/>
      </w:pPr>
      <w:r>
        <w:rPr>
          <w:spacing w:val="-2"/>
        </w:rPr>
        <w:t>账面价值的差额，确认减值损失，并据此计提相应的坏账准备。</w:t>
      </w:r>
      <w:r>
        <w:rPr>
          <w:spacing w:val="-52"/>
        </w:rPr>
        <w:t> </w:t>
      </w:r>
      <w:r>
        <w:rPr>
          <w:spacing w:val="-52"/>
        </w:rPr>
      </w:r>
      <w:r>
        <w:rPr/>
        <w:t>按组合计提坏账准备的应收款项：</w:t>
      </w:r>
    </w:p>
    <w:p>
      <w:pPr>
        <w:pStyle w:val="BodyText"/>
        <w:spacing w:line="273" w:lineRule="auto" w:before="7"/>
        <w:ind w:right="146" w:firstLine="420"/>
        <w:jc w:val="both"/>
      </w:pPr>
      <w:r>
        <w:rPr>
          <w:spacing w:val="-2"/>
        </w:rPr>
        <w:t>对经单独测试后未减值的应收款项（包括单项金额重大和不重大的应收款项）一起按类似信用风险特</w:t>
      </w:r>
      <w:r>
        <w:rPr>
          <w:w w:val="100"/>
        </w:rPr>
        <w:t> </w:t>
      </w:r>
      <w:r>
        <w:rPr>
          <w:spacing w:val="-2"/>
        </w:rPr>
        <w:t>征划分为若干组合，再按这些应收款项组合在资产负债表日余额的一定比例计算确定减值损失，计提坏账</w:t>
      </w:r>
      <w:r>
        <w:rPr>
          <w:spacing w:val="-42"/>
        </w:rPr>
        <w:t> </w:t>
      </w:r>
      <w:r>
        <w:rPr>
          <w:spacing w:val="-42"/>
        </w:rPr>
      </w:r>
      <w:r>
        <w:rPr/>
        <w:t>准备。该比例反映各项实际发生的减值损失，即各项组合的账面价值超过其未来现金流量现值的金额。</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8"/>
        <w:gridCol w:w="2187"/>
        <w:gridCol w:w="4784"/>
      </w:tblGrid>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本公司存货是指企业在日常活动中持有以备出售的产成品或商品、处在生产过程中的在产品、在生产过程或提供劳务过程中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耗用的材料和物料等。包括在途物资、原材料、低值易耗品、在产品、自制半成品、库存商品等。</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计价方法：加权平均法</w:t>
      </w:r>
    </w:p>
    <w:p>
      <w:pPr>
        <w:pStyle w:val="BodyText"/>
        <w:spacing w:line="273" w:lineRule="auto" w:before="96"/>
        <w:ind w:right="0" w:firstLine="420"/>
        <w:jc w:val="left"/>
      </w:pPr>
      <w:r>
        <w:rPr>
          <w:spacing w:val="-2"/>
        </w:rPr>
        <w:t>存货核算采用实际成本法。存货在取得时按实际成本计价；领用或发出存货，按照实际成本核算，采</w:t>
      </w:r>
      <w:r>
        <w:rPr>
          <w:w w:val="100"/>
        </w:rPr>
        <w:t> </w:t>
      </w:r>
      <w:r>
        <w:rPr/>
        <w:t>用移动加权平均法确定其实际成本。</w:t>
      </w:r>
    </w:p>
    <w:p>
      <w:pPr>
        <w:spacing w:after="0" w:line="273"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06" w:firstLine="420"/>
        <w:jc w:val="both"/>
      </w:pPr>
      <w:r>
        <w:rPr>
          <w:spacing w:val="-2"/>
        </w:rPr>
        <w:t>①存货可变现净值的确定：产成品、商品和用于出售的材料等直接用于出售的商品存货，以该存货的</w:t>
      </w:r>
      <w:r>
        <w:rPr>
          <w:w w:val="100"/>
        </w:rPr>
        <w:t> </w:t>
      </w:r>
      <w:r>
        <w:rPr>
          <w:spacing w:val="-2"/>
        </w:rPr>
        <w:t>估计售价减去估计的销售费用和相关税费后的金额，确定其可变现净值。需要经过加工的材料存货，以所</w:t>
      </w:r>
      <w:r>
        <w:rPr>
          <w:spacing w:val="-43"/>
        </w:rPr>
        <w:t> </w:t>
      </w:r>
      <w:r>
        <w:rPr>
          <w:spacing w:val="-43"/>
        </w:rPr>
      </w:r>
      <w:r>
        <w:rPr>
          <w:spacing w:val="-2"/>
        </w:rPr>
        <w:t>生产的产品的估计售价减去至完工时估计将要发生的成本、估计的销售费用和相关税费后的金额，确定其</w:t>
      </w:r>
      <w:r>
        <w:rPr>
          <w:spacing w:val="-44"/>
        </w:rPr>
        <w:t> </w:t>
      </w:r>
      <w:r>
        <w:rPr>
          <w:spacing w:val="-44"/>
        </w:rPr>
      </w:r>
      <w:r>
        <w:rPr>
          <w:spacing w:val="-2"/>
        </w:rPr>
        <w:t>可变现净值。为执行销售合同或者劳务合同而持有的存货，其可变现净值以合同价格为基础计算。若持有</w:t>
      </w:r>
      <w:r>
        <w:rPr>
          <w:spacing w:val="-43"/>
        </w:rPr>
        <w:t> </w:t>
      </w:r>
      <w:r>
        <w:rPr>
          <w:spacing w:val="-43"/>
        </w:rPr>
      </w:r>
      <w:r>
        <w:rPr/>
        <w:t>存货的数量多于销售合同订购数量的，超出部分的存货的可变现净值应当以一般销售价格为基础计算。</w:t>
      </w:r>
    </w:p>
    <w:p>
      <w:pPr>
        <w:pStyle w:val="BodyText"/>
        <w:spacing w:line="273" w:lineRule="auto" w:before="7"/>
        <w:ind w:left="573" w:right="101"/>
        <w:jc w:val="left"/>
      </w:pPr>
      <w:r>
        <w:rPr/>
        <w:t>②存货跌价准备的计提方法</w:t>
      </w:r>
      <w:r>
        <w:rPr>
          <w:w w:val="100"/>
        </w:rPr>
        <w:t> </w:t>
      </w:r>
      <w:r>
        <w:rPr>
          <w:spacing w:val="-2"/>
        </w:rPr>
        <w:t>资产负债表日，公司存货按照成本与可变现净值孰低计量。当其可变现净值低于成本时，提取存货跌</w:t>
      </w:r>
    </w:p>
    <w:p>
      <w:pPr>
        <w:pStyle w:val="BodyText"/>
        <w:spacing w:line="273" w:lineRule="auto" w:before="7"/>
        <w:ind w:right="206"/>
        <w:jc w:val="both"/>
      </w:pPr>
      <w:r>
        <w:rPr>
          <w:spacing w:val="-2"/>
        </w:rPr>
        <w:t>价准备。本公司按照单个存货项目计提存货跌价准备，对于数量繁多、单价较低的存货，按照存货类别计</w:t>
      </w:r>
      <w:r>
        <w:rPr>
          <w:spacing w:val="-47"/>
        </w:rPr>
        <w:t> </w:t>
      </w:r>
      <w:r>
        <w:rPr>
          <w:spacing w:val="-47"/>
        </w:rPr>
      </w:r>
      <w:r>
        <w:rPr>
          <w:spacing w:val="-2"/>
        </w:rPr>
        <w:t>提存货跌价准备；与在同一地区生产和销售的产品系列相关、具有相同或类似最终用途或目的，且难以与</w:t>
      </w:r>
      <w:r>
        <w:rPr>
          <w:spacing w:val="-44"/>
        </w:rPr>
        <w:t> </w:t>
      </w:r>
      <w:r>
        <w:rPr>
          <w:spacing w:val="-44"/>
        </w:rPr>
      </w:r>
      <w:r>
        <w:rPr/>
        <w:t>其他项目分开计量的存货，则合并计提存货跌价准备。</w:t>
      </w:r>
    </w:p>
    <w:p>
      <w:pPr>
        <w:pStyle w:val="BodyText"/>
        <w:spacing w:line="273" w:lineRule="auto" w:before="8"/>
        <w:ind w:right="101" w:firstLine="420"/>
        <w:jc w:val="left"/>
      </w:pPr>
      <w:r>
        <w:rPr>
          <w:spacing w:val="-2"/>
        </w:rPr>
        <w:t>计提存货减值准备以后，如果以前减记存货价值的影响因素已经消失的，减记的金额予以恢复，并在</w:t>
      </w:r>
      <w:r>
        <w:rPr>
          <w:w w:val="100"/>
        </w:rPr>
        <w:t> </w:t>
      </w:r>
      <w:r>
        <w:rPr/>
        <w:t>原已计提的存货跌价准备金额内转回，转回的金额计入当期损益。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盘存制度：永续盘存制</w:t>
      </w:r>
    </w:p>
    <w:p>
      <w:pPr>
        <w:pStyle w:val="BodyText"/>
        <w:spacing w:line="240" w:lineRule="auto" w:before="96"/>
        <w:ind w:left="573" w:right="101"/>
        <w:jc w:val="left"/>
      </w:pPr>
      <w:r>
        <w:rPr/>
        <w:t>本公司存货采用永续盘存制。</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8034"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w:t>
      </w:r>
    </w:p>
    <w:p>
      <w:pPr>
        <w:pStyle w:val="BodyText"/>
        <w:spacing w:line="240" w:lineRule="auto" w:before="6"/>
        <w:ind w:left="573" w:right="101"/>
        <w:jc w:val="left"/>
      </w:pPr>
      <w:r>
        <w:rPr/>
        <w:t>低值易耗品领用时采用一次摊销法。</w:t>
      </w:r>
    </w:p>
    <w:p>
      <w:pPr>
        <w:spacing w:line="357" w:lineRule="auto" w:before="98"/>
        <w:ind w:left="152" w:right="8934" w:firstLine="0"/>
        <w:jc w:val="left"/>
        <w:rPr>
          <w:rFonts w:ascii="宋体" w:hAnsi="宋体" w:cs="宋体" w:eastAsia="宋体" w:hint="default"/>
          <w:sz w:val="18"/>
          <w:szCs w:val="18"/>
        </w:rPr>
      </w:pPr>
      <w:r>
        <w:rPr>
          <w:rFonts w:ascii="宋体" w:hAnsi="宋体" w:cs="宋体" w:eastAsia="宋体" w:hint="default"/>
          <w:sz w:val="18"/>
          <w:szCs w:val="18"/>
        </w:rPr>
        <w:t>包装物 摊销方法：</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1" w:firstLine="420"/>
        <w:jc w:val="left"/>
      </w:pPr>
      <w:r>
        <w:rPr/>
        <w:t>①合并形成的长期股权投资，按照下列规定确定其投资成本：</w:t>
      </w:r>
      <w:r>
        <w:rPr>
          <w:rFonts w:ascii="宋体" w:hAnsi="宋体" w:cs="宋体" w:eastAsia="宋体" w:hint="default"/>
        </w:rPr>
        <w:t>a</w:t>
      </w:r>
      <w:r>
        <w:rPr/>
        <w:t>、同一控制下的企业合并取得的长期</w:t>
      </w:r>
      <w:r>
        <w:rPr>
          <w:w w:val="100"/>
        </w:rPr>
        <w:t> </w:t>
      </w:r>
      <w:r>
        <w:rPr>
          <w:spacing w:val="-2"/>
        </w:rPr>
        <w:t>股权投资，公司以支付现金、转让非现金资产或承担债务方式作为合并对价的，在合并日按照取得被合并</w:t>
      </w:r>
      <w:r>
        <w:rPr>
          <w:spacing w:val="-43"/>
        </w:rPr>
        <w:t> </w:t>
      </w:r>
      <w:r>
        <w:rPr>
          <w:spacing w:val="-43"/>
        </w:rPr>
      </w:r>
      <w:r>
        <w:rPr>
          <w:spacing w:val="-2"/>
        </w:rPr>
        <w:t>方所有者权益账面价值的份额作为长期股权投资的投资成本。长期股权投资投资成本与支付的现金、转让</w:t>
      </w:r>
      <w:r>
        <w:rPr>
          <w:spacing w:val="-42"/>
        </w:rPr>
        <w:t> </w:t>
      </w:r>
      <w:r>
        <w:rPr>
          <w:spacing w:val="-42"/>
        </w:rPr>
      </w:r>
      <w:r>
        <w:rPr>
          <w:spacing w:val="-5"/>
        </w:rPr>
        <w:t>的非现金资产以及所承担债务账面价值之间的差额，调整资本公积；资本公积不足冲减的，调整留存收益。 </w:t>
      </w:r>
      <w:r>
        <w:rPr>
          <w:spacing w:val="-5"/>
        </w:rPr>
      </w:r>
      <w:r>
        <w:rPr>
          <w:spacing w:val="-2"/>
        </w:rPr>
        <w:t>公司以发行权益性证券作为合并对价的，在合并日按照取得被合并方所有者权益账面价值的份额作为长期</w:t>
      </w:r>
      <w:r>
        <w:rPr>
          <w:spacing w:val="-43"/>
        </w:rPr>
        <w:t> </w:t>
      </w:r>
      <w:r>
        <w:rPr>
          <w:spacing w:val="-43"/>
        </w:rPr>
      </w:r>
      <w:r>
        <w:rPr>
          <w:spacing w:val="-2"/>
        </w:rPr>
        <w:t>股权投资的投资成本。按照发行股份的面值总额作为股本，长期股权投资投资成本与所发行股份面值总额</w:t>
      </w:r>
      <w:r>
        <w:rPr>
          <w:spacing w:val="-44"/>
        </w:rPr>
        <w:t> </w:t>
      </w:r>
      <w:r>
        <w:rPr>
          <w:spacing w:val="-44"/>
        </w:rPr>
      </w:r>
      <w:r>
        <w:rPr>
          <w:spacing w:val="-5"/>
        </w:rPr>
        <w:t>之间的差额，调整资本公积；资本公积不足冲减的，调整留存收益。为企业合并发生的各项直接相关费用，</w:t>
      </w:r>
      <w:r>
        <w:rPr>
          <w:spacing w:val="-8"/>
        </w:rPr>
        <w:t> </w:t>
      </w:r>
      <w:r>
        <w:rPr>
          <w:spacing w:val="-8"/>
        </w:rPr>
      </w:r>
      <w:r>
        <w:rPr/>
        <w:t>包括为进行企业合并而支付的审计费用、评估费用、法律服务费用等，于发生时计入当期损益。</w:t>
      </w:r>
      <w:r>
        <w:rPr>
          <w:rFonts w:ascii="宋体" w:hAnsi="宋体" w:cs="宋体" w:eastAsia="宋体" w:hint="default"/>
        </w:rPr>
        <w:t>b</w:t>
      </w:r>
      <w:r>
        <w:rPr/>
        <w:t>、非同</w:t>
      </w:r>
      <w:r>
        <w:rPr>
          <w:spacing w:val="-3"/>
          <w:w w:val="100"/>
        </w:rPr>
        <w:t> </w:t>
      </w:r>
      <w:r>
        <w:rPr/>
        <w:t>一控制下的企业合并取得的长期股权投资，合并成本为在购买日为取得对被购买方的控制权而付出的资</w:t>
      </w:r>
      <w:r>
        <w:rPr>
          <w:w w:val="100"/>
        </w:rPr>
        <w:t> </w:t>
      </w:r>
      <w:r>
        <w:rPr>
          <w:spacing w:val="-2"/>
        </w:rPr>
        <w:t>产、发生或承担的负债以及发行的权益性证券的公允价值。企业合并成本大于合并中取得的被购买方可辨</w:t>
      </w:r>
      <w:r>
        <w:rPr>
          <w:spacing w:val="-44"/>
        </w:rPr>
        <w:t> </w:t>
      </w:r>
      <w:r>
        <w:rPr>
          <w:spacing w:val="-44"/>
        </w:rPr>
      </w:r>
      <w:r>
        <w:rPr>
          <w:spacing w:val="-2"/>
        </w:rPr>
        <w:t>认净资产公允价值份额的差额，确认为合并资产负债表中的商誉。企业合并成本小于合并中取得的被购买</w:t>
      </w:r>
    </w:p>
    <w:p>
      <w:pPr>
        <w:spacing w:after="0" w:line="273"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r>
        <w:rPr>
          <w:spacing w:val="-4"/>
          <w:w w:val="100"/>
        </w:rPr>
        <w:t>方可辨认净资产公允价值份额的差额，计入当期损益（营业外收入）。为进行企业合并发生的各项直接相</w:t>
      </w:r>
      <w:r>
        <w:rPr>
          <w:spacing w:val="-91"/>
          <w:w w:val="100"/>
        </w:rPr>
        <w:t> </w:t>
      </w:r>
      <w:r>
        <w:rPr>
          <w:spacing w:val="-91"/>
          <w:w w:val="100"/>
        </w:rPr>
      </w:r>
      <w:r>
        <w:rPr>
          <w:spacing w:val="-5"/>
          <w:w w:val="100"/>
        </w:rPr>
        <w:t>关费用计入企业合并成本（债券及权益工具的发行费用除外）。②</w:t>
      </w:r>
      <w:r>
        <w:rPr>
          <w:spacing w:val="8"/>
          <w:w w:val="100"/>
        </w:rPr>
        <w:t> </w:t>
      </w:r>
      <w:r>
        <w:rPr>
          <w:spacing w:val="-2"/>
          <w:w w:val="100"/>
        </w:rPr>
        <w:t>除企业合并形成的长期股权投资以外，</w:t>
      </w:r>
      <w:r>
        <w:rPr>
          <w:spacing w:val="-104"/>
          <w:w w:val="100"/>
        </w:rPr>
        <w:t> </w:t>
      </w:r>
      <w:r>
        <w:rPr>
          <w:spacing w:val="-104"/>
          <w:w w:val="100"/>
        </w:rPr>
      </w:r>
      <w:r>
        <w:rPr/>
        <w:t>其他方式取得的长期股权投资，按照下列规定确定其投资成本：</w:t>
      </w:r>
      <w:r>
        <w:rPr>
          <w:rFonts w:ascii="宋体" w:hAnsi="宋体" w:cs="宋体" w:eastAsia="宋体" w:hint="default"/>
        </w:rPr>
        <w:t>a</w:t>
      </w:r>
      <w:r>
        <w:rPr/>
        <w:t>、以支付现金取得的长期股权投资，按</w:t>
      </w:r>
      <w:r>
        <w:rPr>
          <w:w w:val="100"/>
        </w:rPr>
        <w:t> </w:t>
      </w:r>
      <w:r>
        <w:rPr>
          <w:spacing w:val="-2"/>
        </w:rPr>
        <w:t>照实际支付的购买价款作为投资成本。投资成本包括与取得长期股权投资直接相关的费用、税金及其他必</w:t>
      </w:r>
      <w:r>
        <w:rPr>
          <w:spacing w:val="-43"/>
        </w:rPr>
        <w:t> </w:t>
      </w:r>
      <w:r>
        <w:rPr>
          <w:spacing w:val="-43"/>
        </w:rPr>
      </w:r>
      <w:r>
        <w:rPr/>
        <w:t>要支出，但实际支付的价款中包含的已宣告但尚未领取的现金股利，应作为应收项目单独核算。</w:t>
      </w:r>
      <w:r>
        <w:rPr>
          <w:rFonts w:ascii="宋体" w:hAnsi="宋体" w:cs="宋体" w:eastAsia="宋体" w:hint="default"/>
        </w:rPr>
        <w:t>b</w:t>
      </w:r>
      <w:r>
        <w:rPr/>
        <w:t>、以发</w:t>
      </w:r>
      <w:r>
        <w:rPr>
          <w:spacing w:val="-3"/>
          <w:w w:val="100"/>
        </w:rPr>
        <w:t> </w:t>
      </w:r>
      <w:r>
        <w:rPr/>
        <w:t>行权益性证券取得的长期股权投资，按照发行权益性证券的公允价值作为投资成本。</w:t>
      </w:r>
      <w:r>
        <w:rPr>
          <w:rFonts w:ascii="宋体" w:hAnsi="宋体" w:cs="宋体" w:eastAsia="宋体" w:hint="default"/>
        </w:rPr>
        <w:t>c</w:t>
      </w:r>
      <w:r>
        <w:rPr/>
        <w:t>、投资者投入的长</w:t>
      </w:r>
      <w:r>
        <w:rPr>
          <w:w w:val="100"/>
        </w:rPr>
        <w:t> </w:t>
      </w:r>
      <w:r>
        <w:rPr/>
        <w:t>期股权投资，按照投资合同或协议约定的价值作为投资成本，但合同或协议约定价值不公允的除外。</w:t>
      </w:r>
      <w:r>
        <w:rPr>
          <w:rFonts w:ascii="宋体" w:hAnsi="宋体" w:cs="宋体" w:eastAsia="宋体" w:hint="default"/>
        </w:rPr>
        <w:t>d</w:t>
      </w:r>
      <w:r>
        <w:rPr/>
        <w:t>、</w:t>
      </w:r>
      <w:r>
        <w:rPr>
          <w:w w:val="100"/>
        </w:rPr>
        <w:t> </w:t>
      </w:r>
      <w:r>
        <w:rPr>
          <w:spacing w:val="-2"/>
        </w:rPr>
        <w:t>通过非货币性资产交换取得的长期股权投资，如果该项交换具有商业实质且换入资产或换出资产的公允价</w:t>
      </w:r>
      <w:r>
        <w:rPr>
          <w:spacing w:val="-42"/>
        </w:rPr>
        <w:t> </w:t>
      </w:r>
      <w:r>
        <w:rPr>
          <w:spacing w:val="-42"/>
        </w:rPr>
      </w:r>
      <w:r>
        <w:rPr>
          <w:spacing w:val="-2"/>
        </w:rPr>
        <w:t>值能可靠计量，则以换出资产的公允价值和相关税费作为投资成本，换出资产的公允价值与账面价值之间</w:t>
      </w:r>
      <w:r>
        <w:rPr>
          <w:spacing w:val="-43"/>
        </w:rPr>
        <w:t> </w:t>
      </w:r>
      <w:r>
        <w:rPr>
          <w:spacing w:val="-43"/>
        </w:rPr>
      </w:r>
      <w:r>
        <w:rPr>
          <w:spacing w:val="-2"/>
        </w:rPr>
        <w:t>的差额计入当期损益；若非货币资产交换不同时具备上述两个条件，则按换出资产的账面价值和相关税费</w:t>
      </w:r>
      <w:r>
        <w:rPr>
          <w:spacing w:val="-44"/>
        </w:rPr>
        <w:t> </w:t>
      </w:r>
      <w:r>
        <w:rPr>
          <w:spacing w:val="-44"/>
        </w:rPr>
      </w:r>
      <w:r>
        <w:rPr/>
        <w:t>作为投资成本。</w:t>
      </w:r>
      <w:r>
        <w:rPr>
          <w:rFonts w:ascii="宋体" w:hAnsi="宋体" w:cs="宋体" w:eastAsia="宋体" w:hint="default"/>
        </w:rPr>
        <w:t>e</w:t>
      </w:r>
      <w:r>
        <w:rPr/>
        <w:t>、以债务重组方式取得的长期股权投资，按取得的股权的公允价值作为投资成本，投资</w:t>
      </w:r>
      <w:r>
        <w:rPr>
          <w:w w:val="100"/>
        </w:rPr>
        <w:t> </w:t>
      </w:r>
      <w:r>
        <w:rPr/>
        <w:t>成本与债权账面价值之间的差额计入当期损益。</w:t>
      </w:r>
    </w:p>
    <w:p>
      <w:pPr>
        <w:spacing w:line="614" w:lineRule="exact" w:before="62"/>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b/>
          <w:bCs/>
          <w:w w:val="100"/>
          <w:sz w:val="21"/>
          <w:szCs w:val="21"/>
        </w:rPr>
        <w:t> </w:t>
      </w:r>
      <w:r>
        <w:rPr>
          <w:rFonts w:ascii="宋体" w:hAnsi="宋体" w:cs="宋体" w:eastAsia="宋体" w:hint="default"/>
          <w:spacing w:val="-2"/>
          <w:sz w:val="21"/>
          <w:szCs w:val="21"/>
        </w:rPr>
        <w:t>对子公司的长期股权投资采用成本法核算，编制合并财务报表时按照权益法进行调整。对被投资单位</w:t>
      </w:r>
    </w:p>
    <w:p>
      <w:pPr>
        <w:pStyle w:val="BodyText"/>
        <w:spacing w:line="219" w:lineRule="exact"/>
        <w:ind w:right="0"/>
        <w:jc w:val="left"/>
      </w:pPr>
      <w:r>
        <w:rPr/>
        <w:t>不具有共同控制或重大影响且在活跃市场中没有报价、公允价值不能可靠计量的长期股权投资，采用的成</w:t>
      </w:r>
    </w:p>
    <w:p>
      <w:pPr>
        <w:pStyle w:val="BodyText"/>
        <w:tabs>
          <w:tab w:pos="3830" w:val="left" w:leader="none"/>
        </w:tabs>
        <w:spacing w:line="273" w:lineRule="auto" w:before="37"/>
        <w:ind w:right="144"/>
        <w:jc w:val="left"/>
      </w:pPr>
      <w:r>
        <w:rPr/>
        <w:t>本法核算。对被投资单位具有共同控制或重大影响的长期股权投资，采用权益法核算。</w:t>
      </w:r>
      <w:r>
        <w:rPr>
          <w:rFonts w:ascii="宋体" w:hAnsi="宋体" w:cs="宋体" w:eastAsia="宋体" w:hint="default"/>
        </w:rPr>
        <w:t>a</w:t>
      </w:r>
      <w:r>
        <w:rPr/>
        <w:t>、采用成本法核</w:t>
      </w:r>
      <w:r>
        <w:rPr>
          <w:w w:val="100"/>
        </w:rPr>
        <w:t> </w:t>
      </w:r>
      <w:r>
        <w:rPr>
          <w:spacing w:val="-2"/>
        </w:rPr>
        <w:t>算时，追加或收回投资调整长期股权投资的成本。取得被投资单位宣告发放的现金股利或利润，除取得投</w:t>
      </w:r>
      <w:r>
        <w:rPr>
          <w:spacing w:val="-43"/>
        </w:rPr>
        <w:t> </w:t>
      </w:r>
      <w:r>
        <w:rPr>
          <w:spacing w:val="-43"/>
        </w:rPr>
      </w:r>
      <w:r>
        <w:rPr>
          <w:spacing w:val="-2"/>
        </w:rPr>
        <w:t>资时实际支付的价款或对价中包含的已宣告但尚未发放的现金股利或利润外，按照享有被投资单位宣告发</w:t>
      </w:r>
      <w:r>
        <w:rPr>
          <w:spacing w:val="-43"/>
        </w:rPr>
        <w:t> </w:t>
      </w:r>
      <w:r>
        <w:rPr>
          <w:spacing w:val="-43"/>
        </w:rPr>
      </w:r>
      <w:r>
        <w:rPr/>
        <w:t>放的现金股利或利润确认当期投资收益。</w:t>
      </w:r>
      <w:r>
        <w:rPr>
          <w:rFonts w:ascii="宋体" w:hAnsi="宋体" w:cs="宋体" w:eastAsia="宋体" w:hint="default"/>
        </w:rPr>
        <w:t>b</w:t>
      </w:r>
      <w:r>
        <w:rPr/>
        <w:t>、采用权益法核算时，按照应享有或应分担的被投资单位实现</w:t>
      </w:r>
      <w:r>
        <w:rPr>
          <w:w w:val="100"/>
        </w:rPr>
        <w:t> </w:t>
      </w:r>
      <w:r>
        <w:rPr>
          <w:spacing w:val="-2"/>
        </w:rPr>
        <w:t>的净损益的份额，确认投资损益并调整长期股权投资的账面价值。当期投资损益为按应享有或应分担的被</w:t>
      </w:r>
      <w:r>
        <w:rPr>
          <w:spacing w:val="-42"/>
        </w:rPr>
        <w:t> </w:t>
      </w:r>
      <w:r>
        <w:rPr>
          <w:spacing w:val="-42"/>
        </w:rPr>
      </w:r>
      <w:r>
        <w:rPr>
          <w:spacing w:val="-2"/>
        </w:rPr>
        <w:t>投资单位当年实现的净利润或发生的净亏损的份额。在确认应享有或应分担被投资单位的净利润或净亏损</w:t>
      </w:r>
      <w:r>
        <w:rPr>
          <w:spacing w:val="-43"/>
        </w:rPr>
        <w:t> </w:t>
      </w:r>
      <w:r>
        <w:rPr>
          <w:spacing w:val="-43"/>
        </w:rPr>
      </w:r>
      <w:r>
        <w:rPr>
          <w:spacing w:val="-2"/>
        </w:rPr>
        <w:t>时，在被投资单位账面净利润的基础上，对被投资单位采用的与本公司不一致的会计政策、以本公司取得</w:t>
      </w:r>
      <w:r>
        <w:rPr>
          <w:spacing w:val="-44"/>
        </w:rPr>
        <w:t> </w:t>
      </w:r>
      <w:r>
        <w:rPr>
          <w:spacing w:val="-44"/>
        </w:rPr>
      </w:r>
      <w:r>
        <w:rPr>
          <w:spacing w:val="-2"/>
        </w:rPr>
        <w:t>投资时被投资单位固定资产及无形资产的公允价值为基础计提的折旧额或摊销额，以及以本公司取得投资</w:t>
      </w:r>
      <w:r>
        <w:rPr>
          <w:spacing w:val="-43"/>
        </w:rPr>
        <w:t> </w:t>
      </w:r>
      <w:r>
        <w:rPr>
          <w:spacing w:val="-43"/>
        </w:rPr>
      </w:r>
      <w:r>
        <w:rPr>
          <w:spacing w:val="-2"/>
        </w:rPr>
        <w:t>时有关资产的公允价值为基础计算确定的资产减值准备金额等对被投资单位净利润的影响进行调整，并且</w:t>
      </w:r>
      <w:r>
        <w:rPr>
          <w:spacing w:val="-43"/>
        </w:rPr>
        <w:t> </w:t>
      </w:r>
      <w:r>
        <w:rPr>
          <w:spacing w:val="-43"/>
        </w:rPr>
      </w:r>
      <w:r>
        <w:rPr>
          <w:spacing w:val="-2"/>
        </w:rPr>
        <w:t>将本公司与联营企业及合营企业之间发生的内部交易损益予以抵销，在此基础上确认投资损益。本公司与</w:t>
      </w:r>
      <w:r>
        <w:rPr>
          <w:spacing w:val="-43"/>
        </w:rPr>
        <w:t> </w:t>
      </w:r>
      <w:r>
        <w:rPr>
          <w:spacing w:val="-43"/>
        </w:rPr>
      </w:r>
      <w:r>
        <w:rPr/>
        <w:t>被投资单位发生的内部交易损失，按照《企业会计准则第</w:t>
      </w:r>
      <w:r>
        <w:rPr>
          <w:spacing w:val="-55"/>
        </w:rPr>
        <w:t> </w:t>
      </w:r>
      <w:r>
        <w:rPr>
          <w:rFonts w:ascii="宋体" w:hAnsi="宋体" w:cs="宋体" w:eastAsia="宋体" w:hint="default"/>
        </w:rPr>
        <w:t>8</w:t>
      </w:r>
      <w:r>
        <w:rPr>
          <w:rFonts w:ascii="宋体" w:hAnsi="宋体" w:cs="宋体" w:eastAsia="宋体" w:hint="default"/>
          <w:spacing w:val="-55"/>
        </w:rPr>
        <w:t> </w:t>
      </w:r>
      <w:r>
        <w:rPr/>
        <w:t>号</w:t>
      </w:r>
      <w:r>
        <w:rPr>
          <w:rFonts w:ascii="宋体" w:hAnsi="宋体" w:cs="宋体" w:eastAsia="宋体" w:hint="default"/>
        </w:rPr>
        <w:t>-</w:t>
      </w:r>
      <w:r>
        <w:rPr/>
        <w:t>资产减值》等规定属于资产减值损失的则</w:t>
      </w:r>
      <w:r>
        <w:rPr>
          <w:w w:val="100"/>
        </w:rPr>
        <w:t> </w:t>
      </w:r>
      <w:r>
        <w:rPr>
          <w:spacing w:val="-2"/>
        </w:rPr>
        <w:t>全额确认。在确认应分担的被投资单位发生的净亏损时，以长期股权投资及其他实质上构成对被投资单位</w:t>
      </w:r>
      <w:r>
        <w:rPr>
          <w:spacing w:val="-42"/>
        </w:rPr>
        <w:t> </w:t>
      </w:r>
      <w:r>
        <w:rPr>
          <w:spacing w:val="-42"/>
        </w:rPr>
      </w:r>
      <w:r>
        <w:rPr>
          <w:spacing w:val="-4"/>
          <w:w w:val="100"/>
        </w:rPr>
        <w:t>净投资的长期权益减记至零为限（投资企业负有承担额外损失义务的除外）；如果被投资单位以后各期实</w:t>
      </w:r>
      <w:r>
        <w:rPr>
          <w:spacing w:val="-90"/>
          <w:w w:val="100"/>
        </w:rPr>
        <w:t> </w:t>
      </w:r>
      <w:r>
        <w:rPr>
          <w:spacing w:val="-90"/>
          <w:w w:val="100"/>
        </w:rPr>
      </w:r>
      <w:r>
        <w:rPr>
          <w:spacing w:val="-2"/>
        </w:rPr>
        <w:t>现盈利的，在收益分享额超过未确认的亏损分担额以后，按超过未确认的亏损分担额的金额，依次恢复长</w:t>
      </w:r>
      <w:r>
        <w:rPr>
          <w:spacing w:val="-45"/>
        </w:rPr>
        <w:t> </w:t>
      </w:r>
      <w:r>
        <w:rPr>
          <w:spacing w:val="-45"/>
        </w:rPr>
      </w:r>
      <w:r>
        <w:rPr>
          <w:spacing w:val="-2"/>
        </w:rPr>
        <w:t>期权益、长期股权投资的账面价值。</w:t>
        <w:tab/>
        <w:t>对于首次执行日之前已经持有的对联营企业和合营企业的长期股</w:t>
      </w:r>
      <w:r>
        <w:rPr>
          <w:spacing w:val="-55"/>
        </w:rPr>
        <w:t> </w:t>
      </w:r>
      <w:r>
        <w:rPr>
          <w:spacing w:val="-55"/>
        </w:rPr>
      </w:r>
      <w:r>
        <w:rPr>
          <w:spacing w:val="-2"/>
        </w:rPr>
        <w:t>权投资，如存在与该投资相关的股权投资借方差额，按原剩余期限直线法摊销，摊销金额计入当期损益。</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r>
        <w:rPr/>
        <w:t>（</w:t>
      </w:r>
      <w:r>
        <w:rPr>
          <w:rFonts w:ascii="宋体" w:hAnsi="宋体" w:cs="宋体" w:eastAsia="宋体" w:hint="default"/>
        </w:rPr>
        <w:t>3</w:t>
      </w:r>
      <w:r>
        <w:rPr/>
        <w:t>）确定对被投资单位具有共同控制、重大影响的依据</w:t>
      </w:r>
      <w:r>
        <w:rPr>
          <w:b w:val="0"/>
          <w:bCs w:val="0"/>
        </w:rPr>
      </w:r>
    </w:p>
    <w:p>
      <w:pPr>
        <w:spacing w:line="240" w:lineRule="auto" w:before="13"/>
        <w:rPr>
          <w:rFonts w:ascii="宋体" w:hAnsi="宋体" w:cs="宋体" w:eastAsia="宋体" w:hint="default"/>
          <w:b/>
          <w:bCs/>
          <w:sz w:val="25"/>
          <w:szCs w:val="25"/>
        </w:rPr>
      </w:pPr>
    </w:p>
    <w:p>
      <w:pPr>
        <w:pStyle w:val="BodyText"/>
        <w:tabs>
          <w:tab w:pos="9061" w:val="left" w:leader="none"/>
        </w:tabs>
        <w:spacing w:line="273" w:lineRule="auto"/>
        <w:ind w:right="146" w:firstLine="420"/>
        <w:jc w:val="left"/>
      </w:pPr>
      <w:r>
        <w:rPr/>
        <w:t>①</w:t>
      </w:r>
      <w:r>
        <w:rPr>
          <w:spacing w:val="-5"/>
        </w:rPr>
        <w:t> </w:t>
      </w:r>
      <w:r>
        <w:rPr/>
        <w:t>存在以下一种或几种情况时，确定对被投资单位具有共同控制：</w:t>
      </w:r>
      <w:r>
        <w:rPr>
          <w:rFonts w:ascii="宋体" w:hAnsi="宋体" w:cs="宋体" w:eastAsia="宋体" w:hint="default"/>
        </w:rPr>
        <w:t>A.</w:t>
      </w:r>
      <w:r>
        <w:rPr/>
        <w:t>任何一个合营方均不能单独控</w:t>
      </w:r>
      <w:r>
        <w:rPr>
          <w:w w:val="100"/>
        </w:rPr>
        <w:t> </w:t>
      </w:r>
      <w:r>
        <w:rPr>
          <w:spacing w:val="-2"/>
        </w:rPr>
        <w:t>制合营企业的生产经营活动。</w:t>
      </w:r>
      <w:r>
        <w:rPr>
          <w:rFonts w:ascii="宋体" w:hAnsi="宋体" w:cs="宋体" w:eastAsia="宋体" w:hint="default"/>
          <w:spacing w:val="-2"/>
        </w:rPr>
        <w:t>B.</w:t>
      </w:r>
      <w:r>
        <w:rPr>
          <w:spacing w:val="-2"/>
        </w:rPr>
        <w:t>涉及合营企业基本经营活动的决策需要各合营方一致同意。</w:t>
      </w:r>
      <w:r>
        <w:rPr>
          <w:rFonts w:ascii="宋体" w:hAnsi="宋体" w:cs="宋体" w:eastAsia="宋体" w:hint="default"/>
          <w:spacing w:val="-2"/>
        </w:rPr>
        <w:t>C.</w:t>
      </w:r>
      <w:r>
        <w:rPr>
          <w:spacing w:val="-2"/>
        </w:rPr>
        <w:t>各合营方可</w:t>
      </w:r>
      <w:r>
        <w:rPr>
          <w:spacing w:val="-38"/>
        </w:rPr>
        <w:t> </w:t>
      </w:r>
      <w:r>
        <w:rPr>
          <w:spacing w:val="-38"/>
        </w:rPr>
      </w:r>
      <w:r>
        <w:rPr/>
        <w:t>能通过合同或协议的形式任命其中的一个合营方对合营企业的日常活动进行管理</w:t>
      </w:r>
      <w:r>
        <w:rPr>
          <w:rFonts w:ascii="宋体" w:hAnsi="宋体" w:cs="宋体" w:eastAsia="宋体" w:hint="default"/>
        </w:rPr>
        <w:t>,</w:t>
      </w:r>
      <w:r>
        <w:rPr/>
        <w:t>但其必须在各合营方已</w:t>
      </w:r>
      <w:r>
        <w:rPr>
          <w:w w:val="100"/>
        </w:rPr>
        <w:t> </w:t>
      </w:r>
      <w:r>
        <w:rPr>
          <w:spacing w:val="-2"/>
        </w:rPr>
        <w:t>经一致同意的财务和经营政策范围内行使管理权。当被投资单位处于法定重组或破产中，或者在向投资方</w:t>
      </w:r>
      <w:r>
        <w:rPr>
          <w:spacing w:val="-43"/>
        </w:rPr>
        <w:t> </w:t>
      </w:r>
      <w:r>
        <w:rPr>
          <w:spacing w:val="-43"/>
        </w:rPr>
      </w:r>
      <w:r>
        <w:rPr>
          <w:spacing w:val="-2"/>
        </w:rPr>
        <w:t>转移资金的能力受到严格的长期限制情况下经营时，通常投资方对被投资单位可能无法实施共同控制。但</w:t>
      </w:r>
      <w:r>
        <w:rPr>
          <w:spacing w:val="-44"/>
        </w:rPr>
        <w:t> </w:t>
      </w:r>
      <w:r>
        <w:rPr>
          <w:spacing w:val="-44"/>
        </w:rPr>
      </w:r>
      <w:r>
        <w:rPr>
          <w:spacing w:val="-2"/>
        </w:rPr>
        <w:t>如果能够证明存在共同控制，合营各方仍应当按照长期股权投资准则的规定采用权益法核算。</w:t>
        <w:tab/>
      </w:r>
      <w:r>
        <w:rPr/>
        <w:t>②</w:t>
      </w:r>
      <w:r>
        <w:rPr>
          <w:spacing w:val="1"/>
        </w:rPr>
        <w:t> </w:t>
      </w:r>
      <w:r>
        <w:rPr/>
        <w:t>存在</w:t>
      </w:r>
      <w:r>
        <w:rPr>
          <w:w w:val="100"/>
        </w:rPr>
        <w:t> </w:t>
      </w:r>
      <w:r>
        <w:rPr>
          <w:spacing w:val="-2"/>
        </w:rPr>
        <w:t>以下一种或几种情况时，确定对被投资单位具有重大影响：</w:t>
      </w:r>
      <w:r>
        <w:rPr>
          <w:rFonts w:ascii="宋体" w:hAnsi="宋体" w:cs="宋体" w:eastAsia="宋体" w:hint="default"/>
          <w:spacing w:val="-2"/>
        </w:rPr>
        <w:t>A.</w:t>
      </w:r>
      <w:r>
        <w:rPr>
          <w:spacing w:val="-2"/>
        </w:rPr>
        <w:t>在被投资单位的董事会或类似权力机构中派</w:t>
      </w:r>
      <w:r>
        <w:rPr>
          <w:spacing w:val="-40"/>
        </w:rPr>
        <w:t> </w:t>
      </w:r>
      <w:r>
        <w:rPr>
          <w:spacing w:val="-40"/>
        </w:rPr>
      </w:r>
      <w:r>
        <w:rPr/>
        <w:t>有代表。</w:t>
      </w:r>
      <w:r>
        <w:rPr>
          <w:rFonts w:ascii="宋体" w:hAnsi="宋体" w:cs="宋体" w:eastAsia="宋体" w:hint="default"/>
        </w:rPr>
        <w:t>B.</w:t>
      </w:r>
      <w:r>
        <w:rPr/>
        <w:t>参与被投资单位的政策制定过程</w:t>
      </w:r>
      <w:r>
        <w:rPr>
          <w:rFonts w:ascii="宋体" w:hAnsi="宋体" w:cs="宋体" w:eastAsia="宋体" w:hint="default"/>
        </w:rPr>
        <w:t>,</w:t>
      </w:r>
      <w:r>
        <w:rPr/>
        <w:t>包括股利分配政策等的制定。</w:t>
      </w:r>
      <w:r>
        <w:rPr>
          <w:rFonts w:ascii="宋体" w:hAnsi="宋体" w:cs="宋体" w:eastAsia="宋体" w:hint="default"/>
        </w:rPr>
        <w:t>C.</w:t>
      </w:r>
      <w:r>
        <w:rPr/>
        <w:t>与被投资单位之间发生重要</w:t>
      </w:r>
    </w:p>
    <w:p>
      <w:pPr>
        <w:spacing w:after="0" w:line="273"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交易。</w:t>
      </w:r>
      <w:r>
        <w:rPr>
          <w:rFonts w:ascii="宋体" w:hAnsi="宋体" w:cs="宋体" w:eastAsia="宋体" w:hint="default"/>
        </w:rPr>
        <w:t>D.</w:t>
      </w:r>
      <w:r>
        <w:rPr/>
        <w:t>向被投资单位派出管理人员。</w:t>
      </w:r>
      <w:r>
        <w:rPr>
          <w:rFonts w:ascii="宋体" w:hAnsi="宋体" w:cs="宋体" w:eastAsia="宋体" w:hint="default"/>
        </w:rPr>
        <w:t>E.</w:t>
      </w:r>
      <w:r>
        <w:rPr/>
        <w:t>向被投资单位提供关键技术资料。</w:t>
      </w:r>
    </w:p>
    <w:p>
      <w:pPr>
        <w:spacing w:line="600" w:lineRule="atLeast" w:before="28"/>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本公司在资产负债表日对长期股权投资进行逐项检查，根据被投资单位经营政策、法律环境、市场需</w:t>
      </w:r>
    </w:p>
    <w:p>
      <w:pPr>
        <w:pStyle w:val="BodyText"/>
        <w:spacing w:line="273" w:lineRule="auto" w:before="37"/>
        <w:ind w:right="146"/>
        <w:jc w:val="both"/>
      </w:pPr>
      <w:r>
        <w:rPr>
          <w:spacing w:val="-2"/>
        </w:rPr>
        <w:t>求、行业及盈利能力等的各种变化判断长期股权投资是否存在减值迹象。当长期股权投资可收回金额低于</w:t>
      </w:r>
      <w:r>
        <w:rPr>
          <w:spacing w:val="-44"/>
        </w:rPr>
        <w:t> </w:t>
      </w:r>
      <w:r>
        <w:rPr>
          <w:spacing w:val="-44"/>
        </w:rPr>
      </w:r>
      <w:r>
        <w:rPr>
          <w:spacing w:val="-2"/>
        </w:rPr>
        <w:t>账面价值时，将可收回金额低于长期股权投资账面价值的差额作为长期股权投资减值准备予以计提。资产</w:t>
      </w:r>
      <w:r>
        <w:rPr>
          <w:spacing w:val="-43"/>
        </w:rPr>
        <w:t> </w:t>
      </w:r>
      <w:r>
        <w:rPr>
          <w:spacing w:val="-43"/>
        </w:rPr>
      </w:r>
      <w:r>
        <w:rPr/>
        <w:t>减值损失一经确认，在以后会计期间不再转回。</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0"/>
        <w:jc w:val="both"/>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14</w:t>
      </w:r>
      <w:r>
        <w:rPr/>
        <w:t>、固定资产</w:t>
      </w:r>
      <w:r>
        <w:rPr>
          <w:b w:val="0"/>
          <w:bCs w:val="0"/>
        </w:rPr>
      </w:r>
    </w:p>
    <w:p>
      <w:pPr>
        <w:spacing w:line="590" w:lineRule="atLeast" w:before="24"/>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固定资产标准为使用期限在一年以上的房屋建筑物、机器、机械、运输工具以及其他与生产经营有关</w:t>
      </w:r>
    </w:p>
    <w:p>
      <w:pPr>
        <w:pStyle w:val="BodyText"/>
        <w:spacing w:line="266" w:lineRule="auto" w:before="37"/>
        <w:ind w:right="150"/>
        <w:jc w:val="both"/>
      </w:pPr>
      <w:r>
        <w:rPr/>
        <w:t>的设备、器具、工具；不属于生产经营主要设备的物品，单位价值在</w:t>
      </w:r>
      <w:r>
        <w:rPr>
          <w:spacing w:val="-5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元以上，且使用期限超过两年</w:t>
      </w:r>
      <w:r>
        <w:rPr>
          <w:w w:val="100"/>
        </w:rPr>
        <w:t> </w:t>
      </w:r>
      <w:r>
        <w:rPr>
          <w:spacing w:val="-2"/>
        </w:rPr>
        <w:t>的，也作为固定资产。公司固定资产按照实际成本计价。投资者投入固定资产的成本，按照投资合同或协</w:t>
      </w:r>
      <w:r>
        <w:rPr>
          <w:spacing w:val="-47"/>
        </w:rPr>
        <w:t> </w:t>
      </w:r>
      <w:r>
        <w:rPr>
          <w:spacing w:val="-47"/>
        </w:rPr>
      </w:r>
      <w:r>
        <w:rPr>
          <w:spacing w:val="-2"/>
        </w:rPr>
        <w:t>议约定的价值确定，但合同或协议约定价值不公允的除外。非货币性资产交换、债务重组、企业合并和融</w:t>
      </w:r>
      <w:r>
        <w:rPr>
          <w:spacing w:val="-47"/>
        </w:rPr>
        <w:t> </w:t>
      </w:r>
      <w:r>
        <w:rPr>
          <w:spacing w:val="-47"/>
        </w:rPr>
      </w:r>
      <w:r>
        <w:rPr>
          <w:spacing w:val="-2"/>
          <w:w w:val="100"/>
        </w:rPr>
        <w:t>资租赁取得的固定资产的成本，分别按照《企业会计准则第</w:t>
      </w:r>
      <w:r>
        <w:rPr>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19"/>
          <w:w w:val="100"/>
        </w:rPr>
        <w:t> </w:t>
      </w:r>
      <w:r>
        <w:rPr>
          <w:spacing w:val="-12"/>
          <w:w w:val="100"/>
        </w:rPr>
        <w:t>号</w:t>
      </w:r>
      <w:r>
        <w:rPr>
          <w:rFonts w:ascii="Times New Roman" w:hAnsi="Times New Roman" w:cs="Times New Roman" w:eastAsia="Times New Roman" w:hint="default"/>
          <w:spacing w:val="-12"/>
          <w:w w:val="100"/>
        </w:rPr>
        <w:t>-</w:t>
      </w:r>
      <w:r>
        <w:rPr>
          <w:spacing w:val="-12"/>
          <w:w w:val="100"/>
        </w:rPr>
        <w:t>非货币性资产交换》、《企业会计准则第</w:t>
      </w:r>
    </w:p>
    <w:p>
      <w:pPr>
        <w:pStyle w:val="BodyText"/>
        <w:spacing w:line="286" w:lineRule="exact"/>
        <w:ind w:right="0"/>
        <w:jc w:val="both"/>
      </w:pPr>
      <w:r>
        <w:rPr>
          <w:rFonts w:ascii="Times New Roman" w:hAnsi="Times New Roman" w:cs="Times New Roman" w:eastAsia="Times New Roman" w:hint="default"/>
          <w:w w:val="100"/>
        </w:rPr>
        <w:t>12</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100"/>
        </w:rPr>
        <w:t>号</w:t>
      </w:r>
      <w:r>
        <w:rPr>
          <w:rFonts w:ascii="Times New Roman" w:hAnsi="Times New Roman" w:cs="Times New Roman" w:eastAsia="Times New Roman" w:hint="default"/>
          <w:spacing w:val="-4"/>
          <w:w w:val="100"/>
        </w:rPr>
        <w:t>-</w:t>
      </w:r>
      <w:r>
        <w:rPr>
          <w:w w:val="100"/>
        </w:rPr>
        <w:t>债</w:t>
      </w:r>
      <w:r>
        <w:rPr>
          <w:spacing w:val="-3"/>
          <w:w w:val="100"/>
        </w:rPr>
        <w:t>务</w:t>
      </w:r>
      <w:r>
        <w:rPr>
          <w:w w:val="100"/>
        </w:rPr>
        <w:t>重组</w:t>
      </w:r>
      <w:r>
        <w:rPr>
          <w:spacing w:val="-108"/>
          <w:w w:val="100"/>
        </w:rPr>
        <w:t>》</w:t>
      </w:r>
      <w:r>
        <w:rPr>
          <w:spacing w:val="-106"/>
          <w:w w:val="100"/>
        </w:rPr>
        <w:t>、</w:t>
      </w:r>
      <w:r>
        <w:rPr>
          <w:spacing w:val="-3"/>
          <w:w w:val="100"/>
        </w:rPr>
        <w:t>《</w:t>
      </w:r>
      <w:r>
        <w:rPr>
          <w:w w:val="100"/>
        </w:rPr>
        <w:t>企</w:t>
      </w:r>
      <w:r>
        <w:rPr>
          <w:spacing w:val="-3"/>
          <w:w w:val="100"/>
        </w:rPr>
        <w:t>业</w:t>
      </w:r>
      <w:r>
        <w:rPr>
          <w:w w:val="100"/>
        </w:rPr>
        <w:t>会计</w:t>
      </w:r>
      <w:r>
        <w:rPr>
          <w:spacing w:val="-3"/>
          <w:w w:val="100"/>
        </w:rPr>
        <w:t>准则</w:t>
      </w:r>
      <w:r>
        <w:rPr>
          <w:w w:val="100"/>
        </w:rPr>
        <w:t>第</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号</w:t>
      </w:r>
      <w:r>
        <w:rPr>
          <w:rFonts w:ascii="Times New Roman" w:hAnsi="Times New Roman" w:cs="Times New Roman" w:eastAsia="Times New Roman" w:hint="default"/>
          <w:spacing w:val="-4"/>
          <w:w w:val="100"/>
        </w:rPr>
        <w:t>-</w:t>
      </w:r>
      <w:r>
        <w:rPr>
          <w:w w:val="100"/>
        </w:rPr>
        <w:t>企业</w:t>
      </w:r>
      <w:r>
        <w:rPr>
          <w:spacing w:val="-3"/>
          <w:w w:val="100"/>
        </w:rPr>
        <w:t>合</w:t>
      </w:r>
      <w:r>
        <w:rPr>
          <w:w w:val="100"/>
        </w:rPr>
        <w:t>并》</w:t>
      </w:r>
      <w:r>
        <w:rPr>
          <w:spacing w:val="-3"/>
          <w:w w:val="100"/>
        </w:rPr>
        <w:t>和</w:t>
      </w:r>
      <w:r>
        <w:rPr>
          <w:w w:val="100"/>
        </w:rPr>
        <w:t>《</w:t>
      </w:r>
      <w:r>
        <w:rPr>
          <w:spacing w:val="-3"/>
          <w:w w:val="100"/>
        </w:rPr>
        <w:t>企</w:t>
      </w:r>
      <w:r>
        <w:rPr>
          <w:w w:val="100"/>
        </w:rPr>
        <w:t>业</w:t>
      </w:r>
      <w:r>
        <w:rPr>
          <w:spacing w:val="-3"/>
          <w:w w:val="100"/>
        </w:rPr>
        <w:t>会</w:t>
      </w:r>
      <w:r>
        <w:rPr>
          <w:w w:val="100"/>
        </w:rPr>
        <w:t>计</w:t>
      </w:r>
      <w:r>
        <w:rPr>
          <w:spacing w:val="-3"/>
          <w:w w:val="100"/>
        </w:rPr>
        <w:t>准则</w:t>
      </w:r>
      <w:r>
        <w:rPr>
          <w:w w:val="100"/>
        </w:rPr>
        <w:t>第</w:t>
      </w:r>
      <w:r>
        <w:rPr>
          <w:spacing w:val="-55"/>
        </w:rPr>
        <w:t> </w:t>
      </w:r>
      <w:r>
        <w:rPr>
          <w:rFonts w:ascii="Times New Roman" w:hAnsi="Times New Roman" w:cs="Times New Roman" w:eastAsia="Times New Roman" w:hint="default"/>
          <w:w w:val="100"/>
        </w:rPr>
        <w:t>21</w:t>
      </w:r>
      <w:r>
        <w:rPr>
          <w:rFonts w:ascii="Times New Roman" w:hAnsi="Times New Roman" w:cs="Times New Roman" w:eastAsia="Times New Roman" w:hint="default"/>
        </w:rPr>
        <w:t>  </w:t>
      </w:r>
      <w:r>
        <w:rPr>
          <w:w w:val="100"/>
        </w:rPr>
        <w:t>号</w:t>
      </w:r>
      <w:r>
        <w:rPr>
          <w:rFonts w:ascii="Times New Roman" w:hAnsi="Times New Roman" w:cs="Times New Roman" w:eastAsia="Times New Roman" w:hint="default"/>
          <w:spacing w:val="-4"/>
          <w:w w:val="100"/>
        </w:rPr>
        <w:t>-</w:t>
      </w:r>
      <w:r>
        <w:rPr>
          <w:w w:val="100"/>
        </w:rPr>
        <w:t>租</w:t>
      </w:r>
      <w:r>
        <w:rPr>
          <w:spacing w:val="-3"/>
          <w:w w:val="100"/>
        </w:rPr>
        <w:t>赁</w:t>
      </w:r>
      <w:r>
        <w:rPr>
          <w:w w:val="100"/>
        </w:rPr>
        <w:t>》</w:t>
      </w:r>
      <w:r>
        <w:rPr>
          <w:spacing w:val="-3"/>
          <w:w w:val="100"/>
        </w:rPr>
        <w:t>确</w:t>
      </w:r>
      <w:r>
        <w:rPr>
          <w:w w:val="100"/>
        </w:rPr>
        <w:t>定。</w:t>
      </w:r>
    </w:p>
    <w:p>
      <w:pPr>
        <w:spacing w:line="240" w:lineRule="auto" w:before="7"/>
        <w:rPr>
          <w:rFonts w:ascii="宋体" w:hAnsi="宋体" w:cs="宋体" w:eastAsia="宋体" w:hint="default"/>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10"/>
        <w:rPr>
          <w:rFonts w:ascii="宋体" w:hAnsi="宋体" w:cs="宋体" w:eastAsia="宋体" w:hint="default"/>
          <w:b/>
          <w:bCs/>
          <w:sz w:val="24"/>
          <w:szCs w:val="24"/>
        </w:rPr>
      </w:pPr>
    </w:p>
    <w:p>
      <w:pPr>
        <w:spacing w:line="506" w:lineRule="auto" w:before="0"/>
        <w:ind w:left="573" w:right="383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本公司固定资产折旧采用年限平均法</w:t>
      </w:r>
      <w:r>
        <w:rPr>
          <w:rFonts w:ascii="宋体" w:hAnsi="宋体" w:cs="宋体" w:eastAsia="宋体" w:hint="default"/>
          <w:color w:val="0000FF"/>
          <w:spacing w:val="-2"/>
          <w:sz w:val="21"/>
          <w:szCs w:val="21"/>
        </w:rPr>
        <w:t>。</w:t>
      </w:r>
      <w:r>
        <w:rPr>
          <w:rFonts w:ascii="宋体" w:hAnsi="宋体" w:cs="宋体" w:eastAsia="宋体" w:hint="default"/>
          <w:spacing w:val="-2"/>
          <w:sz w:val="21"/>
          <w:szCs w:val="21"/>
        </w:rPr>
      </w:r>
    </w:p>
    <w:p>
      <w:pPr>
        <w:spacing w:line="240" w:lineRule="auto" w:before="1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46" w:firstLine="420"/>
        <w:jc w:val="both"/>
      </w:pPr>
      <w:r>
        <w:rPr>
          <w:spacing w:val="-2"/>
        </w:rPr>
        <w:t>本公司在资产负债表日对各项固定资产进行判断，当存在减值迹象，估计可收回金额低于其账面价值</w:t>
      </w:r>
      <w:r>
        <w:rPr>
          <w:w w:val="100"/>
        </w:rPr>
        <w:t> </w:t>
      </w:r>
      <w:r>
        <w:rPr>
          <w:spacing w:val="-2"/>
        </w:rPr>
        <w:t>时，账面价值减记至可收回金额，减记的金额确认为资产减值损失，计入当期损益，同时计提相应的资产</w:t>
      </w:r>
      <w:r>
        <w:rPr>
          <w:spacing w:val="-50"/>
        </w:rPr>
        <w:t> </w:t>
      </w:r>
      <w:r>
        <w:rPr>
          <w:spacing w:val="-50"/>
        </w:rPr>
      </w:r>
      <w:r>
        <w:rPr>
          <w:spacing w:val="-2"/>
        </w:rPr>
        <w:t>减值准备。资产减值损失一经确认，在以后会计期间不再转回。当存在下列迹象的，表明固定资产资产可</w:t>
      </w:r>
      <w:r>
        <w:rPr>
          <w:spacing w:val="-50"/>
        </w:rPr>
        <w:t> </w:t>
      </w:r>
      <w:r>
        <w:rPr>
          <w:spacing w:val="-50"/>
        </w:rPr>
      </w:r>
      <w:r>
        <w:rPr/>
        <w:t>能发生了减值：</w:t>
      </w:r>
    </w:p>
    <w:p>
      <w:pPr>
        <w:pStyle w:val="BodyText"/>
        <w:spacing w:line="240" w:lineRule="auto" w:before="7"/>
        <w:ind w:left="513" w:right="0"/>
        <w:jc w:val="left"/>
      </w:pPr>
      <w:r>
        <w:rPr>
          <w:rFonts w:ascii="宋体" w:hAnsi="宋体" w:cs="宋体" w:eastAsia="宋体" w:hint="default"/>
        </w:rPr>
        <w:t>1.</w:t>
      </w:r>
      <w:r>
        <w:rPr/>
        <w:t>资产的市价当期大幅度下跌，其跌幅明显高于因时间的推移或者正常使用而预计的下跌；</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0" w:firstLine="420"/>
        <w:jc w:val="left"/>
      </w:pPr>
      <w:r>
        <w:rPr>
          <w:rFonts w:ascii="宋体" w:hAnsi="宋体" w:cs="宋体" w:eastAsia="宋体" w:hint="default"/>
          <w:spacing w:val="-2"/>
        </w:rPr>
        <w:t>2.</w:t>
      </w:r>
      <w:r>
        <w:rPr>
          <w:spacing w:val="-2"/>
        </w:rPr>
        <w:t>企业经营所处的经济、技术或法律等环境以及资产所处的市场在当期或将在近期发生重大变化，从</w:t>
      </w:r>
      <w:r>
        <w:rPr>
          <w:w w:val="100"/>
        </w:rPr>
        <w:t> </w:t>
      </w:r>
      <w:r>
        <w:rPr/>
        <w:t>而对企业产生不利影响；</w:t>
      </w:r>
    </w:p>
    <w:p>
      <w:pPr>
        <w:pStyle w:val="BodyText"/>
        <w:spacing w:line="273" w:lineRule="auto" w:before="7"/>
        <w:ind w:right="0" w:firstLine="420"/>
        <w:jc w:val="left"/>
      </w:pPr>
      <w:r>
        <w:rPr>
          <w:rFonts w:ascii="宋体" w:hAnsi="宋体" w:cs="宋体" w:eastAsia="宋体" w:hint="default"/>
          <w:spacing w:val="-2"/>
        </w:rPr>
        <w:t>3.</w:t>
      </w:r>
      <w:r>
        <w:rPr>
          <w:spacing w:val="-2"/>
        </w:rPr>
        <w:t>市场利率或者其他市场投资回报率在当期已经提高，从而影响企业用来计算资产预计未来现金流量</w:t>
      </w:r>
      <w:r>
        <w:rPr>
          <w:w w:val="100"/>
        </w:rPr>
        <w:t> </w:t>
      </w:r>
      <w:r>
        <w:rPr/>
        <w:t>现值的折现率，导致资产可收回金额大幅度降低；</w:t>
      </w:r>
    </w:p>
    <w:p>
      <w:pPr>
        <w:pStyle w:val="BodyText"/>
        <w:spacing w:line="240" w:lineRule="auto" w:before="7"/>
        <w:ind w:left="513" w:right="0"/>
        <w:jc w:val="left"/>
      </w:pPr>
      <w:r>
        <w:rPr>
          <w:rFonts w:ascii="宋体" w:hAnsi="宋体" w:cs="宋体" w:eastAsia="宋体" w:hint="default"/>
        </w:rPr>
        <w:t>4.</w:t>
      </w:r>
      <w:r>
        <w:rPr/>
        <w:t>有证据表明资产已经陈旧过时或其实体已经损坏；</w:t>
      </w:r>
    </w:p>
    <w:p>
      <w:pPr>
        <w:pStyle w:val="BodyText"/>
        <w:spacing w:line="240" w:lineRule="auto" w:before="37"/>
        <w:ind w:left="513" w:right="0"/>
        <w:jc w:val="left"/>
      </w:pPr>
      <w:r>
        <w:rPr>
          <w:rFonts w:ascii="宋体" w:hAnsi="宋体" w:cs="宋体" w:eastAsia="宋体" w:hint="default"/>
        </w:rPr>
        <w:t>5.</w:t>
      </w:r>
      <w:r>
        <w:rPr/>
        <w:t>资产已经或者将被闲置、终止使用或者计划提前处置；</w:t>
      </w:r>
    </w:p>
    <w:p>
      <w:pPr>
        <w:pStyle w:val="BodyText"/>
        <w:spacing w:line="273" w:lineRule="auto" w:before="37"/>
        <w:ind w:left="513" w:right="0"/>
        <w:jc w:val="left"/>
      </w:pPr>
      <w:r>
        <w:rPr>
          <w:rFonts w:ascii="宋体" w:hAnsi="宋体" w:cs="宋体" w:eastAsia="宋体" w:hint="default"/>
          <w:spacing w:val="-1"/>
        </w:rPr>
        <w:t>6.</w:t>
      </w:r>
      <w:r>
        <w:rPr>
          <w:spacing w:val="-1"/>
        </w:rPr>
        <w:t>企业内部报告的证据表明资产的经济绩效已经低于或者将低于预期，如：资产所创造的净现金流量</w:t>
      </w:r>
      <w:r>
        <w:rPr>
          <w:spacing w:val="-20"/>
        </w:rPr>
        <w:t> </w:t>
      </w:r>
      <w:r>
        <w:rPr>
          <w:spacing w:val="-20"/>
        </w:rPr>
      </w:r>
      <w:r>
        <w:rPr/>
        <w:t>或者实现的营业利润（或者损失）远远低于预计金额等；</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宋体" w:hAnsi="宋体" w:cs="宋体" w:eastAsia="宋体" w:hint="default"/>
        </w:rPr>
        <w:t>1.</w:t>
      </w:r>
      <w:r>
        <w:rPr>
          <w:rFonts w:ascii="宋体" w:hAnsi="宋体" w:cs="宋体" w:eastAsia="宋体" w:hint="default"/>
          <w:spacing w:val="45"/>
        </w:rPr>
        <w:t> </w:t>
      </w:r>
      <w:r>
        <w:rPr/>
        <w:t>其他表明资产可能已经发生减值的迹象。</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spacing w:line="506" w:lineRule="auto" w:before="0"/>
        <w:ind w:left="152" w:right="43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本公司在建工程以立项项目进行分类。</w:t>
      </w:r>
    </w:p>
    <w:p>
      <w:pPr>
        <w:pStyle w:val="Heading3"/>
        <w:spacing w:line="240" w:lineRule="auto" w:before="101"/>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46" w:firstLine="420"/>
        <w:jc w:val="both"/>
      </w:pPr>
      <w:r>
        <w:rPr>
          <w:spacing w:val="-2"/>
        </w:rPr>
        <w:t>在建工程达到预定可使用状态时，按工程实际成本转入固定资产。已达到预定可使用状态但尚未办理</w:t>
      </w:r>
      <w:r>
        <w:rPr>
          <w:w w:val="100"/>
        </w:rPr>
        <w:t> </w:t>
      </w:r>
      <w:r>
        <w:rPr>
          <w:spacing w:val="-2"/>
        </w:rPr>
        <w:t>竣工决算的，先按估计价值转入固定资产，待办理竣工决算后再按实际成本调整原暂估价值，但不再调整</w:t>
      </w:r>
      <w:r>
        <w:rPr>
          <w:spacing w:val="-44"/>
        </w:rPr>
        <w:t> </w:t>
      </w:r>
      <w:r>
        <w:rPr>
          <w:spacing w:val="-44"/>
        </w:rPr>
      </w:r>
      <w:r>
        <w:rPr/>
        <w:t>原已计提的折旧。</w:t>
      </w:r>
    </w:p>
    <w:p>
      <w:pPr>
        <w:spacing w:line="60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本公司于资产负债表日对在建工程进行全面检查，如果有证据表明在建工程已经发生了减值，估计可</w:t>
      </w:r>
    </w:p>
    <w:p>
      <w:pPr>
        <w:pStyle w:val="BodyText"/>
        <w:spacing w:line="273" w:lineRule="auto" w:before="37"/>
        <w:ind w:right="146"/>
        <w:jc w:val="both"/>
      </w:pPr>
      <w:r>
        <w:rPr>
          <w:spacing w:val="-2"/>
        </w:rPr>
        <w:t>收回金额低于其账面价值时，账面价值减记至可收回金额，减记的金额确认为资产减值损失，计入当期损</w:t>
      </w:r>
      <w:r>
        <w:rPr>
          <w:spacing w:val="-43"/>
        </w:rPr>
        <w:t> </w:t>
      </w:r>
      <w:r>
        <w:rPr>
          <w:spacing w:val="-43"/>
        </w:rPr>
      </w:r>
      <w:r>
        <w:rPr>
          <w:spacing w:val="-2"/>
        </w:rPr>
        <w:t>益，同时计提相应的资产减值准备。资产减值损失一经确认，在以后会计期间不再转回。存在下列一项或</w:t>
      </w:r>
      <w:r>
        <w:rPr>
          <w:spacing w:val="-50"/>
        </w:rPr>
        <w:t> </w:t>
      </w:r>
      <w:r>
        <w:rPr>
          <w:spacing w:val="-50"/>
        </w:rPr>
      </w:r>
      <w:r>
        <w:rPr/>
        <w:t>若干项情况的，应当对在建工程进行减值测试：</w:t>
      </w:r>
    </w:p>
    <w:p>
      <w:pPr>
        <w:pStyle w:val="BodyText"/>
        <w:spacing w:line="240" w:lineRule="auto" w:before="7"/>
        <w:ind w:right="0"/>
        <w:jc w:val="left"/>
      </w:pPr>
      <w:r>
        <w:rPr>
          <w:rFonts w:ascii="宋体" w:hAnsi="宋体" w:cs="宋体" w:eastAsia="宋体" w:hint="default"/>
        </w:rPr>
        <w:t>1.</w:t>
      </w:r>
      <w:r>
        <w:rPr>
          <w:rFonts w:ascii="宋体" w:hAnsi="宋体" w:cs="宋体" w:eastAsia="宋体" w:hint="default"/>
          <w:spacing w:val="42"/>
        </w:rPr>
        <w:t> </w:t>
      </w:r>
      <w:r>
        <w:rPr/>
        <w:t>长期停建并且预计在未来</w:t>
      </w:r>
      <w:r>
        <w:rPr>
          <w:rFonts w:ascii="Times New Roman" w:hAnsi="Times New Roman" w:cs="Times New Roman" w:eastAsia="Times New Roman" w:hint="default"/>
        </w:rPr>
        <w:t>3</w:t>
      </w:r>
      <w:r>
        <w:rPr/>
        <w:t>年内不会重新开工的在建工程；</w:t>
      </w:r>
    </w:p>
    <w:p>
      <w:pPr>
        <w:pStyle w:val="BodyText"/>
        <w:spacing w:line="240" w:lineRule="auto" w:before="21"/>
        <w:ind w:right="0"/>
        <w:jc w:val="left"/>
      </w:pPr>
      <w:r>
        <w:rPr>
          <w:rFonts w:ascii="宋体" w:hAnsi="宋体" w:cs="宋体" w:eastAsia="宋体" w:hint="default"/>
        </w:rPr>
        <w:t>2.</w:t>
      </w:r>
      <w:r>
        <w:rPr>
          <w:rFonts w:ascii="宋体" w:hAnsi="宋体" w:cs="宋体" w:eastAsia="宋体" w:hint="default"/>
          <w:spacing w:val="41"/>
        </w:rPr>
        <w:t> </w:t>
      </w:r>
      <w:r>
        <w:rPr/>
        <w:t>所建项目无论在性能上，还是在技术上已经落后，并且给企业带来的经济利益具有很大的不确定性；</w:t>
      </w:r>
    </w:p>
    <w:p>
      <w:pPr>
        <w:pStyle w:val="BodyText"/>
        <w:spacing w:line="240" w:lineRule="auto" w:before="37"/>
        <w:ind w:right="0"/>
        <w:jc w:val="left"/>
      </w:pPr>
      <w:r>
        <w:rPr>
          <w:rFonts w:ascii="宋体" w:hAnsi="宋体" w:cs="宋体" w:eastAsia="宋体" w:hint="default"/>
        </w:rPr>
        <w:t>3.</w:t>
      </w:r>
      <w:r>
        <w:rPr>
          <w:rFonts w:ascii="宋体" w:hAnsi="宋体" w:cs="宋体" w:eastAsia="宋体" w:hint="default"/>
          <w:spacing w:val="44"/>
        </w:rPr>
        <w:t> </w:t>
      </w:r>
      <w:r>
        <w:rPr/>
        <w:t>其他足以证明在建工程已经发生减值的情形</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600" w:lineRule="atLeast" w:before="12"/>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本公司发生的可直接归属于符合资本化条件的资产的购建或生产的借款费用在同时满足下列条件时</w:t>
      </w:r>
    </w:p>
    <w:p>
      <w:pPr>
        <w:pStyle w:val="BodyText"/>
        <w:spacing w:line="240" w:lineRule="auto" w:before="37"/>
        <w:ind w:right="0"/>
        <w:jc w:val="left"/>
      </w:pPr>
      <w:r>
        <w:rPr/>
        <w:t>予以资本化计入相关资产成本：</w:t>
      </w:r>
    </w:p>
    <w:p>
      <w:pPr>
        <w:pStyle w:val="BodyText"/>
        <w:spacing w:line="240" w:lineRule="auto" w:before="37"/>
        <w:ind w:left="573" w:right="0"/>
        <w:jc w:val="left"/>
      </w:pPr>
      <w:r>
        <w:rPr/>
        <w:t>①资产支出已经发生；</w:t>
      </w:r>
    </w:p>
    <w:p>
      <w:pPr>
        <w:pStyle w:val="BodyText"/>
        <w:spacing w:line="240" w:lineRule="auto" w:before="37"/>
        <w:ind w:left="573" w:right="0"/>
        <w:jc w:val="left"/>
      </w:pPr>
      <w:r>
        <w:rPr/>
        <w:t>②借款费用已经发生；</w:t>
      </w:r>
    </w:p>
    <w:p>
      <w:pPr>
        <w:pStyle w:val="BodyText"/>
        <w:spacing w:line="240" w:lineRule="auto" w:before="37"/>
        <w:ind w:left="573" w:right="0"/>
        <w:jc w:val="left"/>
      </w:pPr>
      <w:r>
        <w:rPr/>
        <w:t>③为使资产达到预定可使用状态所必要的购建或者生产活动已经开始。</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其他的借款利息、折价或溢价和汇兑差额，计入发生当期的损益。</w:t>
      </w:r>
    </w:p>
    <w:p>
      <w:pPr>
        <w:spacing w:line="240" w:lineRule="auto" w:before="3"/>
        <w:rPr>
          <w:rFonts w:ascii="宋体" w:hAnsi="宋体" w:cs="宋体" w:eastAsia="宋体" w:hint="default"/>
          <w:sz w:val="25"/>
          <w:szCs w:val="25"/>
        </w:rPr>
      </w:pPr>
    </w:p>
    <w:p>
      <w:pPr>
        <w:spacing w:line="61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z w:val="21"/>
          <w:szCs w:val="21"/>
        </w:rPr>
        <w:t>符合资本化条件的资产在购建或者生产过程中发生非正常中断，且中断时间连续超过</w:t>
      </w:r>
      <w:r>
        <w:rPr>
          <w:rFonts w:ascii="Times New Roman" w:hAnsi="Times New Roman" w:cs="Times New Roman" w:eastAsia="Times New Roman" w:hint="default"/>
          <w:sz w:val="21"/>
          <w:szCs w:val="21"/>
        </w:rPr>
        <w:t>3</w:t>
      </w:r>
      <w:r>
        <w:rPr>
          <w:rFonts w:ascii="宋体" w:hAnsi="宋体" w:cs="宋体" w:eastAsia="宋体" w:hint="default"/>
          <w:sz w:val="21"/>
          <w:szCs w:val="21"/>
        </w:rPr>
        <w:t>个月的，暂停</w:t>
      </w:r>
    </w:p>
    <w:p>
      <w:pPr>
        <w:pStyle w:val="BodyText"/>
        <w:spacing w:line="240" w:lineRule="auto" w:before="21"/>
        <w:ind w:right="0"/>
        <w:jc w:val="left"/>
      </w:pPr>
      <w:r>
        <w:rPr/>
        <w:t>借款费用的资本化。</w:t>
      </w:r>
    </w:p>
    <w:p>
      <w:pPr>
        <w:pStyle w:val="BodyText"/>
        <w:spacing w:line="273" w:lineRule="auto" w:before="37"/>
        <w:ind w:right="150" w:firstLine="420"/>
        <w:jc w:val="both"/>
      </w:pPr>
      <w:r>
        <w:rPr>
          <w:spacing w:val="2"/>
        </w:rPr>
        <w:t>当购建或者生产符合资本化条件的资产达到预定可使用或者可销售状态时，停止其借款费用的资本</w:t>
      </w:r>
      <w:r>
        <w:rPr>
          <w:w w:val="100"/>
        </w:rPr>
        <w:t> </w:t>
      </w:r>
      <w:r>
        <w:rPr/>
        <w:t>化；以后发生的借款费用于发生当期确认为费用。</w:t>
      </w:r>
    </w:p>
    <w:p>
      <w:pPr>
        <w:spacing w:line="240" w:lineRule="auto" w:before="13"/>
        <w:rPr>
          <w:rFonts w:ascii="宋体" w:hAnsi="宋体" w:cs="宋体" w:eastAsia="宋体" w:hint="default"/>
          <w:sz w:val="22"/>
          <w:szCs w:val="22"/>
        </w:rPr>
      </w:pPr>
    </w:p>
    <w:p>
      <w:pPr>
        <w:pStyle w:val="BodyText"/>
        <w:spacing w:line="610" w:lineRule="atLeast"/>
        <w:ind w:left="573" w:right="0" w:hanging="42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100"/>
        </w:rPr>
        <w:t> </w:t>
      </w: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w:t>
      </w:r>
    </w:p>
    <w:p>
      <w:pPr>
        <w:pStyle w:val="BodyText"/>
        <w:spacing w:line="273" w:lineRule="auto" w:before="21"/>
        <w:ind w:left="573" w:right="0" w:hanging="421"/>
        <w:jc w:val="left"/>
      </w:pPr>
      <w:r>
        <w:rPr/>
        <w:t>借款费用的资本化。</w:t>
      </w:r>
      <w:r>
        <w:rPr>
          <w:w w:val="100"/>
        </w:rPr>
        <w:t> </w:t>
      </w:r>
      <w:r>
        <w:rPr>
          <w:spacing w:val="2"/>
        </w:rPr>
        <w:t>当购建或者生产符合资本化条件的资产达到预定可使用或者可销售状态时，停止其借款费用的资本</w:t>
      </w:r>
    </w:p>
    <w:p>
      <w:pPr>
        <w:pStyle w:val="BodyText"/>
        <w:spacing w:line="240" w:lineRule="auto" w:before="7"/>
        <w:ind w:right="0"/>
        <w:jc w:val="left"/>
      </w:pPr>
      <w:r>
        <w:rPr/>
        <w:t>化；以后发生的借款费用于发生当期确认为费用。</w:t>
      </w:r>
    </w:p>
    <w:p>
      <w:pPr>
        <w:spacing w:line="600" w:lineRule="atLeast" w:before="28"/>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为购建或者生产符合资本化条件的资产而借入专门借款的，应当以专门借款当期实际发生的利息费</w:t>
      </w:r>
    </w:p>
    <w:p>
      <w:pPr>
        <w:pStyle w:val="BodyText"/>
        <w:spacing w:line="273" w:lineRule="auto" w:before="37"/>
        <w:ind w:right="0"/>
        <w:jc w:val="left"/>
      </w:pPr>
      <w:r>
        <w:rPr>
          <w:spacing w:val="-2"/>
        </w:rPr>
        <w:t>用，减去将尚未动用的借款资金存入银行取得的利息收入或者进行暂时性投资取得的投资收益后的金额，</w:t>
      </w:r>
      <w:r>
        <w:rPr>
          <w:spacing w:val="-21"/>
        </w:rPr>
        <w:t> </w:t>
      </w:r>
      <w:r>
        <w:rPr>
          <w:spacing w:val="-21"/>
        </w:rPr>
      </w:r>
      <w:r>
        <w:rPr/>
        <w:t>确定为专门借款利息费用的资本化金额。</w:t>
      </w:r>
    </w:p>
    <w:p>
      <w:pPr>
        <w:pStyle w:val="BodyText"/>
        <w:spacing w:line="273" w:lineRule="auto" w:before="7"/>
        <w:ind w:right="146" w:firstLine="420"/>
        <w:jc w:val="both"/>
      </w:pPr>
      <w:r>
        <w:rPr>
          <w:spacing w:val="-2"/>
        </w:rPr>
        <w:t>购建或者生产符合资本化条件的资产占用了一般借款的，一般借款应予资本化的利息金额按累计资产</w:t>
      </w:r>
      <w:r>
        <w:rPr>
          <w:w w:val="100"/>
        </w:rPr>
        <w:t> </w:t>
      </w:r>
      <w:r>
        <w:rPr/>
        <w:t>支出超过专门借款部分的资产支出加权平均数乘以所占用一般借款的资本化率计算。</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0"/>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7"/>
        <w:rPr>
          <w:rFonts w:ascii="宋体" w:hAnsi="宋体" w:cs="宋体" w:eastAsia="宋体" w:hint="default"/>
          <w:b/>
          <w:bCs/>
          <w:sz w:val="24"/>
          <w:szCs w:val="24"/>
        </w:rPr>
      </w:pPr>
    </w:p>
    <w:p>
      <w:pPr>
        <w:spacing w:line="506" w:lineRule="auto" w:before="0"/>
        <w:ind w:left="573" w:right="455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无形资产按成本进行初始计量。</w:t>
      </w:r>
    </w:p>
    <w:p>
      <w:pPr>
        <w:pStyle w:val="Heading3"/>
        <w:spacing w:line="240" w:lineRule="auto" w:before="104"/>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46" w:firstLine="420"/>
        <w:jc w:val="both"/>
      </w:pPr>
      <w:r>
        <w:rPr>
          <w:spacing w:val="-2"/>
        </w:rPr>
        <w:t>①对使用寿命有限的无形资产，估计其使用寿命时通常考虑以下因素：①运用该资产生产的产品通常</w:t>
      </w:r>
      <w:r>
        <w:rPr>
          <w:w w:val="100"/>
        </w:rPr>
        <w:t> </w:t>
      </w:r>
      <w:r>
        <w:rPr>
          <w:spacing w:val="-2"/>
        </w:rPr>
        <w:t>的寿命周期、可获得的类似资产使用寿命的信息；②技术、工艺等方面的现阶段情况及对未来发展趋势的</w:t>
      </w:r>
      <w:r>
        <w:rPr>
          <w:spacing w:val="-42"/>
        </w:rPr>
        <w:t> </w:t>
      </w:r>
      <w:r>
        <w:rPr>
          <w:spacing w:val="-42"/>
        </w:rPr>
      </w:r>
      <w:r>
        <w:rPr>
          <w:spacing w:val="-2"/>
        </w:rPr>
        <w:t>估计；③以该资产生产的产品或提供劳务的市场需求情况；④现在或潜在的竞争者预期采取的行动；⑤为</w:t>
      </w:r>
      <w:r>
        <w:rPr>
          <w:spacing w:val="-43"/>
        </w:rPr>
        <w:t> </w:t>
      </w:r>
      <w:r>
        <w:rPr>
          <w:spacing w:val="-43"/>
        </w:rPr>
      </w:r>
      <w:r>
        <w:rPr>
          <w:spacing w:val="-2"/>
        </w:rPr>
        <w:t>维持该资产带来经济利益能力的预期维护支出，以及公司预计支付有关支出的能力；⑥对该资产控制期限</w:t>
      </w:r>
      <w:r>
        <w:rPr>
          <w:spacing w:val="-44"/>
        </w:rPr>
        <w:t> </w:t>
      </w:r>
      <w:r>
        <w:rPr>
          <w:spacing w:val="-44"/>
        </w:rPr>
      </w:r>
      <w:r>
        <w:rPr/>
        <w:t>的相关法律规定或类似限制，如特许使用期、租赁期等；⑦与公司持有其他资产使用寿命的关联性等。</w:t>
      </w:r>
    </w:p>
    <w:p>
      <w:pPr>
        <w:pStyle w:val="BodyText"/>
        <w:spacing w:line="240" w:lineRule="auto" w:before="7"/>
        <w:ind w:left="573" w:right="0"/>
        <w:jc w:val="left"/>
      </w:pPr>
      <w:r>
        <w:rPr/>
        <w:t>②使用寿命有限的无形资产，在使用寿命内按照与该项无形资产有关的经济利益的预期实现方式系统</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合理地摊销，无法可靠确定预期实现方式的，采用直线法摊销。</w:t>
      </w:r>
    </w:p>
    <w:p>
      <w:pPr>
        <w:spacing w:line="240" w:lineRule="auto" w:before="0"/>
        <w:rPr>
          <w:rFonts w:ascii="宋体" w:hAnsi="宋体" w:cs="宋体" w:eastAsia="宋体" w:hint="default"/>
          <w:sz w:val="26"/>
          <w:szCs w:val="26"/>
        </w:rPr>
      </w:pPr>
    </w:p>
    <w:p>
      <w:pPr>
        <w:spacing w:line="60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85"/>
          <w:sz w:val="21"/>
          <w:szCs w:val="21"/>
        </w:rPr>
        <w:t> </w:t>
      </w:r>
      <w:r>
        <w:rPr>
          <w:rFonts w:ascii="宋体" w:hAnsi="宋体" w:cs="宋体" w:eastAsia="宋体" w:hint="default"/>
          <w:b/>
          <w:bCs/>
          <w:sz w:val="21"/>
          <w:szCs w:val="21"/>
        </w:rPr>
        <w:t>使用寿命不确定的无形资产的判断依据</w:t>
      </w:r>
      <w:r>
        <w:rPr>
          <w:rFonts w:ascii="宋体" w:hAnsi="宋体" w:cs="宋体" w:eastAsia="宋体" w:hint="default"/>
          <w:b/>
          <w:bCs/>
          <w:w w:val="100"/>
          <w:sz w:val="21"/>
          <w:szCs w:val="21"/>
        </w:rPr>
        <w:t> </w:t>
      </w:r>
      <w:r>
        <w:rPr>
          <w:rFonts w:ascii="宋体" w:hAnsi="宋体" w:cs="宋体" w:eastAsia="宋体" w:hint="default"/>
          <w:spacing w:val="-2"/>
          <w:sz w:val="21"/>
          <w:szCs w:val="21"/>
        </w:rPr>
        <w:t>公司在每年年度终了对使用寿命不确定的无形资产的使用寿命进行复核，如果重新复核后仍为不确定</w:t>
      </w:r>
    </w:p>
    <w:p>
      <w:pPr>
        <w:pStyle w:val="BodyText"/>
        <w:spacing w:line="273" w:lineRule="auto" w:before="37"/>
        <w:ind w:right="146"/>
        <w:jc w:val="both"/>
      </w:pPr>
      <w:r>
        <w:rPr>
          <w:spacing w:val="-2"/>
        </w:rPr>
        <w:t>的，应当在资产负债表日进行减值测试。当无形资产的可收回金额低于其账面价值时，将资产的账面价值</w:t>
      </w:r>
      <w:r>
        <w:rPr>
          <w:spacing w:val="-44"/>
        </w:rPr>
        <w:t> </w:t>
      </w:r>
      <w:r>
        <w:rPr>
          <w:spacing w:val="-44"/>
        </w:rPr>
      </w:r>
      <w:r>
        <w:rPr>
          <w:spacing w:val="-2"/>
        </w:rPr>
        <w:t>减记至可收回金额，减记的金额确认为资产减值损失，计入当期损益，同时计提相无形资产减值准备。无</w:t>
      </w:r>
      <w:r>
        <w:rPr>
          <w:spacing w:val="-44"/>
        </w:rPr>
        <w:t> </w:t>
      </w:r>
      <w:r>
        <w:rPr>
          <w:spacing w:val="-44"/>
        </w:rPr>
      </w:r>
      <w:r>
        <w:rPr>
          <w:spacing w:val="-2"/>
        </w:rPr>
        <w:t>形资产减值损失一经确认，在以后会计期间不再转回。存在下列一项或多项以下情况的，对无形资产进行</w:t>
      </w:r>
      <w:r>
        <w:rPr>
          <w:spacing w:val="-43"/>
        </w:rPr>
        <w:t> </w:t>
      </w:r>
      <w:r>
        <w:rPr>
          <w:spacing w:val="-43"/>
        </w:rPr>
      </w:r>
      <w:r>
        <w:rPr/>
        <w:t>减值测试：</w:t>
      </w:r>
    </w:p>
    <w:p>
      <w:pPr>
        <w:pStyle w:val="BodyText"/>
        <w:spacing w:line="256" w:lineRule="auto" w:before="7"/>
        <w:ind w:left="573" w:right="0"/>
        <w:jc w:val="left"/>
      </w:pPr>
      <w:r>
        <w:rPr>
          <w:rFonts w:ascii="Times New Roman" w:hAnsi="Times New Roman" w:cs="Times New Roman" w:eastAsia="Times New Roman" w:hint="default"/>
          <w:spacing w:val="-2"/>
        </w:rPr>
        <w:t>a</w:t>
      </w:r>
      <w:r>
        <w:rPr>
          <w:spacing w:val="-2"/>
        </w:rPr>
        <w:t>、该无形资产已被其他新技术等所替代，使其为企业创造经济利益的能力受到重大不利影响；</w:t>
      </w:r>
      <w:r>
        <w:rPr>
          <w:spacing w:val="-30"/>
        </w:rPr>
        <w:t> </w:t>
      </w:r>
      <w:r>
        <w:rPr>
          <w:spacing w:val="-30"/>
        </w:rPr>
      </w:r>
      <w:r>
        <w:rPr>
          <w:rFonts w:ascii="Times New Roman" w:hAnsi="Times New Roman" w:cs="Times New Roman" w:eastAsia="Times New Roman" w:hint="default"/>
        </w:rPr>
        <w:t>b</w:t>
      </w:r>
      <w:r>
        <w:rPr/>
        <w:t>、该无形资产的市价在当期大幅下跌，并在剩余年限内可能不会回升；</w:t>
      </w:r>
      <w:r>
        <w:rPr>
          <w:w w:val="100"/>
        </w:rPr>
        <w:t> </w:t>
      </w:r>
      <w:r>
        <w:rPr>
          <w:rFonts w:ascii="Times New Roman" w:hAnsi="Times New Roman" w:cs="Times New Roman" w:eastAsia="Times New Roman" w:hint="default"/>
        </w:rPr>
        <w:t>c</w:t>
      </w:r>
      <w:r>
        <w:rPr/>
        <w:t>、其他足以表明该无形资产的账面价值已超过可收回金额的情况。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600" w:lineRule="atLeast" w:before="12"/>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内部研究开发项目研究阶段的支出，于发生时计入当期损益。内部研究开发项目开发阶段的支出，同</w:t>
      </w:r>
    </w:p>
    <w:p>
      <w:pPr>
        <w:pStyle w:val="BodyText"/>
        <w:spacing w:line="273" w:lineRule="auto" w:before="37"/>
        <w:ind w:right="146"/>
        <w:jc w:val="both"/>
      </w:pPr>
      <w:r>
        <w:rPr>
          <w:spacing w:val="-2"/>
        </w:rPr>
        <w:t>时满足下列条件的，确认为无形资产：①完成该无形资产以使其能够使用或出售在技术上具有可行性；②</w:t>
      </w:r>
      <w:r>
        <w:rPr>
          <w:spacing w:val="-42"/>
        </w:rPr>
        <w:t> </w:t>
      </w:r>
      <w:r>
        <w:rPr>
          <w:spacing w:val="-42"/>
        </w:rPr>
      </w:r>
      <w:r>
        <w:rPr>
          <w:spacing w:val="-2"/>
        </w:rPr>
        <w:t>具有完成该无形资产并使用或出售的意图；③无形资产产生经济利益的方式，包括能够证明运用该无形资</w:t>
      </w:r>
      <w:r>
        <w:rPr>
          <w:spacing w:val="-44"/>
        </w:rPr>
        <w:t> </w:t>
      </w:r>
      <w:r>
        <w:rPr>
          <w:spacing w:val="-44"/>
        </w:rPr>
      </w:r>
      <w:r>
        <w:rPr>
          <w:spacing w:val="-2"/>
        </w:rPr>
        <w:t>产生产的产品存在市场或无形资产自身存在市场，无形资产将在内部使用的，可证明其有用性；④有足够</w:t>
      </w:r>
      <w:r>
        <w:rPr>
          <w:spacing w:val="-44"/>
        </w:rPr>
        <w:t> </w:t>
      </w:r>
      <w:r>
        <w:rPr>
          <w:spacing w:val="-44"/>
        </w:rPr>
      </w:r>
      <w:r>
        <w:rPr>
          <w:spacing w:val="-2"/>
        </w:rPr>
        <w:t>的技术、财务资源和其他资源支持，以完成该无形资产的开发，并有能力使用或出售该无形资产；⑤归属</w:t>
      </w:r>
      <w:r>
        <w:rPr>
          <w:spacing w:val="-50"/>
        </w:rPr>
        <w:t> </w:t>
      </w:r>
      <w:r>
        <w:rPr>
          <w:spacing w:val="-50"/>
        </w:rPr>
      </w:r>
      <w:r>
        <w:rPr/>
        <w:t>于该无形资产开发阶段的支出能够可靠地计量。</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pStyle w:val="BodyText"/>
        <w:spacing w:line="614" w:lineRule="exact" w:before="75"/>
        <w:ind w:left="573" w:right="0" w:hanging="421"/>
        <w:jc w:val="left"/>
      </w:pPr>
      <w:r>
        <w:rPr>
          <w:rFonts w:ascii="Times New Roman" w:hAnsi="Times New Roman" w:cs="Times New Roman" w:eastAsia="Times New Roman" w:hint="default"/>
          <w:b/>
          <w:bCs/>
        </w:rPr>
        <w:t>20</w:t>
      </w:r>
      <w:r>
        <w:rPr>
          <w:rFonts w:ascii="宋体" w:hAnsi="宋体" w:cs="宋体" w:eastAsia="宋体" w:hint="default"/>
          <w:b/>
          <w:bCs/>
        </w:rPr>
        <w:t>、长期待摊费用</w:t>
      </w:r>
      <w:r>
        <w:rPr>
          <w:rFonts w:ascii="宋体" w:hAnsi="宋体" w:cs="宋体" w:eastAsia="宋体" w:hint="default"/>
          <w:b/>
          <w:bCs/>
          <w:w w:val="100"/>
        </w:rPr>
        <w:t> </w:t>
      </w:r>
      <w:r>
        <w:rPr/>
        <w:t>本公司长期待摊费用是指已经发生但应由本年和以后各期负担的分摊期限在</w:t>
      </w:r>
      <w:r>
        <w:rPr>
          <w:rFonts w:ascii="Times New Roman" w:hAnsi="Times New Roman" w:cs="Times New Roman" w:eastAsia="Times New Roman" w:hint="default"/>
        </w:rPr>
        <w:t>1</w:t>
      </w:r>
      <w:r>
        <w:rPr/>
        <w:t>年以上的各项费用。长</w:t>
      </w:r>
    </w:p>
    <w:p>
      <w:pPr>
        <w:pStyle w:val="BodyText"/>
        <w:spacing w:line="219" w:lineRule="exact"/>
        <w:ind w:right="0"/>
        <w:jc w:val="left"/>
      </w:pPr>
      <w:r>
        <w:rPr/>
        <w:t>期待摊费用按实际支出入账，在项目受益期内平均摊销。</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590" w:lineRule="atLeast" w:before="24"/>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当与对外担保、未决诉讼或仲裁、产品质量保证、裁员计划、亏损合同、重组义务、固定资产弃置义</w:t>
      </w:r>
    </w:p>
    <w:p>
      <w:pPr>
        <w:pStyle w:val="BodyText"/>
        <w:spacing w:line="273" w:lineRule="auto" w:before="37"/>
        <w:ind w:left="513" w:right="2103" w:hanging="361"/>
        <w:jc w:val="left"/>
      </w:pPr>
      <w:r>
        <w:rPr>
          <w:spacing w:val="-2"/>
        </w:rPr>
        <w:t>务等或有事项相关的义务同时符合以下条件，则将其确认为负债：</w:t>
      </w:r>
      <w:r>
        <w:rPr>
          <w:spacing w:val="-49"/>
        </w:rPr>
        <w:t> </w:t>
      </w:r>
      <w:r>
        <w:rPr>
          <w:spacing w:val="-49"/>
        </w:rPr>
      </w:r>
      <w:r>
        <w:rPr/>
        <w:t>该义务是公司承担的现时义务；</w:t>
      </w:r>
      <w:r>
        <w:rPr>
          <w:w w:val="100"/>
        </w:rPr>
        <w:t> </w:t>
      </w:r>
      <w:r>
        <w:rPr>
          <w:rFonts w:ascii="宋体" w:hAnsi="宋体" w:cs="宋体" w:eastAsia="宋体" w:hint="default"/>
        </w:rPr>
        <w:t>1.</w:t>
      </w:r>
      <w:r>
        <w:rPr/>
        <w:t>该义务的履行很可能导致经济利益流出公司；</w:t>
      </w:r>
    </w:p>
    <w:p>
      <w:pPr>
        <w:pStyle w:val="BodyText"/>
        <w:spacing w:line="240" w:lineRule="auto" w:before="7"/>
        <w:ind w:left="513" w:right="0"/>
        <w:jc w:val="left"/>
      </w:pPr>
      <w:r>
        <w:rPr>
          <w:rFonts w:ascii="宋体" w:hAnsi="宋体" w:cs="宋体" w:eastAsia="宋体" w:hint="default"/>
        </w:rPr>
        <w:t>2.</w:t>
      </w:r>
      <w:r>
        <w:rPr/>
        <w:t>该义务的金额能够可靠地计量。</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left="573" w:right="101"/>
        <w:jc w:val="left"/>
      </w:pPr>
      <w:r>
        <w:rPr/>
        <w:t>公司的亏损合同和承担的重组义务符合上述条件的，确认为预计负债。</w:t>
      </w:r>
    </w:p>
    <w:p>
      <w:pPr>
        <w:spacing w:line="600" w:lineRule="atLeast" w:before="28"/>
        <w:ind w:left="573" w:right="101"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预计负债按照履行相关现时义务可能导致经济利益流出的最佳估计数进行初始计量，并综合考虑与或</w:t>
      </w:r>
    </w:p>
    <w:p>
      <w:pPr>
        <w:pStyle w:val="BodyText"/>
        <w:spacing w:line="273" w:lineRule="auto" w:before="37"/>
        <w:ind w:right="206"/>
        <w:jc w:val="both"/>
      </w:pPr>
      <w:r>
        <w:rPr>
          <w:spacing w:val="-2"/>
        </w:rPr>
        <w:t>有事项相关的风险、不确定性及货币时间价值等因素。货币时间价值影响重大的，通过对相关未来现金流</w:t>
      </w:r>
      <w:r>
        <w:rPr>
          <w:spacing w:val="-43"/>
        </w:rPr>
        <w:t> </w:t>
      </w:r>
      <w:r>
        <w:rPr>
          <w:spacing w:val="-43"/>
        </w:rPr>
      </w:r>
      <w:r>
        <w:rPr>
          <w:spacing w:val="-2"/>
        </w:rPr>
        <w:t>出进行折现后确定最佳估计数。于资产负债表日对预计负债的账面价值进行复核，并对账面价值进行调整</w:t>
      </w:r>
      <w:r>
        <w:rPr>
          <w:spacing w:val="-42"/>
        </w:rPr>
        <w:t> </w:t>
      </w:r>
      <w:r>
        <w:rPr>
          <w:spacing w:val="-42"/>
        </w:rPr>
      </w:r>
      <w:r>
        <w:rPr/>
        <w:t>以反映当前最佳估计数。因时间推移导致的预计负债账面价值的增加金额，确认为利息费用。</w:t>
      </w:r>
    </w:p>
    <w:p>
      <w:pPr>
        <w:pStyle w:val="BodyText"/>
        <w:spacing w:line="273" w:lineRule="auto" w:before="7"/>
        <w:ind w:left="573" w:right="101"/>
        <w:jc w:val="left"/>
      </w:pPr>
      <w:r>
        <w:rPr/>
        <w:t>最佳估计数的确定方法</w:t>
      </w:r>
      <w:r>
        <w:rPr>
          <w:w w:val="100"/>
        </w:rPr>
        <w:t> </w:t>
      </w:r>
      <w:r>
        <w:rPr>
          <w:spacing w:val="-2"/>
        </w:rPr>
        <w:t>如果所需支出存在一个金额范围，则最佳估计数按该范围的上、下限金额的平均数确定；如果所需支</w:t>
      </w:r>
    </w:p>
    <w:p>
      <w:pPr>
        <w:pStyle w:val="BodyText"/>
        <w:spacing w:line="240" w:lineRule="auto" w:before="7"/>
        <w:ind w:right="101"/>
        <w:jc w:val="left"/>
      </w:pPr>
      <w:r>
        <w:rPr/>
        <w:t>出不存在一个金额范围，则按如下方法确定：</w:t>
      </w:r>
    </w:p>
    <w:p>
      <w:pPr>
        <w:pStyle w:val="BodyText"/>
        <w:spacing w:line="240" w:lineRule="auto" w:before="37"/>
        <w:ind w:left="573" w:right="101"/>
        <w:jc w:val="left"/>
      </w:pPr>
      <w:r>
        <w:rPr/>
        <w:t>①或有事项涉及单个项目时，最佳估计数按最可能发生的金额确定；</w:t>
      </w:r>
    </w:p>
    <w:p>
      <w:pPr>
        <w:pStyle w:val="BodyText"/>
        <w:spacing w:line="273" w:lineRule="auto" w:before="37"/>
        <w:ind w:right="101" w:firstLine="420"/>
        <w:jc w:val="left"/>
      </w:pPr>
      <w:r>
        <w:rPr/>
        <w:t>②或有事项涉及多个项目时，最佳估计数按各种可能发生额及其发生概率计算确定。清偿确认的负债</w:t>
      </w:r>
      <w:r>
        <w:rPr>
          <w:w w:val="100"/>
        </w:rPr>
        <w:t> </w:t>
      </w:r>
      <w:r>
        <w:rPr>
          <w:spacing w:val="-5"/>
        </w:rPr>
        <w:t>所需支出全部或部分预期由第三方或其他方补偿的，则补偿金额在基本确定能收到时，作为资产单独确认。</w:t>
      </w:r>
      <w:r>
        <w:rPr>
          <w:spacing w:val="-6"/>
        </w:rPr>
        <w:t> </w:t>
      </w:r>
      <w:r>
        <w:rPr>
          <w:spacing w:val="-6"/>
        </w:rPr>
      </w:r>
      <w:r>
        <w:rPr/>
        <w:t>确认的补偿金额不超过所确认负债的账面价值。</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101"/>
        <w:jc w:val="left"/>
        <w:rPr>
          <w:b w:val="0"/>
          <w:bCs w:val="0"/>
        </w:rPr>
      </w:pPr>
      <w:r>
        <w:rPr>
          <w:rFonts w:ascii="Times New Roman" w:hAnsi="Times New Roman" w:cs="Times New Roman" w:eastAsia="Times New Roman" w:hint="default"/>
        </w:rPr>
        <w:t>23</w:t>
      </w:r>
      <w:r>
        <w:rPr/>
        <w:t>、股份支付及权益工具</w:t>
      </w:r>
      <w:r>
        <w:rPr>
          <w:b w:val="0"/>
          <w:bCs w:val="0"/>
        </w:rPr>
      </w:r>
    </w:p>
    <w:p>
      <w:pPr>
        <w:pStyle w:val="BodyText"/>
        <w:spacing w:line="600" w:lineRule="atLeast" w:before="12"/>
        <w:ind w:left="573" w:right="101"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）股份支付的种类</w:t>
      </w:r>
      <w:r>
        <w:rPr>
          <w:rFonts w:ascii="宋体" w:hAnsi="宋体" w:cs="宋体" w:eastAsia="宋体" w:hint="default"/>
          <w:b/>
          <w:bCs/>
          <w:w w:val="100"/>
        </w:rPr>
        <w:t> </w:t>
      </w:r>
      <w:r>
        <w:rPr>
          <w:spacing w:val="-2"/>
        </w:rPr>
        <w:t>本公司的股份支付分为以现金结算的股份支付和以权益结算的股份支付。①以现金结算的股份支付以</w:t>
      </w:r>
    </w:p>
    <w:p>
      <w:pPr>
        <w:pStyle w:val="BodyText"/>
        <w:spacing w:line="273" w:lineRule="auto" w:before="37"/>
        <w:ind w:right="101"/>
        <w:jc w:val="left"/>
      </w:pPr>
      <w:r>
        <w:rPr>
          <w:spacing w:val="-2"/>
        </w:rPr>
        <w:t>现金结算的股份支付，按照本公司承担的以股份或其他权益工具为基础计算确定的负债的公允价值计量。</w:t>
      </w:r>
      <w:r>
        <w:rPr>
          <w:spacing w:val="-21"/>
        </w:rPr>
        <w:t> </w:t>
      </w:r>
      <w:r>
        <w:rPr>
          <w:spacing w:val="-21"/>
        </w:rPr>
      </w:r>
      <w:r>
        <w:rPr/>
        <w:t>授予后立即可行权的以现金结算的股份支付，在授予日以本公司承担负债的公允价值计入相关成本或费</w:t>
      </w:r>
      <w:r>
        <w:rPr>
          <w:w w:val="100"/>
        </w:rPr>
        <w:t> </w:t>
      </w:r>
      <w:r>
        <w:rPr>
          <w:spacing w:val="-2"/>
        </w:rPr>
        <w:t>用，相应增加负债。存在等待期的以现金结算的股份支付，在等待期内的每个资产负债表日以对可行权情</w:t>
      </w:r>
      <w:r>
        <w:rPr>
          <w:spacing w:val="-43"/>
        </w:rPr>
        <w:t> </w:t>
      </w:r>
      <w:r>
        <w:rPr>
          <w:spacing w:val="-43"/>
        </w:rPr>
      </w:r>
      <w:r>
        <w:rPr>
          <w:spacing w:val="-2"/>
        </w:rPr>
        <w:t>况的最佳估计为基础，按本公司承担负债的公允价值金额，将当期取得的服务计入成本或费用和相应的负</w:t>
      </w:r>
      <w:r>
        <w:rPr>
          <w:spacing w:val="-43"/>
        </w:rPr>
        <w:t> </w:t>
      </w:r>
      <w:r>
        <w:rPr>
          <w:spacing w:val="-43"/>
        </w:rPr>
      </w:r>
      <w:r>
        <w:rPr>
          <w:spacing w:val="-2"/>
        </w:rPr>
        <w:t>债。②以权益工具结算的股份支付以权益结算的股份支付，以授予职工权益工具的公允价值计量。授予后</w:t>
      </w:r>
      <w:r>
        <w:rPr>
          <w:spacing w:val="-43"/>
        </w:rPr>
        <w:t> </w:t>
      </w:r>
      <w:r>
        <w:rPr>
          <w:spacing w:val="-43"/>
        </w:rPr>
      </w:r>
      <w:r>
        <w:rPr>
          <w:spacing w:val="-2"/>
        </w:rPr>
        <w:t>立即可行权的以权益结算的股份支付，在授予日以权益工具的公允价值计入相关成本或费用，相应增加资</w:t>
      </w:r>
      <w:r>
        <w:rPr>
          <w:spacing w:val="-44"/>
        </w:rPr>
        <w:t> </w:t>
      </w:r>
      <w:r>
        <w:rPr>
          <w:spacing w:val="-44"/>
        </w:rPr>
      </w:r>
      <w:r>
        <w:rPr>
          <w:spacing w:val="-2"/>
        </w:rPr>
        <w:t>本公积。存在等待期的以权益结算的股份支付，在等待期内的每个资产负债表日，以对可行权权益工具数</w:t>
      </w:r>
      <w:r>
        <w:rPr>
          <w:spacing w:val="-44"/>
        </w:rPr>
        <w:t> </w:t>
      </w:r>
      <w:r>
        <w:rPr>
          <w:spacing w:val="-44"/>
        </w:rPr>
      </w:r>
      <w:r>
        <w:rPr/>
        <w:t>量的最佳估计为基础，按权益工具授予日的公允价值，将当期取得的服务计入成本或费用和资本公积。</w:t>
      </w:r>
    </w:p>
    <w:p>
      <w:pPr>
        <w:spacing w:line="240" w:lineRule="auto" w:before="4"/>
        <w:rPr>
          <w:rFonts w:ascii="宋体" w:hAnsi="宋体" w:cs="宋体" w:eastAsia="宋体" w:hint="default"/>
          <w:sz w:val="23"/>
          <w:szCs w:val="23"/>
        </w:rPr>
      </w:pPr>
    </w:p>
    <w:p>
      <w:pPr>
        <w:pStyle w:val="Heading3"/>
        <w:spacing w:line="240" w:lineRule="auto"/>
        <w:ind w:right="101"/>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01" w:firstLine="420"/>
        <w:jc w:val="left"/>
      </w:pPr>
      <w:r>
        <w:rPr>
          <w:rFonts w:ascii="Times New Roman" w:hAnsi="Times New Roman" w:cs="Times New Roman" w:eastAsia="Times New Roman" w:hint="default"/>
          <w:spacing w:val="-1"/>
        </w:rPr>
        <w:t>1.</w:t>
      </w:r>
      <w:r>
        <w:rPr>
          <w:spacing w:val="-1"/>
        </w:rPr>
        <w:t>对于授予职工的股份，其公允价值按公司股份的市场价格计量，同时考虑授予股份所依据的条款和</w:t>
      </w:r>
      <w:r>
        <w:rPr>
          <w:w w:val="100"/>
        </w:rPr>
        <w:t> </w:t>
      </w:r>
      <w:r>
        <w:rPr/>
        <w:t>条件（不包括市场条件之外的可行权条件）进行调整。</w:t>
      </w:r>
    </w:p>
    <w:p>
      <w:pPr>
        <w:pStyle w:val="BodyText"/>
        <w:spacing w:line="320" w:lineRule="exact" w:before="12"/>
        <w:ind w:right="101" w:firstLine="420"/>
        <w:jc w:val="left"/>
        <w:rPr>
          <w:sz w:val="24"/>
          <w:szCs w:val="24"/>
        </w:rPr>
      </w:pPr>
      <w:r>
        <w:rPr>
          <w:rFonts w:ascii="Times New Roman" w:hAnsi="Times New Roman" w:cs="Times New Roman" w:eastAsia="Times New Roman" w:hint="default"/>
          <w:spacing w:val="-1"/>
        </w:rPr>
        <w:t>2.</w:t>
      </w:r>
      <w:r>
        <w:rPr>
          <w:spacing w:val="-1"/>
        </w:rPr>
        <w:t>对于授予职工的股票期权，在许多情况下难以获得其市场价格。如果不存在条款和条件相似的交易</w:t>
      </w:r>
      <w:r>
        <w:rPr>
          <w:w w:val="100"/>
        </w:rPr>
        <w:t> </w:t>
      </w:r>
      <w:r>
        <w:rPr/>
        <w:t>期权，公司选择适用的期权定价模型估计所授予的期权的公允价值</w:t>
      </w:r>
      <w:r>
        <w:rPr>
          <w:color w:val="FF0000"/>
          <w:sz w:val="24"/>
          <w:szCs w:val="24"/>
        </w:rPr>
        <w:t>。</w:t>
      </w:r>
      <w:r>
        <w:rPr>
          <w:sz w:val="24"/>
          <w:szCs w:val="24"/>
        </w:rPr>
      </w:r>
    </w:p>
    <w:p>
      <w:pPr>
        <w:spacing w:line="614" w:lineRule="exact" w:before="49"/>
        <w:ind w:left="573" w:right="101"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在等待期内每个资产负债表日，公司根据最新取得的可行权职工人数变动等后续信息作出最佳估计，</w:t>
      </w:r>
    </w:p>
    <w:p>
      <w:pPr>
        <w:pStyle w:val="BodyText"/>
        <w:spacing w:line="219" w:lineRule="exact"/>
        <w:ind w:right="101"/>
        <w:jc w:val="left"/>
      </w:pPr>
      <w:r>
        <w:rPr/>
        <w:t>修正预计可行权的权益工具数量，以作出可行权权益工具的最佳估计。</w:t>
      </w:r>
    </w:p>
    <w:p>
      <w:pPr>
        <w:spacing w:after="0" w:line="219" w:lineRule="exact"/>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46" w:firstLine="420"/>
        <w:jc w:val="both"/>
      </w:pPr>
      <w:r>
        <w:rPr>
          <w:rFonts w:ascii="宋体" w:hAnsi="宋体" w:cs="宋体" w:eastAsia="宋体" w:hint="default"/>
          <w:spacing w:val="-2"/>
        </w:rPr>
        <w:t>1.</w:t>
      </w:r>
      <w:r>
        <w:rPr>
          <w:spacing w:val="-2"/>
        </w:rPr>
        <w:t>授予后立即可行权的以现金结算的股份支付，在授予日以本公司承担负债的公允价值计入相关成本</w:t>
      </w:r>
      <w:r>
        <w:rPr>
          <w:w w:val="100"/>
        </w:rPr>
        <w:t> </w:t>
      </w:r>
      <w:r>
        <w:rPr>
          <w:spacing w:val="-2"/>
        </w:rPr>
        <w:t>或费用，相应增加负债。并在结算前的每个资产负债表日和结算日对负债的公允价值重新计量，将其变动</w:t>
      </w:r>
      <w:r>
        <w:rPr>
          <w:spacing w:val="-42"/>
        </w:rPr>
        <w:t> </w:t>
      </w:r>
      <w:r>
        <w:rPr>
          <w:spacing w:val="-42"/>
        </w:rPr>
      </w:r>
      <w:r>
        <w:rPr/>
        <w:t>计入损益。</w:t>
      </w:r>
    </w:p>
    <w:p>
      <w:pPr>
        <w:pStyle w:val="BodyText"/>
        <w:spacing w:line="273" w:lineRule="auto" w:before="7"/>
        <w:ind w:right="146" w:firstLine="420"/>
        <w:jc w:val="both"/>
      </w:pPr>
      <w:r>
        <w:rPr>
          <w:rFonts w:ascii="宋体" w:hAnsi="宋体" w:cs="宋体" w:eastAsia="宋体" w:hint="default"/>
          <w:spacing w:val="-2"/>
        </w:rPr>
        <w:t>2.</w:t>
      </w:r>
      <w:r>
        <w:rPr>
          <w:spacing w:val="-2"/>
        </w:rPr>
        <w:t>完成等待期内的服务或达到规定业绩条件以后才可行权的以现金结算的股份支付，在等待期内的每</w:t>
      </w:r>
      <w:r>
        <w:rPr>
          <w:w w:val="100"/>
        </w:rPr>
        <w:t> </w:t>
      </w:r>
      <w:r>
        <w:rPr>
          <w:spacing w:val="-2"/>
        </w:rPr>
        <w:t>个资产负债表日以对可行权情况的最佳估计为基础，按本公司承担负债的公允价值金额，将当期取得的服</w:t>
      </w:r>
      <w:r>
        <w:rPr>
          <w:spacing w:val="-44"/>
        </w:rPr>
        <w:t> </w:t>
      </w:r>
      <w:r>
        <w:rPr>
          <w:spacing w:val="-44"/>
        </w:rPr>
      </w:r>
      <w:r>
        <w:rPr/>
        <w:t>务计入成本或费用和相应的负债。</w:t>
      </w:r>
    </w:p>
    <w:p>
      <w:pPr>
        <w:pStyle w:val="BodyText"/>
        <w:spacing w:line="273" w:lineRule="auto" w:before="7"/>
        <w:ind w:right="146" w:firstLine="420"/>
        <w:jc w:val="both"/>
      </w:pPr>
      <w:r>
        <w:rPr>
          <w:rFonts w:ascii="宋体" w:hAnsi="宋体" w:cs="宋体" w:eastAsia="宋体" w:hint="default"/>
          <w:spacing w:val="-2"/>
        </w:rPr>
        <w:t>3.</w:t>
      </w:r>
      <w:r>
        <w:rPr>
          <w:spacing w:val="-2"/>
        </w:rPr>
        <w:t>授予后立即可行权的换取职工服务的以权益结算的股份支付，在授予日以权益工具的公允价值计入</w:t>
      </w:r>
      <w:r>
        <w:rPr>
          <w:w w:val="100"/>
        </w:rPr>
        <w:t> </w:t>
      </w:r>
      <w:r>
        <w:rPr/>
        <w:t>相关成本或费用，相应增加资本公积。</w:t>
      </w:r>
    </w:p>
    <w:p>
      <w:pPr>
        <w:pStyle w:val="BodyText"/>
        <w:spacing w:line="273" w:lineRule="auto" w:before="7"/>
        <w:ind w:right="146" w:firstLine="420"/>
        <w:jc w:val="both"/>
      </w:pPr>
      <w:r>
        <w:rPr>
          <w:rFonts w:ascii="宋体" w:hAnsi="宋体" w:cs="宋体" w:eastAsia="宋体" w:hint="default"/>
          <w:spacing w:val="-2"/>
        </w:rPr>
        <w:t>4.</w:t>
      </w:r>
      <w:r>
        <w:rPr>
          <w:spacing w:val="-2"/>
        </w:rPr>
        <w:t>完成等待期内的服务或达到规定业绩条件以后才可行权换取职工服务的以权益结算的股份支付，在</w:t>
      </w:r>
      <w:r>
        <w:rPr>
          <w:w w:val="100"/>
        </w:rPr>
        <w:t> </w:t>
      </w:r>
      <w:r>
        <w:rPr>
          <w:spacing w:val="-2"/>
        </w:rPr>
        <w:t>等待期内的每个资产负债表日，以对可行权权益工具数量的最佳估计为基础，按权益工具授予日的公允价</w:t>
      </w:r>
      <w:r>
        <w:rPr>
          <w:spacing w:val="-43"/>
        </w:rPr>
        <w:t> </w:t>
      </w:r>
      <w:r>
        <w:rPr>
          <w:spacing w:val="-43"/>
        </w:rPr>
      </w:r>
      <w:r>
        <w:rPr/>
        <w:t>值，将当期取得的服务计入成本或费用和资本公积。</w:t>
      </w:r>
    </w:p>
    <w:p>
      <w:pPr>
        <w:pStyle w:val="BodyText"/>
        <w:spacing w:line="273" w:lineRule="auto" w:before="7"/>
        <w:ind w:right="146" w:firstLine="420"/>
        <w:jc w:val="both"/>
      </w:pPr>
      <w:r>
        <w:rPr>
          <w:spacing w:val="-2"/>
        </w:rPr>
        <w:t>如果修改增加了所授予的权益工具的公允价值，公司按照权益工具公允价值的增加相应地确认取得服</w:t>
      </w:r>
      <w:r>
        <w:rPr>
          <w:w w:val="100"/>
        </w:rPr>
        <w:t> </w:t>
      </w:r>
      <w:r>
        <w:rPr>
          <w:spacing w:val="-2"/>
        </w:rPr>
        <w:t>务的增加；如果修改增加了所授予的权益工具的数量，公司将增加的权益工具的公允价值相应地确认为取</w:t>
      </w:r>
      <w:r>
        <w:rPr>
          <w:spacing w:val="-43"/>
        </w:rPr>
        <w:t> </w:t>
      </w:r>
      <w:r>
        <w:rPr>
          <w:spacing w:val="-43"/>
        </w:rPr>
      </w:r>
      <w:r>
        <w:rPr>
          <w:spacing w:val="-2"/>
        </w:rPr>
        <w:t>得服务的增加；如果公司按照有利于职工的方式修改可行权条件，公司在处理可行权条件时，考虑修改后</w:t>
      </w:r>
      <w:r>
        <w:rPr>
          <w:spacing w:val="-45"/>
        </w:rPr>
        <w:t> </w:t>
      </w:r>
      <w:r>
        <w:rPr>
          <w:spacing w:val="-45"/>
        </w:rPr>
      </w:r>
      <w:r>
        <w:rPr/>
        <w:t>的可行权条件。</w:t>
      </w:r>
    </w:p>
    <w:p>
      <w:pPr>
        <w:pStyle w:val="BodyText"/>
        <w:spacing w:line="273" w:lineRule="auto" w:before="7"/>
        <w:ind w:right="146" w:firstLine="420"/>
        <w:jc w:val="both"/>
      </w:pPr>
      <w:r>
        <w:rPr>
          <w:spacing w:val="-2"/>
        </w:rPr>
        <w:t>如果修改减少了授予的权益工具的公允价值，公司继续以权益工具在授予日的公允价值为基础，确认</w:t>
      </w:r>
      <w:r>
        <w:rPr>
          <w:w w:val="100"/>
        </w:rPr>
        <w:t> </w:t>
      </w:r>
      <w:r>
        <w:rPr>
          <w:spacing w:val="-2"/>
        </w:rPr>
        <w:t>取得服务的金额，而不考虑权益工具公允价值的减少；如果修改减少了授予的权益工具的数量，公司将减</w:t>
      </w:r>
      <w:r>
        <w:rPr>
          <w:spacing w:val="-43"/>
        </w:rPr>
        <w:t> </w:t>
      </w:r>
      <w:r>
        <w:rPr>
          <w:spacing w:val="-43"/>
        </w:rPr>
      </w:r>
      <w:r>
        <w:rPr>
          <w:spacing w:val="-2"/>
        </w:rPr>
        <w:t>少部分作为已授予的权益工具的取消来进行处理；如果以不利于职工的方式修改了可行权条件，在处理可</w:t>
      </w:r>
      <w:r>
        <w:rPr>
          <w:spacing w:val="-42"/>
        </w:rPr>
        <w:t> </w:t>
      </w:r>
      <w:r>
        <w:rPr>
          <w:spacing w:val="-42"/>
        </w:rPr>
      </w:r>
      <w:r>
        <w:rPr/>
        <w:t>行权条件时，不考虑修改后的可行权条件。</w:t>
      </w:r>
    </w:p>
    <w:p>
      <w:pPr>
        <w:pStyle w:val="BodyText"/>
        <w:spacing w:line="273" w:lineRule="auto" w:before="7"/>
        <w:ind w:right="146" w:firstLine="420"/>
        <w:jc w:val="both"/>
      </w:pPr>
      <w:r>
        <w:rPr>
          <w:spacing w:val="-2"/>
        </w:rPr>
        <w:t>如果公司在等待期内取消了所授予的权益工具或结算了所授予的权益工具（因未满足可行权条件而被</w:t>
      </w:r>
      <w:r>
        <w:rPr>
          <w:w w:val="100"/>
        </w:rPr>
        <w:t> </w:t>
      </w:r>
      <w:r>
        <w:rPr/>
        <w:t>取消的除外，则将取消或结算作为加速可行权处理，立即确认原本在剩余等待期内确认的金额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0"/>
        <w:jc w:val="both"/>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25</w:t>
      </w:r>
      <w:r>
        <w:rPr/>
        <w:t>、收入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46"/>
        <w:jc w:val="both"/>
      </w:pPr>
      <w:r>
        <w:rPr>
          <w:spacing w:val="-2"/>
        </w:rPr>
        <w:t>本公司商品销售收入同时满足下列条件时才能予以确认：①本公司已将商品所有权上的主要风险和报酬转</w:t>
      </w:r>
      <w:r>
        <w:rPr>
          <w:spacing w:val="-43"/>
        </w:rPr>
        <w:t> </w:t>
      </w:r>
      <w:r>
        <w:rPr>
          <w:spacing w:val="-43"/>
        </w:rPr>
      </w:r>
      <w:r>
        <w:rPr>
          <w:spacing w:val="-2"/>
        </w:rPr>
        <w:t>移给购货方；②本公司既没有保留通常与所有权相联系的继续管理权，也没有对已售出的商品实施有效控</w:t>
      </w:r>
      <w:r>
        <w:rPr>
          <w:spacing w:val="-42"/>
        </w:rPr>
        <w:t> </w:t>
      </w:r>
      <w:r>
        <w:rPr>
          <w:spacing w:val="-42"/>
        </w:rPr>
      </w:r>
      <w:r>
        <w:rPr>
          <w:spacing w:val="-2"/>
        </w:rPr>
        <w:t>制；③收入的金额能够可靠地计量；④相关的经济利益很可能流入企业；⑤相关的已发生或将发生的成本</w:t>
      </w:r>
      <w:r>
        <w:rPr>
          <w:spacing w:val="-44"/>
        </w:rPr>
        <w:t> </w:t>
      </w:r>
      <w:r>
        <w:rPr>
          <w:spacing w:val="-44"/>
        </w:rPr>
      </w:r>
      <w:r>
        <w:rPr/>
        <w:t>能够可靠地计量。</w:t>
      </w:r>
    </w:p>
    <w:p>
      <w:pPr>
        <w:spacing w:line="60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让渡资产使用权收入包括利息收入、使用费收入等，在同时满足以下条件时予以确认：</w:t>
      </w:r>
    </w:p>
    <w:p>
      <w:pPr>
        <w:pStyle w:val="BodyText"/>
        <w:spacing w:line="240" w:lineRule="auto" w:before="37"/>
        <w:ind w:left="573" w:right="0"/>
        <w:jc w:val="left"/>
      </w:pPr>
      <w:r>
        <w:rPr/>
        <w:t>①与交易相关的经济利益能够流入企业公司；</w:t>
      </w:r>
    </w:p>
    <w:p>
      <w:pPr>
        <w:pStyle w:val="BodyText"/>
        <w:spacing w:line="273" w:lineRule="auto" w:before="37"/>
        <w:ind w:left="573" w:right="0"/>
        <w:jc w:val="left"/>
      </w:pPr>
      <w:r>
        <w:rPr/>
        <w:t>②收入的金额能够可靠地计量。</w:t>
      </w:r>
      <w:r>
        <w:rPr>
          <w:w w:val="100"/>
        </w:rPr>
        <w:t> </w:t>
      </w:r>
      <w:r>
        <w:rPr>
          <w:spacing w:val="-2"/>
        </w:rPr>
        <w:t>利息收入金额，按照他人使用本企业货币资金的时间和实际利率计算确定。</w:t>
      </w:r>
      <w:r>
        <w:rPr>
          <w:spacing w:val="-43"/>
        </w:rPr>
        <w:t> </w:t>
      </w:r>
      <w:r>
        <w:rPr>
          <w:spacing w:val="-43"/>
        </w:rPr>
      </w:r>
      <w:r>
        <w:rPr/>
        <w:t>使用费收入金额，按照有关合同或协议约定的收费时间和方法计算确定。</w:t>
      </w:r>
    </w:p>
    <w:p>
      <w:pPr>
        <w:spacing w:after="0" w:line="273"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01"/>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1" w:firstLine="420"/>
        <w:jc w:val="left"/>
      </w:pPr>
      <w:r>
        <w:rPr>
          <w:spacing w:val="2"/>
        </w:rPr>
        <w:t>①本公司在资产负债表日提供劳务交易的结果能够可靠估计的，采用完工百分比法确认提供劳务收</w:t>
      </w:r>
      <w:r>
        <w:rPr>
          <w:w w:val="100"/>
        </w:rPr>
        <w:t> </w:t>
      </w:r>
      <w:r>
        <w:rPr/>
        <w:t>入。完工百分比法，是指按照提供劳务交易的完工进度确认收入与费用的方法。</w:t>
      </w:r>
    </w:p>
    <w:p>
      <w:pPr>
        <w:pStyle w:val="BodyText"/>
        <w:spacing w:line="261" w:lineRule="auto" w:before="7"/>
        <w:ind w:left="573" w:right="3354"/>
        <w:jc w:val="left"/>
      </w:pPr>
      <w:r>
        <w:rPr>
          <w:spacing w:val="-2"/>
        </w:rPr>
        <w:t>提供劳务交易的结果能够可靠估计，是指同时满足下列条件：</w:t>
      </w:r>
      <w:r>
        <w:rPr>
          <w:spacing w:val="-52"/>
        </w:rPr>
        <w:t> </w:t>
      </w:r>
      <w:r>
        <w:rPr>
          <w:spacing w:val="-52"/>
        </w:rPr>
      </w:r>
      <w:r>
        <w:rPr>
          <w:rFonts w:ascii="Times New Roman" w:hAnsi="Times New Roman" w:cs="Times New Roman" w:eastAsia="Times New Roman" w:hint="default"/>
        </w:rPr>
        <w:t>a</w:t>
      </w:r>
      <w:r>
        <w:rPr/>
        <w:t>、收入的金额能够可靠地计量；</w:t>
      </w:r>
      <w:r>
        <w:rPr>
          <w:w w:val="100"/>
        </w:rPr>
        <w:t> </w:t>
      </w:r>
      <w:r>
        <w:rPr>
          <w:rFonts w:ascii="Times New Roman" w:hAnsi="Times New Roman" w:cs="Times New Roman" w:eastAsia="Times New Roman" w:hint="default"/>
        </w:rPr>
        <w:t>b</w:t>
      </w:r>
      <w:r>
        <w:rPr/>
        <w:t>、相关的经济利益很可能流入企业；</w:t>
      </w:r>
      <w:r>
        <w:rPr>
          <w:w w:val="100"/>
        </w:rPr>
        <w:t> </w:t>
      </w:r>
      <w:r>
        <w:rPr>
          <w:rFonts w:ascii="Times New Roman" w:hAnsi="Times New Roman" w:cs="Times New Roman" w:eastAsia="Times New Roman" w:hint="default"/>
        </w:rPr>
        <w:t>c</w:t>
      </w:r>
      <w:r>
        <w:rPr/>
        <w:t>、交易的完工进度能够可靠地确定；</w:t>
      </w:r>
      <w:r>
        <w:rPr>
          <w:w w:val="100"/>
        </w:rPr>
        <w:t> </w:t>
      </w:r>
      <w:r>
        <w:rPr>
          <w:rFonts w:ascii="Times New Roman" w:hAnsi="Times New Roman" w:cs="Times New Roman" w:eastAsia="Times New Roman" w:hint="default"/>
        </w:rPr>
        <w:t>d</w:t>
      </w:r>
      <w:r>
        <w:rPr/>
        <w:t>、交易中已发生和将发生的成本能够可靠地计量。</w:t>
      </w:r>
    </w:p>
    <w:p>
      <w:pPr>
        <w:pStyle w:val="BodyText"/>
        <w:spacing w:line="240" w:lineRule="auto"/>
        <w:ind w:left="573" w:right="101"/>
        <w:jc w:val="left"/>
      </w:pPr>
      <w:r>
        <w:rPr/>
        <w:t>②提供劳务交易的结果在资产负债表日不能够可靠估计的，分别下列情况处理：</w:t>
      </w:r>
    </w:p>
    <w:p>
      <w:pPr>
        <w:pStyle w:val="BodyText"/>
        <w:spacing w:line="256" w:lineRule="auto" w:before="37"/>
        <w:ind w:right="101" w:firstLine="420"/>
        <w:jc w:val="left"/>
      </w:pPr>
      <w:r>
        <w:rPr>
          <w:rFonts w:ascii="Times New Roman" w:hAnsi="Times New Roman" w:cs="Times New Roman" w:eastAsia="Times New Roman" w:hint="default"/>
        </w:rPr>
        <w:t>a</w:t>
      </w:r>
      <w:r>
        <w:rPr/>
        <w:t>、已经发生的劳务成本预计能够得到补偿，按已经发生的劳务成本金额确认提供劳务收入，并按相</w:t>
      </w:r>
      <w:r>
        <w:rPr>
          <w:w w:val="100"/>
        </w:rPr>
        <w:t> </w:t>
      </w:r>
      <w:r>
        <w:rPr/>
        <w:t>同金额结转劳务成本；</w:t>
      </w:r>
    </w:p>
    <w:p>
      <w:pPr>
        <w:pStyle w:val="BodyText"/>
        <w:spacing w:line="240" w:lineRule="auto" w:before="23"/>
        <w:ind w:left="573" w:right="101"/>
        <w:jc w:val="left"/>
      </w:pPr>
      <w:r>
        <w:rPr>
          <w:rFonts w:ascii="Times New Roman" w:hAnsi="Times New Roman" w:cs="Times New Roman" w:eastAsia="Times New Roman" w:hint="default"/>
          <w:spacing w:val="-2"/>
        </w:rPr>
        <w:t>b</w:t>
      </w:r>
      <w:r>
        <w:rPr>
          <w:spacing w:val="-2"/>
        </w:rPr>
        <w:t>、已经发生的劳务成本预计不能够得到补偿，将已经发生的劳务成本计入当期损益不确认劳务收入。</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3"/>
        <w:spacing w:line="240" w:lineRule="auto"/>
        <w:ind w:right="101"/>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1"/>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01"/>
        <w:jc w:val="left"/>
      </w:pPr>
      <w:r>
        <w:rPr/>
        <w:t>①企业能够满足政府补助所附条件；②企业能够收到政府补助。</w:t>
      </w:r>
    </w:p>
    <w:p>
      <w:pPr>
        <w:spacing w:line="240" w:lineRule="auto" w:before="10"/>
        <w:rPr>
          <w:rFonts w:ascii="宋体" w:hAnsi="宋体" w:cs="宋体" w:eastAsia="宋体" w:hint="default"/>
          <w:sz w:val="25"/>
          <w:szCs w:val="25"/>
        </w:rPr>
      </w:pPr>
    </w:p>
    <w:p>
      <w:pPr>
        <w:pStyle w:val="Heading3"/>
        <w:spacing w:line="240" w:lineRule="auto"/>
        <w:ind w:right="101"/>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06" w:firstLine="420"/>
        <w:jc w:val="both"/>
      </w:pPr>
      <w:r>
        <w:rPr>
          <w:spacing w:val="-2"/>
        </w:rPr>
        <w:t>①与资产相关的政府补助，公司取得时确认为递延收益，自相关资产达到预定可使用状态时，在该资</w:t>
      </w:r>
      <w:r>
        <w:rPr>
          <w:w w:val="100"/>
        </w:rPr>
        <w:t> </w:t>
      </w:r>
      <w:r>
        <w:rPr>
          <w:spacing w:val="-2"/>
        </w:rPr>
        <w:t>产使用寿命内平均分配，分次计入以后各期的损益。相关资产在使用寿命结束前被出售、转让、报废或发</w:t>
      </w:r>
      <w:r>
        <w:rPr>
          <w:spacing w:val="-47"/>
        </w:rPr>
        <w:t> </w:t>
      </w:r>
      <w:r>
        <w:rPr>
          <w:spacing w:val="-47"/>
        </w:rPr>
      </w:r>
      <w:r>
        <w:rPr/>
        <w:t>生毁损的，将尚未分配的递延收益余额一次性转入资产处置当期的损益。</w:t>
      </w:r>
    </w:p>
    <w:p>
      <w:pPr>
        <w:pStyle w:val="BodyText"/>
        <w:spacing w:line="273" w:lineRule="auto" w:before="7"/>
        <w:ind w:right="101" w:firstLine="420"/>
        <w:jc w:val="left"/>
      </w:pPr>
      <w:r>
        <w:rPr/>
        <w:t>②与收益相关的政府补助，用于补偿公司以后期间的相关费用或损失的，取得时确认为递延收益，在</w:t>
      </w:r>
      <w:r>
        <w:rPr>
          <w:w w:val="100"/>
        </w:rPr>
        <w:t> </w:t>
      </w:r>
      <w:r>
        <w:rPr>
          <w:spacing w:val="-5"/>
        </w:rPr>
        <w:t>确认相关费用的期间计入当期损益；用于补偿公司已发生的相关费用或损失的，取得时直接计入当期损益。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101"/>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1"/>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1" w:firstLine="420"/>
        <w:jc w:val="left"/>
      </w:pPr>
      <w:r>
        <w:rPr>
          <w:spacing w:val="-2"/>
        </w:rPr>
        <w:t>①本公司以很可能取得用来抵扣可抵扣暂时性差异的应纳税所得额为限，确认由可抵扣暂时性差异产</w:t>
      </w:r>
      <w:r>
        <w:rPr>
          <w:w w:val="100"/>
        </w:rPr>
        <w:t> </w:t>
      </w:r>
      <w:r>
        <w:rPr>
          <w:spacing w:val="-2"/>
        </w:rPr>
        <w:t>生的递延所得税资产。但是同时具有下列特征的交易中因资产或负债的初始确认所产生的递延所得税资产</w:t>
      </w:r>
      <w:r>
        <w:rPr>
          <w:spacing w:val="-43"/>
        </w:rPr>
        <w:t> </w:t>
      </w:r>
      <w:r>
        <w:rPr>
          <w:spacing w:val="-43"/>
        </w:rPr>
      </w:r>
      <w:r>
        <w:rPr/>
        <w:t>不予确认：</w:t>
      </w:r>
      <w:r>
        <w:rPr>
          <w:rFonts w:ascii="宋体" w:hAnsi="宋体" w:cs="宋体" w:eastAsia="宋体" w:hint="default"/>
        </w:rPr>
        <w:t>a</w:t>
      </w:r>
      <w:r>
        <w:rPr/>
        <w:t>、该项交易不是企业合并；</w:t>
      </w:r>
      <w:r>
        <w:rPr>
          <w:rFonts w:ascii="宋体" w:hAnsi="宋体" w:cs="宋体" w:eastAsia="宋体" w:hint="default"/>
        </w:rPr>
        <w:t>b</w:t>
      </w:r>
      <w:r>
        <w:rPr/>
        <w:t>、交易发生时既不影响会计利润也不影响应纳税所得额</w:t>
      </w:r>
      <w:r>
        <w:rPr>
          <w:rFonts w:ascii="宋体" w:hAnsi="宋体" w:cs="宋体" w:eastAsia="宋体" w:hint="default"/>
        </w:rPr>
        <w:t>(</w:t>
      </w:r>
      <w:r>
        <w:rPr/>
        <w:t>或可抵</w:t>
      </w:r>
      <w:r>
        <w:rPr>
          <w:w w:val="100"/>
        </w:rPr>
        <w:t> </w:t>
      </w:r>
      <w:r>
        <w:rPr/>
        <w:t>扣亏损</w:t>
      </w:r>
      <w:r>
        <w:rPr>
          <w:rFonts w:ascii="宋体" w:hAnsi="宋体" w:cs="宋体" w:eastAsia="宋体" w:hint="default"/>
        </w:rPr>
        <w:t>)</w:t>
      </w:r>
      <w:r>
        <w:rPr/>
        <w:t>。②本公司对与子公司、联营公司及合营企业投资相关的可抵扣暂时性差异，同时满足下列条件</w:t>
      </w:r>
      <w:r>
        <w:rPr>
          <w:w w:val="100"/>
        </w:rPr>
        <w:t> </w:t>
      </w:r>
      <w:r>
        <w:rPr>
          <w:spacing w:val="-2"/>
        </w:rPr>
        <w:t>的，确认相应的递延所得税资产：</w:t>
      </w:r>
      <w:r>
        <w:rPr>
          <w:rFonts w:ascii="宋体" w:hAnsi="宋体" w:cs="宋体" w:eastAsia="宋体" w:hint="default"/>
          <w:spacing w:val="-2"/>
        </w:rPr>
        <w:t>a</w:t>
      </w:r>
      <w:r>
        <w:rPr>
          <w:spacing w:val="-2"/>
        </w:rPr>
        <w:t>、暂时性差异在可预见的未来很可能转回；</w:t>
      </w:r>
      <w:r>
        <w:rPr>
          <w:rFonts w:ascii="宋体" w:hAnsi="宋体" w:cs="宋体" w:eastAsia="宋体" w:hint="default"/>
          <w:spacing w:val="-2"/>
        </w:rPr>
        <w:t>b</w:t>
      </w:r>
      <w:r>
        <w:rPr>
          <w:spacing w:val="-2"/>
        </w:rPr>
        <w:t>、未来很可能获得用来抵</w:t>
      </w:r>
      <w:r>
        <w:rPr>
          <w:spacing w:val="-45"/>
        </w:rPr>
        <w:t> </w:t>
      </w:r>
      <w:r>
        <w:rPr>
          <w:spacing w:val="-45"/>
        </w:rPr>
      </w:r>
      <w:r>
        <w:rPr>
          <w:spacing w:val="-2"/>
        </w:rPr>
        <w:t>扣暂时性差异的应纳税所得额。③本公司对于能够结转以后年度的可抵扣亏损和税款抵减，以很可能获得</w:t>
      </w:r>
      <w:r>
        <w:rPr>
          <w:spacing w:val="-41"/>
        </w:rPr>
        <w:t> </w:t>
      </w:r>
      <w:r>
        <w:rPr>
          <w:spacing w:val="-41"/>
        </w:rPr>
      </w:r>
      <w:r>
        <w:rPr/>
        <w:t>用来抵扣可抵扣亏损和税款抵减的未来应纳税所得额为限，确认相应的递延所得税资产。</w:t>
      </w:r>
    </w:p>
    <w:p>
      <w:pPr>
        <w:spacing w:after="0" w:line="273"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678" w:right="101"/>
        <w:jc w:val="left"/>
      </w:pPr>
      <w:r>
        <w:rPr>
          <w:spacing w:val="-2"/>
        </w:rPr>
        <w:t>除下列情况产生的递延所得税负债以外，本公司确认所有应纳税暂时性差异产生的递延所得税负债：</w:t>
      </w:r>
    </w:p>
    <w:p>
      <w:pPr>
        <w:pStyle w:val="BodyText"/>
        <w:spacing w:line="273" w:lineRule="auto" w:before="37"/>
        <w:ind w:right="290"/>
        <w:jc w:val="both"/>
      </w:pPr>
      <w:r>
        <w:rPr>
          <w:spacing w:val="-2"/>
        </w:rPr>
        <w:t>①商誉的初始确认；②同时满足具有下列特征的交易中产生的资产或负债的初始确认：</w:t>
      </w:r>
      <w:r>
        <w:rPr>
          <w:rFonts w:ascii="宋体" w:hAnsi="宋体" w:cs="宋体" w:eastAsia="宋体" w:hint="default"/>
          <w:spacing w:val="-2"/>
        </w:rPr>
        <w:t>a</w:t>
      </w:r>
      <w:r>
        <w:rPr>
          <w:spacing w:val="-2"/>
        </w:rPr>
        <w:t>、该项交易不是</w:t>
      </w:r>
      <w:r>
        <w:rPr>
          <w:spacing w:val="-21"/>
        </w:rPr>
        <w:t> </w:t>
      </w:r>
      <w:r>
        <w:rPr>
          <w:spacing w:val="-21"/>
        </w:rPr>
      </w:r>
      <w:r>
        <w:rPr>
          <w:spacing w:val="-2"/>
        </w:rPr>
        <w:t>企业合并；</w:t>
      </w:r>
      <w:r>
        <w:rPr>
          <w:rFonts w:ascii="宋体" w:hAnsi="宋体" w:cs="宋体" w:eastAsia="宋体" w:hint="default"/>
          <w:spacing w:val="-2"/>
        </w:rPr>
        <w:t>b</w:t>
      </w:r>
      <w:r>
        <w:rPr>
          <w:spacing w:val="-2"/>
        </w:rPr>
        <w:t>、交易发生时既不影响会计利润也不影响应纳税所得额</w:t>
      </w:r>
      <w:r>
        <w:rPr>
          <w:rFonts w:ascii="宋体" w:hAnsi="宋体" w:cs="宋体" w:eastAsia="宋体" w:hint="default"/>
          <w:spacing w:val="-2"/>
        </w:rPr>
        <w:t>(</w:t>
      </w:r>
      <w:r>
        <w:rPr>
          <w:spacing w:val="-2"/>
        </w:rPr>
        <w:t>或可抵扣亏损</w:t>
      </w:r>
      <w:r>
        <w:rPr>
          <w:rFonts w:ascii="宋体" w:hAnsi="宋体" w:cs="宋体" w:eastAsia="宋体" w:hint="default"/>
          <w:spacing w:val="-2"/>
        </w:rPr>
        <w:t>)</w:t>
      </w:r>
      <w:r>
        <w:rPr>
          <w:spacing w:val="-2"/>
        </w:rPr>
        <w:t>。③本公司对与子公</w:t>
      </w:r>
      <w:r>
        <w:rPr>
          <w:spacing w:val="-24"/>
        </w:rPr>
        <w:t> </w:t>
      </w:r>
      <w:r>
        <w:rPr>
          <w:spacing w:val="-24"/>
        </w:rPr>
      </w:r>
      <w:r>
        <w:rPr>
          <w:spacing w:val="-2"/>
        </w:rPr>
        <w:t>司、联营公司及合营企业投资产生相关的应纳税暂时性差异，同时满足下列条件的：</w:t>
      </w:r>
      <w:r>
        <w:rPr>
          <w:rFonts w:ascii="宋体" w:hAnsi="宋体" w:cs="宋体" w:eastAsia="宋体" w:hint="default"/>
          <w:spacing w:val="-2"/>
        </w:rPr>
        <w:t>a</w:t>
      </w:r>
      <w:r>
        <w:rPr>
          <w:spacing w:val="-2"/>
        </w:rPr>
        <w:t>、投资企业能够控</w:t>
      </w:r>
      <w:r>
        <w:rPr>
          <w:spacing w:val="-22"/>
        </w:rPr>
        <w:t> </w:t>
      </w:r>
      <w:r>
        <w:rPr>
          <w:spacing w:val="-22"/>
        </w:rPr>
      </w:r>
      <w:r>
        <w:rPr/>
        <w:t>制暂时性差异的转回的时间；</w:t>
      </w:r>
      <w:r>
        <w:rPr>
          <w:rFonts w:ascii="宋体" w:hAnsi="宋体" w:cs="宋体" w:eastAsia="宋体" w:hint="default"/>
        </w:rPr>
        <w:t>b</w:t>
      </w:r>
      <w:r>
        <w:rPr/>
        <w:t>、该暂时性差异在可预见的未来很可能不会转回。</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31</w:t>
      </w:r>
      <w:r>
        <w:rPr/>
        <w:t>、套期会计</w:t>
      </w:r>
      <w:r>
        <w:rPr>
          <w:b w:val="0"/>
          <w:bCs w:val="0"/>
        </w:rPr>
      </w:r>
    </w:p>
    <w:p>
      <w:pPr>
        <w:spacing w:line="600" w:lineRule="atLeast" w:before="12"/>
        <w:ind w:left="152" w:right="33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、主要会计政策、会计估计的变更</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本报告期主要会计政策、会计估计是否变更</w:t>
      </w:r>
    </w:p>
    <w:p>
      <w:pPr>
        <w:spacing w:before="98"/>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600" w:lineRule="atLeast" w:before="30"/>
        <w:ind w:left="152" w:right="55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本报告期主要会计政策是否变更</w:t>
      </w:r>
    </w:p>
    <w:p>
      <w:pPr>
        <w:spacing w:before="98"/>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600" w:lineRule="atLeast" w:before="31"/>
        <w:ind w:left="152" w:right="55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本报告期主要会计估计是否变更</w:t>
      </w:r>
    </w:p>
    <w:p>
      <w:pPr>
        <w:spacing w:before="98"/>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line="506" w:lineRule="auto" w:before="0"/>
        <w:ind w:left="152" w:right="55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、前期会计差错更正</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本报告期是否发现前期会计差错</w:t>
      </w:r>
    </w:p>
    <w:p>
      <w:pPr>
        <w:spacing w:after="0" w:line="506" w:lineRule="auto"/>
        <w:jc w:val="left"/>
        <w:rPr>
          <w:rFonts w:ascii="宋体" w:hAnsi="宋体" w:cs="宋体" w:eastAsia="宋体" w:hint="default"/>
          <w:sz w:val="21"/>
          <w:szCs w:val="21"/>
        </w:rPr>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40" w:lineRule="auto" w:before="83"/>
        <w:ind w:left="573" w:right="0"/>
        <w:jc w:val="left"/>
      </w:pPr>
      <w:r>
        <w:rPr/>
        <w:t>本报告期内公司无重大会计差错更正事项。</w:t>
      </w:r>
    </w:p>
    <w:p>
      <w:pPr>
        <w:spacing w:line="240" w:lineRule="auto" w:before="10"/>
        <w:rPr>
          <w:rFonts w:ascii="宋体" w:hAnsi="宋体" w:cs="宋体" w:eastAsia="宋体" w:hint="default"/>
          <w:sz w:val="26"/>
          <w:szCs w:val="26"/>
        </w:rPr>
      </w:pPr>
    </w:p>
    <w:p>
      <w:pPr>
        <w:spacing w:line="590" w:lineRule="atLeast" w:before="0"/>
        <w:ind w:left="152" w:right="383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本报告期是否发现采用追溯重述法的前期会计差错</w:t>
      </w:r>
    </w:p>
    <w:p>
      <w:pPr>
        <w:spacing w:before="98"/>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590" w:lineRule="atLeast" w:before="43"/>
        <w:ind w:left="152" w:right="383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本报告期是否发现采用未来适用法的前期会计差错</w:t>
      </w:r>
    </w:p>
    <w:p>
      <w:pPr>
        <w:spacing w:before="9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产品、原材料销售取得的增值额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或</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应缴纳的增值税额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应缴纳的增值税额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房产原值扣除</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后的余值</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1.20%</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土地使用面积</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单位税额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56" w:lineRule="auto"/>
        <w:ind w:right="0" w:firstLine="300"/>
        <w:jc w:val="left"/>
      </w:pPr>
      <w:r>
        <w:rPr>
          <w:spacing w:val="-3"/>
        </w:rPr>
        <w:t>本公司所得税税率为</w:t>
      </w:r>
      <w:r>
        <w:rPr>
          <w:rFonts w:ascii="Times New Roman" w:hAnsi="Times New Roman" w:cs="Times New Roman" w:eastAsia="Times New Roman" w:hint="default"/>
          <w:spacing w:val="-3"/>
        </w:rPr>
        <w:t>15%</w:t>
      </w:r>
      <w:r>
        <w:rPr>
          <w:spacing w:val="-3"/>
        </w:rPr>
        <w:t>；本公司控股子公司河北先河中翼环保运营服务有限公司、北京先河中润科技</w:t>
      </w:r>
      <w:r>
        <w:rPr>
          <w:w w:val="100"/>
        </w:rPr>
        <w:t> </w:t>
      </w:r>
      <w:r>
        <w:rPr/>
        <w:t>有限公司、山东先河环保科技有限公司、河北先河金瑞环保设施运营服务有限公司所得税税率为</w:t>
      </w:r>
      <w:r>
        <w:rPr>
          <w:rFonts w:ascii="Times New Roman" w:hAnsi="Times New Roman" w:cs="Times New Roman" w:eastAsia="Times New Roman" w:hint="default"/>
        </w:rPr>
        <w:t>25%</w:t>
      </w:r>
      <w:r>
        <w:rPr/>
        <w:t>。</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BodyText"/>
        <w:spacing w:line="610" w:lineRule="atLeast"/>
        <w:ind w:left="573" w:right="0" w:hanging="421"/>
        <w:jc w:val="left"/>
      </w:pPr>
      <w:r>
        <w:rPr>
          <w:rFonts w:ascii="Times New Roman" w:hAnsi="Times New Roman" w:cs="Times New Roman" w:eastAsia="Times New Roman" w:hint="default"/>
          <w:b/>
          <w:bCs/>
        </w:rPr>
        <w:t>2</w:t>
      </w:r>
      <w:r>
        <w:rPr>
          <w:rFonts w:ascii="宋体" w:hAnsi="宋体" w:cs="宋体" w:eastAsia="宋体" w:hint="default"/>
          <w:b/>
          <w:bCs/>
        </w:rPr>
        <w:t>、税收优惠及批文</w:t>
      </w:r>
      <w:r>
        <w:rPr>
          <w:rFonts w:ascii="宋体" w:hAnsi="宋体" w:cs="宋体" w:eastAsia="宋体" w:hint="default"/>
          <w:b/>
          <w:bCs/>
          <w:spacing w:val="-103"/>
        </w:rPr>
        <w:t> </w:t>
      </w:r>
      <w:r>
        <w:rPr/>
        <w:t>本公司软件产品根据财税</w:t>
      </w:r>
      <w:r>
        <w:rPr>
          <w:rFonts w:ascii="Times New Roman" w:hAnsi="Times New Roman" w:cs="Times New Roman" w:eastAsia="Times New Roman" w:hint="default"/>
        </w:rPr>
        <w:t>[2011]100</w:t>
      </w:r>
      <w:r>
        <w:rPr/>
        <w:t>号</w:t>
      </w:r>
      <w:r>
        <w:rPr>
          <w:rFonts w:ascii="Times New Roman" w:hAnsi="Times New Roman" w:cs="Times New Roman" w:eastAsia="Times New Roman" w:hint="default"/>
        </w:rPr>
        <w:t>“</w:t>
      </w:r>
      <w:r>
        <w:rPr/>
        <w:t>关于软件产品增值税政策的通知</w:t>
      </w:r>
      <w:r>
        <w:rPr>
          <w:rFonts w:ascii="Times New Roman" w:hAnsi="Times New Roman" w:cs="Times New Roman" w:eastAsia="Times New Roman" w:hint="default"/>
        </w:rPr>
        <w:t>”</w:t>
      </w:r>
      <w:r>
        <w:rPr/>
        <w:t>对其入库税款实际税负超过</w:t>
      </w:r>
    </w:p>
    <w:p>
      <w:pPr>
        <w:pStyle w:val="BodyText"/>
        <w:spacing w:line="240" w:lineRule="auto" w:before="21"/>
        <w:ind w:right="0"/>
        <w:jc w:val="left"/>
      </w:pPr>
      <w:r>
        <w:rPr>
          <w:rFonts w:ascii="Times New Roman" w:hAnsi="Times New Roman" w:cs="Times New Roman" w:eastAsia="Times New Roman" w:hint="default"/>
        </w:rPr>
        <w:t>3%</w:t>
      </w:r>
      <w:r>
        <w:rPr/>
        <w:t>的部分经主管税务机关审核批准后，享受即征即退政策。</w:t>
      </w:r>
    </w:p>
    <w:p>
      <w:pPr>
        <w:pStyle w:val="BodyText"/>
        <w:spacing w:line="256" w:lineRule="auto" w:before="21"/>
        <w:ind w:right="151" w:firstLine="420"/>
        <w:jc w:val="both"/>
      </w:pPr>
      <w:r>
        <w:rPr/>
        <w:t>本公司</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2010</w:t>
      </w:r>
      <w:r>
        <w:rPr/>
        <w:t>年被认定为高新技术企业，</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月取得河北省科学技术厅、河北省财政厅、</w:t>
      </w:r>
      <w:r>
        <w:rPr>
          <w:w w:val="100"/>
        </w:rPr>
        <w:t> </w:t>
      </w:r>
      <w:r>
        <w:rPr>
          <w:spacing w:val="-1"/>
        </w:rPr>
        <w:t>河北省国家税务局、河北省地方税务局联合下发的复审高新技术企业证书，证书编号为</w:t>
      </w:r>
      <w:r>
        <w:rPr>
          <w:rFonts w:ascii="Times New Roman" w:hAnsi="Times New Roman" w:cs="Times New Roman" w:eastAsia="Times New Roman" w:hint="default"/>
          <w:spacing w:val="-1"/>
        </w:rPr>
        <w:t>GF20111300018</w:t>
      </w:r>
      <w:r>
        <w:rPr>
          <w:spacing w:val="-1"/>
        </w:rPr>
        <w:t>，</w:t>
      </w:r>
      <w:r>
        <w:rPr>
          <w:spacing w:val="-38"/>
        </w:rPr>
        <w:t> </w:t>
      </w:r>
      <w:r>
        <w:rPr>
          <w:spacing w:val="-2"/>
        </w:rPr>
        <w:t>有效期三年（</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-2013</w:t>
      </w:r>
      <w:r>
        <w:rPr>
          <w:spacing w:val="-2"/>
        </w:rPr>
        <w:t>年），有效期内按</w:t>
      </w:r>
      <w:r>
        <w:rPr>
          <w:rFonts w:ascii="Times New Roman" w:hAnsi="Times New Roman" w:cs="Times New Roman" w:eastAsia="Times New Roman" w:hint="default"/>
          <w:spacing w:val="-2"/>
        </w:rPr>
        <w:t>15%</w:t>
      </w:r>
      <w:r>
        <w:rPr>
          <w:spacing w:val="-2"/>
        </w:rPr>
        <w:t>的税率计缴企业所得税。本公司</w:t>
      </w:r>
      <w:r>
        <w:rPr>
          <w:rFonts w:ascii="Times New Roman" w:hAnsi="Times New Roman" w:cs="Times New Roman" w:eastAsia="Times New Roman" w:hint="default"/>
          <w:spacing w:val="-2"/>
        </w:rPr>
        <w:t>2012</w:t>
      </w:r>
      <w:r>
        <w:rPr>
          <w:spacing w:val="-2"/>
        </w:rPr>
        <w:t>年度按</w:t>
      </w:r>
      <w:r>
        <w:rPr>
          <w:rFonts w:ascii="Times New Roman" w:hAnsi="Times New Roman" w:cs="Times New Roman" w:eastAsia="Times New Roman" w:hint="default"/>
          <w:spacing w:val="-2"/>
        </w:rPr>
        <w:t>15%</w:t>
      </w:r>
      <w:r>
        <w:rPr>
          <w:spacing w:val="-2"/>
        </w:rPr>
        <w:t>税率计缴</w:t>
      </w:r>
      <w:r>
        <w:rPr>
          <w:spacing w:val="-31"/>
        </w:rPr>
        <w:t> </w:t>
      </w:r>
      <w:r>
        <w:rPr>
          <w:spacing w:val="-31"/>
        </w:rPr>
      </w:r>
      <w:r>
        <w:rPr/>
        <w:t>企业所得税。</w:t>
      </w:r>
    </w:p>
    <w:p>
      <w:pPr>
        <w:spacing w:after="0" w:line="256"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0"/>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49" w:firstLine="420"/>
        <w:jc w:val="both"/>
      </w:pPr>
      <w:r>
        <w:rPr/>
        <w:t>（</w:t>
      </w:r>
      <w:r>
        <w:rPr>
          <w:rFonts w:ascii="Times New Roman" w:hAnsi="Times New Roman" w:cs="Times New Roman" w:eastAsia="Times New Roman" w:hint="default"/>
        </w:rPr>
        <w:t>1)</w:t>
      </w:r>
      <w:r>
        <w:rPr/>
        <w:t>本公司一般产品按产品销售收入的</w:t>
      </w:r>
      <w:r>
        <w:rPr>
          <w:rFonts w:ascii="Times New Roman" w:hAnsi="Times New Roman" w:cs="Times New Roman" w:eastAsia="Times New Roman" w:hint="default"/>
        </w:rPr>
        <w:t>17%</w:t>
      </w:r>
      <w:r>
        <w:rPr/>
        <w:t>计算销项税，抵扣进项税后缴纳增值税。软件产品根据财</w:t>
      </w:r>
      <w:r>
        <w:rPr>
          <w:w w:val="100"/>
        </w:rPr>
        <w:t> </w:t>
      </w:r>
      <w:r>
        <w:rPr/>
        <w:t>税</w:t>
      </w:r>
      <w:r>
        <w:rPr>
          <w:rFonts w:ascii="Times New Roman" w:hAnsi="Times New Roman" w:cs="Times New Roman" w:eastAsia="Times New Roman" w:hint="default"/>
        </w:rPr>
        <w:t>[2011]100</w:t>
      </w:r>
      <w:r>
        <w:rPr/>
        <w:t>号</w:t>
      </w:r>
      <w:r>
        <w:rPr>
          <w:rFonts w:ascii="Times New Roman" w:hAnsi="Times New Roman" w:cs="Times New Roman" w:eastAsia="Times New Roman" w:hint="default"/>
        </w:rPr>
        <w:t>“</w:t>
      </w:r>
      <w:r>
        <w:rPr/>
        <w:t>关于软件产品增值税政策的通知</w:t>
      </w:r>
      <w:r>
        <w:rPr>
          <w:rFonts w:ascii="Times New Roman" w:hAnsi="Times New Roman" w:cs="Times New Roman" w:eastAsia="Times New Roman" w:hint="default"/>
        </w:rPr>
        <w:t>”</w:t>
      </w:r>
      <w:r>
        <w:rPr/>
        <w:t>的相关规定</w:t>
      </w:r>
      <w:r>
        <w:rPr>
          <w:rFonts w:ascii="Times New Roman" w:hAnsi="Times New Roman" w:cs="Times New Roman" w:eastAsia="Times New Roman" w:hint="default"/>
        </w:rPr>
        <w:t>,</w:t>
      </w:r>
      <w:r>
        <w:rPr/>
        <w:t>增值税一般纳税人销售其自行开发的软件产</w:t>
      </w:r>
      <w:r>
        <w:rPr>
          <w:spacing w:val="12"/>
        </w:rPr>
        <w:t> </w:t>
      </w:r>
      <w:r>
        <w:rPr>
          <w:spacing w:val="12"/>
        </w:rPr>
      </w:r>
      <w:r>
        <w:rPr/>
        <w:t>品</w:t>
      </w:r>
      <w:r>
        <w:rPr>
          <w:rFonts w:ascii="Times New Roman" w:hAnsi="Times New Roman" w:cs="Times New Roman" w:eastAsia="Times New Roman" w:hint="default"/>
        </w:rPr>
        <w:t>(</w:t>
      </w:r>
      <w:r>
        <w:rPr/>
        <w:t>含嵌入式软件</w:t>
      </w:r>
      <w:r>
        <w:rPr>
          <w:rFonts w:ascii="Times New Roman" w:hAnsi="Times New Roman" w:cs="Times New Roman" w:eastAsia="Times New Roman" w:hint="default"/>
        </w:rPr>
        <w:t>),</w:t>
      </w:r>
      <w:r>
        <w:rPr/>
        <w:t>按</w:t>
      </w:r>
      <w:r>
        <w:rPr>
          <w:rFonts w:ascii="Times New Roman" w:hAnsi="Times New Roman" w:cs="Times New Roman" w:eastAsia="Times New Roman" w:hint="default"/>
        </w:rPr>
        <w:t>17%</w:t>
      </w:r>
      <w:r>
        <w:rPr/>
        <w:t>税率征收增值税后</w:t>
      </w:r>
      <w:r>
        <w:rPr>
          <w:rFonts w:ascii="Times New Roman" w:hAnsi="Times New Roman" w:cs="Times New Roman" w:eastAsia="Times New Roman" w:hint="default"/>
        </w:rPr>
        <w:t>,</w:t>
      </w:r>
      <w:r>
        <w:rPr/>
        <w:t>对增值税款实际税负超过</w:t>
      </w:r>
      <w:r>
        <w:rPr>
          <w:rFonts w:ascii="Times New Roman" w:hAnsi="Times New Roman" w:cs="Times New Roman" w:eastAsia="Times New Roman" w:hint="default"/>
        </w:rPr>
        <w:t>3%</w:t>
      </w:r>
      <w:r>
        <w:rPr/>
        <w:t>的部分经主管税务机关审核批准</w:t>
      </w:r>
      <w:r>
        <w:rPr>
          <w:spacing w:val="8"/>
        </w:rPr>
        <w:t> </w:t>
      </w:r>
      <w:r>
        <w:rPr>
          <w:spacing w:val="8"/>
        </w:rPr>
      </w:r>
      <w:r>
        <w:rPr/>
        <w:t>后，享受即征即退政策。</w:t>
      </w:r>
    </w:p>
    <w:p>
      <w:pPr>
        <w:pStyle w:val="BodyText"/>
        <w:spacing w:line="256" w:lineRule="auto" w:before="22"/>
        <w:ind w:right="156" w:firstLine="420"/>
        <w:jc w:val="both"/>
      </w:pPr>
      <w:r>
        <w:rPr/>
        <w:t>（</w:t>
      </w:r>
      <w:r>
        <w:rPr>
          <w:rFonts w:ascii="Times New Roman" w:hAnsi="Times New Roman" w:cs="Times New Roman" w:eastAsia="Times New Roman" w:hint="default"/>
        </w:rPr>
        <w:t>2</w:t>
      </w:r>
      <w:r>
        <w:rPr/>
        <w:t>）本公司控股子公司河北先河中翼环保运营服务有限公司、山东先河环保科技有限公司均为增值</w:t>
      </w:r>
      <w:r>
        <w:rPr>
          <w:w w:val="100"/>
        </w:rPr>
        <w:t> </w:t>
      </w:r>
      <w:r>
        <w:rPr/>
        <w:t>税小规模纳税人，增值税税率为</w:t>
      </w:r>
      <w:r>
        <w:rPr>
          <w:rFonts w:ascii="Times New Roman" w:hAnsi="Times New Roman" w:cs="Times New Roman" w:eastAsia="Times New Roman" w:hint="default"/>
        </w:rPr>
        <w:t>3%</w:t>
      </w:r>
      <w:r>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3"/>
          <w:szCs w:val="23"/>
        </w:rPr>
      </w:pPr>
    </w:p>
    <w:p>
      <w:pPr>
        <w:pStyle w:val="Heading2"/>
        <w:spacing w:line="240" w:lineRule="auto"/>
        <w:ind w:right="0"/>
        <w:jc w:val="left"/>
        <w:rPr>
          <w:b w:val="0"/>
          <w:bCs w:val="0"/>
        </w:rPr>
      </w:pPr>
      <w:r>
        <w:rPr/>
        <w:t>六、企业合并及合并财务报表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6"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2275"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河北先 河中翼 环保运 营服务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08"/>
              <w:jc w:val="left"/>
              <w:rPr>
                <w:rFonts w:ascii="宋体" w:hAnsi="宋体" w:cs="宋体" w:eastAsia="宋体" w:hint="default"/>
                <w:sz w:val="18"/>
                <w:szCs w:val="18"/>
              </w:rPr>
            </w:pPr>
            <w:r>
              <w:rPr>
                <w:rFonts w:ascii="宋体" w:hAnsi="宋体" w:cs="宋体" w:eastAsia="宋体" w:hint="default"/>
                <w:sz w:val="18"/>
                <w:szCs w:val="18"/>
              </w:rPr>
              <w:t>石家庄 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6"/>
              <w:jc w:val="both"/>
              <w:rPr>
                <w:rFonts w:ascii="宋体" w:hAnsi="宋体" w:cs="宋体" w:eastAsia="宋体" w:hint="default"/>
                <w:sz w:val="18"/>
                <w:szCs w:val="18"/>
              </w:rPr>
            </w:pPr>
            <w:r>
              <w:rPr>
                <w:rFonts w:ascii="宋体" w:hAnsi="宋体" w:cs="宋体" w:eastAsia="宋体" w:hint="default"/>
                <w:sz w:val="18"/>
                <w:szCs w:val="18"/>
              </w:rPr>
              <w:t>环保设 备的安 装调试 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环境监 测仪 器、环 保设备 的安装 调试服 务等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300.00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北京先 河中润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按法 律、法 规规定 经营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按法 律、法 规规定 经营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26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山东先 河环保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环保专 用设备 的开 发、技 术咨 询、销 售、安 装</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环保技 术、计 量仪器 的开 发；化 工产品</w:t>
            </w:r>
          </w:p>
          <w:p>
            <w:pPr>
              <w:pStyle w:val="TableParagraph"/>
              <w:spacing w:line="316"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（不含 危险化 </w:t>
            </w:r>
            <w:r>
              <w:rPr>
                <w:rFonts w:ascii="宋体" w:hAnsi="宋体" w:cs="宋体" w:eastAsia="宋体" w:hint="default"/>
                <w:spacing w:val="-23"/>
                <w:sz w:val="18"/>
                <w:szCs w:val="18"/>
              </w:rPr>
              <w:t>学品）、</w:t>
            </w:r>
            <w:r>
              <w:rPr>
                <w:rFonts w:ascii="宋体" w:hAnsi="宋体" w:cs="宋体" w:eastAsia="宋体" w:hint="default"/>
                <w:sz w:val="18"/>
                <w:szCs w:val="18"/>
              </w:rPr>
              <w:t> 电子产 品等的 销售； 软件产 品的开 发、生 产、销 售；环 境监测 仪器的 开发、 销售、 技术服 务等。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77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河北先 河金瑞 环保设 施运营 服务有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9"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9" w:lineRule="auto"/>
              <w:ind w:left="23" w:right="108"/>
              <w:jc w:val="left"/>
              <w:rPr>
                <w:rFonts w:ascii="宋体" w:hAnsi="宋体" w:cs="宋体" w:eastAsia="宋体" w:hint="default"/>
                <w:sz w:val="18"/>
                <w:szCs w:val="18"/>
              </w:rPr>
            </w:pPr>
            <w:r>
              <w:rPr>
                <w:rFonts w:ascii="宋体" w:hAnsi="宋体" w:cs="宋体" w:eastAsia="宋体" w:hint="default"/>
                <w:sz w:val="18"/>
                <w:szCs w:val="18"/>
              </w:rPr>
              <w:t>石家庄 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3" w:right="106"/>
              <w:jc w:val="left"/>
              <w:rPr>
                <w:rFonts w:ascii="宋体" w:hAnsi="宋体" w:cs="宋体" w:eastAsia="宋体" w:hint="default"/>
                <w:sz w:val="18"/>
                <w:szCs w:val="18"/>
              </w:rPr>
            </w:pPr>
            <w:r>
              <w:rPr>
                <w:rFonts w:ascii="宋体" w:hAnsi="宋体" w:cs="宋体" w:eastAsia="宋体" w:hint="default"/>
                <w:sz w:val="18"/>
                <w:szCs w:val="18"/>
              </w:rPr>
              <w:t>环保专 用设备 的安 装、维 修及技 术咨询 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sz w:val="18"/>
              </w:rPr>
              <w:t>300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环境监 测仪 器、环 保设备 的安装 调试服 务、日 常运营 管理服 务、维 修服 务、技 术咨 询、技 术服务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pacing w:val="-1"/>
                <w:sz w:val="18"/>
              </w:rPr>
              <w:t>225.00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4"/>
              <w:jc w:val="right"/>
              <w:rPr>
                <w:rFonts w:ascii="Times New Roman" w:hAnsi="Times New Roman" w:cs="Times New Roman" w:eastAsia="Times New Roman" w:hint="default"/>
                <w:sz w:val="18"/>
                <w:szCs w:val="18"/>
              </w:rPr>
            </w:pPr>
            <w:r>
              <w:rPr>
                <w:rFonts w:ascii="Times New Roman"/>
                <w:sz w:val="18"/>
              </w:rPr>
              <w:t>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sz w:val="18"/>
              </w:rPr>
              <w:t>75%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330,176</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.15</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412" w:lineRule="auto" w:before="36"/>
        <w:ind w:right="101" w:firstLine="420"/>
        <w:jc w:val="left"/>
      </w:pPr>
      <w:r>
        <w:rPr/>
        <w:t>①河北先河中翼环保运营服务有限公司于</w:t>
      </w:r>
      <w:r>
        <w:rPr>
          <w:spacing w:val="-3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日由本公司出资设立。根据相关公司章程、</w:t>
      </w:r>
      <w:r>
        <w:rPr>
          <w:w w:val="100"/>
        </w:rPr>
        <w:t> </w:t>
      </w:r>
      <w:r>
        <w:rPr/>
        <w:t>协议的规定，本公司以货币出资 </w:t>
      </w:r>
      <w:r>
        <w:rPr>
          <w:rFonts w:ascii="Times New Roman" w:hAnsi="Times New Roman" w:cs="Times New Roman" w:eastAsia="Times New Roman" w:hint="default"/>
        </w:rPr>
        <w:t>300 </w:t>
      </w:r>
      <w:r>
        <w:rPr/>
        <w:t>万元，占注册资本的</w:t>
      </w:r>
      <w:r>
        <w:rPr>
          <w:spacing w:val="-58"/>
        </w:rPr>
        <w:t> </w:t>
      </w:r>
      <w:r>
        <w:rPr>
          <w:rFonts w:ascii="Times New Roman" w:hAnsi="Times New Roman" w:cs="Times New Roman" w:eastAsia="Times New Roman" w:hint="default"/>
        </w:rPr>
        <w:t>100%</w:t>
      </w:r>
      <w:r>
        <w:rPr/>
        <w:t>。</w:t>
      </w:r>
    </w:p>
    <w:p>
      <w:pPr>
        <w:spacing w:line="240" w:lineRule="auto" w:before="8"/>
        <w:rPr>
          <w:rFonts w:ascii="宋体" w:hAnsi="宋体" w:cs="宋体" w:eastAsia="宋体" w:hint="default"/>
          <w:sz w:val="24"/>
          <w:szCs w:val="24"/>
        </w:rPr>
      </w:pPr>
    </w:p>
    <w:p>
      <w:pPr>
        <w:pStyle w:val="BodyText"/>
        <w:spacing w:line="240" w:lineRule="auto"/>
        <w:ind w:left="573" w:right="0"/>
        <w:jc w:val="left"/>
      </w:pPr>
      <w:r>
        <w:rPr/>
        <w:t>②北京先河中润科技有限公司</w:t>
      </w:r>
      <w:r>
        <w:rPr>
          <w:spacing w:val="-4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spacing w:val="-6"/>
        </w:rPr>
        <w:t>日由本公司出资设立。根据相关公司章程、协议的规定，</w:t>
      </w:r>
    </w:p>
    <w:p>
      <w:pPr>
        <w:spacing w:line="240" w:lineRule="auto" w:before="2"/>
        <w:rPr>
          <w:rFonts w:ascii="宋体" w:hAnsi="宋体" w:cs="宋体" w:eastAsia="宋体" w:hint="default"/>
          <w:sz w:val="16"/>
          <w:szCs w:val="16"/>
        </w:rPr>
      </w:pPr>
    </w:p>
    <w:p>
      <w:pPr>
        <w:pStyle w:val="BodyText"/>
        <w:spacing w:line="240" w:lineRule="auto"/>
        <w:ind w:right="101"/>
        <w:jc w:val="left"/>
      </w:pPr>
      <w:r>
        <w:rPr/>
        <w:t>本公司以货币出资</w:t>
      </w:r>
      <w:r>
        <w:rPr>
          <w:spacing w:val="-54"/>
        </w:rPr>
        <w:t> </w:t>
      </w:r>
      <w:r>
        <w:rPr>
          <w:rFonts w:ascii="Times New Roman" w:hAnsi="Times New Roman" w:cs="Times New Roman" w:eastAsia="Times New Roman" w:hint="default"/>
        </w:rPr>
        <w:t>60</w:t>
      </w:r>
      <w:r>
        <w:rPr>
          <w:rFonts w:ascii="Times New Roman" w:hAnsi="Times New Roman" w:cs="Times New Roman" w:eastAsia="Times New Roman" w:hint="default"/>
          <w:spacing w:val="29"/>
        </w:rPr>
        <w:t> </w:t>
      </w:r>
      <w:r>
        <w:rPr/>
        <w:t>万元、以知识产权</w:t>
      </w:r>
      <w:r>
        <w:rPr>
          <w:rFonts w:ascii="Times New Roman" w:hAnsi="Times New Roman" w:cs="Times New Roman" w:eastAsia="Times New Roman" w:hint="default"/>
        </w:rPr>
        <w:t>-</w:t>
      </w:r>
      <w:r>
        <w:rPr/>
        <w:t>非专利技术出资</w:t>
      </w:r>
      <w:r>
        <w:rPr>
          <w:spacing w:val="-53"/>
        </w:rPr>
        <w:t> </w:t>
      </w:r>
      <w:r>
        <w:rPr>
          <w:rFonts w:ascii="Times New Roman" w:hAnsi="Times New Roman" w:cs="Times New Roman" w:eastAsia="Times New Roman" w:hint="default"/>
        </w:rPr>
        <w:t>140</w:t>
      </w:r>
      <w:r>
        <w:rPr>
          <w:rFonts w:ascii="Times New Roman" w:hAnsi="Times New Roman" w:cs="Times New Roman" w:eastAsia="Times New Roman" w:hint="default"/>
          <w:spacing w:val="-13"/>
        </w:rPr>
        <w:t> </w:t>
      </w:r>
      <w:r>
        <w:rPr/>
        <w:t>万元，占注册资本的</w:t>
      </w:r>
      <w:r>
        <w:rPr>
          <w:spacing w:val="-54"/>
        </w:rPr>
        <w:t> </w:t>
      </w:r>
      <w:r>
        <w:rPr>
          <w:rFonts w:ascii="Times New Roman" w:hAnsi="Times New Roman" w:cs="Times New Roman" w:eastAsia="Times New Roman" w:hint="default"/>
        </w:rPr>
        <w:t>100%</w:t>
      </w:r>
      <w:r>
        <w:rPr/>
        <w:t>。</w:t>
      </w:r>
    </w:p>
    <w:p>
      <w:pPr>
        <w:spacing w:line="240" w:lineRule="auto" w:before="7"/>
        <w:rPr>
          <w:rFonts w:ascii="宋体" w:hAnsi="宋体" w:cs="宋体" w:eastAsia="宋体" w:hint="default"/>
          <w:sz w:val="24"/>
          <w:szCs w:val="24"/>
        </w:rPr>
      </w:pPr>
    </w:p>
    <w:p>
      <w:pPr>
        <w:pStyle w:val="BodyText"/>
        <w:spacing w:line="256" w:lineRule="auto"/>
        <w:ind w:right="101" w:firstLine="314"/>
        <w:jc w:val="left"/>
      </w:pPr>
      <w:r>
        <w:rPr>
          <w:spacing w:val="-2"/>
        </w:rPr>
        <w:t>③山东先河环保科技有限公司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30</w:t>
      </w:r>
      <w:r>
        <w:rPr>
          <w:spacing w:val="-2"/>
        </w:rPr>
        <w:t>日由本公司出资设立。根据相关公司章程、协议的规定，本</w:t>
      </w:r>
      <w:r>
        <w:rPr>
          <w:w w:val="100"/>
        </w:rPr>
        <w:t> </w:t>
      </w:r>
      <w:r>
        <w:rPr/>
        <w:t>公司以货币出资</w:t>
      </w:r>
      <w:r>
        <w:rPr>
          <w:rFonts w:ascii="Times New Roman" w:hAnsi="Times New Roman" w:cs="Times New Roman" w:eastAsia="Times New Roman" w:hint="default"/>
        </w:rPr>
        <w:t>800</w:t>
      </w:r>
      <w:r>
        <w:rPr>
          <w:rFonts w:ascii="Times New Roman" w:hAnsi="Times New Roman" w:cs="Times New Roman" w:eastAsia="Times New Roman" w:hint="default"/>
          <w:spacing w:val="28"/>
        </w:rPr>
        <w:t> </w:t>
      </w:r>
      <w:r>
        <w:rPr/>
        <w:t>万元，占注册资本的</w:t>
      </w:r>
      <w:r>
        <w:rPr>
          <w:rFonts w:ascii="Times New Roman" w:hAnsi="Times New Roman" w:cs="Times New Roman" w:eastAsia="Times New Roman" w:hint="default"/>
        </w:rPr>
        <w:t>100%</w:t>
      </w:r>
      <w:r>
        <w:rPr/>
        <w:t>。</w:t>
      </w:r>
    </w:p>
    <w:p>
      <w:pPr>
        <w:spacing w:line="240" w:lineRule="auto" w:before="3"/>
        <w:rPr>
          <w:rFonts w:ascii="宋体" w:hAnsi="宋体" w:cs="宋体" w:eastAsia="宋体" w:hint="default"/>
          <w:sz w:val="24"/>
          <w:szCs w:val="24"/>
        </w:rPr>
      </w:pPr>
    </w:p>
    <w:p>
      <w:pPr>
        <w:pStyle w:val="BodyText"/>
        <w:spacing w:line="256" w:lineRule="auto"/>
        <w:ind w:right="101" w:firstLine="314"/>
        <w:jc w:val="left"/>
      </w:pPr>
      <w:r>
        <w:rPr/>
        <w:t>④河北先河金瑞环保设施运营服务有限公司于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日由本公司与河北金瑞环保技术信息服务</w:t>
      </w:r>
      <w:r>
        <w:rPr>
          <w:w w:val="100"/>
        </w:rPr>
        <w:t> </w:t>
      </w:r>
      <w:r>
        <w:rPr>
          <w:spacing w:val="-6"/>
        </w:rPr>
        <w:t>有限公司共同出资设立。根据相关公司章程、协议的规定，本公司以货币出资</w:t>
      </w:r>
      <w:r>
        <w:rPr>
          <w:rFonts w:ascii="Times New Roman" w:hAnsi="Times New Roman" w:cs="Times New Roman" w:eastAsia="Times New Roman" w:hint="default"/>
          <w:spacing w:val="-6"/>
        </w:rPr>
        <w:t>225</w:t>
      </w:r>
      <w:r>
        <w:rPr>
          <w:spacing w:val="-6"/>
        </w:rPr>
        <w:t>万元，占注册资本的</w:t>
      </w:r>
      <w:r>
        <w:rPr>
          <w:rFonts w:ascii="Times New Roman" w:hAnsi="Times New Roman" w:cs="Times New Roman" w:eastAsia="Times New Roman" w:hint="default"/>
          <w:spacing w:val="-6"/>
        </w:rPr>
        <w:t>75%</w:t>
      </w:r>
      <w:r>
        <w:rPr>
          <w:spacing w:val="-6"/>
        </w:rPr>
        <w:t>，</w:t>
      </w:r>
      <w:r>
        <w:rPr>
          <w:spacing w:val="-9"/>
        </w:rPr>
        <w:t> </w:t>
      </w:r>
      <w:r>
        <w:rPr/>
        <w:t>河北金瑞环保技术信息服务有限公司以货币出资</w:t>
      </w:r>
      <w:r>
        <w:rPr>
          <w:rFonts w:ascii="Times New Roman" w:hAnsi="Times New Roman" w:cs="Times New Roman" w:eastAsia="Times New Roman" w:hint="default"/>
        </w:rPr>
        <w:t>75</w:t>
      </w:r>
      <w:r>
        <w:rPr/>
        <w:t>万元，占注册资本的</w:t>
      </w:r>
      <w:r>
        <w:rPr>
          <w:rFonts w:ascii="Times New Roman" w:hAnsi="Times New Roman" w:cs="Times New Roman" w:eastAsia="Times New Roman" w:hint="default"/>
        </w:rPr>
        <w:t>25%</w:t>
      </w:r>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3"/>
        <w:spacing w:line="240" w:lineRule="auto"/>
        <w:ind w:right="101"/>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2"/>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pStyle w:val="BodyText"/>
        <w:spacing w:line="240" w:lineRule="auto" w:before="96"/>
        <w:ind w:right="101"/>
        <w:jc w:val="left"/>
      </w:pPr>
      <w:r>
        <w:rPr/>
        <w:t>合并范围未发生变更</w:t>
      </w:r>
    </w:p>
    <w:p>
      <w:pPr>
        <w:spacing w:before="98"/>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1"/>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1"/>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328"/>
        <w:gridCol w:w="918"/>
        <w:gridCol w:w="1485"/>
        <w:gridCol w:w="1318"/>
        <w:gridCol w:w="917"/>
        <w:gridCol w:w="1606"/>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1" w:type="dxa"/>
            <w:gridSpan w:val="3"/>
            <w:vMerge/>
            <w:tcBorders>
              <w:left w:val="single" w:sz="4" w:space="0" w:color="000000"/>
              <w:bottom w:val="single" w:sz="4" w:space="0" w:color="000000"/>
              <w:right w:val="single" w:sz="4" w:space="0" w:color="000000"/>
            </w:tcBorders>
            <w:shd w:val="clear" w:color="auto" w:fill="D2D2D2"/>
          </w:tcPr>
          <w:p>
            <w:pPr/>
          </w:p>
        </w:tc>
        <w:tc>
          <w:tcPr>
            <w:tcW w:w="384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4"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48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127,196.20</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66,056.64</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127,196.20</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66,056.64</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469,695,612.08</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563,915,790.11</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469,695,612.08</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563,915,790.11</w:t>
            </w: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2,763,436.36</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2,763,436.36</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472,586,244.64</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563,981,846.75</w:t>
            </w:r>
          </w:p>
        </w:tc>
      </w:tr>
    </w:tbl>
    <w:p>
      <w:pPr>
        <w:spacing w:before="49"/>
        <w:ind w:left="152" w:right="101"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pStyle w:val="BodyText"/>
        <w:spacing w:line="240" w:lineRule="auto" w:before="94"/>
        <w:ind w:left="573" w:right="101"/>
        <w:jc w:val="left"/>
      </w:pPr>
      <w:r>
        <w:rPr/>
        <w:t>注：其他货币资金中，受限制的货币资金明细如下：</w:t>
      </w:r>
    </w:p>
    <w:p>
      <w:pPr>
        <w:spacing w:line="240" w:lineRule="auto" w:before="7"/>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3075"/>
        <w:gridCol w:w="3077"/>
        <w:gridCol w:w="2705"/>
      </w:tblGrid>
      <w:tr>
        <w:trPr>
          <w:trHeight w:val="355" w:hRule="exact"/>
        </w:trPr>
        <w:tc>
          <w:tcPr>
            <w:tcW w:w="3075" w:type="dxa"/>
            <w:tcBorders>
              <w:top w:val="single" w:sz="6" w:space="0" w:color="000000"/>
              <w:left w:val="single" w:sz="6" w:space="0" w:color="000000"/>
              <w:bottom w:val="single" w:sz="12" w:space="0" w:color="000000"/>
              <w:right w:val="single" w:sz="6" w:space="0" w:color="000000"/>
            </w:tcBorders>
          </w:tcPr>
          <w:p>
            <w:pPr>
              <w:pStyle w:val="TableParagraph"/>
              <w:tabs>
                <w:tab w:pos="494" w:val="left" w:leader="none"/>
              </w:tabs>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0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0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3" w:hRule="exact"/>
        </w:trPr>
        <w:tc>
          <w:tcPr>
            <w:tcW w:w="3075"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4" w:right="0"/>
              <w:jc w:val="left"/>
              <w:rPr>
                <w:rFonts w:ascii="宋体" w:hAnsi="宋体" w:cs="宋体" w:eastAsia="宋体" w:hint="default"/>
                <w:sz w:val="20"/>
                <w:szCs w:val="20"/>
              </w:rPr>
            </w:pPr>
            <w:r>
              <w:rPr>
                <w:rFonts w:ascii="宋体" w:hAnsi="宋体" w:cs="宋体" w:eastAsia="宋体" w:hint="default"/>
                <w:sz w:val="20"/>
                <w:szCs w:val="20"/>
              </w:rPr>
              <w:t>保函保证金</w:t>
            </w:r>
          </w:p>
        </w:tc>
        <w:tc>
          <w:tcPr>
            <w:tcW w:w="30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2008" w:right="0"/>
              <w:jc w:val="left"/>
              <w:rPr>
                <w:rFonts w:ascii="Times New Roman" w:hAnsi="Times New Roman" w:cs="Times New Roman" w:eastAsia="Times New Roman" w:hint="default"/>
                <w:sz w:val="20"/>
                <w:szCs w:val="20"/>
              </w:rPr>
            </w:pPr>
            <w:r>
              <w:rPr>
                <w:rFonts w:ascii="Times New Roman"/>
                <w:sz w:val="20"/>
              </w:rPr>
              <w:t>2,763,436.36</w:t>
            </w:r>
          </w:p>
        </w:tc>
        <w:tc>
          <w:tcPr>
            <w:tcW w:w="2705"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left="573" w:right="0"/>
        <w:jc w:val="left"/>
      </w:pPr>
      <w:r>
        <w:rPr/>
        <w:t>本公司编制现金流量表时，已将其他货币资金从期末现金及现金等价物中扣除。</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1340"/>
        <w:gridCol w:w="1339"/>
        <w:gridCol w:w="1433"/>
        <w:gridCol w:w="1339"/>
        <w:gridCol w:w="1337"/>
        <w:gridCol w:w="1339"/>
      </w:tblGrid>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3" w:right="35"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2"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933,757.50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978,464.38</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1,912,221.88</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933,757.50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978,464.38</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1,912,221.88</w:t>
            </w:r>
          </w:p>
        </w:tc>
      </w:tr>
    </w:tbl>
    <w:p>
      <w:pPr>
        <w:spacing w:line="240" w:lineRule="auto" w:before="3"/>
        <w:rPr>
          <w:rFonts w:ascii="宋体" w:hAnsi="宋体" w:cs="宋体" w:eastAsia="宋体" w:hint="default"/>
          <w:sz w:val="19"/>
          <w:szCs w:val="19"/>
        </w:rPr>
      </w:pPr>
    </w:p>
    <w:p>
      <w:pPr>
        <w:spacing w:line="506" w:lineRule="auto"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）应收利息的说明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期末余额较年初余额增加</w:t>
      </w:r>
      <w:r>
        <w:rPr>
          <w:rFonts w:ascii="Times New Roman" w:hAnsi="Times New Roman" w:cs="Times New Roman" w:eastAsia="Times New Roman" w:hint="default"/>
          <w:spacing w:val="-2"/>
          <w:sz w:val="21"/>
          <w:szCs w:val="21"/>
        </w:rPr>
        <w:t>978,464.38</w:t>
      </w:r>
      <w:r>
        <w:rPr>
          <w:rFonts w:ascii="宋体" w:hAnsi="宋体" w:cs="宋体" w:eastAsia="宋体" w:hint="default"/>
          <w:spacing w:val="-2"/>
          <w:sz w:val="21"/>
          <w:szCs w:val="21"/>
        </w:rPr>
        <w:t>元，增幅为</w:t>
      </w:r>
      <w:r>
        <w:rPr>
          <w:rFonts w:ascii="Times New Roman" w:hAnsi="Times New Roman" w:cs="Times New Roman" w:eastAsia="Times New Roman" w:hint="default"/>
          <w:spacing w:val="-2"/>
          <w:sz w:val="21"/>
          <w:szCs w:val="21"/>
        </w:rPr>
        <w:t>104.79%</w:t>
      </w:r>
      <w:r>
        <w:rPr>
          <w:rFonts w:ascii="宋体" w:hAnsi="宋体" w:cs="宋体" w:eastAsia="宋体" w:hint="default"/>
          <w:spacing w:val="-2"/>
          <w:sz w:val="18"/>
          <w:szCs w:val="18"/>
        </w:rPr>
        <w:t>，</w:t>
      </w:r>
      <w:r>
        <w:rPr>
          <w:rFonts w:ascii="宋体" w:hAnsi="宋体" w:cs="宋体" w:eastAsia="宋体" w:hint="default"/>
          <w:spacing w:val="-2"/>
          <w:sz w:val="21"/>
          <w:szCs w:val="21"/>
        </w:rPr>
        <w:t>增加原因为定期存款的应收利息增加。</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63"/>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以账龄作为信用风险特 征组合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187,974,29</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20,548,237.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179,949,5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18.21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13,685,427.7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4" w:right="0"/>
              <w:jc w:val="center"/>
              <w:rPr>
                <w:rFonts w:ascii="Times New Roman" w:hAnsi="Times New Roman" w:cs="Times New Roman" w:eastAsia="Times New Roman" w:hint="default"/>
                <w:sz w:val="18"/>
                <w:szCs w:val="18"/>
              </w:rPr>
            </w:pPr>
            <w:r>
              <w:rPr>
                <w:rFonts w:ascii="Times New Roman"/>
                <w:sz w:val="18"/>
              </w:rPr>
              <w:t>187,974,29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2" w:right="0"/>
              <w:jc w:val="center"/>
              <w:rPr>
                <w:rFonts w:ascii="Times New Roman" w:hAnsi="Times New Roman" w:cs="Times New Roman" w:eastAsia="Times New Roman" w:hint="default"/>
                <w:sz w:val="18"/>
                <w:szCs w:val="18"/>
              </w:rPr>
            </w:pPr>
            <w:r>
              <w:rPr>
                <w:rFonts w:ascii="Times New Roman"/>
                <w:sz w:val="18"/>
              </w:rPr>
              <w:t>20,548,237.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 w:right="0"/>
              <w:jc w:val="center"/>
              <w:rPr>
                <w:rFonts w:ascii="Times New Roman" w:hAnsi="Times New Roman" w:cs="Times New Roman" w:eastAsia="Times New Roman" w:hint="default"/>
                <w:sz w:val="18"/>
                <w:szCs w:val="18"/>
              </w:rPr>
            </w:pPr>
            <w:r>
              <w:rPr>
                <w:rFonts w:ascii="Times New Roman"/>
                <w:sz w:val="18"/>
              </w:rPr>
              <w:t>179,949,5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4" w:right="0"/>
              <w:jc w:val="center"/>
              <w:rPr>
                <w:rFonts w:ascii="Times New Roman" w:hAnsi="Times New Roman" w:cs="Times New Roman" w:eastAsia="Times New Roman" w:hint="default"/>
                <w:sz w:val="18"/>
                <w:szCs w:val="18"/>
              </w:rPr>
            </w:pPr>
            <w:r>
              <w:rPr>
                <w:rFonts w:ascii="Times New Roman"/>
                <w:sz w:val="18"/>
              </w:rPr>
              <w:t>13,685,427.7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931"/>
        <w:gridCol w:w="930"/>
        <w:gridCol w:w="929"/>
        <w:gridCol w:w="929"/>
        <w:gridCol w:w="798"/>
        <w:gridCol w:w="928"/>
        <w:gridCol w:w="1065"/>
        <w:gridCol w:w="1064"/>
      </w:tblGrid>
      <w:tr>
        <w:trPr>
          <w:trHeight w:val="36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3" w:right="0"/>
              <w:jc w:val="left"/>
              <w:rPr>
                <w:rFonts w:ascii="Times New Roman" w:hAnsi="Times New Roman" w:cs="Times New Roman" w:eastAsia="Times New Roman" w:hint="default"/>
                <w:sz w:val="18"/>
                <w:szCs w:val="18"/>
              </w:rPr>
            </w:pPr>
            <w:r>
              <w:rPr>
                <w:rFonts w:ascii="Times New Roman"/>
                <w:sz w:val="18"/>
              </w:rPr>
              <w:t>9.20</w:t>
            </w:r>
          </w:p>
        </w:tc>
        <w:tc>
          <w:tcPr>
            <w:tcW w:w="930"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45</w:t>
            </w:r>
          </w:p>
        </w:tc>
        <w:tc>
          <w:tcPr>
            <w:tcW w:w="92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0" w:right="0"/>
              <w:jc w:val="left"/>
              <w:rPr>
                <w:rFonts w:ascii="Times New Roman" w:hAnsi="Times New Roman" w:cs="Times New Roman" w:eastAsia="Times New Roman" w:hint="default"/>
                <w:sz w:val="18"/>
                <w:szCs w:val="18"/>
              </w:rPr>
            </w:pPr>
            <w:r>
              <w:rPr>
                <w:rFonts w:ascii="Times New Roman"/>
                <w:sz w:val="18"/>
              </w:rPr>
              <w:t>18.21</w:t>
            </w:r>
          </w:p>
        </w:tc>
        <w:tc>
          <w:tcPr>
            <w:tcW w:w="928"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187,974,29</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9.20</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20,548,237.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179,949,5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18.21</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13,685,427.7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360" w:lineRule="auto" w:before="49"/>
        <w:ind w:left="152" w:right="2321" w:firstLine="0"/>
        <w:jc w:val="left"/>
        <w:rPr>
          <w:rFonts w:ascii="宋体" w:hAnsi="宋体" w:cs="宋体" w:eastAsia="宋体" w:hint="default"/>
          <w:sz w:val="18"/>
          <w:szCs w:val="18"/>
        </w:rPr>
      </w:pPr>
      <w:r>
        <w:rPr>
          <w:rFonts w:ascii="宋体" w:hAnsi="宋体" w:cs="宋体" w:eastAsia="宋体" w:hint="default"/>
          <w:sz w:val="18"/>
          <w:szCs w:val="18"/>
        </w:rPr>
        <w:t>应收账款种类的说明 无</w:t>
      </w:r>
    </w:p>
    <w:p>
      <w:pPr>
        <w:spacing w:before="27"/>
        <w:ind w:left="152" w:right="-19"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52" w:right="23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4" w:space="471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7"/>
        <w:gridCol w:w="1594"/>
        <w:gridCol w:w="929"/>
        <w:gridCol w:w="1728"/>
        <w:gridCol w:w="1459"/>
        <w:gridCol w:w="932"/>
        <w:gridCol w:w="1459"/>
      </w:tblGrid>
      <w:tr>
        <w:trPr>
          <w:trHeight w:val="401" w:hRule="exact"/>
        </w:trPr>
        <w:tc>
          <w:tcPr>
            <w:tcW w:w="1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467"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6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71,888,017.63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38.25%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3,584,495.88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120,333,363.67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66.87%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6,016,668.18</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71,888,017.63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38.24%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3,584,495.88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120,333,363.67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66.87%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6,016,668.18</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98,072,145.83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52.17%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9,807,214.58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55,170,714.81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30.66%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5,517,071.48</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15,510,869.64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4,653,260.89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3,276,788.00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983,036.40</w:t>
            </w:r>
          </w:p>
        </w:tc>
      </w:tr>
      <w:tr>
        <w:trPr>
          <w:trHeight w:val="404"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2,503,266.10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2,503,266.10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1,168,651.73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1,168,651.73</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187,974,299.20</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20,548,237.45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179,949,518.21</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13,685,427.79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43"/>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3"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w:t>
      </w:r>
      <w:r>
        <w:rPr>
          <w:spacing w:val="85"/>
        </w:rPr>
        <w:t> </w:t>
      </w:r>
      <w:r>
        <w:rPr/>
        <w:t>本报告期实际核销的应收账款情况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 本报告期应收账款中持有公司 </w:t>
      </w:r>
      <w:r>
        <w:rPr>
          <w:rFonts w:ascii="Times New Roman" w:hAnsi="Times New Roman" w:cs="Times New Roman" w:eastAsia="Times New Roman" w:hint="default"/>
        </w:rPr>
        <w:t>5</w:t>
      </w:r>
      <w:r>
        <w:rPr/>
        <w:t>％（含</w:t>
      </w:r>
      <w:r>
        <w:rPr>
          <w:spacing w:val="-23"/>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2"/>
        <w:rPr>
          <w:rFonts w:ascii="宋体" w:hAnsi="宋体" w:cs="宋体" w:eastAsia="宋体" w:hint="default"/>
          <w:b/>
          <w:bCs/>
          <w:sz w:val="26"/>
          <w:szCs w:val="26"/>
        </w:rPr>
      </w:pPr>
    </w:p>
    <w:p>
      <w:pPr>
        <w:spacing w:before="0"/>
        <w:ind w:left="87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河北正和信通电子有限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9,616,000.02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河北省环境监测中心站</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秦皇岛环境监测站</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6,830,900.00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贵州省环境监测中心站</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中国环境监测总站</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3,812,301.27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33,399,201.29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17.77%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3"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4"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以账龄作为信用风险特 征组合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24,859,626.2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2,465,709.50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11,506,197.2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2,230,985.87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24,859,626.2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2,465,709.50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11,506,197.2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2,230,985.87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24,859,626.2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2,465,709.50</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11,506,197.2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2,230,985.87</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980"/>
        </w:sectPr>
      </w:pPr>
    </w:p>
    <w:p>
      <w:pPr>
        <w:spacing w:line="360" w:lineRule="auto" w:before="44"/>
        <w:ind w:left="152" w:right="23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无</w:t>
      </w:r>
    </w:p>
    <w:p>
      <w:pPr>
        <w:spacing w:before="27"/>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39"/>
        <w:ind w:left="152" w:right="23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8"/>
        <w:gridCol w:w="1841"/>
        <w:gridCol w:w="658"/>
        <w:gridCol w:w="1448"/>
        <w:gridCol w:w="1450"/>
        <w:gridCol w:w="658"/>
        <w:gridCol w:w="1668"/>
      </w:tblGrid>
      <w:tr>
        <w:trPr>
          <w:trHeight w:val="401" w:hRule="exact"/>
        </w:trPr>
        <w:tc>
          <w:tcPr>
            <w:tcW w:w="1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848"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848"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20,007,326.66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80.48%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999,832.76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6,662,376.64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333,118.83</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20,007,326.66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80.48%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999,832.76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6,662,376.64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333,118.83</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3,161,892.73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316,189.27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1,790,482.49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179,048.25</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772,456.31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231,736.89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1,906,456.16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571,936.85</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917,950.58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917,950.58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1,146,881.94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9.97%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1,146,881.94</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24,859,626.28</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2,465,709.50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11,506,197.23</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2,230,985.87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40" w:lineRule="auto" w:before="43"/>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bl>
    <w:p>
      <w:pPr>
        <w:spacing w:after="0" w:line="316"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山东省环境保护监测站</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河北博鳌招标代理有限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四川省环境监测中心站</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995,990.00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河南省环境监测中心站</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987,720.00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广东省政府采购中心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5,057,710.00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20.35%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0"/>
        <w:gridCol w:w="3199"/>
        <w:gridCol w:w="1064"/>
        <w:gridCol w:w="3053"/>
        <w:gridCol w:w="1063"/>
      </w:tblGrid>
      <w:tr>
        <w:trPr>
          <w:trHeight w:val="204" w:hRule="exact"/>
        </w:trPr>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80"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73,270,043.23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10,516,656.54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44.05%</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2,069,988.41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7,838,605.18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32.84%</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1,536,091.44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3,094,201.15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12.96%</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4,265,213.74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2,422,127.79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10.15%</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81,141,336.82</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23,871,590.66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left="364" w:right="0"/>
        <w:jc w:val="left"/>
      </w:pPr>
      <w:r>
        <w:rPr/>
        <w:t>账龄超过</w:t>
      </w:r>
      <w:r>
        <w:rPr>
          <w:rFonts w:ascii="Times New Roman" w:hAnsi="Times New Roman" w:cs="Times New Roman" w:eastAsia="Times New Roman" w:hint="default"/>
        </w:rPr>
        <w:t>1</w:t>
      </w:r>
      <w:r>
        <w:rPr/>
        <w:t>年的预付账款未收回的原因为预付客户的结算尾款。</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河北岩朴石油机械贸易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8,935,522.20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采购设备未结算</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4"/>
              <w:jc w:val="left"/>
              <w:rPr>
                <w:rFonts w:ascii="Times New Roman" w:hAnsi="Times New Roman" w:cs="Times New Roman" w:eastAsia="Times New Roman" w:hint="default"/>
                <w:sz w:val="18"/>
                <w:szCs w:val="18"/>
              </w:rPr>
            </w:pPr>
            <w:r>
              <w:rPr>
                <w:rFonts w:ascii="Times New Roman"/>
                <w:sz w:val="18"/>
              </w:rPr>
              <w:t>Teledyne</w:t>
            </w:r>
            <w:r>
              <w:rPr>
                <w:rFonts w:ascii="Times New Roman"/>
                <w:spacing w:val="-10"/>
                <w:sz w:val="18"/>
              </w:rPr>
              <w:t> </w:t>
            </w:r>
            <w:r>
              <w:rPr>
                <w:rFonts w:ascii="Times New Roman"/>
                <w:sz w:val="18"/>
              </w:rPr>
              <w:t>Advanced</w:t>
            </w:r>
            <w:r>
              <w:rPr>
                <w:rFonts w:ascii="Times New Roman"/>
                <w:sz w:val="18"/>
              </w:rPr>
              <w:t> Pollution</w:t>
            </w:r>
            <w:r>
              <w:rPr>
                <w:rFonts w:ascii="Times New Roman"/>
                <w:spacing w:val="-6"/>
                <w:sz w:val="18"/>
              </w:rPr>
              <w:t> </w:t>
            </w:r>
            <w:r>
              <w:rPr>
                <w:rFonts w:ascii="Times New Roman"/>
                <w:sz w:val="18"/>
              </w:rPr>
              <w:t>Instrumentation</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6,084,266.59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采购材料未结算</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北京中天高科特种车辆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6,073,530.00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采购材料未结算</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河北邦德贸易有限公司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5,087,900.00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采购材料未结算</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Met One</w:t>
            </w:r>
            <w:r>
              <w:rPr>
                <w:rFonts w:ascii="Times New Roman"/>
                <w:spacing w:val="-7"/>
                <w:sz w:val="18"/>
              </w:rPr>
              <w:t> </w:t>
            </w:r>
            <w:r>
              <w:rPr>
                <w:rFonts w:ascii="Times New Roman"/>
                <w:sz w:val="18"/>
              </w:rPr>
              <w:t>Instruments,Inc</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3,102,785.14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采购材料未结算</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29,284,003.93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4"/>
          <w:szCs w:val="24"/>
        </w:rPr>
      </w:pPr>
    </w:p>
    <w:p>
      <w:pPr>
        <w:spacing w:line="506" w:lineRule="auto"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预付账款期末余额较年初余额增加</w:t>
      </w:r>
      <w:r>
        <w:rPr>
          <w:rFonts w:ascii="Times New Roman" w:hAnsi="Times New Roman" w:cs="Times New Roman" w:eastAsia="Times New Roman" w:hint="default"/>
          <w:spacing w:val="-2"/>
          <w:sz w:val="21"/>
          <w:szCs w:val="21"/>
        </w:rPr>
        <w:t>56,819,746.16</w:t>
      </w:r>
      <w:r>
        <w:rPr>
          <w:rFonts w:ascii="宋体" w:hAnsi="宋体" w:cs="宋体" w:eastAsia="宋体" w:hint="default"/>
          <w:spacing w:val="-2"/>
          <w:sz w:val="21"/>
          <w:szCs w:val="21"/>
        </w:rPr>
        <w:t>元，增幅为</w:t>
      </w:r>
      <w:r>
        <w:rPr>
          <w:rFonts w:ascii="Times New Roman" w:hAnsi="Times New Roman" w:cs="Times New Roman" w:eastAsia="Times New Roman" w:hint="default"/>
          <w:spacing w:val="-2"/>
          <w:sz w:val="21"/>
          <w:szCs w:val="21"/>
        </w:rPr>
        <w:t>233.62%</w:t>
      </w:r>
      <w:r>
        <w:rPr>
          <w:rFonts w:ascii="宋体" w:hAnsi="宋体" w:cs="宋体" w:eastAsia="宋体" w:hint="default"/>
          <w:spacing w:val="-2"/>
          <w:sz w:val="21"/>
          <w:szCs w:val="21"/>
        </w:rPr>
        <w:t>，增加原因为预付材料款增加。</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、存货</w:t>
      </w:r>
      <w:r>
        <w:rPr>
          <w:rFonts w:ascii="宋体" w:hAnsi="宋体" w:cs="宋体" w:eastAsia="宋体" w:hint="default"/>
          <w:sz w:val="21"/>
          <w:szCs w:val="21"/>
        </w:rPr>
      </w:r>
    </w:p>
    <w:p>
      <w:pPr>
        <w:pStyle w:val="Heading3"/>
        <w:spacing w:line="240" w:lineRule="auto" w:before="63"/>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6"/>
        <w:gridCol w:w="1473"/>
        <w:gridCol w:w="1193"/>
        <w:gridCol w:w="1330"/>
        <w:gridCol w:w="1327"/>
        <w:gridCol w:w="1330"/>
        <w:gridCol w:w="1327"/>
      </w:tblGrid>
      <w:tr>
        <w:trPr>
          <w:trHeight w:val="206" w:hRule="exact"/>
        </w:trPr>
        <w:tc>
          <w:tcPr>
            <w:tcW w:w="1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5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76"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30,870,854.41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30,870,854.41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11,362,682.98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11,362,682.98</w:t>
            </w:r>
          </w:p>
        </w:tc>
      </w:tr>
      <w:tr>
        <w:trPr>
          <w:trHeight w:val="404"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19,452,523.20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19,452,523.20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9,412,289.22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9,412,289.22</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25,973,578.04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25,973,578.04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20,250,953.11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20,250,953.11</w:t>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76,296,955.65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76,296,955.65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41,025,925.31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41,025,925.31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存货的说明</w:t>
      </w:r>
    </w:p>
    <w:p>
      <w:pPr>
        <w:pStyle w:val="BodyText"/>
        <w:spacing w:line="256" w:lineRule="auto" w:before="96"/>
        <w:ind w:right="0"/>
        <w:jc w:val="left"/>
      </w:pPr>
      <w:r>
        <w:rPr>
          <w:spacing w:val="-2"/>
        </w:rPr>
        <w:t>存货期末余额较年初余额增加</w:t>
      </w:r>
      <w:r>
        <w:rPr>
          <w:rFonts w:ascii="Times New Roman" w:hAnsi="Times New Roman" w:cs="Times New Roman" w:eastAsia="Times New Roman" w:hint="default"/>
          <w:spacing w:val="-2"/>
        </w:rPr>
        <w:t>35,271,030.34</w:t>
      </w:r>
      <w:r>
        <w:rPr>
          <w:spacing w:val="-2"/>
        </w:rPr>
        <w:t>元，增幅为</w:t>
      </w:r>
      <w:r>
        <w:rPr>
          <w:rFonts w:ascii="Times New Roman" w:hAnsi="Times New Roman" w:cs="Times New Roman" w:eastAsia="Times New Roman" w:hint="default"/>
          <w:spacing w:val="-2"/>
        </w:rPr>
        <w:t>85.97%</w:t>
      </w:r>
      <w:r>
        <w:rPr>
          <w:spacing w:val="-2"/>
          <w:sz w:val="18"/>
          <w:szCs w:val="18"/>
        </w:rPr>
        <w:t>，</w:t>
      </w:r>
      <w:r>
        <w:rPr>
          <w:spacing w:val="-2"/>
        </w:rPr>
        <w:t>增加原因为订单备货</w:t>
      </w:r>
      <w:r>
        <w:rPr>
          <w:rFonts w:ascii="Times New Roman" w:hAnsi="Times New Roman" w:cs="Times New Roman" w:eastAsia="Times New Roman" w:hint="default"/>
          <w:spacing w:val="-2"/>
        </w:rPr>
        <w:t>,</w:t>
      </w:r>
      <w:r>
        <w:rPr>
          <w:spacing w:val="-2"/>
        </w:rPr>
        <w:t>原材料、产成品等增</w:t>
      </w:r>
      <w:r>
        <w:rPr>
          <w:spacing w:val="-15"/>
        </w:rPr>
        <w:t> </w:t>
      </w:r>
      <w:r>
        <w:rPr>
          <w:spacing w:val="-15"/>
        </w:rPr>
      </w:r>
      <w:r>
        <w:rPr/>
        <w:t>加。</w:t>
      </w:r>
    </w:p>
    <w:p>
      <w:pPr>
        <w:spacing w:after="0" w:line="25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7"/>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53,312,242.04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116,260,081.27</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169,572,323.31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34,862,959.34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101,283,754.34</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136,146,713.68</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6,334,601.09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12,304,452.22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18,639,053.31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8,800,841.51</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699,594.03</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9,500,435.54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2,772,034.77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1,124,189.47</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3,896,224.24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658" w:val="left" w:leader="none"/>
              </w:tabs>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541,805.33</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848,091.21</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1,389,896.54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13,526,026.07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2,774,581.82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16,300,607.89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3,585,803.20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831,586.98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4,417,390.18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3,076,204.93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431,616.32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3,507,821.25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4,583,263.84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1,088,415.46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5,671,679.30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1,810,056.28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346,955.10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2,157,011.38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658" w:val="left" w:leader="none"/>
              </w:tabs>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470,697.82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76,007.96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546,705.78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39,786,215.97</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153,271,715.42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31,277,156.14</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131,729,323.50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3,258,396.16</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15,131,232.06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4,217,577.67</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3,828,756.24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961,978.49</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1,739,212.86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4506"/>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658" w:val="left" w:leader="none"/>
              </w:tabs>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71,107.51</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843,190.76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658" w:val="left" w:leader="none"/>
              </w:tabs>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39,786,215.97</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153,271,715.42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31,277,156.14</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131,729,323.50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3,258,396.16</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15,131,232.06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4,217,577.67</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3,828,756.24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961,978.49</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1,739,212.86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658" w:val="left" w:leader="none"/>
              </w:tabs>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71,107.51</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843,190.76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2,774,581.82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109,543,602.87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生产车间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66,047,086.16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办公科研楼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20,622,559.00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86,669,645.16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固定资产说明</w:t>
      </w:r>
    </w:p>
    <w:p>
      <w:pPr>
        <w:pStyle w:val="BodyText"/>
        <w:spacing w:line="240" w:lineRule="auto" w:before="96"/>
        <w:ind w:left="573" w:right="0"/>
        <w:jc w:val="left"/>
      </w:pPr>
      <w:r>
        <w:rPr/>
        <w:t>固定资产用于抵押或担保情况</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002"/>
        <w:gridCol w:w="2353"/>
        <w:gridCol w:w="2628"/>
        <w:gridCol w:w="1875"/>
      </w:tblGrid>
      <w:tr>
        <w:trPr>
          <w:trHeight w:val="353" w:hRule="exact"/>
        </w:trPr>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9"/>
                <w:szCs w:val="19"/>
              </w:rPr>
            </w:pPr>
            <w:r>
              <w:rPr>
                <w:rFonts w:ascii="宋体" w:hAnsi="宋体" w:cs="宋体" w:eastAsia="宋体" w:hint="default"/>
                <w:sz w:val="19"/>
                <w:szCs w:val="19"/>
              </w:rPr>
              <w:t>项目</w:t>
            </w:r>
          </w:p>
        </w:tc>
        <w:tc>
          <w:tcPr>
            <w:tcW w:w="23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5" w:right="0"/>
              <w:jc w:val="center"/>
              <w:rPr>
                <w:rFonts w:ascii="宋体" w:hAnsi="宋体" w:cs="宋体" w:eastAsia="宋体" w:hint="default"/>
                <w:sz w:val="19"/>
                <w:szCs w:val="19"/>
              </w:rPr>
            </w:pPr>
            <w:r>
              <w:rPr>
                <w:rFonts w:ascii="宋体" w:hAnsi="宋体" w:cs="宋体" w:eastAsia="宋体" w:hint="default"/>
                <w:sz w:val="19"/>
                <w:szCs w:val="19"/>
              </w:rPr>
              <w:t>账面原值</w:t>
            </w:r>
          </w:p>
        </w:tc>
        <w:tc>
          <w:tcPr>
            <w:tcW w:w="26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2" w:right="0"/>
              <w:jc w:val="center"/>
              <w:rPr>
                <w:rFonts w:ascii="宋体" w:hAnsi="宋体" w:cs="宋体" w:eastAsia="宋体" w:hint="default"/>
                <w:sz w:val="19"/>
                <w:szCs w:val="19"/>
              </w:rPr>
            </w:pPr>
            <w:r>
              <w:rPr>
                <w:rFonts w:ascii="宋体" w:hAnsi="宋体" w:cs="宋体" w:eastAsia="宋体" w:hint="default"/>
                <w:sz w:val="19"/>
                <w:szCs w:val="19"/>
              </w:rPr>
              <w:t>累计折旧</w:t>
            </w:r>
          </w:p>
        </w:tc>
        <w:tc>
          <w:tcPr>
            <w:tcW w:w="187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
              <w:ind w:left="590" w:right="0"/>
              <w:jc w:val="left"/>
              <w:rPr>
                <w:rFonts w:ascii="宋体" w:hAnsi="宋体" w:cs="宋体" w:eastAsia="宋体" w:hint="default"/>
                <w:sz w:val="19"/>
                <w:szCs w:val="19"/>
              </w:rPr>
            </w:pPr>
            <w:r>
              <w:rPr>
                <w:rFonts w:ascii="宋体" w:hAnsi="宋体" w:cs="宋体" w:eastAsia="宋体" w:hint="default"/>
                <w:sz w:val="19"/>
                <w:szCs w:val="19"/>
              </w:rPr>
              <w:t>账面净值</w:t>
            </w:r>
          </w:p>
        </w:tc>
      </w:tr>
      <w:tr>
        <w:trPr>
          <w:trHeight w:val="353" w:hRule="exact"/>
        </w:trPr>
        <w:tc>
          <w:tcPr>
            <w:tcW w:w="20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left="4" w:right="0"/>
              <w:jc w:val="left"/>
              <w:rPr>
                <w:rFonts w:ascii="宋体" w:hAnsi="宋体" w:cs="宋体" w:eastAsia="宋体" w:hint="default"/>
                <w:sz w:val="19"/>
                <w:szCs w:val="19"/>
              </w:rPr>
            </w:pPr>
            <w:r>
              <w:rPr>
                <w:rFonts w:ascii="宋体" w:hAnsi="宋体" w:cs="宋体" w:eastAsia="宋体" w:hint="default"/>
                <w:sz w:val="19"/>
                <w:szCs w:val="19"/>
              </w:rPr>
              <w:t>房屋建筑物</w:t>
            </w:r>
          </w:p>
        </w:tc>
        <w:tc>
          <w:tcPr>
            <w:tcW w:w="23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1186" w:right="0"/>
              <w:jc w:val="left"/>
              <w:rPr>
                <w:rFonts w:ascii="Times New Roman" w:hAnsi="Times New Roman" w:cs="Times New Roman" w:eastAsia="Times New Roman" w:hint="default"/>
                <w:sz w:val="20"/>
                <w:szCs w:val="20"/>
              </w:rPr>
            </w:pPr>
            <w:r>
              <w:rPr>
                <w:rFonts w:ascii="Times New Roman"/>
                <w:sz w:val="20"/>
              </w:rPr>
              <w:t>32,840,313.34</w:t>
            </w:r>
          </w:p>
        </w:tc>
        <w:tc>
          <w:tcPr>
            <w:tcW w:w="26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1562" w:right="0"/>
              <w:jc w:val="left"/>
              <w:rPr>
                <w:rFonts w:ascii="Times New Roman" w:hAnsi="Times New Roman" w:cs="Times New Roman" w:eastAsia="Times New Roman" w:hint="default"/>
                <w:sz w:val="20"/>
                <w:szCs w:val="20"/>
              </w:rPr>
            </w:pPr>
            <w:r>
              <w:rPr>
                <w:rFonts w:ascii="Times New Roman"/>
                <w:sz w:val="20"/>
              </w:rPr>
              <w:t>3,916,124.73</w:t>
            </w:r>
          </w:p>
        </w:tc>
        <w:tc>
          <w:tcPr>
            <w:tcW w:w="18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left="706" w:right="0"/>
              <w:jc w:val="left"/>
              <w:rPr>
                <w:rFonts w:ascii="Times New Roman" w:hAnsi="Times New Roman" w:cs="Times New Roman" w:eastAsia="Times New Roman" w:hint="default"/>
                <w:sz w:val="20"/>
                <w:szCs w:val="20"/>
              </w:rPr>
            </w:pPr>
            <w:r>
              <w:rPr>
                <w:rFonts w:ascii="Times New Roman"/>
                <w:sz w:val="20"/>
              </w:rPr>
              <w:t>28,924,188.61</w:t>
            </w:r>
          </w:p>
        </w:tc>
      </w:tr>
    </w:tbl>
    <w:p>
      <w:pPr>
        <w:pStyle w:val="BodyText"/>
        <w:spacing w:line="259" w:lineRule="auto"/>
        <w:ind w:right="0" w:firstLine="420"/>
        <w:jc w:val="left"/>
      </w:pPr>
      <w:r>
        <w:rPr>
          <w:spacing w:val="-2"/>
        </w:rPr>
        <w:t>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spacing w:val="-2"/>
        </w:rPr>
        <w:t>日以上述固定资产和无形资产中的土地使用权作抵押，与中国建设银行河北省分</w:t>
      </w:r>
      <w:r>
        <w:rPr>
          <w:w w:val="100"/>
        </w:rPr>
        <w:t> </w:t>
      </w:r>
      <w:r>
        <w:rPr/>
        <w:t>行营业部签订了在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日期间最高限额为</w:t>
      </w:r>
      <w:r>
        <w:rPr>
          <w:rFonts w:ascii="Times New Roman" w:hAnsi="Times New Roman" w:cs="Times New Roman" w:eastAsia="Times New Roman" w:hint="default"/>
        </w:rPr>
        <w:t>4357</w:t>
      </w:r>
      <w:r>
        <w:rPr/>
        <w:t>万元的抵押贷款合同。</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5"/>
        <w:gridCol w:w="3587"/>
        <w:gridCol w:w="3706"/>
      </w:tblGrid>
      <w:tr>
        <w:trPr>
          <w:trHeight w:val="403"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综合车间</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40,922,469.89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40,922,469.89</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12,540,050.00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12,540,050.00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3,418,893.00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5" w:right="0"/>
              <w:jc w:val="left"/>
              <w:rPr>
                <w:rFonts w:ascii="Times New Roman" w:hAnsi="Times New Roman" w:cs="Times New Roman" w:eastAsia="Times New Roman" w:hint="default"/>
                <w:sz w:val="18"/>
                <w:szCs w:val="18"/>
              </w:rPr>
            </w:pPr>
            <w:r>
              <w:rPr>
                <w:rFonts w:ascii="Times New Roman"/>
                <w:sz w:val="18"/>
              </w:rPr>
              <w:t>3,418,893.00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6,500,656.38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6,500,656.38</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3,418,893.00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3,418,893.00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59,963,176.27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59,963,176.27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37"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59"/>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综合车 间</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66,000,0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40,922,4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69.89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25,124,6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16.27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66,047,0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86.16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100%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综合楼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12,540,0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8,082,50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20,622,5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100%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其他工 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6,500,65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19,792,1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94.33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22,873,9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57.71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3,418,89</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3.00</w:t>
            </w:r>
          </w:p>
        </w:tc>
      </w:tr>
      <w:tr>
        <w:trPr>
          <w:trHeight w:val="716"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59,963,1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76.27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52,999,3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109,543,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602.87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3,418,89</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3.00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w:t>
      </w:r>
    </w:p>
    <w:p>
      <w:pPr>
        <w:pStyle w:val="BodyText"/>
        <w:spacing w:line="273" w:lineRule="auto" w:before="94"/>
        <w:ind w:right="0" w:firstLine="420"/>
        <w:jc w:val="left"/>
      </w:pPr>
      <w:r>
        <w:rPr>
          <w:spacing w:val="-2"/>
        </w:rPr>
        <w:t>在建工程期末余额较年初余额减少</w:t>
      </w:r>
      <w:r>
        <w:rPr>
          <w:rFonts w:ascii="宋体" w:hAnsi="宋体" w:cs="宋体" w:eastAsia="宋体" w:hint="default"/>
          <w:spacing w:val="-2"/>
        </w:rPr>
        <w:t>56,544,283.27</w:t>
      </w:r>
      <w:r>
        <w:rPr>
          <w:spacing w:val="-2"/>
        </w:rPr>
        <w:t>元，减少</w:t>
      </w:r>
      <w:r>
        <w:rPr>
          <w:rFonts w:ascii="宋体" w:hAnsi="宋体" w:cs="宋体" w:eastAsia="宋体" w:hint="default"/>
          <w:spacing w:val="-2"/>
        </w:rPr>
        <w:t>94.30%</w:t>
      </w:r>
      <w:r>
        <w:rPr>
          <w:spacing w:val="-2"/>
        </w:rPr>
        <w:t>，减少原因为综合车间、综合楼等</w:t>
      </w:r>
      <w:r>
        <w:rPr>
          <w:w w:val="100"/>
        </w:rPr>
        <w:t> </w:t>
      </w:r>
      <w:r>
        <w:rPr/>
        <w:t>工程完工转入固定资产。</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74"/>
        <w:gridCol w:w="1855"/>
        <w:gridCol w:w="1844"/>
        <w:gridCol w:w="1844"/>
        <w:gridCol w:w="1843"/>
      </w:tblGrid>
      <w:tr>
        <w:trPr>
          <w:trHeight w:val="401"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787" w:right="0"/>
              <w:jc w:val="left"/>
              <w:rPr>
                <w:rFonts w:ascii="Times New Roman" w:hAnsi="Times New Roman" w:cs="Times New Roman" w:eastAsia="Times New Roman" w:hint="default"/>
                <w:sz w:val="18"/>
                <w:szCs w:val="18"/>
              </w:rPr>
            </w:pPr>
            <w:r>
              <w:rPr>
                <w:rFonts w:ascii="Times New Roman"/>
                <w:sz w:val="18"/>
              </w:rPr>
              <w:t>15,703,811.38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0" w:right="0"/>
              <w:jc w:val="left"/>
              <w:rPr>
                <w:rFonts w:ascii="Times New Roman" w:hAnsi="Times New Roman" w:cs="Times New Roman" w:eastAsia="Times New Roman" w:hint="default"/>
                <w:sz w:val="18"/>
                <w:szCs w:val="18"/>
              </w:rPr>
            </w:pPr>
            <w:r>
              <w:rPr>
                <w:rFonts w:ascii="Times New Roman"/>
                <w:sz w:val="18"/>
              </w:rPr>
              <w:t>697,820.52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16,401,631.90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14,735,770.74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14,735,770.74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968,040.64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697,820.52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1,665,861.16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1,079,128.87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749,156.37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1,828,285.24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718,200.61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304,322.28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1,022,522.89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360,928.26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444,834.09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805,762.35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14,624,682.51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-51,335.85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14,573,346.66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14,017,570.13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304,322.28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13,713,247.85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607,112.38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252,986.43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860,098.81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14,624,682.51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-51,335.85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14,573,346.66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14,017,570.13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304,322.28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13,713,247.85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607,112.38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252,986.43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860,098.81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本期摊销额元。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177,333.36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40,333.24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172,000.12</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177,333.36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40,333.24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172,000.12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长期待摊费用的说明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8"/>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7"/>
        <w:gridCol w:w="2929"/>
        <w:gridCol w:w="2921"/>
      </w:tblGrid>
      <w:tr>
        <w:trPr>
          <w:trHeight w:val="406"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3,383,991.05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2,297,409.87</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3,383,991.05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2,297,409.87</w:t>
            </w:r>
          </w:p>
        </w:tc>
      </w:tr>
      <w:tr>
        <w:trPr>
          <w:trHeight w:val="401"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701"/>
        <w:gridCol w:w="2934"/>
        <w:gridCol w:w="2921"/>
      </w:tblGrid>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22,498,531.86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15,316,065.76</w:t>
            </w:r>
          </w:p>
        </w:tc>
      </w:tr>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22,498,531.86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15,316,065.76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3"/>
        <w:gridCol w:w="1626"/>
        <w:gridCol w:w="1628"/>
        <w:gridCol w:w="1628"/>
        <w:gridCol w:w="1616"/>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6"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43" w:right="0"/>
              <w:jc w:val="left"/>
              <w:rPr>
                <w:rFonts w:ascii="Times New Roman" w:hAnsi="Times New Roman" w:cs="Times New Roman" w:eastAsia="Times New Roman" w:hint="default"/>
                <w:sz w:val="18"/>
                <w:szCs w:val="18"/>
              </w:rPr>
            </w:pPr>
            <w:r>
              <w:rPr>
                <w:rFonts w:ascii="Times New Roman"/>
                <w:sz w:val="18"/>
              </w:rPr>
              <w:t>3,383,991.05</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2,297,409.87</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527"/>
        <w:gridCol w:w="1529"/>
        <w:gridCol w:w="1399"/>
        <w:gridCol w:w="1397"/>
        <w:gridCol w:w="1452"/>
      </w:tblGrid>
      <w:tr>
        <w:trPr>
          <w:trHeight w:val="204" w:hRule="exact"/>
        </w:trPr>
        <w:tc>
          <w:tcPr>
            <w:tcW w:w="2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66"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15,916,413.66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7,097,533.29</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23,013,946.95</w:t>
            </w:r>
          </w:p>
        </w:tc>
      </w:tr>
      <w:tr>
        <w:trPr>
          <w:trHeight w:val="404"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15,916,413.66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7,097,533.29</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23,013,946.95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27,359,417.00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9,854,811.06</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400,284.93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2,491,647.15</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449,650.73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1,133,546.18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2,009,644.26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1,666,637.58</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30,218,996.92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15,146,641.97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4"/>
          <w:szCs w:val="24"/>
        </w:rPr>
      </w:pPr>
    </w:p>
    <w:p>
      <w:pPr>
        <w:spacing w:line="506" w:lineRule="auto"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）账龄超过一年的大额应付账款情况的说明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应付账款期末余额较年初余额增加</w:t>
      </w:r>
      <w:r>
        <w:rPr>
          <w:rFonts w:ascii="Times New Roman" w:hAnsi="Times New Roman" w:cs="Times New Roman" w:eastAsia="Times New Roman" w:hint="default"/>
          <w:spacing w:val="-2"/>
          <w:sz w:val="21"/>
          <w:szCs w:val="21"/>
        </w:rPr>
        <w:t>13,777,354.95</w:t>
      </w:r>
      <w:r>
        <w:rPr>
          <w:rFonts w:ascii="宋体" w:hAnsi="宋体" w:cs="宋体" w:eastAsia="宋体" w:hint="default"/>
          <w:spacing w:val="-2"/>
          <w:sz w:val="21"/>
          <w:szCs w:val="21"/>
        </w:rPr>
        <w:t>元，增幅为</w:t>
      </w:r>
      <w:r>
        <w:rPr>
          <w:rFonts w:ascii="Times New Roman" w:hAnsi="Times New Roman" w:cs="Times New Roman" w:eastAsia="Times New Roman" w:hint="default"/>
          <w:spacing w:val="-2"/>
          <w:sz w:val="21"/>
          <w:szCs w:val="21"/>
        </w:rPr>
        <w:t>83.80%</w:t>
      </w:r>
      <w:r>
        <w:rPr>
          <w:rFonts w:ascii="宋体" w:hAnsi="宋体" w:cs="宋体" w:eastAsia="宋体" w:hint="default"/>
          <w:spacing w:val="-2"/>
          <w:sz w:val="21"/>
          <w:szCs w:val="21"/>
        </w:rPr>
        <w:t>，增加原因为欠付材料款增加。</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、预收账款</w:t>
      </w:r>
      <w:r>
        <w:rPr>
          <w:rFonts w:ascii="宋体" w:hAnsi="宋体" w:cs="宋体" w:eastAsia="宋体" w:hint="default"/>
          <w:sz w:val="21"/>
          <w:szCs w:val="21"/>
        </w:rPr>
      </w:r>
    </w:p>
    <w:p>
      <w:pPr>
        <w:pStyle w:val="Heading3"/>
        <w:spacing w:line="240" w:lineRule="auto" w:before="65"/>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9,302,850.00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10,126,765.50</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2,870,732.02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497,859.02</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335,747.00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445,368.20</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404,713.20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264,540.00</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12,914,042.22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11,334,532.72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0"/>
      </w:tblGrid>
      <w:tr>
        <w:trPr>
          <w:trHeight w:val="402"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863"/>
        <w:gridCol w:w="1992"/>
        <w:gridCol w:w="2259"/>
        <w:gridCol w:w="1860"/>
      </w:tblGrid>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6"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8" w:right="0"/>
              <w:jc w:val="left"/>
              <w:rPr>
                <w:rFonts w:ascii="Times New Roman" w:hAnsi="Times New Roman" w:cs="Times New Roman" w:eastAsia="Times New Roman" w:hint="default"/>
                <w:sz w:val="18"/>
                <w:szCs w:val="18"/>
              </w:rPr>
            </w:pPr>
            <w:r>
              <w:rPr>
                <w:rFonts w:ascii="Times New Roman"/>
                <w:sz w:val="18"/>
              </w:rPr>
              <w:t>2,700,294.65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20,695,925.22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20,201,995.86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3" w:right="0"/>
              <w:jc w:val="left"/>
              <w:rPr>
                <w:rFonts w:ascii="Times New Roman" w:hAnsi="Times New Roman" w:cs="Times New Roman" w:eastAsia="Times New Roman" w:hint="default"/>
                <w:sz w:val="18"/>
                <w:szCs w:val="18"/>
              </w:rPr>
            </w:pPr>
            <w:r>
              <w:rPr>
                <w:rFonts w:ascii="Times New Roman"/>
                <w:sz w:val="18"/>
              </w:rPr>
              <w:t>3,194,224.01</w:t>
            </w: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566,020.82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566,020.82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1,648,461.19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1,648,461.19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2" w:right="29"/>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 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327,920.46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327,920.46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、养老保险费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1,177,522.06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1,177,522.06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95,144.18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95,144.18</w:t>
            </w: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47,874.49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47,874.49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448,196.00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448,196.00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189,414.36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157,340.00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157,340.00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189,414.36</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工会经费和教育经 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189,414.36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157,340.00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157,340.00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189,414.36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2,889,709.01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23,515,943.23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23,022,013.87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3,383,638.37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40" w:lineRule="auto" w:before="101"/>
        <w:ind w:left="152" w:right="1227"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189,414.36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元，非货币性福利金额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元，因解除劳动关系给予补偿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应付职工薪酬预计发放时间、金额等安排</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-417,744.84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887,248.44</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8,129,826.25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6,670,187.71</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1,593,958.41</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122,586.83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w w:val="95"/>
                <w:sz w:val="18"/>
              </w:rPr>
              <w:t>73,511.28</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39,329.86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78,574.03</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25,069.83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25,069.83</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3,766.05</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91,553.01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52,508.05</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7,990,763.29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9,384,823.80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2"/>
        <w:gridCol w:w="1994"/>
        <w:gridCol w:w="2127"/>
        <w:gridCol w:w="2657"/>
      </w:tblGrid>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红塔创新投资股份有限公司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543,785.00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北京科桥投资顾问有限公司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786,911.40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上海正同创业投资有限公司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124,118.55</w:t>
            </w:r>
          </w:p>
        </w:tc>
        <w:tc>
          <w:tcPr>
            <w:tcW w:w="2127"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上海兴烨创业投资有限公司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141,953.60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1,596,768.55</w:t>
            </w:r>
          </w:p>
        </w:tc>
        <w:tc>
          <w:tcPr>
            <w:tcW w:w="2127"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16"/>
          <w:pgSz w:w="11910" w:h="16840"/>
          <w:pgMar w:footer="980" w:header="745"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应付股利的说明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14,240,645.69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1,928,136.70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1,222,907.00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312,803.00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312,103.00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0.55</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123,883.04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123,882.49</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15,899,538.73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2,364,822.74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年内到期的长期应付款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6,979,166.40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7,657,325.00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6,979,166.40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7,657,325.00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一年内到期的应付债券说明</w:t>
      </w:r>
    </w:p>
    <w:p>
      <w:pPr>
        <w:spacing w:after="0"/>
        <w:jc w:val="left"/>
        <w:rPr>
          <w:rFonts w:ascii="宋体" w:hAnsi="宋体" w:cs="宋体" w:eastAsia="宋体" w:hint="default"/>
          <w:sz w:val="18"/>
          <w:szCs w:val="18"/>
        </w:rPr>
        <w:sectPr>
          <w:footerReference w:type="default" r:id="rId17"/>
          <w:pgSz w:w="11910" w:h="16840"/>
          <w:pgMar w:footer="980" w:header="745" w:top="1060" w:bottom="1160" w:left="980" w:right="980"/>
          <w:pgNumType w:start="101"/>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一年内到期的长期应付款的说明</w:t>
      </w:r>
    </w:p>
    <w:p>
      <w:pPr>
        <w:pStyle w:val="BodyText"/>
        <w:spacing w:line="256" w:lineRule="auto" w:before="94"/>
        <w:ind w:right="153" w:firstLine="420"/>
        <w:jc w:val="both"/>
      </w:pPr>
      <w:r>
        <w:rPr/>
        <w:t>（</w:t>
      </w:r>
      <w:r>
        <w:rPr>
          <w:rFonts w:ascii="Times New Roman" w:hAnsi="Times New Roman" w:cs="Times New Roman" w:eastAsia="Times New Roman" w:hint="default"/>
        </w:rPr>
        <w:t>1</w:t>
      </w:r>
      <w:r>
        <w:rPr/>
        <w:t>）上述款项系</w:t>
      </w:r>
      <w:r>
        <w:rPr>
          <w:rFonts w:ascii="Times New Roman" w:hAnsi="Times New Roman" w:cs="Times New Roman" w:eastAsia="Times New Roman" w:hint="default"/>
        </w:rPr>
        <w:t>2002</w:t>
      </w:r>
      <w:r>
        <w:rPr/>
        <w:t>年本公司在中国建设银行石家庄市中华南大街支行的河北省建设投资公司委托</w:t>
      </w:r>
      <w:r>
        <w:rPr>
          <w:w w:val="100"/>
        </w:rPr>
        <w:t> </w:t>
      </w:r>
      <w:r>
        <w:rPr/>
        <w:t>贷款，借款期限</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w:t>
      </w:r>
    </w:p>
    <w:p>
      <w:pPr>
        <w:pStyle w:val="BodyText"/>
        <w:spacing w:line="256" w:lineRule="auto" w:before="106"/>
        <w:ind w:right="146" w:firstLine="420"/>
        <w:jc w:val="both"/>
      </w:pPr>
      <w:r>
        <w:rPr>
          <w:spacing w:val="-2"/>
        </w:rPr>
        <w:t>（</w:t>
      </w:r>
      <w:r>
        <w:rPr>
          <w:rFonts w:ascii="Times New Roman" w:hAnsi="Times New Roman" w:cs="Times New Roman" w:eastAsia="Times New Roman" w:hint="default"/>
          <w:spacing w:val="-2"/>
        </w:rPr>
        <w:t>2</w:t>
      </w:r>
      <w:r>
        <w:rPr>
          <w:spacing w:val="-2"/>
        </w:rPr>
        <w:t>）根据</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16</w:t>
      </w:r>
      <w:r>
        <w:rPr>
          <w:spacing w:val="-2"/>
        </w:rPr>
        <w:t>日河北省人民政府国有资产监督管理委员会冀国资字（</w:t>
      </w:r>
      <w:r>
        <w:rPr>
          <w:rFonts w:ascii="Times New Roman" w:hAnsi="Times New Roman" w:cs="Times New Roman" w:eastAsia="Times New Roman" w:hint="default"/>
          <w:spacing w:val="-2"/>
        </w:rPr>
        <w:t>2006</w:t>
      </w:r>
      <w:r>
        <w:rPr>
          <w:spacing w:val="-2"/>
        </w:rPr>
        <w:t>）</w:t>
      </w:r>
      <w:r>
        <w:rPr>
          <w:rFonts w:ascii="Times New Roman" w:hAnsi="Times New Roman" w:cs="Times New Roman" w:eastAsia="Times New Roman" w:hint="default"/>
          <w:spacing w:val="-2"/>
        </w:rPr>
        <w:t>15</w:t>
      </w:r>
      <w:r>
        <w:rPr>
          <w:spacing w:val="-2"/>
        </w:rPr>
        <w:t>号文以及河北</w:t>
      </w:r>
      <w:r>
        <w:rPr>
          <w:w w:val="100"/>
        </w:rPr>
        <w:t> </w:t>
      </w:r>
      <w:r>
        <w:rPr>
          <w:spacing w:val="-2"/>
        </w:rPr>
        <w:t>省建设投资公司冀建投函字（</w:t>
      </w:r>
      <w:r>
        <w:rPr>
          <w:rFonts w:ascii="Times New Roman" w:hAnsi="Times New Roman" w:cs="Times New Roman" w:eastAsia="Times New Roman" w:hint="default"/>
          <w:spacing w:val="-2"/>
        </w:rPr>
        <w:t>2006</w:t>
      </w:r>
      <w:r>
        <w:rPr>
          <w:spacing w:val="-2"/>
        </w:rPr>
        <w:t>）</w:t>
      </w:r>
      <w:r>
        <w:rPr>
          <w:rFonts w:ascii="Times New Roman" w:hAnsi="Times New Roman" w:cs="Times New Roman" w:eastAsia="Times New Roman" w:hint="default"/>
          <w:spacing w:val="-2"/>
        </w:rPr>
        <w:t>32</w:t>
      </w:r>
      <w:r>
        <w:rPr>
          <w:spacing w:val="-2"/>
        </w:rPr>
        <w:t>号函，将本公司在中国建设银行石家庄市中华南大街支行的河北省</w:t>
      </w:r>
      <w:r>
        <w:rPr>
          <w:spacing w:val="-39"/>
        </w:rPr>
        <w:t> </w:t>
      </w:r>
      <w:r>
        <w:rPr>
          <w:spacing w:val="-39"/>
        </w:rPr>
      </w:r>
      <w:r>
        <w:rPr>
          <w:spacing w:val="-3"/>
        </w:rPr>
        <w:t>建设投资公司委托贷款</w:t>
      </w:r>
      <w:r>
        <w:rPr>
          <w:rFonts w:ascii="Times New Roman" w:hAnsi="Times New Roman" w:cs="Times New Roman" w:eastAsia="Times New Roman" w:hint="default"/>
          <w:spacing w:val="-3"/>
        </w:rPr>
        <w:t>7,000,000.00</w:t>
      </w:r>
      <w:r>
        <w:rPr>
          <w:spacing w:val="-3"/>
        </w:rPr>
        <w:t>元划转给河北省质量技术监督局，并豁免</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日以前先河有限</w:t>
      </w:r>
      <w:r>
        <w:rPr>
          <w:spacing w:val="-19"/>
        </w:rPr>
        <w:t> </w:t>
      </w:r>
      <w:r>
        <w:rPr>
          <w:spacing w:val="-19"/>
        </w:rPr>
      </w:r>
      <w:r>
        <w:rPr/>
        <w:t>所欠利息及罚息。</w:t>
      </w:r>
    </w:p>
    <w:p>
      <w:pPr>
        <w:pStyle w:val="BodyText"/>
        <w:spacing w:line="256" w:lineRule="auto" w:before="23"/>
        <w:ind w:right="146" w:firstLine="42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日，公司与经河北省质量技术监督局授权负责收回上述款项的河北省食品质量监督</w:t>
      </w:r>
      <w:r>
        <w:rPr>
          <w:w w:val="100"/>
        </w:rPr>
        <w:t> </w:t>
      </w:r>
      <w:r>
        <w:rPr/>
        <w:t>检验研究院签订了还款协议。根据协议，公司应于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日前偿还</w:t>
      </w:r>
      <w:r>
        <w:rPr>
          <w:rFonts w:ascii="Times New Roman" w:hAnsi="Times New Roman" w:cs="Times New Roman" w:eastAsia="Times New Roman" w:hint="default"/>
        </w:rPr>
        <w:t>100</w:t>
      </w:r>
      <w:r>
        <w:rPr/>
        <w:t>万元、</w:t>
      </w:r>
      <w:r>
        <w:rPr>
          <w:spacing w:val="-34"/>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日前和</w:t>
      </w:r>
      <w:r>
        <w:rPr>
          <w:spacing w:val="-3"/>
          <w:w w:val="100"/>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日前分别偿还</w:t>
      </w:r>
      <w:r>
        <w:rPr>
          <w:rFonts w:ascii="Times New Roman" w:hAnsi="Times New Roman" w:cs="Times New Roman" w:eastAsia="Times New Roman" w:hint="default"/>
        </w:rPr>
        <w:t>300</w:t>
      </w:r>
      <w:r>
        <w:rPr/>
        <w:t>万元，并自协议签署日起，按照同期银行贷款利率于每年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日前支付</w:t>
      </w:r>
      <w:r>
        <w:rPr>
          <w:spacing w:val="-28"/>
        </w:rPr>
        <w:t> </w:t>
      </w:r>
      <w:r>
        <w:rPr/>
        <w:t>当年利息；上述款项在协议签署日前产生的利息则予以豁免。至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日，共计提利息</w:t>
      </w:r>
      <w:r>
        <w:rPr>
          <w:rFonts w:ascii="Times New Roman" w:hAnsi="Times New Roman" w:cs="Times New Roman" w:eastAsia="Times New Roman" w:hint="default"/>
        </w:rPr>
        <w:t>979,166.40</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元。</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9,685,832.48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4,101,454.18</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9,685,832.48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4,101,454.18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pStyle w:val="BodyText"/>
        <w:spacing w:line="240" w:lineRule="auto" w:before="96"/>
        <w:ind w:left="573" w:right="0"/>
        <w:jc w:val="left"/>
      </w:pPr>
      <w:r>
        <w:rPr/>
        <w:t>递延收益明细如下：</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518"/>
        <w:gridCol w:w="1419"/>
        <w:gridCol w:w="1844"/>
        <w:gridCol w:w="1565"/>
        <w:gridCol w:w="1512"/>
      </w:tblGrid>
      <w:tr>
        <w:trPr>
          <w:trHeight w:val="353" w:hRule="exact"/>
        </w:trPr>
        <w:tc>
          <w:tcPr>
            <w:tcW w:w="25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4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54" w:right="0"/>
              <w:jc w:val="left"/>
              <w:rPr>
                <w:rFonts w:ascii="宋体" w:hAnsi="宋体" w:cs="宋体" w:eastAsia="宋体" w:hint="default"/>
                <w:sz w:val="18"/>
                <w:szCs w:val="18"/>
              </w:rPr>
            </w:pPr>
            <w:r>
              <w:rPr>
                <w:rFonts w:ascii="宋体" w:hAnsi="宋体" w:cs="宋体" w:eastAsia="宋体" w:hint="default"/>
                <w:b/>
                <w:bCs/>
                <w:sz w:val="18"/>
                <w:szCs w:val="18"/>
              </w:rPr>
              <w:t>本期拨入</w:t>
            </w:r>
            <w:r>
              <w:rPr>
                <w:rFonts w:ascii="宋体" w:hAnsi="宋体" w:cs="宋体" w:eastAsia="宋体" w:hint="default"/>
                <w:sz w:val="18"/>
                <w:szCs w:val="18"/>
              </w:rPr>
            </w:r>
          </w:p>
        </w:tc>
        <w:tc>
          <w:tcPr>
            <w:tcW w:w="15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15" w:right="0"/>
              <w:jc w:val="left"/>
              <w:rPr>
                <w:rFonts w:ascii="宋体" w:hAnsi="宋体" w:cs="宋体" w:eastAsia="宋体" w:hint="default"/>
                <w:sz w:val="18"/>
                <w:szCs w:val="18"/>
              </w:rPr>
            </w:pPr>
            <w:r>
              <w:rPr>
                <w:rFonts w:ascii="宋体" w:hAnsi="宋体" w:cs="宋体" w:eastAsia="宋体" w:hint="default"/>
                <w:b/>
                <w:bCs/>
                <w:sz w:val="18"/>
                <w:szCs w:val="18"/>
              </w:rPr>
              <w:t>本期转销</w:t>
            </w:r>
            <w:r>
              <w:rPr>
                <w:rFonts w:ascii="宋体" w:hAnsi="宋体" w:cs="宋体" w:eastAsia="宋体" w:hint="default"/>
                <w:sz w:val="18"/>
                <w:szCs w:val="18"/>
              </w:rPr>
            </w:r>
          </w:p>
        </w:tc>
        <w:tc>
          <w:tcPr>
            <w:tcW w:w="15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38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665" w:hRule="exact"/>
        </w:trPr>
        <w:tc>
          <w:tcPr>
            <w:tcW w:w="251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56"/>
              <w:jc w:val="left"/>
              <w:rPr>
                <w:rFonts w:ascii="宋体" w:hAnsi="宋体" w:cs="宋体" w:eastAsia="宋体" w:hint="default"/>
                <w:sz w:val="18"/>
                <w:szCs w:val="18"/>
              </w:rPr>
            </w:pPr>
            <w:r>
              <w:rPr>
                <w:rFonts w:ascii="宋体" w:hAnsi="宋体" w:cs="宋体" w:eastAsia="宋体" w:hint="default"/>
                <w:sz w:val="18"/>
                <w:szCs w:val="18"/>
              </w:rPr>
              <w:t>污水石油类污染紫外荧光现场 监测设备</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596,626.59</w:t>
            </w:r>
            <w:r>
              <w:rPr>
                <w:rFonts w:ascii="Times New Roman"/>
                <w:sz w:val="20"/>
              </w:rPr>
            </w:r>
          </w:p>
        </w:tc>
        <w:tc>
          <w:tcPr>
            <w:tcW w:w="1844" w:type="dxa"/>
            <w:tcBorders>
              <w:top w:val="single" w:sz="12" w:space="0" w:color="000000"/>
              <w:left w:val="single" w:sz="6" w:space="0" w:color="000000"/>
              <w:bottom w:val="single" w:sz="12" w:space="0" w:color="000000"/>
              <w:right w:val="single" w:sz="6" w:space="0" w:color="000000"/>
            </w:tcBorders>
          </w:tcPr>
          <w:p>
            <w:pPr/>
          </w:p>
        </w:tc>
        <w:tc>
          <w:tcPr>
            <w:tcW w:w="15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596,626.59</w:t>
            </w:r>
            <w:r>
              <w:rPr>
                <w:rFonts w:ascii="Times New Roman"/>
                <w:sz w:val="20"/>
              </w:rPr>
            </w:r>
          </w:p>
        </w:tc>
        <w:tc>
          <w:tcPr>
            <w:tcW w:w="1512"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251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56"/>
              <w:jc w:val="left"/>
              <w:rPr>
                <w:rFonts w:ascii="宋体" w:hAnsi="宋体" w:cs="宋体" w:eastAsia="宋体" w:hint="default"/>
                <w:sz w:val="18"/>
                <w:szCs w:val="18"/>
              </w:rPr>
            </w:pPr>
            <w:r>
              <w:rPr>
                <w:rFonts w:ascii="宋体" w:hAnsi="宋体" w:cs="宋体" w:eastAsia="宋体" w:hint="default"/>
                <w:sz w:val="18"/>
                <w:szCs w:val="18"/>
              </w:rPr>
              <w:t>大气复合污染高精度自动监测 仪及系统集成联合研发</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3,504,827.59</w:t>
            </w:r>
            <w:r>
              <w:rPr>
                <w:rFonts w:ascii="Times New Roman"/>
                <w:sz w:val="20"/>
              </w:rPr>
            </w:r>
          </w:p>
        </w:tc>
        <w:tc>
          <w:tcPr>
            <w:tcW w:w="1844" w:type="dxa"/>
            <w:tcBorders>
              <w:top w:val="single" w:sz="12" w:space="0" w:color="000000"/>
              <w:left w:val="single" w:sz="6" w:space="0" w:color="000000"/>
              <w:bottom w:val="single" w:sz="12" w:space="0" w:color="000000"/>
              <w:right w:val="single" w:sz="6" w:space="0" w:color="000000"/>
            </w:tcBorders>
          </w:tcPr>
          <w:p>
            <w:pPr/>
          </w:p>
        </w:tc>
        <w:tc>
          <w:tcPr>
            <w:tcW w:w="15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1,502,068.97</w:t>
            </w:r>
            <w:r>
              <w:rPr>
                <w:rFonts w:ascii="Times New Roman"/>
                <w:sz w:val="20"/>
              </w:rPr>
            </w:r>
          </w:p>
        </w:tc>
        <w:tc>
          <w:tcPr>
            <w:tcW w:w="15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8"/>
              <w:jc w:val="right"/>
              <w:rPr>
                <w:rFonts w:ascii="Times New Roman" w:hAnsi="Times New Roman" w:cs="Times New Roman" w:eastAsia="Times New Roman" w:hint="default"/>
                <w:sz w:val="20"/>
                <w:szCs w:val="20"/>
              </w:rPr>
            </w:pPr>
            <w:r>
              <w:rPr>
                <w:rFonts w:ascii="Times New Roman"/>
                <w:w w:val="95"/>
                <w:sz w:val="20"/>
              </w:rPr>
              <w:t>2,002,758.62</w:t>
            </w:r>
            <w:r>
              <w:rPr>
                <w:rFonts w:ascii="Times New Roman"/>
                <w:sz w:val="20"/>
              </w:rPr>
            </w:r>
          </w:p>
        </w:tc>
      </w:tr>
      <w:tr>
        <w:trPr>
          <w:trHeight w:val="353" w:hRule="exact"/>
        </w:trPr>
        <w:tc>
          <w:tcPr>
            <w:tcW w:w="25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高性能光谱仪器关键元器件与</w:t>
            </w:r>
          </w:p>
        </w:tc>
        <w:tc>
          <w:tcPr>
            <w:tcW w:w="1419"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775" w:right="0"/>
              <w:jc w:val="left"/>
              <w:rPr>
                <w:rFonts w:ascii="Times New Roman" w:hAnsi="Times New Roman" w:cs="Times New Roman" w:eastAsia="Times New Roman" w:hint="default"/>
                <w:sz w:val="20"/>
                <w:szCs w:val="20"/>
              </w:rPr>
            </w:pPr>
            <w:r>
              <w:rPr>
                <w:rFonts w:ascii="Times New Roman"/>
                <w:sz w:val="20"/>
              </w:rPr>
              <w:t>4,404,900.00</w:t>
            </w:r>
          </w:p>
        </w:tc>
        <w:tc>
          <w:tcPr>
            <w:tcW w:w="15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w w:val="95"/>
                <w:sz w:val="20"/>
              </w:rPr>
              <w:t>1,058,399.68</w:t>
            </w:r>
            <w:r>
              <w:rPr>
                <w:rFonts w:ascii="Times New Roman"/>
                <w:sz w:val="20"/>
              </w:rPr>
            </w:r>
          </w:p>
        </w:tc>
        <w:tc>
          <w:tcPr>
            <w:tcW w:w="15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w w:val="95"/>
                <w:sz w:val="20"/>
              </w:rPr>
              <w:t>3,346,500.32</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565" w:type="dxa"/>
        <w:tblLayout w:type="fixed"/>
        <w:tblCellMar>
          <w:top w:w="0" w:type="dxa"/>
          <w:left w:w="0" w:type="dxa"/>
          <w:bottom w:w="0" w:type="dxa"/>
          <w:right w:w="0" w:type="dxa"/>
        </w:tblCellMar>
        <w:tblLook w:val="01E0"/>
      </w:tblPr>
      <w:tblGrid>
        <w:gridCol w:w="2518"/>
        <w:gridCol w:w="1419"/>
        <w:gridCol w:w="1844"/>
        <w:gridCol w:w="1565"/>
        <w:gridCol w:w="1512"/>
      </w:tblGrid>
      <w:tr>
        <w:trPr>
          <w:trHeight w:val="356" w:hRule="exact"/>
        </w:trPr>
        <w:tc>
          <w:tcPr>
            <w:tcW w:w="25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部件的应用及工程化开发</w:t>
            </w:r>
          </w:p>
        </w:tc>
        <w:tc>
          <w:tcPr>
            <w:tcW w:w="1419" w:type="dxa"/>
            <w:tcBorders>
              <w:top w:val="single" w:sz="6" w:space="0" w:color="000000"/>
              <w:left w:val="single" w:sz="6" w:space="0" w:color="000000"/>
              <w:bottom w:val="single" w:sz="12" w:space="0" w:color="000000"/>
              <w:right w:val="single" w:sz="6" w:space="0" w:color="000000"/>
            </w:tcBorders>
          </w:tcPr>
          <w:p>
            <w:pPr/>
          </w:p>
        </w:tc>
        <w:tc>
          <w:tcPr>
            <w:tcW w:w="1844" w:type="dxa"/>
            <w:tcBorders>
              <w:top w:val="single" w:sz="6" w:space="0" w:color="000000"/>
              <w:left w:val="single" w:sz="6" w:space="0" w:color="000000"/>
              <w:bottom w:val="single" w:sz="12" w:space="0" w:color="000000"/>
              <w:right w:val="single" w:sz="6" w:space="0" w:color="000000"/>
            </w:tcBorders>
          </w:tcPr>
          <w:p>
            <w:pPr/>
          </w:p>
        </w:tc>
        <w:tc>
          <w:tcPr>
            <w:tcW w:w="1565" w:type="dxa"/>
            <w:tcBorders>
              <w:top w:val="single" w:sz="6" w:space="0" w:color="000000"/>
              <w:left w:val="single" w:sz="6" w:space="0" w:color="000000"/>
              <w:bottom w:val="single" w:sz="12" w:space="0" w:color="000000"/>
              <w:right w:val="single" w:sz="6" w:space="0" w:color="000000"/>
            </w:tcBorders>
          </w:tcPr>
          <w:p>
            <w:pPr/>
          </w:p>
        </w:tc>
        <w:tc>
          <w:tcPr>
            <w:tcW w:w="1512" w:type="dxa"/>
            <w:tcBorders>
              <w:top w:val="single" w:sz="6" w:space="0" w:color="000000"/>
              <w:left w:val="single" w:sz="6" w:space="0" w:color="000000"/>
              <w:bottom w:val="single" w:sz="12" w:space="0" w:color="000000"/>
              <w:right w:val="nil" w:sz="6" w:space="0" w:color="auto"/>
            </w:tcBorders>
          </w:tcPr>
          <w:p>
            <w:pPr/>
          </w:p>
        </w:tc>
      </w:tr>
      <w:tr>
        <w:trPr>
          <w:trHeight w:val="974" w:hRule="exact"/>
        </w:trPr>
        <w:tc>
          <w:tcPr>
            <w:tcW w:w="2518"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8"/>
              <w:ind w:left="4" w:right="96"/>
              <w:jc w:val="left"/>
              <w:rPr>
                <w:rFonts w:ascii="宋体" w:hAnsi="宋体" w:cs="宋体" w:eastAsia="宋体" w:hint="default"/>
                <w:sz w:val="18"/>
                <w:szCs w:val="18"/>
              </w:rPr>
            </w:pPr>
            <w:r>
              <w:rPr>
                <w:rFonts w:ascii="宋体" w:hAnsi="宋体" w:cs="宋体" w:eastAsia="宋体" w:hint="default"/>
                <w:sz w:val="18"/>
                <w:szCs w:val="18"/>
              </w:rPr>
              <w:t>基于紫外</w:t>
            </w:r>
            <w:r>
              <w:rPr>
                <w:rFonts w:ascii="Times New Roman" w:hAnsi="Times New Roman" w:cs="Times New Roman" w:eastAsia="Times New Roman" w:hint="default"/>
                <w:sz w:val="18"/>
                <w:szCs w:val="18"/>
              </w:rPr>
              <w:t>-</w:t>
            </w:r>
            <w:r>
              <w:rPr>
                <w:rFonts w:ascii="宋体" w:hAnsi="宋体" w:cs="宋体" w:eastAsia="宋体" w:hint="default"/>
                <w:sz w:val="18"/>
                <w:szCs w:val="18"/>
              </w:rPr>
              <w:t>可见光谱的阀上实验 室及其水质微分析系统研制与 产业化示范</w:t>
            </w:r>
          </w:p>
        </w:tc>
        <w:tc>
          <w:tcPr>
            <w:tcW w:w="1419"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w w:val="95"/>
                <w:sz w:val="20"/>
              </w:rPr>
              <w:t>1,200,000.00</w:t>
            </w:r>
            <w:r>
              <w:rPr>
                <w:rFonts w:ascii="Times New Roman"/>
                <w:sz w:val="20"/>
              </w:rPr>
            </w:r>
          </w:p>
        </w:tc>
        <w:tc>
          <w:tcPr>
            <w:tcW w:w="15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w w:val="95"/>
                <w:sz w:val="20"/>
              </w:rPr>
              <w:t>141,176.46</w:t>
            </w:r>
            <w:r>
              <w:rPr>
                <w:rFonts w:ascii="Times New Roman"/>
                <w:sz w:val="20"/>
              </w:rPr>
            </w:r>
          </w:p>
        </w:tc>
        <w:tc>
          <w:tcPr>
            <w:tcW w:w="15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w w:val="95"/>
                <w:sz w:val="20"/>
              </w:rPr>
              <w:t>1,058,823.54</w:t>
            </w:r>
            <w:r>
              <w:rPr>
                <w:rFonts w:ascii="Times New Roman"/>
                <w:sz w:val="20"/>
              </w:rPr>
            </w:r>
          </w:p>
        </w:tc>
      </w:tr>
      <w:tr>
        <w:trPr>
          <w:trHeight w:val="977" w:hRule="exact"/>
        </w:trPr>
        <w:tc>
          <w:tcPr>
            <w:tcW w:w="2518"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10"/>
              <w:ind w:left="4" w:right="-1"/>
              <w:jc w:val="both"/>
              <w:rPr>
                <w:rFonts w:ascii="宋体" w:hAnsi="宋体" w:cs="宋体" w:eastAsia="宋体" w:hint="default"/>
                <w:sz w:val="18"/>
                <w:szCs w:val="18"/>
              </w:rPr>
            </w:pPr>
            <w:r>
              <w:rPr>
                <w:rFonts w:ascii="宋体" w:hAnsi="宋体" w:cs="宋体" w:eastAsia="宋体" w:hint="default"/>
                <w:spacing w:val="-2"/>
                <w:sz w:val="18"/>
                <w:szCs w:val="18"/>
              </w:rPr>
              <w:t>国家重大仪器专项项目《环境大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气中细粒子（</w:t>
            </w:r>
            <w:r>
              <w:rPr>
                <w:rFonts w:ascii="Times New Roman" w:hAnsi="Times New Roman" w:cs="Times New Roman" w:eastAsia="Times New Roman" w:hint="default"/>
                <w:spacing w:val="-2"/>
                <w:sz w:val="18"/>
                <w:szCs w:val="18"/>
              </w:rPr>
              <w:t>PM2.5)</w:t>
            </w:r>
            <w:r>
              <w:rPr>
                <w:rFonts w:ascii="宋体" w:hAnsi="宋体" w:cs="宋体" w:eastAsia="宋体" w:hint="default"/>
                <w:spacing w:val="-2"/>
                <w:sz w:val="18"/>
                <w:szCs w:val="18"/>
              </w:rPr>
              <w:t>监测设备开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发与应用》</w:t>
            </w:r>
          </w:p>
        </w:tc>
        <w:tc>
          <w:tcPr>
            <w:tcW w:w="1419"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3,371,400.00</w:t>
            </w:r>
            <w:r>
              <w:rPr>
                <w:rFonts w:ascii="Times New Roman"/>
                <w:sz w:val="20"/>
              </w:rPr>
            </w:r>
          </w:p>
        </w:tc>
        <w:tc>
          <w:tcPr>
            <w:tcW w:w="15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93,650.00</w:t>
            </w:r>
            <w:r>
              <w:rPr>
                <w:rFonts w:ascii="Times New Roman"/>
                <w:sz w:val="20"/>
              </w:rPr>
            </w:r>
          </w:p>
        </w:tc>
        <w:tc>
          <w:tcPr>
            <w:tcW w:w="15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8"/>
              <w:jc w:val="right"/>
              <w:rPr>
                <w:rFonts w:ascii="Times New Roman" w:hAnsi="Times New Roman" w:cs="Times New Roman" w:eastAsia="Times New Roman" w:hint="default"/>
                <w:sz w:val="20"/>
                <w:szCs w:val="20"/>
              </w:rPr>
            </w:pPr>
            <w:r>
              <w:rPr>
                <w:rFonts w:ascii="Times New Roman"/>
                <w:w w:val="95"/>
                <w:sz w:val="20"/>
              </w:rPr>
              <w:t>3,277,750.00</w:t>
            </w:r>
            <w:r>
              <w:rPr>
                <w:rFonts w:ascii="Times New Roman"/>
                <w:sz w:val="20"/>
              </w:rPr>
            </w:r>
          </w:p>
        </w:tc>
      </w:tr>
      <w:tr>
        <w:trPr>
          <w:trHeight w:val="353" w:hRule="exact"/>
        </w:trPr>
        <w:tc>
          <w:tcPr>
            <w:tcW w:w="25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353" w:right="0"/>
              <w:jc w:val="left"/>
              <w:rPr>
                <w:rFonts w:ascii="Times New Roman" w:hAnsi="Times New Roman" w:cs="Times New Roman" w:eastAsia="Times New Roman" w:hint="default"/>
                <w:sz w:val="20"/>
                <w:szCs w:val="20"/>
              </w:rPr>
            </w:pPr>
            <w:r>
              <w:rPr>
                <w:rFonts w:ascii="Times New Roman"/>
                <w:b/>
                <w:sz w:val="20"/>
              </w:rPr>
              <w:t>4,101,454.18</w:t>
            </w:r>
            <w:r>
              <w:rPr>
                <w:rFonts w:ascii="Times New Roman"/>
                <w:sz w:val="20"/>
              </w:rPr>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b/>
                <w:w w:val="95"/>
                <w:sz w:val="20"/>
              </w:rPr>
              <w:t>8,976,300.00</w:t>
            </w:r>
            <w:r>
              <w:rPr>
                <w:rFonts w:ascii="Times New Roman"/>
                <w:sz w:val="20"/>
              </w:rPr>
            </w:r>
          </w:p>
        </w:tc>
        <w:tc>
          <w:tcPr>
            <w:tcW w:w="15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b/>
                <w:w w:val="95"/>
                <w:sz w:val="20"/>
              </w:rPr>
              <w:t>3,391,921.70</w:t>
            </w:r>
            <w:r>
              <w:rPr>
                <w:rFonts w:ascii="Times New Roman"/>
                <w:sz w:val="20"/>
              </w:rPr>
            </w:r>
          </w:p>
        </w:tc>
        <w:tc>
          <w:tcPr>
            <w:tcW w:w="15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8"/>
              <w:jc w:val="right"/>
              <w:rPr>
                <w:rFonts w:ascii="Times New Roman" w:hAnsi="Times New Roman" w:cs="Times New Roman" w:eastAsia="Times New Roman" w:hint="default"/>
                <w:sz w:val="20"/>
                <w:szCs w:val="20"/>
              </w:rPr>
            </w:pPr>
            <w:r>
              <w:rPr>
                <w:rFonts w:ascii="Times New Roman"/>
                <w:b/>
                <w:w w:val="95"/>
                <w:sz w:val="20"/>
              </w:rPr>
              <w:t>9,685,832.48</w:t>
            </w:r>
            <w:r>
              <w:rPr>
                <w:rFonts w:ascii="Times New Roman"/>
                <w:sz w:val="20"/>
              </w:rPr>
            </w:r>
          </w:p>
        </w:tc>
      </w:tr>
    </w:tbl>
    <w:p>
      <w:pPr>
        <w:spacing w:line="240" w:lineRule="auto" w:before="1"/>
        <w:rPr>
          <w:rFonts w:ascii="宋体" w:hAnsi="宋体" w:cs="宋体" w:eastAsia="宋体" w:hint="default"/>
          <w:sz w:val="14"/>
          <w:szCs w:val="14"/>
        </w:rPr>
      </w:pPr>
    </w:p>
    <w:p>
      <w:pPr>
        <w:spacing w:before="44"/>
        <w:ind w:left="933" w:right="564" w:firstLine="0"/>
        <w:jc w:val="left"/>
        <w:rPr>
          <w:rFonts w:ascii="宋体" w:hAnsi="宋体" w:cs="宋体" w:eastAsia="宋体" w:hint="default"/>
          <w:sz w:val="18"/>
          <w:szCs w:val="18"/>
        </w:rPr>
      </w:pPr>
      <w:r>
        <w:rPr>
          <w:rFonts w:ascii="宋体" w:hAnsi="宋体" w:cs="宋体" w:eastAsia="宋体" w:hint="default"/>
          <w:sz w:val="18"/>
          <w:szCs w:val="18"/>
        </w:rPr>
        <w:t>注：上表递延收益均为与收益相关的政府补助，按项目期分期结转计入营业外收入</w:t>
      </w:r>
      <w:r>
        <w:rPr>
          <w:rFonts w:ascii="宋体" w:hAnsi="宋体" w:cs="宋体" w:eastAsia="宋体" w:hint="default"/>
          <w:sz w:val="18"/>
          <w:szCs w:val="18"/>
        </w:rPr>
        <w:t>-</w:t>
      </w:r>
      <w:r>
        <w:rPr>
          <w:rFonts w:ascii="宋体" w:hAnsi="宋体" w:cs="宋体" w:eastAsia="宋体" w:hint="default"/>
          <w:sz w:val="18"/>
          <w:szCs w:val="18"/>
        </w:rPr>
        <w:t>政府补助。</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436" w:lineRule="auto"/>
        <w:ind w:left="572" w:right="564" w:firstLine="420"/>
        <w:jc w:val="left"/>
      </w:pPr>
      <w:r>
        <w:rPr>
          <w:spacing w:val="-5"/>
        </w:rPr>
        <w:t>（</w:t>
      </w:r>
      <w:r>
        <w:rPr>
          <w:rFonts w:ascii="宋体" w:hAnsi="宋体" w:cs="宋体" w:eastAsia="宋体" w:hint="default"/>
          <w:spacing w:val="-5"/>
        </w:rPr>
        <w:t>1</w:t>
      </w:r>
      <w:r>
        <w:rPr>
          <w:spacing w:val="-5"/>
        </w:rPr>
        <w:t>）</w:t>
      </w:r>
      <w:r>
        <w:rPr>
          <w:rFonts w:ascii="宋体" w:hAnsi="宋体" w:cs="宋体" w:eastAsia="宋体" w:hint="default"/>
          <w:spacing w:val="-5"/>
        </w:rPr>
        <w:t>2011</w:t>
      </w:r>
      <w:r>
        <w:rPr>
          <w:rFonts w:ascii="宋体" w:hAnsi="宋体" w:cs="宋体" w:eastAsia="宋体" w:hint="default"/>
          <w:spacing w:val="-35"/>
        </w:rPr>
        <w:t> </w:t>
      </w:r>
      <w:r>
        <w:rPr/>
        <w:t>年</w:t>
      </w:r>
      <w:r>
        <w:rPr>
          <w:spacing w:val="-38"/>
        </w:rPr>
        <w:t> </w:t>
      </w:r>
      <w:r>
        <w:rPr>
          <w:rFonts w:ascii="宋体" w:hAnsi="宋体" w:cs="宋体" w:eastAsia="宋体" w:hint="default"/>
        </w:rPr>
        <w:t>12</w:t>
      </w:r>
      <w:r>
        <w:rPr>
          <w:rFonts w:ascii="宋体" w:hAnsi="宋体" w:cs="宋体" w:eastAsia="宋体" w:hint="default"/>
          <w:spacing w:val="-35"/>
        </w:rPr>
        <w:t> </w:t>
      </w:r>
      <w:r>
        <w:rPr>
          <w:spacing w:val="-3"/>
        </w:rPr>
        <w:t>月公司收到财政部“大气复合污染高精度自动监测仪及系统集成联合研发”项目拨款</w:t>
      </w:r>
      <w:r>
        <w:rPr>
          <w:w w:val="100"/>
        </w:rPr>
        <w:t> </w:t>
      </w:r>
      <w:r>
        <w:rPr>
          <w:rFonts w:ascii="宋体" w:hAnsi="宋体" w:cs="宋体" w:eastAsia="宋体" w:hint="default"/>
        </w:rPr>
        <w:t>3,630,000.00</w:t>
      </w:r>
      <w:r>
        <w:rPr>
          <w:rFonts w:ascii="宋体" w:hAnsi="宋体" w:cs="宋体" w:eastAsia="宋体" w:hint="default"/>
          <w:spacing w:val="-55"/>
        </w:rPr>
        <w:t> </w:t>
      </w:r>
      <w:r>
        <w:rPr/>
        <w:t>元，</w:t>
      </w:r>
      <w:r>
        <w:rPr>
          <w:rFonts w:ascii="宋体" w:hAnsi="宋体" w:cs="宋体" w:eastAsia="宋体" w:hint="default"/>
        </w:rPr>
        <w:t>2011</w:t>
      </w:r>
      <w:r>
        <w:rPr>
          <w:rFonts w:ascii="宋体" w:hAnsi="宋体" w:cs="宋体" w:eastAsia="宋体" w:hint="default"/>
          <w:spacing w:val="-55"/>
        </w:rPr>
        <w:t> </w:t>
      </w:r>
      <w:r>
        <w:rPr/>
        <w:t>年转销</w:t>
      </w:r>
      <w:r>
        <w:rPr>
          <w:spacing w:val="-52"/>
        </w:rPr>
        <w:t> </w:t>
      </w:r>
      <w:r>
        <w:rPr>
          <w:rFonts w:ascii="宋体" w:hAnsi="宋体" w:cs="宋体" w:eastAsia="宋体" w:hint="default"/>
        </w:rPr>
        <w:t>125,172.41</w:t>
      </w:r>
      <w:r>
        <w:rPr>
          <w:rFonts w:ascii="宋体" w:hAnsi="宋体" w:cs="宋体" w:eastAsia="宋体" w:hint="default"/>
          <w:spacing w:val="-53"/>
        </w:rPr>
        <w:t> </w:t>
      </w:r>
      <w:r>
        <w:rPr>
          <w:spacing w:val="-3"/>
        </w:rPr>
        <w:t>元。</w:t>
      </w:r>
      <w:r>
        <w:rPr/>
      </w:r>
    </w:p>
    <w:p>
      <w:pPr>
        <w:pStyle w:val="BodyText"/>
        <w:spacing w:line="436" w:lineRule="auto" w:before="93"/>
        <w:ind w:left="572" w:right="564" w:firstLine="420"/>
        <w:jc w:val="left"/>
      </w:pPr>
      <w:r>
        <w:rPr/>
        <w:t>（</w:t>
      </w: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35"/>
        </w:rPr>
        <w:t> </w:t>
      </w:r>
      <w:r>
        <w:rPr/>
        <w:t>年</w:t>
      </w:r>
      <w:r>
        <w:rPr>
          <w:spacing w:val="-32"/>
        </w:rPr>
        <w:t> </w:t>
      </w:r>
      <w:r>
        <w:rPr>
          <w:rFonts w:ascii="宋体" w:hAnsi="宋体" w:cs="宋体" w:eastAsia="宋体" w:hint="default"/>
        </w:rPr>
        <w:t>4</w:t>
      </w:r>
      <w:r>
        <w:rPr>
          <w:rFonts w:ascii="宋体" w:hAnsi="宋体" w:cs="宋体" w:eastAsia="宋体" w:hint="default"/>
          <w:spacing w:val="-34"/>
        </w:rPr>
        <w:t> </w:t>
      </w:r>
      <w:r>
        <w:rPr/>
        <w:t>月、</w:t>
      </w:r>
      <w:r>
        <w:rPr>
          <w:rFonts w:ascii="宋体" w:hAnsi="宋体" w:cs="宋体" w:eastAsia="宋体" w:hint="default"/>
        </w:rPr>
        <w:t>8</w:t>
      </w:r>
      <w:r>
        <w:rPr>
          <w:rFonts w:ascii="宋体" w:hAnsi="宋体" w:cs="宋体" w:eastAsia="宋体" w:hint="default"/>
          <w:spacing w:val="-34"/>
        </w:rPr>
        <w:t> </w:t>
      </w:r>
      <w:r>
        <w:rPr/>
        <w:t>月分别收到项目合作单位上海光谱仪器有限公司拨付的关于高性能光谱仪器关</w:t>
      </w:r>
      <w:r>
        <w:rPr>
          <w:w w:val="100"/>
        </w:rPr>
        <w:t> </w:t>
      </w:r>
      <w:r>
        <w:rPr/>
        <w:t>键元器件与部件的应用及工程化开发项目经费</w:t>
      </w:r>
      <w:r>
        <w:rPr>
          <w:spacing w:val="-55"/>
        </w:rPr>
        <w:t> </w:t>
      </w:r>
      <w:r>
        <w:rPr>
          <w:rFonts w:ascii="宋体" w:hAnsi="宋体" w:cs="宋体" w:eastAsia="宋体" w:hint="default"/>
        </w:rPr>
        <w:t>2,980,000.00</w:t>
      </w:r>
      <w:r>
        <w:rPr>
          <w:rFonts w:ascii="宋体" w:hAnsi="宋体" w:cs="宋体" w:eastAsia="宋体" w:hint="default"/>
          <w:spacing w:val="-57"/>
        </w:rPr>
        <w:t> </w:t>
      </w:r>
      <w:r>
        <w:rPr/>
        <w:t>元、</w:t>
      </w:r>
      <w:r>
        <w:rPr>
          <w:rFonts w:ascii="宋体" w:hAnsi="宋体" w:cs="宋体" w:eastAsia="宋体" w:hint="default"/>
        </w:rPr>
        <w:t>1,424,900.00</w:t>
      </w:r>
      <w:r>
        <w:rPr>
          <w:rFonts w:ascii="宋体" w:hAnsi="宋体" w:cs="宋体" w:eastAsia="宋体" w:hint="default"/>
          <w:spacing w:val="-55"/>
        </w:rPr>
        <w:t> </w:t>
      </w:r>
      <w:r>
        <w:rPr>
          <w:spacing w:val="-3"/>
        </w:rPr>
        <w:t>元。</w:t>
      </w:r>
      <w:r>
        <w:rPr/>
      </w:r>
    </w:p>
    <w:p>
      <w:pPr>
        <w:pStyle w:val="BodyText"/>
        <w:spacing w:line="439" w:lineRule="auto" w:before="93"/>
        <w:ind w:left="572" w:right="567" w:firstLine="420"/>
        <w:jc w:val="left"/>
      </w:pPr>
      <w:r>
        <w:rPr>
          <w:spacing w:val="-11"/>
        </w:rPr>
        <w:t>（</w:t>
      </w:r>
      <w:r>
        <w:rPr>
          <w:rFonts w:ascii="宋体" w:hAnsi="宋体" w:cs="宋体" w:eastAsia="宋体" w:hint="default"/>
          <w:spacing w:val="-11"/>
        </w:rPr>
        <w:t>3</w:t>
      </w:r>
      <w:r>
        <w:rPr>
          <w:spacing w:val="-11"/>
        </w:rPr>
        <w:t>）</w:t>
      </w:r>
      <w:r>
        <w:rPr>
          <w:rFonts w:ascii="宋体" w:hAnsi="宋体" w:cs="宋体" w:eastAsia="宋体" w:hint="default"/>
          <w:spacing w:val="-11"/>
        </w:rPr>
        <w:t>2012</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月收到财政部拨付的关于基于紫外</w:t>
      </w:r>
      <w:r>
        <w:rPr>
          <w:rFonts w:ascii="宋体" w:hAnsi="宋体" w:cs="宋体" w:eastAsia="宋体" w:hint="default"/>
        </w:rPr>
        <w:t>-</w:t>
      </w:r>
      <w:r>
        <w:rPr/>
        <w:t>可见光谱的阀上实验室及其水质微分析系统研制与</w:t>
      </w:r>
      <w:r>
        <w:rPr>
          <w:w w:val="100"/>
        </w:rPr>
        <w:t> </w:t>
      </w:r>
      <w:r>
        <w:rPr/>
        <w:t>产业化示范项目经费</w:t>
      </w:r>
      <w:r>
        <w:rPr>
          <w:spacing w:val="-54"/>
        </w:rPr>
        <w:t> </w:t>
      </w:r>
      <w:r>
        <w:rPr>
          <w:rFonts w:ascii="宋体" w:hAnsi="宋体" w:cs="宋体" w:eastAsia="宋体" w:hint="default"/>
        </w:rPr>
        <w:t>1,200,000.00</w:t>
      </w:r>
      <w:r>
        <w:rPr>
          <w:rFonts w:ascii="宋体" w:hAnsi="宋体" w:cs="宋体" w:eastAsia="宋体" w:hint="default"/>
          <w:spacing w:val="-56"/>
        </w:rPr>
        <w:t> </w:t>
      </w:r>
      <w:r>
        <w:rPr/>
        <w:t>元。</w:t>
      </w:r>
    </w:p>
    <w:p>
      <w:pPr>
        <w:pStyle w:val="BodyText"/>
        <w:spacing w:line="436" w:lineRule="auto" w:before="91"/>
        <w:ind w:left="572" w:right="564" w:firstLine="420"/>
        <w:jc w:val="left"/>
      </w:pPr>
      <w:r>
        <w:rPr>
          <w:spacing w:val="-5"/>
        </w:rPr>
        <w:t>（</w:t>
      </w:r>
      <w:r>
        <w:rPr>
          <w:rFonts w:ascii="宋体" w:hAnsi="宋体" w:cs="宋体" w:eastAsia="宋体" w:hint="default"/>
          <w:spacing w:val="-5"/>
        </w:rPr>
        <w:t>4</w:t>
      </w:r>
      <w:r>
        <w:rPr>
          <w:spacing w:val="-5"/>
        </w:rPr>
        <w:t>）</w:t>
      </w:r>
      <w:r>
        <w:rPr>
          <w:rFonts w:ascii="宋体" w:hAnsi="宋体" w:cs="宋体" w:eastAsia="宋体" w:hint="default"/>
          <w:spacing w:val="-5"/>
        </w:rPr>
        <w:t>2012</w:t>
      </w:r>
      <w:r>
        <w:rPr>
          <w:rFonts w:ascii="宋体" w:hAnsi="宋体" w:cs="宋体" w:eastAsia="宋体" w:hint="default"/>
          <w:spacing w:val="-33"/>
        </w:rPr>
        <w:t> </w:t>
      </w:r>
      <w:r>
        <w:rPr/>
        <w:t>年</w:t>
      </w:r>
      <w:r>
        <w:rPr>
          <w:spacing w:val="-35"/>
        </w:rPr>
        <w:t> </w:t>
      </w:r>
      <w:r>
        <w:rPr>
          <w:rFonts w:ascii="宋体" w:hAnsi="宋体" w:cs="宋体" w:eastAsia="宋体" w:hint="default"/>
        </w:rPr>
        <w:t>12</w:t>
      </w:r>
      <w:r>
        <w:rPr>
          <w:rFonts w:ascii="宋体" w:hAnsi="宋体" w:cs="宋体" w:eastAsia="宋体" w:hint="default"/>
          <w:spacing w:val="-33"/>
        </w:rPr>
        <w:t> </w:t>
      </w:r>
      <w:r>
        <w:rPr>
          <w:spacing w:val="-3"/>
        </w:rPr>
        <w:t>月收到财政部拨付的关于国家重大仪器专项项目《环境大气中细粒子（</w:t>
      </w:r>
      <w:r>
        <w:rPr>
          <w:rFonts w:ascii="宋体" w:hAnsi="宋体" w:cs="宋体" w:eastAsia="宋体" w:hint="default"/>
          <w:spacing w:val="-3"/>
        </w:rPr>
        <w:t>PM2.5)</w:t>
      </w:r>
      <w:r>
        <w:rPr>
          <w:spacing w:val="-3"/>
        </w:rPr>
        <w:t>监测设</w:t>
      </w:r>
      <w:r>
        <w:rPr>
          <w:w w:val="100"/>
        </w:rPr>
        <w:t> </w:t>
      </w:r>
      <w:r>
        <w:rPr/>
        <w:t>备开发与应用》经费</w:t>
      </w:r>
      <w:r>
        <w:rPr>
          <w:spacing w:val="-54"/>
        </w:rPr>
        <w:t> </w:t>
      </w:r>
      <w:r>
        <w:rPr>
          <w:rFonts w:ascii="宋体" w:hAnsi="宋体" w:cs="宋体" w:eastAsia="宋体" w:hint="default"/>
        </w:rPr>
        <w:t>10,630,000.00</w:t>
      </w:r>
      <w:r>
        <w:rPr>
          <w:rFonts w:ascii="宋体" w:hAnsi="宋体" w:cs="宋体" w:eastAsia="宋体" w:hint="default"/>
          <w:spacing w:val="-56"/>
        </w:rPr>
        <w:t> </w:t>
      </w:r>
      <w:r>
        <w:rPr/>
        <w:t>元，其中支付合作单位</w:t>
      </w:r>
      <w:r>
        <w:rPr>
          <w:spacing w:val="-54"/>
        </w:rPr>
        <w:t> </w:t>
      </w:r>
      <w:r>
        <w:rPr>
          <w:rFonts w:ascii="宋体" w:hAnsi="宋体" w:cs="宋体" w:eastAsia="宋体" w:hint="default"/>
        </w:rPr>
        <w:t>7,258,600.00</w:t>
      </w:r>
      <w:r>
        <w:rPr>
          <w:rFonts w:ascii="宋体" w:hAnsi="宋体" w:cs="宋体" w:eastAsia="宋体" w:hint="default"/>
          <w:spacing w:val="-56"/>
        </w:rPr>
        <w:t> </w:t>
      </w:r>
      <w:r>
        <w:rPr>
          <w:spacing w:val="-3"/>
        </w:rPr>
        <w:t>元。</w:t>
      </w:r>
      <w:r>
        <w:rPr/>
      </w:r>
    </w:p>
    <w:p>
      <w:pPr>
        <w:spacing w:line="240" w:lineRule="auto" w:before="1"/>
        <w:rPr>
          <w:rFonts w:ascii="宋体" w:hAnsi="宋体" w:cs="宋体" w:eastAsia="宋体" w:hint="default"/>
          <w:sz w:val="14"/>
          <w:szCs w:val="14"/>
        </w:rPr>
      </w:pPr>
    </w:p>
    <w:p>
      <w:pPr>
        <w:pStyle w:val="Heading3"/>
        <w:spacing w:line="240" w:lineRule="auto"/>
        <w:ind w:left="572" w:right="564"/>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4"/>
        <w:rPr>
          <w:rFonts w:ascii="宋体" w:hAnsi="宋体" w:cs="宋体" w:eastAsia="宋体" w:hint="default"/>
          <w:b/>
          <w:bCs/>
          <w:sz w:val="26"/>
          <w:szCs w:val="26"/>
        </w:rPr>
      </w:pPr>
    </w:p>
    <w:p>
      <w:pPr>
        <w:spacing w:before="0"/>
        <w:ind w:left="0" w:right="57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567" w:type="dxa"/>
        <w:tblLayout w:type="fixed"/>
        <w:tblCellMar>
          <w:top w:w="0" w:type="dxa"/>
          <w:left w:w="0" w:type="dxa"/>
          <w:bottom w:w="0" w:type="dxa"/>
          <w:right w:w="0" w:type="dxa"/>
        </w:tblCellMar>
        <w:tblLook w:val="01E0"/>
      </w:tblPr>
      <w:tblGrid>
        <w:gridCol w:w="1196"/>
        <w:gridCol w:w="1210"/>
        <w:gridCol w:w="1184"/>
        <w:gridCol w:w="1195"/>
        <w:gridCol w:w="1198"/>
        <w:gridCol w:w="1195"/>
        <w:gridCol w:w="1185"/>
        <w:gridCol w:w="1208"/>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0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56" w:right="0"/>
              <w:jc w:val="left"/>
              <w:rPr>
                <w:rFonts w:ascii="Times New Roman" w:hAnsi="Times New Roman" w:cs="Times New Roman" w:eastAsia="Times New Roman" w:hint="default"/>
                <w:sz w:val="18"/>
                <w:szCs w:val="18"/>
              </w:rPr>
            </w:pPr>
            <w:r>
              <w:rPr>
                <w:rFonts w:ascii="Times New Roman"/>
                <w:sz w:val="18"/>
              </w:rPr>
              <w:t>156,000,000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4" w:right="0"/>
              <w:jc w:val="left"/>
              <w:rPr>
                <w:rFonts w:ascii="Times New Roman" w:hAnsi="Times New Roman" w:cs="Times New Roman" w:eastAsia="Times New Roman" w:hint="default"/>
                <w:sz w:val="18"/>
                <w:szCs w:val="18"/>
              </w:rPr>
            </w:pPr>
            <w:r>
              <w:rPr>
                <w:rFonts w:ascii="Times New Roman"/>
                <w:sz w:val="18"/>
              </w:rPr>
              <w:t>156,000,000</w:t>
            </w:r>
          </w:p>
        </w:tc>
      </w:tr>
    </w:tbl>
    <w:p>
      <w:pPr>
        <w:spacing w:before="49"/>
        <w:ind w:left="572" w:right="56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p>
      <w:pPr>
        <w:spacing w:before="63"/>
        <w:ind w:left="572" w:right="564"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1"/>
        <w:gridCol w:w="1133"/>
        <w:gridCol w:w="850"/>
        <w:gridCol w:w="600"/>
        <w:gridCol w:w="562"/>
        <w:gridCol w:w="800"/>
        <w:gridCol w:w="1190"/>
        <w:gridCol w:w="1138"/>
        <w:gridCol w:w="1154"/>
        <w:gridCol w:w="758"/>
      </w:tblGrid>
      <w:tr>
        <w:trPr>
          <w:trHeight w:val="557" w:hRule="exact"/>
        </w:trPr>
        <w:tc>
          <w:tcPr>
            <w:tcW w:w="238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1"/>
              <w:ind w:left="62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4290"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1"/>
              <w:ind w:left="1247" w:right="0"/>
              <w:jc w:val="left"/>
              <w:rPr>
                <w:rFonts w:ascii="宋体" w:hAnsi="宋体" w:cs="宋体" w:eastAsia="宋体" w:hint="default"/>
                <w:sz w:val="18"/>
                <w:szCs w:val="18"/>
              </w:rPr>
            </w:pPr>
            <w:r>
              <w:rPr>
                <w:rFonts w:ascii="宋体" w:hAnsi="宋体" w:cs="宋体" w:eastAsia="宋体" w:hint="default"/>
                <w:b/>
                <w:bCs/>
                <w:sz w:val="18"/>
                <w:szCs w:val="18"/>
              </w:rPr>
              <w:t>本期增减（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）变动</w:t>
            </w:r>
            <w:r>
              <w:rPr>
                <w:rFonts w:ascii="宋体" w:hAnsi="宋体" w:cs="宋体" w:eastAsia="宋体" w:hint="default"/>
                <w:sz w:val="18"/>
                <w:szCs w:val="18"/>
              </w:rPr>
            </w:r>
          </w:p>
        </w:tc>
        <w:tc>
          <w:tcPr>
            <w:tcW w:w="1913"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21"/>
              <w:ind w:left="59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566" w:hRule="exact"/>
        </w:trPr>
        <w:tc>
          <w:tcPr>
            <w:tcW w:w="2381" w:type="dxa"/>
            <w:vMerge/>
            <w:tcBorders>
              <w:left w:val="nil" w:sz="6" w:space="0" w:color="auto"/>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b/>
                <w:bCs/>
                <w:sz w:val="18"/>
                <w:szCs w:val="18"/>
              </w:rPr>
              <w:t>股数</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17" w:lineRule="exact" w:before="76"/>
              <w:ind w:left="151"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8"/>
              <w:ind w:left="105" w:right="119"/>
              <w:jc w:val="left"/>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b/>
                <w:bCs/>
                <w:spacing w:val="-89"/>
                <w:sz w:val="18"/>
                <w:szCs w:val="18"/>
              </w:rPr>
              <w:t> </w:t>
            </w:r>
            <w:r>
              <w:rPr>
                <w:rFonts w:ascii="宋体" w:hAnsi="宋体" w:cs="宋体" w:eastAsia="宋体" w:hint="default"/>
                <w:b/>
                <w:bCs/>
                <w:sz w:val="18"/>
                <w:szCs w:val="18"/>
              </w:rPr>
              <w:t>新股</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8"/>
              <w:ind w:left="103" w:right="266"/>
              <w:jc w:val="left"/>
              <w:rPr>
                <w:rFonts w:ascii="宋体" w:hAnsi="宋体" w:cs="宋体" w:eastAsia="宋体" w:hint="default"/>
                <w:sz w:val="18"/>
                <w:szCs w:val="18"/>
              </w:rPr>
            </w:pPr>
            <w:r>
              <w:rPr>
                <w:rFonts w:ascii="宋体" w:hAnsi="宋体" w:cs="宋体" w:eastAsia="宋体" w:hint="default"/>
                <w:b/>
                <w:bCs/>
                <w:sz w:val="18"/>
                <w:szCs w:val="18"/>
              </w:rPr>
              <w:t>送</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8"/>
              <w:ind w:left="216" w:right="120" w:hanging="92"/>
              <w:jc w:val="left"/>
              <w:rPr>
                <w:rFonts w:ascii="宋体" w:hAnsi="宋体" w:cs="宋体" w:eastAsia="宋体" w:hint="default"/>
                <w:sz w:val="18"/>
                <w:szCs w:val="18"/>
              </w:rPr>
            </w:pPr>
            <w:r>
              <w:rPr>
                <w:rFonts w:ascii="宋体" w:hAnsi="宋体" w:cs="宋体" w:eastAsia="宋体" w:hint="default"/>
                <w:b/>
                <w:bCs/>
                <w:sz w:val="18"/>
                <w:szCs w:val="18"/>
              </w:rPr>
              <w:t>公积金</w:t>
            </w:r>
            <w:r>
              <w:rPr>
                <w:rFonts w:ascii="宋体" w:hAnsi="宋体" w:cs="宋体" w:eastAsia="宋体" w:hint="default"/>
                <w:b/>
                <w:bCs/>
                <w:w w:val="99"/>
                <w:sz w:val="18"/>
                <w:szCs w:val="18"/>
              </w:rPr>
              <w:t> </w:t>
            </w:r>
            <w:r>
              <w:rPr>
                <w:rFonts w:ascii="宋体" w:hAnsi="宋体" w:cs="宋体" w:eastAsia="宋体" w:hint="default"/>
                <w:b/>
                <w:bCs/>
                <w:sz w:val="18"/>
                <w:szCs w:val="18"/>
              </w:rPr>
              <w:t>转股</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b/>
                <w:bCs/>
                <w:sz w:val="18"/>
                <w:szCs w:val="18"/>
              </w:rPr>
              <w:t>其它</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7" w:right="0"/>
              <w:jc w:val="center"/>
              <w:rPr>
                <w:rFonts w:ascii="宋体" w:hAnsi="宋体" w:cs="宋体" w:eastAsia="宋体" w:hint="default"/>
                <w:sz w:val="18"/>
                <w:szCs w:val="18"/>
              </w:rPr>
            </w:pPr>
            <w:r>
              <w:rPr>
                <w:rFonts w:ascii="宋体" w:hAnsi="宋体" w:cs="宋体" w:eastAsia="宋体" w:hint="default"/>
                <w:b/>
                <w:bCs/>
                <w:sz w:val="18"/>
                <w:szCs w:val="18"/>
              </w:rPr>
              <w:t>股数</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17" w:lineRule="exact" w:before="76"/>
              <w:ind w:left="10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4" w:hRule="exact"/>
        </w:trPr>
        <w:tc>
          <w:tcPr>
            <w:tcW w:w="2381" w:type="dxa"/>
            <w:tcBorders>
              <w:top w:val="single" w:sz="4" w:space="0" w:color="000000"/>
              <w:left w:val="nil" w:sz="6" w:space="0" w:color="auto"/>
              <w:bottom w:val="nil" w:sz="6" w:space="0" w:color="auto"/>
              <w:right w:val="single" w:sz="4" w:space="0" w:color="000000"/>
            </w:tcBorders>
          </w:tcPr>
          <w:p>
            <w:pPr>
              <w:pStyle w:val="TableParagraph"/>
              <w:spacing w:line="240" w:lineRule="auto" w:before="63"/>
              <w:ind w:left="110"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tc>
        <w:tc>
          <w:tcPr>
            <w:tcW w:w="113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60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1190" w:type="dxa"/>
            <w:tcBorders>
              <w:top w:val="single" w:sz="4" w:space="0" w:color="000000"/>
              <w:left w:val="single" w:sz="4" w:space="0" w:color="000000"/>
              <w:bottom w:val="nil" w:sz="6" w:space="0" w:color="auto"/>
              <w:right w:val="single" w:sz="4" w:space="0" w:color="000000"/>
            </w:tcBorders>
          </w:tcPr>
          <w:p>
            <w:pPr/>
          </w:p>
        </w:tc>
        <w:tc>
          <w:tcPr>
            <w:tcW w:w="1138" w:type="dxa"/>
            <w:tcBorders>
              <w:top w:val="single" w:sz="4" w:space="0" w:color="000000"/>
              <w:left w:val="single" w:sz="4" w:space="0" w:color="000000"/>
              <w:bottom w:val="nil" w:sz="6" w:space="0" w:color="auto"/>
              <w:right w:val="single" w:sz="4" w:space="0" w:color="000000"/>
            </w:tcBorders>
          </w:tcPr>
          <w:p>
            <w:pP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44,355,816</w:t>
            </w:r>
          </w:p>
        </w:tc>
        <w:tc>
          <w:tcPr>
            <w:tcW w:w="758" w:type="dxa"/>
            <w:tcBorders>
              <w:top w:val="single" w:sz="4" w:space="0" w:color="000000"/>
              <w:left w:val="single" w:sz="4" w:space="0" w:color="000000"/>
              <w:bottom w:val="nil" w:sz="6" w:space="0" w:color="auto"/>
              <w:right w:val="nil" w:sz="6" w:space="0" w:color="auto"/>
            </w:tcBorders>
          </w:tcPr>
          <w:p>
            <w:pPr/>
          </w:p>
        </w:tc>
      </w:tr>
      <w:tr>
        <w:trPr>
          <w:trHeight w:val="425" w:hRule="exact"/>
        </w:trPr>
        <w:tc>
          <w:tcPr>
            <w:tcW w:w="2381"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3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60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54" w:type="dxa"/>
            <w:vMerge/>
            <w:tcBorders>
              <w:left w:val="single" w:sz="4" w:space="0" w:color="000000"/>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420" w:hRule="exact"/>
        </w:trPr>
        <w:tc>
          <w:tcPr>
            <w:tcW w:w="2381"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105" w:right="0"/>
              <w:jc w:val="center"/>
              <w:rPr>
                <w:rFonts w:ascii="Times New Roman" w:hAnsi="Times New Roman" w:cs="Times New Roman" w:eastAsia="Times New Roman" w:hint="default"/>
                <w:sz w:val="18"/>
                <w:szCs w:val="18"/>
              </w:rPr>
            </w:pPr>
            <w:r>
              <w:rPr>
                <w:rFonts w:ascii="Times New Roman"/>
                <w:sz w:val="18"/>
              </w:rPr>
              <w:t>17,034,436</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97"/>
              <w:jc w:val="right"/>
              <w:rPr>
                <w:rFonts w:ascii="Times New Roman" w:hAnsi="Times New Roman" w:cs="Times New Roman" w:eastAsia="Times New Roman" w:hint="default"/>
                <w:sz w:val="18"/>
                <w:szCs w:val="18"/>
              </w:rPr>
            </w:pPr>
            <w:r>
              <w:rPr>
                <w:rFonts w:ascii="Times New Roman"/>
                <w:sz w:val="18"/>
              </w:rPr>
              <w:t>10.92</w:t>
            </w:r>
          </w:p>
        </w:tc>
        <w:tc>
          <w:tcPr>
            <w:tcW w:w="60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8"/>
                <w:szCs w:val="18"/>
              </w:rPr>
            </w:pPr>
            <w:r>
              <w:rPr>
                <w:rFonts w:ascii="Times New Roman"/>
                <w:w w:val="95"/>
                <w:sz w:val="18"/>
              </w:rPr>
              <w:t>-17,034,436</w:t>
            </w:r>
            <w:r>
              <w:rPr>
                <w:rFonts w:ascii="Times New Roman"/>
                <w:sz w:val="18"/>
              </w:rPr>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50" w:right="0"/>
              <w:jc w:val="center"/>
              <w:rPr>
                <w:rFonts w:ascii="Times New Roman" w:hAnsi="Times New Roman" w:cs="Times New Roman" w:eastAsia="Times New Roman" w:hint="default"/>
                <w:sz w:val="18"/>
                <w:szCs w:val="18"/>
              </w:rPr>
            </w:pPr>
            <w:r>
              <w:rPr>
                <w:rFonts w:ascii="Times New Roman"/>
                <w:sz w:val="18"/>
              </w:rPr>
              <w:t>-17,034,436</w:t>
            </w:r>
          </w:p>
        </w:tc>
        <w:tc>
          <w:tcPr>
            <w:tcW w:w="1154" w:type="dxa"/>
            <w:vMerge/>
            <w:tcBorders>
              <w:left w:val="single" w:sz="4" w:space="0" w:color="000000"/>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416" w:hRule="exact"/>
        </w:trPr>
        <w:tc>
          <w:tcPr>
            <w:tcW w:w="2381"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105" w:right="0"/>
              <w:jc w:val="center"/>
              <w:rPr>
                <w:rFonts w:ascii="Times New Roman" w:hAnsi="Times New Roman" w:cs="Times New Roman" w:eastAsia="Times New Roman" w:hint="default"/>
                <w:sz w:val="18"/>
                <w:szCs w:val="18"/>
              </w:rPr>
            </w:pPr>
            <w:r>
              <w:rPr>
                <w:rFonts w:ascii="Times New Roman"/>
                <w:sz w:val="18"/>
              </w:rPr>
              <w:t>55,401,032</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97"/>
              <w:jc w:val="right"/>
              <w:rPr>
                <w:rFonts w:ascii="Times New Roman" w:hAnsi="Times New Roman" w:cs="Times New Roman" w:eastAsia="Times New Roman" w:hint="default"/>
                <w:sz w:val="18"/>
                <w:szCs w:val="18"/>
              </w:rPr>
            </w:pPr>
            <w:r>
              <w:rPr>
                <w:rFonts w:ascii="Times New Roman"/>
                <w:sz w:val="18"/>
              </w:rPr>
              <w:t>35.51</w:t>
            </w:r>
          </w:p>
        </w:tc>
        <w:tc>
          <w:tcPr>
            <w:tcW w:w="600" w:type="dxa"/>
            <w:vMerge/>
            <w:tcBorders>
              <w:left w:val="single" w:sz="4" w:space="0" w:color="000000"/>
              <w:bottom w:val="nil" w:sz="6" w:space="0" w:color="auto"/>
              <w:right w:val="single" w:sz="4" w:space="0" w:color="000000"/>
            </w:tcBorders>
          </w:tcPr>
          <w:p>
            <w:pPr/>
          </w:p>
        </w:tc>
        <w:tc>
          <w:tcPr>
            <w:tcW w:w="562" w:type="dxa"/>
            <w:vMerge/>
            <w:tcBorders>
              <w:left w:val="single" w:sz="4" w:space="0" w:color="000000"/>
              <w:bottom w:val="nil" w:sz="6" w:space="0" w:color="auto"/>
              <w:right w:val="single" w:sz="4" w:space="0" w:color="000000"/>
            </w:tcBorders>
          </w:tcPr>
          <w:p>
            <w:pPr/>
          </w:p>
        </w:tc>
        <w:tc>
          <w:tcPr>
            <w:tcW w:w="800" w:type="dxa"/>
            <w:vMerge/>
            <w:tcBorders>
              <w:left w:val="single" w:sz="4" w:space="0" w:color="000000"/>
              <w:bottom w:val="nil" w:sz="6" w:space="0" w:color="auto"/>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8"/>
                <w:szCs w:val="18"/>
              </w:rPr>
            </w:pPr>
            <w:r>
              <w:rPr>
                <w:rFonts w:ascii="Times New Roman"/>
                <w:spacing w:val="-1"/>
                <w:sz w:val="18"/>
              </w:rPr>
              <w:t>-11,045,216</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57" w:right="0"/>
              <w:jc w:val="center"/>
              <w:rPr>
                <w:rFonts w:ascii="Times New Roman" w:hAnsi="Times New Roman" w:cs="Times New Roman" w:eastAsia="Times New Roman" w:hint="default"/>
                <w:sz w:val="18"/>
                <w:szCs w:val="18"/>
              </w:rPr>
            </w:pPr>
            <w:r>
              <w:rPr>
                <w:rFonts w:ascii="Times New Roman"/>
                <w:sz w:val="18"/>
              </w:rPr>
              <w:t>-11,045,216</w:t>
            </w:r>
          </w:p>
        </w:tc>
        <w:tc>
          <w:tcPr>
            <w:tcW w:w="1154" w:type="dxa"/>
            <w:vMerge/>
            <w:tcBorders>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left="240" w:right="0"/>
              <w:jc w:val="left"/>
              <w:rPr>
                <w:rFonts w:ascii="Times New Roman" w:hAnsi="Times New Roman" w:cs="Times New Roman" w:eastAsia="Times New Roman" w:hint="default"/>
                <w:sz w:val="18"/>
                <w:szCs w:val="18"/>
              </w:rPr>
            </w:pPr>
            <w:r>
              <w:rPr>
                <w:rFonts w:ascii="Times New Roman"/>
                <w:sz w:val="18"/>
              </w:rPr>
              <w:t>28.43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560" w:right="56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2396"/>
        <w:gridCol w:w="1133"/>
        <w:gridCol w:w="850"/>
        <w:gridCol w:w="600"/>
        <w:gridCol w:w="562"/>
        <w:gridCol w:w="800"/>
        <w:gridCol w:w="1190"/>
        <w:gridCol w:w="1138"/>
        <w:gridCol w:w="1154"/>
        <w:gridCol w:w="758"/>
      </w:tblGrid>
      <w:tr>
        <w:trPr>
          <w:trHeight w:val="424" w:hRule="exact"/>
        </w:trPr>
        <w:tc>
          <w:tcPr>
            <w:tcW w:w="2396" w:type="dxa"/>
            <w:tcBorders>
              <w:top w:val="nil" w:sz="6" w:space="0" w:color="auto"/>
              <w:left w:val="nil" w:sz="6" w:space="0" w:color="auto"/>
              <w:bottom w:val="nil" w:sz="6" w:space="0" w:color="auto"/>
              <w:right w:val="single" w:sz="4" w:space="0" w:color="000000"/>
            </w:tcBorders>
          </w:tcPr>
          <w:p>
            <w:pPr>
              <w:pStyle w:val="TableParagraph"/>
              <w:spacing w:line="240" w:lineRule="auto" w:before="63"/>
              <w:ind w:left="1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8,517,215</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5.46</w:t>
            </w:r>
          </w:p>
        </w:tc>
        <w:tc>
          <w:tcPr>
            <w:tcW w:w="600" w:type="dxa"/>
            <w:vMerge w:val="restart"/>
            <w:tcBorders>
              <w:top w:val="nil" w:sz="6" w:space="0" w:color="auto"/>
              <w:left w:val="single" w:sz="4" w:space="0" w:color="000000"/>
              <w:right w:val="single" w:sz="4" w:space="0" w:color="000000"/>
            </w:tcBorders>
          </w:tcPr>
          <w:p>
            <w:pPr/>
          </w:p>
        </w:tc>
        <w:tc>
          <w:tcPr>
            <w:tcW w:w="562" w:type="dxa"/>
            <w:vMerge w:val="restart"/>
            <w:tcBorders>
              <w:top w:val="nil" w:sz="6" w:space="0" w:color="auto"/>
              <w:left w:val="single" w:sz="4" w:space="0" w:color="000000"/>
              <w:right w:val="single" w:sz="4" w:space="0" w:color="000000"/>
            </w:tcBorders>
          </w:tcPr>
          <w:p>
            <w:pPr/>
          </w:p>
        </w:tc>
        <w:tc>
          <w:tcPr>
            <w:tcW w:w="800" w:type="dxa"/>
            <w:vMerge w:val="restart"/>
            <w:tcBorders>
              <w:top w:val="nil" w:sz="6" w:space="0" w:color="auto"/>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-8,517,215</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left="141" w:right="0"/>
              <w:jc w:val="center"/>
              <w:rPr>
                <w:rFonts w:ascii="Times New Roman" w:hAnsi="Times New Roman" w:cs="Times New Roman" w:eastAsia="Times New Roman" w:hint="default"/>
                <w:sz w:val="18"/>
                <w:szCs w:val="18"/>
              </w:rPr>
            </w:pPr>
            <w:r>
              <w:rPr>
                <w:rFonts w:ascii="Times New Roman"/>
                <w:sz w:val="18"/>
              </w:rPr>
              <w:t>-8,517,215</w:t>
            </w:r>
          </w:p>
        </w:tc>
        <w:tc>
          <w:tcPr>
            <w:tcW w:w="115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420" w:hRule="exact"/>
        </w:trPr>
        <w:tc>
          <w:tcPr>
            <w:tcW w:w="2396"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4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46,883,817</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30.05</w:t>
            </w:r>
          </w:p>
        </w:tc>
        <w:tc>
          <w:tcPr>
            <w:tcW w:w="60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-2,528,001</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41" w:right="0"/>
              <w:jc w:val="center"/>
              <w:rPr>
                <w:rFonts w:ascii="Times New Roman" w:hAnsi="Times New Roman" w:cs="Times New Roman" w:eastAsia="Times New Roman" w:hint="default"/>
                <w:sz w:val="18"/>
                <w:szCs w:val="18"/>
              </w:rPr>
            </w:pPr>
            <w:r>
              <w:rPr>
                <w:rFonts w:ascii="Times New Roman"/>
                <w:sz w:val="18"/>
              </w:rPr>
              <w:t>-2,528,001</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32" w:right="0"/>
              <w:jc w:val="center"/>
              <w:rPr>
                <w:rFonts w:ascii="Times New Roman" w:hAnsi="Times New Roman" w:cs="Times New Roman" w:eastAsia="Times New Roman" w:hint="default"/>
                <w:sz w:val="18"/>
                <w:szCs w:val="18"/>
              </w:rPr>
            </w:pPr>
            <w:r>
              <w:rPr>
                <w:rFonts w:ascii="Times New Roman"/>
                <w:sz w:val="18"/>
              </w:rPr>
              <w:t>44,355,816</w:t>
            </w:r>
          </w:p>
        </w:tc>
        <w:tc>
          <w:tcPr>
            <w:tcW w:w="758"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28.43</w:t>
            </w:r>
          </w:p>
        </w:tc>
      </w:tr>
      <w:tr>
        <w:trPr>
          <w:trHeight w:val="420" w:hRule="exact"/>
        </w:trPr>
        <w:tc>
          <w:tcPr>
            <w:tcW w:w="2396"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3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60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415" w:hRule="exact"/>
        </w:trPr>
        <w:tc>
          <w:tcPr>
            <w:tcW w:w="2396"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3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60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420" w:hRule="exact"/>
        </w:trPr>
        <w:tc>
          <w:tcPr>
            <w:tcW w:w="2396"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578"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3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60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425" w:hRule="exact"/>
        </w:trPr>
        <w:tc>
          <w:tcPr>
            <w:tcW w:w="2396"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、基金产品及其它</w:t>
            </w:r>
          </w:p>
        </w:tc>
        <w:tc>
          <w:tcPr>
            <w:tcW w:w="113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60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420" w:hRule="exact"/>
        </w:trPr>
        <w:tc>
          <w:tcPr>
            <w:tcW w:w="2396"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4" w:right="0"/>
              <w:jc w:val="left"/>
              <w:rPr>
                <w:rFonts w:ascii="宋体" w:hAnsi="宋体" w:cs="宋体" w:eastAsia="宋体" w:hint="default"/>
                <w:sz w:val="18"/>
                <w:szCs w:val="18"/>
              </w:rPr>
            </w:pPr>
            <w:r>
              <w:rPr>
                <w:rFonts w:ascii="宋体" w:hAnsi="宋体" w:cs="宋体" w:eastAsia="宋体" w:hint="default"/>
                <w:sz w:val="18"/>
                <w:szCs w:val="18"/>
              </w:rPr>
              <w:t>有限售条件股小计</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pacing w:val="-1"/>
                <w:sz w:val="18"/>
              </w:rPr>
              <w:t>72,435,468</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97"/>
              <w:jc w:val="right"/>
              <w:rPr>
                <w:rFonts w:ascii="Times New Roman" w:hAnsi="Times New Roman" w:cs="Times New Roman" w:eastAsia="Times New Roman" w:hint="default"/>
                <w:sz w:val="18"/>
                <w:szCs w:val="18"/>
              </w:rPr>
            </w:pPr>
            <w:r>
              <w:rPr>
                <w:rFonts w:ascii="Times New Roman"/>
                <w:sz w:val="18"/>
              </w:rPr>
              <w:t>46.43</w:t>
            </w:r>
          </w:p>
        </w:tc>
        <w:tc>
          <w:tcPr>
            <w:tcW w:w="60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8"/>
                <w:szCs w:val="18"/>
              </w:rPr>
            </w:pPr>
            <w:r>
              <w:rPr>
                <w:rFonts w:ascii="Times New Roman"/>
                <w:w w:val="95"/>
                <w:sz w:val="18"/>
              </w:rPr>
              <w:t>-28,079,652</w:t>
            </w:r>
            <w:r>
              <w:rPr>
                <w:rFonts w:ascii="Times New Roman"/>
                <w:sz w:val="18"/>
              </w:rPr>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50" w:right="0"/>
              <w:jc w:val="center"/>
              <w:rPr>
                <w:rFonts w:ascii="Times New Roman" w:hAnsi="Times New Roman" w:cs="Times New Roman" w:eastAsia="Times New Roman" w:hint="default"/>
                <w:sz w:val="18"/>
                <w:szCs w:val="18"/>
              </w:rPr>
            </w:pPr>
            <w:r>
              <w:rPr>
                <w:rFonts w:ascii="Times New Roman"/>
                <w:sz w:val="18"/>
              </w:rPr>
              <w:t>-28,079,652</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132" w:right="0"/>
              <w:jc w:val="center"/>
              <w:rPr>
                <w:rFonts w:ascii="Times New Roman" w:hAnsi="Times New Roman" w:cs="Times New Roman" w:eastAsia="Times New Roman" w:hint="default"/>
                <w:sz w:val="18"/>
                <w:szCs w:val="18"/>
              </w:rPr>
            </w:pPr>
            <w:r>
              <w:rPr>
                <w:rFonts w:ascii="Times New Roman"/>
                <w:sz w:val="18"/>
              </w:rPr>
              <w:t>44,355,816</w:t>
            </w:r>
          </w:p>
        </w:tc>
        <w:tc>
          <w:tcPr>
            <w:tcW w:w="758"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z w:val="18"/>
              </w:rPr>
              <w:t>28.43</w:t>
            </w:r>
          </w:p>
        </w:tc>
      </w:tr>
      <w:tr>
        <w:trPr>
          <w:trHeight w:val="438" w:hRule="exact"/>
        </w:trPr>
        <w:tc>
          <w:tcPr>
            <w:tcW w:w="2396"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4" w:right="0"/>
              <w:jc w:val="left"/>
              <w:rPr>
                <w:rFonts w:ascii="宋体" w:hAnsi="宋体" w:cs="宋体" w:eastAsia="宋体" w:hint="default"/>
                <w:sz w:val="18"/>
                <w:szCs w:val="18"/>
              </w:rPr>
            </w:pPr>
            <w:r>
              <w:rPr>
                <w:rFonts w:ascii="宋体" w:hAnsi="宋体" w:cs="宋体" w:eastAsia="宋体" w:hint="default"/>
                <w:b/>
                <w:bCs/>
                <w:sz w:val="18"/>
                <w:szCs w:val="18"/>
              </w:rPr>
              <w:t>二、无限售条件股份</w:t>
            </w:r>
            <w:r>
              <w:rPr>
                <w:rFonts w:ascii="宋体" w:hAnsi="宋体" w:cs="宋体" w:eastAsia="宋体" w:hint="default"/>
                <w:sz w:val="18"/>
                <w:szCs w:val="18"/>
              </w:rPr>
            </w:r>
          </w:p>
        </w:tc>
        <w:tc>
          <w:tcPr>
            <w:tcW w:w="113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60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470" w:hRule="exact"/>
        </w:trPr>
        <w:tc>
          <w:tcPr>
            <w:tcW w:w="2396"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7"/>
                <w:sz w:val="18"/>
                <w:szCs w:val="18"/>
              </w:rPr>
              <w:t>、</w:t>
            </w:r>
            <w:r>
              <w:rPr>
                <w:rFonts w:ascii="宋体" w:hAnsi="宋体" w:cs="宋体" w:eastAsia="宋体" w:hint="default"/>
                <w:sz w:val="18"/>
                <w:szCs w:val="18"/>
              </w:rPr>
              <w:t>境内上市的人民币普通股</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83,564,532</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z w:val="18"/>
              </w:rPr>
              <w:t>53.57</w:t>
            </w:r>
          </w:p>
        </w:tc>
        <w:tc>
          <w:tcPr>
            <w:tcW w:w="60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28,079,652</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110" w:right="0"/>
              <w:jc w:val="center"/>
              <w:rPr>
                <w:rFonts w:ascii="Times New Roman" w:hAnsi="Times New Roman" w:cs="Times New Roman" w:eastAsia="Times New Roman" w:hint="default"/>
                <w:sz w:val="18"/>
                <w:szCs w:val="18"/>
              </w:rPr>
            </w:pPr>
            <w:r>
              <w:rPr>
                <w:rFonts w:ascii="Times New Roman"/>
                <w:sz w:val="18"/>
              </w:rPr>
              <w:t>28,079,652</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58" w:right="0"/>
              <w:jc w:val="center"/>
              <w:rPr>
                <w:rFonts w:ascii="Times New Roman" w:hAnsi="Times New Roman" w:cs="Times New Roman" w:eastAsia="Times New Roman" w:hint="default"/>
                <w:sz w:val="18"/>
                <w:szCs w:val="18"/>
              </w:rPr>
            </w:pPr>
            <w:r>
              <w:rPr>
                <w:rFonts w:ascii="Times New Roman"/>
                <w:sz w:val="18"/>
              </w:rPr>
              <w:t>111,644,184</w:t>
            </w:r>
          </w:p>
        </w:tc>
        <w:tc>
          <w:tcPr>
            <w:tcW w:w="758"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z w:val="18"/>
              </w:rPr>
              <w:t>71.57</w:t>
            </w:r>
          </w:p>
        </w:tc>
      </w:tr>
      <w:tr>
        <w:trPr>
          <w:trHeight w:val="442" w:hRule="exact"/>
        </w:trPr>
        <w:tc>
          <w:tcPr>
            <w:tcW w:w="2396"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境内上市的外资股</w:t>
            </w:r>
          </w:p>
        </w:tc>
        <w:tc>
          <w:tcPr>
            <w:tcW w:w="113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60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420" w:hRule="exact"/>
        </w:trPr>
        <w:tc>
          <w:tcPr>
            <w:tcW w:w="2396"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境外上市的外资股</w:t>
            </w:r>
          </w:p>
        </w:tc>
        <w:tc>
          <w:tcPr>
            <w:tcW w:w="113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60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420" w:hRule="exact"/>
        </w:trPr>
        <w:tc>
          <w:tcPr>
            <w:tcW w:w="2396"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其他</w:t>
            </w:r>
          </w:p>
        </w:tc>
        <w:tc>
          <w:tcPr>
            <w:tcW w:w="113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60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423" w:hRule="exact"/>
        </w:trPr>
        <w:tc>
          <w:tcPr>
            <w:tcW w:w="2396" w:type="dxa"/>
            <w:tcBorders>
              <w:top w:val="nil" w:sz="6" w:space="0" w:color="auto"/>
              <w:left w:val="nil" w:sz="6" w:space="0" w:color="auto"/>
              <w:bottom w:val="single" w:sz="4" w:space="0" w:color="000000"/>
              <w:right w:val="single" w:sz="4" w:space="0" w:color="000000"/>
            </w:tcBorders>
          </w:tcPr>
          <w:p>
            <w:pPr>
              <w:pStyle w:val="TableParagraph"/>
              <w:spacing w:line="240" w:lineRule="auto" w:before="59"/>
              <w:ind w:left="124" w:right="0"/>
              <w:jc w:val="left"/>
              <w:rPr>
                <w:rFonts w:ascii="宋体" w:hAnsi="宋体" w:cs="宋体" w:eastAsia="宋体" w:hint="default"/>
                <w:sz w:val="18"/>
                <w:szCs w:val="18"/>
              </w:rPr>
            </w:pPr>
            <w:r>
              <w:rPr>
                <w:rFonts w:ascii="宋体" w:hAnsi="宋体" w:cs="宋体" w:eastAsia="宋体" w:hint="default"/>
                <w:sz w:val="18"/>
                <w:szCs w:val="18"/>
              </w:rPr>
              <w:t>无限售条件股小计</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pacing w:val="-1"/>
                <w:sz w:val="18"/>
              </w:rPr>
              <w:t>83,564,532</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97"/>
              <w:jc w:val="right"/>
              <w:rPr>
                <w:rFonts w:ascii="Times New Roman" w:hAnsi="Times New Roman" w:cs="Times New Roman" w:eastAsia="Times New Roman" w:hint="default"/>
                <w:sz w:val="18"/>
                <w:szCs w:val="18"/>
              </w:rPr>
            </w:pPr>
            <w:r>
              <w:rPr>
                <w:rFonts w:ascii="Times New Roman"/>
                <w:sz w:val="18"/>
              </w:rPr>
              <w:t>53.57</w:t>
            </w:r>
          </w:p>
        </w:tc>
        <w:tc>
          <w:tcPr>
            <w:tcW w:w="60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1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8"/>
                <w:szCs w:val="18"/>
              </w:rPr>
            </w:pPr>
            <w:r>
              <w:rPr>
                <w:rFonts w:ascii="Times New Roman"/>
                <w:spacing w:val="-1"/>
                <w:sz w:val="18"/>
              </w:rPr>
              <w:t>28,079,652</w:t>
            </w:r>
          </w:p>
        </w:tc>
        <w:tc>
          <w:tcPr>
            <w:tcW w:w="11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left="110" w:right="0"/>
              <w:jc w:val="center"/>
              <w:rPr>
                <w:rFonts w:ascii="Times New Roman" w:hAnsi="Times New Roman" w:cs="Times New Roman" w:eastAsia="Times New Roman" w:hint="default"/>
                <w:sz w:val="18"/>
                <w:szCs w:val="18"/>
              </w:rPr>
            </w:pPr>
            <w:r>
              <w:rPr>
                <w:rFonts w:ascii="Times New Roman"/>
                <w:sz w:val="18"/>
              </w:rPr>
              <w:t>28,079,652</w:t>
            </w:r>
          </w:p>
        </w:tc>
        <w:tc>
          <w:tcPr>
            <w:tcW w:w="11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left="58" w:right="0"/>
              <w:jc w:val="center"/>
              <w:rPr>
                <w:rFonts w:ascii="Times New Roman" w:hAnsi="Times New Roman" w:cs="Times New Roman" w:eastAsia="Times New Roman" w:hint="default"/>
                <w:sz w:val="18"/>
                <w:szCs w:val="18"/>
              </w:rPr>
            </w:pPr>
            <w:r>
              <w:rPr>
                <w:rFonts w:ascii="Times New Roman"/>
                <w:sz w:val="18"/>
              </w:rPr>
              <w:t>111,644,184</w:t>
            </w:r>
          </w:p>
        </w:tc>
        <w:tc>
          <w:tcPr>
            <w:tcW w:w="758" w:type="dxa"/>
            <w:tcBorders>
              <w:top w:val="nil" w:sz="6" w:space="0" w:color="auto"/>
              <w:left w:val="single" w:sz="4" w:space="0" w:color="000000"/>
              <w:bottom w:val="single" w:sz="4" w:space="0" w:color="000000"/>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z w:val="18"/>
              </w:rPr>
              <w:t>71.57</w:t>
            </w:r>
          </w:p>
        </w:tc>
      </w:tr>
      <w:tr>
        <w:trPr>
          <w:trHeight w:val="439" w:hRule="exact"/>
        </w:trPr>
        <w:tc>
          <w:tcPr>
            <w:tcW w:w="23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1"/>
              <w:ind w:left="124" w:right="0"/>
              <w:jc w:val="left"/>
              <w:rPr>
                <w:rFonts w:ascii="宋体" w:hAnsi="宋体" w:cs="宋体" w:eastAsia="宋体" w:hint="default"/>
                <w:sz w:val="18"/>
                <w:szCs w:val="18"/>
              </w:rPr>
            </w:pPr>
            <w:r>
              <w:rPr>
                <w:rFonts w:ascii="宋体" w:hAnsi="宋体" w:cs="宋体" w:eastAsia="宋体" w:hint="default"/>
                <w:b/>
                <w:bCs/>
                <w:sz w:val="18"/>
                <w:szCs w:val="18"/>
              </w:rPr>
              <w:t>股份合计</w:t>
            </w:r>
            <w:r>
              <w:rPr>
                <w:rFonts w:ascii="宋体" w:hAnsi="宋体" w:cs="宋体" w:eastAsia="宋体" w:hint="default"/>
                <w:sz w:val="18"/>
                <w:szCs w:val="18"/>
              </w:rPr>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156,000,000</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right="96"/>
              <w:jc w:val="right"/>
              <w:rPr>
                <w:rFonts w:ascii="Times New Roman" w:hAnsi="Times New Roman" w:cs="Times New Roman" w:eastAsia="Times New Roman" w:hint="default"/>
                <w:sz w:val="18"/>
                <w:szCs w:val="18"/>
              </w:rPr>
            </w:pPr>
            <w:r>
              <w:rPr>
                <w:rFonts w:ascii="Times New Roman"/>
                <w:sz w:val="18"/>
              </w:rPr>
              <w:t>100</w:t>
            </w:r>
          </w:p>
        </w:tc>
        <w:tc>
          <w:tcPr>
            <w:tcW w:w="600" w:type="dxa"/>
            <w:tcBorders>
              <w:top w:val="single" w:sz="4" w:space="0" w:color="000000"/>
              <w:left w:val="single" w:sz="4" w:space="0" w:color="000000"/>
              <w:bottom w:val="single" w:sz="12" w:space="0" w:color="000000"/>
              <w:right w:val="single" w:sz="4" w:space="0" w:color="000000"/>
            </w:tcBorders>
          </w:tcPr>
          <w:p>
            <w:pPr/>
          </w:p>
        </w:tc>
        <w:tc>
          <w:tcPr>
            <w:tcW w:w="562" w:type="dxa"/>
            <w:tcBorders>
              <w:top w:val="single" w:sz="4" w:space="0" w:color="000000"/>
              <w:left w:val="single" w:sz="4" w:space="0" w:color="000000"/>
              <w:bottom w:val="single" w:sz="12" w:space="0" w:color="000000"/>
              <w:right w:val="single" w:sz="4" w:space="0" w:color="000000"/>
            </w:tcBorders>
          </w:tcPr>
          <w:p>
            <w:pPr/>
          </w:p>
        </w:tc>
        <w:tc>
          <w:tcPr>
            <w:tcW w:w="800" w:type="dxa"/>
            <w:tcBorders>
              <w:top w:val="single" w:sz="4" w:space="0" w:color="000000"/>
              <w:left w:val="single" w:sz="4" w:space="0" w:color="000000"/>
              <w:bottom w:val="single" w:sz="12" w:space="0" w:color="000000"/>
              <w:right w:val="single" w:sz="4" w:space="0" w:color="000000"/>
            </w:tcBorders>
          </w:tcPr>
          <w:p>
            <w:pPr/>
          </w:p>
        </w:tc>
        <w:tc>
          <w:tcPr>
            <w:tcW w:w="1190" w:type="dxa"/>
            <w:tcBorders>
              <w:top w:val="single" w:sz="4" w:space="0" w:color="000000"/>
              <w:left w:val="single" w:sz="4" w:space="0" w:color="000000"/>
              <w:bottom w:val="single" w:sz="12" w:space="0" w:color="000000"/>
              <w:right w:val="single" w:sz="4" w:space="0" w:color="000000"/>
            </w:tcBorders>
          </w:tcPr>
          <w:p>
            <w:pPr/>
          </w:p>
        </w:tc>
        <w:tc>
          <w:tcPr>
            <w:tcW w:w="1138" w:type="dxa"/>
            <w:tcBorders>
              <w:top w:val="single" w:sz="4" w:space="0" w:color="000000"/>
              <w:left w:val="single" w:sz="4" w:space="0" w:color="000000"/>
              <w:bottom w:val="single" w:sz="12" w:space="0" w:color="000000"/>
              <w:right w:val="single" w:sz="4" w:space="0" w:color="000000"/>
            </w:tcBorders>
          </w:tcPr>
          <w:p>
            <w:pPr/>
          </w:p>
        </w:tc>
        <w:tc>
          <w:tcPr>
            <w:tcW w:w="11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left="43" w:right="0"/>
              <w:jc w:val="center"/>
              <w:rPr>
                <w:rFonts w:ascii="Times New Roman" w:hAnsi="Times New Roman" w:cs="Times New Roman" w:eastAsia="Times New Roman" w:hint="default"/>
                <w:sz w:val="18"/>
                <w:szCs w:val="18"/>
              </w:rPr>
            </w:pPr>
            <w:r>
              <w:rPr>
                <w:rFonts w:ascii="Times New Roman"/>
                <w:sz w:val="18"/>
              </w:rPr>
              <w:t>156,000,000</w:t>
            </w:r>
          </w:p>
        </w:tc>
        <w:tc>
          <w:tcPr>
            <w:tcW w:w="7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6"/>
        <w:rPr>
          <w:rFonts w:ascii="宋体" w:hAnsi="宋体" w:cs="宋体" w:eastAsia="宋体" w:hint="default"/>
          <w:sz w:val="10"/>
          <w:szCs w:val="10"/>
        </w:rPr>
      </w:pPr>
    </w:p>
    <w:p>
      <w:pPr>
        <w:spacing w:before="44"/>
        <w:ind w:left="953" w:right="0" w:firstLine="0"/>
        <w:jc w:val="left"/>
        <w:rPr>
          <w:rFonts w:ascii="宋体" w:hAnsi="宋体" w:cs="宋体" w:eastAsia="宋体" w:hint="default"/>
          <w:sz w:val="18"/>
          <w:szCs w:val="18"/>
        </w:rPr>
      </w:pPr>
      <w:r>
        <w:rPr>
          <w:rFonts w:ascii="宋体" w:hAnsi="宋体" w:cs="宋体" w:eastAsia="宋体" w:hint="default"/>
          <w:sz w:val="18"/>
          <w:szCs w:val="18"/>
        </w:rPr>
        <w:t>注：本期有限售条件股份转入无限售条件股份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28,079,652 </w:t>
      </w:r>
      <w:r>
        <w:rPr>
          <w:rFonts w:ascii="宋体" w:hAnsi="宋体" w:cs="宋体" w:eastAsia="宋体" w:hint="default"/>
          <w:spacing w:val="-3"/>
          <w:sz w:val="18"/>
          <w:szCs w:val="18"/>
        </w:rPr>
        <w:t>元。</w:t>
      </w:r>
      <w:r>
        <w:rPr>
          <w:rFonts w:ascii="宋体" w:hAnsi="宋体" w:cs="宋体" w:eastAsia="宋体" w:hint="default"/>
          <w:sz w:val="18"/>
          <w:szCs w:val="18"/>
        </w:rPr>
      </w:r>
    </w:p>
    <w:p>
      <w:pPr>
        <w:spacing w:line="240" w:lineRule="auto" w:before="10"/>
        <w:rPr>
          <w:rFonts w:ascii="宋体" w:hAnsi="宋体" w:cs="宋体" w:eastAsia="宋体" w:hint="default"/>
          <w:sz w:val="25"/>
          <w:szCs w:val="25"/>
        </w:rPr>
      </w:pPr>
    </w:p>
    <w:p>
      <w:pPr>
        <w:pStyle w:val="Heading3"/>
        <w:spacing w:line="240" w:lineRule="auto"/>
        <w:ind w:left="592" w:right="0"/>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92"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92" w:right="0"/>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5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60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600,505,405.86</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600,505,405.86</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703" w:right="0"/>
              <w:jc w:val="left"/>
              <w:rPr>
                <w:rFonts w:ascii="Times New Roman" w:hAnsi="Times New Roman" w:cs="Times New Roman" w:eastAsia="Times New Roman" w:hint="default"/>
                <w:sz w:val="18"/>
                <w:szCs w:val="18"/>
              </w:rPr>
            </w:pPr>
            <w:r>
              <w:rPr>
                <w:rFonts w:ascii="Times New Roman"/>
                <w:sz w:val="18"/>
              </w:rPr>
              <w:t>600,505,405.86</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600,505,405.86</w:t>
            </w:r>
          </w:p>
        </w:tc>
      </w:tr>
    </w:tbl>
    <w:p>
      <w:pPr>
        <w:spacing w:before="49"/>
        <w:ind w:left="592" w:right="0"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spacing w:line="240" w:lineRule="auto" w:before="0"/>
        <w:rPr>
          <w:rFonts w:ascii="宋体" w:hAnsi="宋体" w:cs="宋体" w:eastAsia="宋体" w:hint="default"/>
          <w:sz w:val="18"/>
          <w:szCs w:val="18"/>
        </w:rPr>
      </w:pPr>
    </w:p>
    <w:p>
      <w:pPr>
        <w:pStyle w:val="Heading3"/>
        <w:spacing w:line="240" w:lineRule="auto" w:before="118"/>
        <w:ind w:left="592" w:right="0"/>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5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60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11,268,646.07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4,646,847.06</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15,915,493.13</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11,268,646.07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4,646,847.06</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15,915,493.13</w:t>
            </w:r>
          </w:p>
        </w:tc>
      </w:tr>
    </w:tbl>
    <w:p>
      <w:pPr>
        <w:spacing w:before="49"/>
        <w:ind w:left="592" w:right="0"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spacing w:after="0"/>
        <w:jc w:val="left"/>
        <w:rPr>
          <w:rFonts w:ascii="宋体" w:hAnsi="宋体" w:cs="宋体" w:eastAsia="宋体" w:hint="default"/>
          <w:sz w:val="18"/>
          <w:szCs w:val="18"/>
        </w:rPr>
        <w:sectPr>
          <w:pgSz w:w="11910" w:h="16840"/>
          <w:pgMar w:header="745" w:footer="980" w:top="1060" w:bottom="1160" w:left="540" w:right="56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101,087,189.21</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101,087,189.21</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46,516,519.52</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4,646,847.06</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135,156,861.67</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、由于同一控制导致的合并范围变更，影响年初未分配利润元。</w:t>
      </w:r>
    </w:p>
    <w:p>
      <w:pPr>
        <w:spacing w:line="326" w:lineRule="auto"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、其他调整合计影响年初未分配利润元。</w:t>
      </w:r>
      <w:r>
        <w:rPr>
          <w:rFonts w:ascii="宋体" w:hAnsi="宋体" w:cs="宋体" w:eastAsia="宋体" w:hint="default"/>
          <w:w w:val="99"/>
          <w:sz w:val="18"/>
          <w:szCs w:val="18"/>
        </w:rPr>
        <w:t>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经审计的利润数</w:t>
      </w:r>
    </w:p>
    <w:p>
      <w:pPr>
        <w:pStyle w:val="BodyText"/>
        <w:spacing w:line="256" w:lineRule="auto" w:before="32"/>
        <w:ind w:right="0" w:firstLine="420"/>
        <w:jc w:val="left"/>
      </w:pP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日经公司</w:t>
      </w:r>
      <w:r>
        <w:rPr>
          <w:rFonts w:ascii="Times New Roman" w:hAnsi="Times New Roman" w:cs="Times New Roman" w:eastAsia="Times New Roman" w:hint="default"/>
        </w:rPr>
        <w:t>2011 </w:t>
      </w:r>
      <w:r>
        <w:rPr/>
        <w:t>年度股东大会决议：以本公司</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日总股本</w:t>
      </w:r>
      <w:r>
        <w:rPr>
          <w:rFonts w:ascii="Times New Roman" w:hAnsi="Times New Roman" w:cs="Times New Roman" w:eastAsia="Times New Roman" w:hint="default"/>
        </w:rPr>
        <w:t>15,600</w:t>
      </w:r>
      <w:r>
        <w:rPr>
          <w:rFonts w:ascii="Times New Roman" w:hAnsi="Times New Roman" w:cs="Times New Roman" w:eastAsia="Times New Roman" w:hint="default"/>
          <w:spacing w:val="22"/>
        </w:rPr>
        <w:t> </w:t>
      </w:r>
      <w:r>
        <w:rPr/>
        <w:t>万股为基</w:t>
      </w:r>
      <w:r>
        <w:rPr>
          <w:w w:val="100"/>
        </w:rPr>
        <w:t> </w:t>
      </w:r>
      <w:r>
        <w:rPr/>
        <w:t>数，向全体股东每</w:t>
      </w:r>
      <w:r>
        <w:rPr>
          <w:rFonts w:ascii="Times New Roman" w:hAnsi="Times New Roman" w:cs="Times New Roman" w:eastAsia="Times New Roman" w:hint="default"/>
        </w:rPr>
        <w:t>10  </w:t>
      </w:r>
      <w:r>
        <w:rPr/>
        <w:t>股派发人民币</w:t>
      </w:r>
      <w:r>
        <w:rPr>
          <w:rFonts w:ascii="Times New Roman" w:hAnsi="Times New Roman" w:cs="Times New Roman" w:eastAsia="Times New Roman" w:hint="default"/>
        </w:rPr>
        <w:t>0.5</w:t>
      </w:r>
      <w:r>
        <w:rPr/>
        <w:t>元（含税），合计分派利润</w:t>
      </w:r>
      <w:r>
        <w:rPr>
          <w:rFonts w:ascii="Times New Roman" w:hAnsi="Times New Roman" w:cs="Times New Roman" w:eastAsia="Times New Roman" w:hint="default"/>
        </w:rPr>
        <w:t>780</w:t>
      </w:r>
      <w:r>
        <w:rPr>
          <w:rFonts w:ascii="Times New Roman" w:hAnsi="Times New Roman" w:cs="Times New Roman" w:eastAsia="Times New Roman" w:hint="default"/>
          <w:spacing w:val="3"/>
        </w:rPr>
        <w:t> </w:t>
      </w:r>
      <w:r>
        <w:rPr/>
        <w:t>万元。</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209,951,797.77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146,557,775.63</w:t>
            </w:r>
          </w:p>
        </w:tc>
      </w:tr>
      <w:tr>
        <w:trPr>
          <w:trHeight w:val="404"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450,331.38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104,414,362.82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65,184,328.97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863"/>
        <w:gridCol w:w="1726"/>
        <w:gridCol w:w="1728"/>
      </w:tblGrid>
      <w:tr>
        <w:trPr>
          <w:trHeight w:val="402"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环境监测行业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209,951,797.77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104,214,691.10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146,557,775.63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65,184,328.97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209,951,797.77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104,214,691.10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146,557,775.63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65,184,328.97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污水在线自动监测系统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4,367,895.74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2,271,303.89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4,078,461.26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1,919,743.60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空气质量连续自动监测系统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127,873,431.77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67,897,638.92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101,975,265.35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47,094,506.76</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水质连续自动监测系统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11,115,865.81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6,154,944.43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6,524,138.79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3,636,074.68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烟气在线自动监测系统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3,795,235.04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2,026,533.21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10,945,687.49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5,501,551.84</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12,836,588.55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4,488,514.09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11,576,995.73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3,190,492.70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49,962,780.86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21,375,756.56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11,457,227.01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3,841,959.39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209,951,797.77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104,214,691.10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146,557,775.63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65,184,328.97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其中：华北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136,873,455.39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67,394,473.97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88,067,184.45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37,778,561.03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19,047,356.64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10,588,909.15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18,164,512.62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8,602,442.45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3,186,504.91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1,446,872.14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9,746,095.54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4,480,872.98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3,468,624.76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2,026,937.85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6,996,197.67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3,691,896.89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47,375,856.07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22,757,497.99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23,583,785.35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10,630,555.62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209,951,797.77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104,214,691.10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146,557,775.63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65,184,328.97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河北省环境监测中心站</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18,672,649.57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秦皇岛环境监测站</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12,210,256.41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兰州市环境监测站</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11,907,350.42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贵州省环境监测中心站</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7,435,897.44</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河北省环境执法监察局</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7,200,577.78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94"/>
        <w:gridCol w:w="2850"/>
        <w:gridCol w:w="4126"/>
      </w:tblGrid>
      <w:tr>
        <w:trPr>
          <w:trHeight w:val="404" w:hRule="exact"/>
        </w:trPr>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1" w:right="0"/>
              <w:jc w:val="left"/>
              <w:rPr>
                <w:rFonts w:ascii="Times New Roman" w:hAnsi="Times New Roman" w:cs="Times New Roman" w:eastAsia="Times New Roman" w:hint="default"/>
                <w:sz w:val="18"/>
                <w:szCs w:val="18"/>
              </w:rPr>
            </w:pPr>
            <w:r>
              <w:rPr>
                <w:rFonts w:ascii="Times New Roman"/>
                <w:sz w:val="18"/>
              </w:rPr>
              <w:t>57,426,731.62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27.35%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22,516.57</w:t>
            </w:r>
          </w:p>
        </w:tc>
        <w:tc>
          <w:tcPr>
            <w:tcW w:w="186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1,097,443.35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1,092,408.12</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783,888.12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778,368.57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1,903,848.04</w:t>
            </w:r>
          </w:p>
        </w:tc>
        <w:tc>
          <w:tcPr>
            <w:tcW w:w="186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1,870,776.69</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32,334,222.94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26,529,159.40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32,334,222.94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26,529,159.40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30,497,228.21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21,929,290.69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30,497,228.21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21,929,290.69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2,445,833.10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884,325.00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-10,844,076.00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-12,375,390.10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117,425.17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51,692.77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-8,280,817.73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-11,439,372.33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7,097,533.29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7,806,203.48</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7,097,533.29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7,806,203.48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12,116,205.90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13,013,456.00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252,060.00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7,842.00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12,368,265.90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13,021,298.00</w:t>
            </w:r>
          </w:p>
        </w:tc>
        <w:tc>
          <w:tcPr>
            <w:tcW w:w="21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软件产品增值税退税收入</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4,932,284.20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7,008,218.49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免化学试剂在线水质检测系统研 发与应用</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1,274,936.84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科技型中小企业技术创新基金项 目</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446,250.00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地表水饮用水源地水质安全监控 预警综合技术研究</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786,666.67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水污染事故应急监测装备产品研 制</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819,107.75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污水石油类污染紫外荧光现场监 测设备</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596,626.59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1,403,103.84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大气复合污染高精度自动监测仪 及系统集成联合研发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1,502,068.97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125,172.41</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高性能光谱仪器关键元器件与部 件的应用及工程化开发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1,058,399.67</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44"/>
              <w:jc w:val="left"/>
              <w:rPr>
                <w:rFonts w:ascii="宋体" w:hAnsi="宋体" w:cs="宋体" w:eastAsia="宋体" w:hint="default"/>
                <w:sz w:val="18"/>
                <w:szCs w:val="18"/>
              </w:rPr>
            </w:pPr>
            <w:r>
              <w:rPr>
                <w:rFonts w:ascii="宋体" w:hAnsi="宋体" w:cs="宋体" w:eastAsia="宋体" w:hint="default"/>
                <w:sz w:val="18"/>
                <w:szCs w:val="18"/>
              </w:rPr>
              <w:t>基于紫外</w:t>
            </w:r>
            <w:r>
              <w:rPr>
                <w:rFonts w:ascii="Times New Roman" w:hAnsi="Times New Roman" w:cs="Times New Roman" w:eastAsia="Times New Roman" w:hint="default"/>
                <w:sz w:val="18"/>
                <w:szCs w:val="18"/>
              </w:rPr>
              <w:t>-</w:t>
            </w:r>
            <w:r>
              <w:rPr>
                <w:rFonts w:ascii="宋体" w:hAnsi="宋体" w:cs="宋体" w:eastAsia="宋体" w:hint="default"/>
                <w:sz w:val="18"/>
                <w:szCs w:val="18"/>
              </w:rPr>
              <w:t>可见光谱的阀上实验室 及其水质微分析系统研制与产业 化示范</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141,176.47</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99"/>
              <w:jc w:val="both"/>
              <w:rPr>
                <w:rFonts w:ascii="宋体" w:hAnsi="宋体" w:cs="宋体" w:eastAsia="宋体" w:hint="default"/>
                <w:sz w:val="18"/>
                <w:szCs w:val="18"/>
              </w:rPr>
            </w:pPr>
            <w:r>
              <w:rPr>
                <w:rFonts w:ascii="宋体" w:hAnsi="宋体" w:cs="宋体" w:eastAsia="宋体" w:hint="default"/>
                <w:sz w:val="18"/>
                <w:szCs w:val="18"/>
              </w:rPr>
              <w:t>国家重大仪器专项项目《环境大 气中细粒子（</w:t>
            </w:r>
            <w:r>
              <w:rPr>
                <w:rFonts w:ascii="Times New Roman" w:hAnsi="Times New Roman" w:cs="Times New Roman" w:eastAsia="Times New Roman" w:hint="default"/>
                <w:sz w:val="18"/>
                <w:szCs w:val="18"/>
              </w:rPr>
              <w:t>PM2.5)</w:t>
            </w:r>
            <w:r>
              <w:rPr>
                <w:rFonts w:ascii="宋体" w:hAnsi="宋体" w:cs="宋体" w:eastAsia="宋体" w:hint="default"/>
                <w:sz w:val="18"/>
                <w:szCs w:val="18"/>
              </w:rPr>
              <w:t>监测设备开 发与应用》</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93,650.00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巨人计划资助经费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重点产业振兴和技术改造中央预 算内基建支出补助经费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上市奖励</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12,116,205.90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13,013,456.00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营业外收入说明</w:t>
      </w:r>
    </w:p>
    <w:p>
      <w:pPr>
        <w:pStyle w:val="BodyText"/>
        <w:spacing w:line="240" w:lineRule="auto" w:before="94"/>
        <w:ind w:left="467" w:right="0"/>
        <w:jc w:val="left"/>
      </w:pPr>
      <w:r>
        <w:rPr/>
        <w:t>注：政府补助</w:t>
      </w:r>
      <w:r>
        <w:rPr>
          <w:rFonts w:ascii="Times New Roman" w:hAnsi="Times New Roman" w:cs="Times New Roman" w:eastAsia="Times New Roman" w:hint="default"/>
        </w:rPr>
        <w:t>-</w:t>
      </w:r>
      <w:r>
        <w:rPr/>
        <w:t>软件产品增值税退税收入系软件产品增值税税负超过</w:t>
      </w:r>
      <w:r>
        <w:rPr>
          <w:rFonts w:ascii="Times New Roman" w:hAnsi="Times New Roman" w:cs="Times New Roman" w:eastAsia="Times New Roman" w:hint="default"/>
        </w:rPr>
        <w:t>3%</w:t>
      </w:r>
      <w:r>
        <w:rPr/>
        <w:t>部分的退税收入。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3"/>
        <w:spacing w:line="240" w:lineRule="auto" w:before="158"/>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714"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391,591.20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391,591.20</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9,504,592.41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8,232,165.38</w:t>
            </w:r>
          </w:p>
        </w:tc>
      </w:tr>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-1,086,581.18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-1,117,546.87</w:t>
            </w:r>
          </w:p>
        </w:tc>
      </w:tr>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8,418,011.23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7,114,618.51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1"/>
          <w:szCs w:val="11"/>
        </w:rPr>
      </w:pPr>
    </w:p>
    <w:tbl>
      <w:tblPr>
        <w:tblW w:w="0" w:type="auto"/>
        <w:jc w:val="left"/>
        <w:tblInd w:w="152" w:type="dxa"/>
        <w:tblLayout w:type="fixed"/>
        <w:tblCellMar>
          <w:top w:w="0" w:type="dxa"/>
          <w:left w:w="0" w:type="dxa"/>
          <w:bottom w:w="0" w:type="dxa"/>
          <w:right w:w="0" w:type="dxa"/>
        </w:tblCellMar>
        <w:tblLook w:val="01E0"/>
      </w:tblPr>
      <w:tblGrid>
        <w:gridCol w:w="3524"/>
        <w:gridCol w:w="1948"/>
        <w:gridCol w:w="1851"/>
        <w:gridCol w:w="1534"/>
      </w:tblGrid>
      <w:tr>
        <w:trPr>
          <w:trHeight w:val="272" w:hRule="exact"/>
        </w:trPr>
        <w:tc>
          <w:tcPr>
            <w:tcW w:w="3524" w:type="dxa"/>
            <w:tcBorders>
              <w:top w:val="nil" w:sz="6" w:space="0" w:color="auto"/>
              <w:left w:val="nil" w:sz="6" w:space="0" w:color="auto"/>
              <w:bottom w:val="single" w:sz="12" w:space="0" w:color="000000"/>
              <w:right w:val="nil" w:sz="6" w:space="0" w:color="auto"/>
            </w:tcBorders>
          </w:tcPr>
          <w:p>
            <w:pPr>
              <w:pStyle w:val="TableParagraph"/>
              <w:spacing w:line="180" w:lineRule="exact"/>
              <w:ind w:left="185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948" w:type="dxa"/>
            <w:tcBorders>
              <w:top w:val="nil" w:sz="6" w:space="0" w:color="auto"/>
              <w:left w:val="nil" w:sz="6" w:space="0" w:color="auto"/>
              <w:bottom w:val="single" w:sz="12" w:space="0" w:color="000000"/>
              <w:right w:val="nil" w:sz="6" w:space="0" w:color="auto"/>
            </w:tcBorders>
          </w:tcPr>
          <w:p>
            <w:pPr>
              <w:pStyle w:val="TableParagraph"/>
              <w:spacing w:line="180" w:lineRule="exact"/>
              <w:ind w:left="726"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851" w:type="dxa"/>
            <w:tcBorders>
              <w:top w:val="nil" w:sz="6" w:space="0" w:color="auto"/>
              <w:left w:val="nil" w:sz="6" w:space="0" w:color="auto"/>
              <w:bottom w:val="single" w:sz="12" w:space="0" w:color="000000"/>
              <w:right w:val="nil" w:sz="6" w:space="0" w:color="auto"/>
            </w:tcBorders>
          </w:tcPr>
          <w:p>
            <w:pPr>
              <w:pStyle w:val="TableParagraph"/>
              <w:spacing w:line="180" w:lineRule="exact"/>
              <w:ind w:left="44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34" w:type="dxa"/>
            <w:tcBorders>
              <w:top w:val="nil" w:sz="6" w:space="0" w:color="auto"/>
              <w:left w:val="nil" w:sz="6" w:space="0" w:color="auto"/>
              <w:bottom w:val="single" w:sz="12" w:space="0" w:color="000000"/>
              <w:right w:val="nil" w:sz="6" w:space="0" w:color="auto"/>
            </w:tcBorders>
          </w:tcPr>
          <w:p>
            <w:pPr>
              <w:pStyle w:val="TableParagraph"/>
              <w:spacing w:line="180" w:lineRule="exact"/>
              <w:ind w:left="27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53" w:hRule="exact"/>
        </w:trPr>
        <w:tc>
          <w:tcPr>
            <w:tcW w:w="35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9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720" w:right="0"/>
              <w:jc w:val="center"/>
              <w:rPr>
                <w:rFonts w:ascii="Times New Roman" w:hAnsi="Times New Roman" w:cs="Times New Roman" w:eastAsia="Times New Roman" w:hint="default"/>
                <w:sz w:val="18"/>
                <w:szCs w:val="18"/>
              </w:rPr>
            </w:pPr>
            <w:r>
              <w:rPr>
                <w:rFonts w:ascii="Times New Roman"/>
                <w:sz w:val="18"/>
              </w:rPr>
              <w:t>1</w:t>
            </w:r>
          </w:p>
        </w:tc>
        <w:tc>
          <w:tcPr>
            <w:tcW w:w="18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left="428" w:right="0"/>
              <w:jc w:val="left"/>
              <w:rPr>
                <w:rFonts w:ascii="Times New Roman" w:hAnsi="Times New Roman" w:cs="Times New Roman" w:eastAsia="Times New Roman" w:hint="default"/>
                <w:sz w:val="20"/>
                <w:szCs w:val="20"/>
              </w:rPr>
            </w:pPr>
            <w:r>
              <w:rPr>
                <w:rFonts w:ascii="Times New Roman"/>
                <w:sz w:val="20"/>
              </w:rPr>
              <w:t>46,516,519.52</w:t>
            </w:r>
          </w:p>
        </w:tc>
        <w:tc>
          <w:tcPr>
            <w:tcW w:w="15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left="377" w:right="0"/>
              <w:jc w:val="left"/>
              <w:rPr>
                <w:rFonts w:ascii="Times New Roman" w:hAnsi="Times New Roman" w:cs="Times New Roman" w:eastAsia="Times New Roman" w:hint="default"/>
                <w:sz w:val="20"/>
                <w:szCs w:val="20"/>
              </w:rPr>
            </w:pPr>
            <w:r>
              <w:rPr>
                <w:rFonts w:ascii="Times New Roman"/>
                <w:sz w:val="20"/>
              </w:rPr>
              <w:t>40,209,990.19</w:t>
            </w:r>
          </w:p>
        </w:tc>
      </w:tr>
    </w:tbl>
    <w:p>
      <w:pPr>
        <w:spacing w:after="0" w:line="240" w:lineRule="auto"/>
        <w:jc w:val="left"/>
        <w:rPr>
          <w:rFonts w:ascii="Times New Roman" w:hAnsi="Times New Roman" w:cs="Times New Roman" w:eastAsia="Times New Roman" w:hint="default"/>
          <w:sz w:val="20"/>
          <w:szCs w:val="20"/>
        </w:rPr>
        <w:sectPr>
          <w:pgSz w:w="11910" w:h="16840"/>
          <w:pgMar w:header="745" w:footer="980" w:top="1060" w:bottom="1160" w:left="980" w:right="980"/>
        </w:sectPr>
      </w:pPr>
    </w:p>
    <w:p>
      <w:pPr>
        <w:spacing w:line="240" w:lineRule="auto" w:before="5"/>
        <w:rPr>
          <w:rFonts w:ascii="宋体" w:hAnsi="宋体" w:cs="宋体" w:eastAsia="宋体" w:hint="default"/>
          <w:b/>
          <w:bCs/>
          <w:sz w:val="3"/>
          <w:szCs w:val="3"/>
        </w:rPr>
      </w:pPr>
      <w:r>
        <w:rPr/>
        <w:pict>
          <v:group style="position:absolute;margin-left:55.200001pt;margin-top:55.559982pt;width:484.9pt;height:.1pt;mso-position-horizontal-relative:page;mso-position-vertical-relative:page;z-index:-666520" coordorigin="1104,1111" coordsize="9698,2">
            <v:shape style="position:absolute;left:1104;top:1111;width:9698;height:2" coordorigin="1104,1111" coordsize="9698,0" path="m1104,1111l10802,1111e" filled="false" stroked="true" strokeweight=".72pt" strokecolor="#000000">
              <v:path arrowok="t"/>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4225"/>
        <w:gridCol w:w="1444"/>
        <w:gridCol w:w="1737"/>
        <w:gridCol w:w="1481"/>
      </w:tblGrid>
      <w:tr>
        <w:trPr>
          <w:trHeight w:val="675" w:hRule="exact"/>
        </w:trPr>
        <w:tc>
          <w:tcPr>
            <w:tcW w:w="4225"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非经常性损益扣除所得税、少数股东损益后的净额</w:t>
            </w:r>
          </w:p>
        </w:tc>
        <w:tc>
          <w:tcPr>
            <w:tcW w:w="1444"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right="117"/>
              <w:jc w:val="center"/>
              <w:rPr>
                <w:rFonts w:ascii="Times New Roman" w:hAnsi="Times New Roman" w:cs="Times New Roman" w:eastAsia="Times New Roman" w:hint="default"/>
                <w:sz w:val="18"/>
                <w:szCs w:val="18"/>
              </w:rPr>
            </w:pPr>
            <w:r>
              <w:rPr>
                <w:rFonts w:ascii="Times New Roman"/>
                <w:sz w:val="18"/>
              </w:rPr>
              <w:t>2</w:t>
            </w:r>
          </w:p>
        </w:tc>
        <w:tc>
          <w:tcPr>
            <w:tcW w:w="1737"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28"/>
                <w:szCs w:val="28"/>
              </w:rPr>
            </w:pPr>
          </w:p>
          <w:p>
            <w:pPr>
              <w:pStyle w:val="TableParagraph"/>
              <w:spacing w:line="240" w:lineRule="auto"/>
              <w:ind w:right="325"/>
              <w:jc w:val="right"/>
              <w:rPr>
                <w:rFonts w:ascii="Times New Roman" w:hAnsi="Times New Roman" w:cs="Times New Roman" w:eastAsia="Times New Roman" w:hint="default"/>
                <w:sz w:val="20"/>
                <w:szCs w:val="20"/>
              </w:rPr>
            </w:pPr>
            <w:r>
              <w:rPr>
                <w:rFonts w:ascii="Times New Roman"/>
                <w:w w:val="95"/>
                <w:sz w:val="20"/>
              </w:rPr>
              <w:t>6,320,584.44</w:t>
            </w:r>
            <w:r>
              <w:rPr>
                <w:rFonts w:ascii="Times New Roman"/>
                <w:sz w:val="20"/>
              </w:rPr>
            </w:r>
          </w:p>
        </w:tc>
        <w:tc>
          <w:tcPr>
            <w:tcW w:w="1481"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28"/>
                <w:szCs w:val="28"/>
              </w:rPr>
            </w:pPr>
          </w:p>
          <w:p>
            <w:pPr>
              <w:pStyle w:val="TableParagraph"/>
              <w:spacing w:line="240" w:lineRule="auto"/>
              <w:ind w:right="5"/>
              <w:jc w:val="right"/>
              <w:rPr>
                <w:rFonts w:ascii="Times New Roman" w:hAnsi="Times New Roman" w:cs="Times New Roman" w:eastAsia="Times New Roman" w:hint="default"/>
                <w:sz w:val="20"/>
                <w:szCs w:val="20"/>
              </w:rPr>
            </w:pPr>
            <w:r>
              <w:rPr>
                <w:rFonts w:ascii="Times New Roman"/>
                <w:w w:val="95"/>
                <w:sz w:val="20"/>
              </w:rPr>
              <w:t>4,748,550.48</w:t>
            </w:r>
            <w:r>
              <w:rPr>
                <w:rFonts w:ascii="Times New Roman"/>
                <w:sz w:val="20"/>
              </w:rPr>
            </w:r>
          </w:p>
        </w:tc>
      </w:tr>
      <w:tr>
        <w:trPr>
          <w:trHeight w:val="353" w:hRule="exact"/>
        </w:trPr>
        <w:tc>
          <w:tcPr>
            <w:tcW w:w="4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归属于母公司股东、扣除非经常性损益后的净利润</w:t>
            </w:r>
          </w:p>
        </w:tc>
        <w:tc>
          <w:tcPr>
            <w:tcW w:w="1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15"/>
              <w:jc w:val="center"/>
              <w:rPr>
                <w:rFonts w:ascii="Times New Roman" w:hAnsi="Times New Roman" w:cs="Times New Roman" w:eastAsia="Times New Roman" w:hint="default"/>
                <w:sz w:val="18"/>
                <w:szCs w:val="18"/>
              </w:rPr>
            </w:pPr>
            <w:r>
              <w:rPr>
                <w:rFonts w:ascii="Times New Roman"/>
                <w:sz w:val="18"/>
              </w:rPr>
              <w:t>3=1-2</w:t>
            </w:r>
          </w:p>
        </w:tc>
        <w:tc>
          <w:tcPr>
            <w:tcW w:w="17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325"/>
              <w:jc w:val="right"/>
              <w:rPr>
                <w:rFonts w:ascii="Times New Roman" w:hAnsi="Times New Roman" w:cs="Times New Roman" w:eastAsia="Times New Roman" w:hint="default"/>
                <w:sz w:val="20"/>
                <w:szCs w:val="20"/>
              </w:rPr>
            </w:pPr>
            <w:r>
              <w:rPr>
                <w:rFonts w:ascii="Times New Roman"/>
                <w:w w:val="95"/>
                <w:sz w:val="20"/>
              </w:rPr>
              <w:t>40,195,935.08</w:t>
            </w:r>
            <w:r>
              <w:rPr>
                <w:rFonts w:ascii="Times New Roman"/>
                <w:sz w:val="20"/>
              </w:rPr>
            </w:r>
          </w:p>
        </w:tc>
        <w:tc>
          <w:tcPr>
            <w:tcW w:w="14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0"/>
                <w:szCs w:val="20"/>
              </w:rPr>
            </w:pPr>
            <w:r>
              <w:rPr>
                <w:rFonts w:ascii="Times New Roman"/>
                <w:w w:val="95"/>
                <w:sz w:val="20"/>
              </w:rPr>
              <w:t>35,461,439.71</w:t>
            </w:r>
            <w:r>
              <w:rPr>
                <w:rFonts w:ascii="Times New Roman"/>
                <w:sz w:val="20"/>
              </w:rPr>
            </w:r>
          </w:p>
        </w:tc>
      </w:tr>
      <w:tr>
        <w:trPr>
          <w:trHeight w:val="353" w:hRule="exact"/>
        </w:trPr>
        <w:tc>
          <w:tcPr>
            <w:tcW w:w="4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7"/>
              <w:jc w:val="center"/>
              <w:rPr>
                <w:rFonts w:ascii="Times New Roman" w:hAnsi="Times New Roman" w:cs="Times New Roman" w:eastAsia="Times New Roman" w:hint="default"/>
                <w:sz w:val="18"/>
                <w:szCs w:val="18"/>
              </w:rPr>
            </w:pPr>
            <w:r>
              <w:rPr>
                <w:rFonts w:ascii="Times New Roman"/>
                <w:sz w:val="18"/>
              </w:rPr>
              <w:t>4</w:t>
            </w:r>
          </w:p>
        </w:tc>
        <w:tc>
          <w:tcPr>
            <w:tcW w:w="17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325"/>
              <w:jc w:val="right"/>
              <w:rPr>
                <w:rFonts w:ascii="Times New Roman" w:hAnsi="Times New Roman" w:cs="Times New Roman" w:eastAsia="Times New Roman" w:hint="default"/>
                <w:sz w:val="20"/>
                <w:szCs w:val="20"/>
              </w:rPr>
            </w:pPr>
            <w:r>
              <w:rPr>
                <w:rFonts w:ascii="Times New Roman"/>
                <w:w w:val="95"/>
                <w:sz w:val="20"/>
              </w:rPr>
              <w:t>156,000,000.00</w:t>
            </w:r>
            <w:r>
              <w:rPr>
                <w:rFonts w:ascii="Times New Roman"/>
                <w:sz w:val="20"/>
              </w:rPr>
            </w:r>
          </w:p>
        </w:tc>
        <w:tc>
          <w:tcPr>
            <w:tcW w:w="14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0"/>
                <w:szCs w:val="20"/>
              </w:rPr>
            </w:pPr>
            <w:r>
              <w:rPr>
                <w:rFonts w:ascii="Times New Roman"/>
                <w:w w:val="95"/>
                <w:sz w:val="20"/>
              </w:rPr>
              <w:t>120,000,000</w:t>
            </w:r>
            <w:r>
              <w:rPr>
                <w:rFonts w:ascii="Times New Roman"/>
                <w:sz w:val="20"/>
              </w:rPr>
            </w:r>
          </w:p>
        </w:tc>
      </w:tr>
      <w:tr>
        <w:trPr>
          <w:trHeight w:val="350" w:hRule="exact"/>
        </w:trPr>
        <w:tc>
          <w:tcPr>
            <w:tcW w:w="4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公积金转增股本或股票股利分配等增加股份数（Ⅰ）</w:t>
            </w:r>
          </w:p>
        </w:tc>
        <w:tc>
          <w:tcPr>
            <w:tcW w:w="1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7"/>
              <w:jc w:val="center"/>
              <w:rPr>
                <w:rFonts w:ascii="Times New Roman" w:hAnsi="Times New Roman" w:cs="Times New Roman" w:eastAsia="Times New Roman" w:hint="default"/>
                <w:sz w:val="18"/>
                <w:szCs w:val="18"/>
              </w:rPr>
            </w:pPr>
            <w:r>
              <w:rPr>
                <w:rFonts w:ascii="Times New Roman"/>
                <w:sz w:val="18"/>
              </w:rPr>
              <w:t>5</w:t>
            </w:r>
          </w:p>
        </w:tc>
        <w:tc>
          <w:tcPr>
            <w:tcW w:w="1737" w:type="dxa"/>
            <w:tcBorders>
              <w:top w:val="single" w:sz="12" w:space="0" w:color="000000"/>
              <w:left w:val="nil" w:sz="6" w:space="0" w:color="auto"/>
              <w:bottom w:val="single" w:sz="12" w:space="0" w:color="000000"/>
              <w:right w:val="nil" w:sz="6" w:space="0" w:color="auto"/>
            </w:tcBorders>
          </w:tcPr>
          <w:p>
            <w:pPr/>
          </w:p>
        </w:tc>
        <w:tc>
          <w:tcPr>
            <w:tcW w:w="14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0"/>
                <w:szCs w:val="20"/>
              </w:rPr>
            </w:pPr>
            <w:r>
              <w:rPr>
                <w:rFonts w:ascii="Times New Roman"/>
                <w:w w:val="95"/>
                <w:sz w:val="20"/>
              </w:rPr>
              <w:t>36,000,000</w:t>
            </w:r>
            <w:r>
              <w:rPr>
                <w:rFonts w:ascii="Times New Roman"/>
                <w:sz w:val="20"/>
              </w:rPr>
            </w:r>
          </w:p>
        </w:tc>
      </w:tr>
      <w:tr>
        <w:trPr>
          <w:trHeight w:val="353" w:hRule="exact"/>
        </w:trPr>
        <w:tc>
          <w:tcPr>
            <w:tcW w:w="4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发行新股或债转股等增加股份数（Ⅱ）</w:t>
            </w:r>
          </w:p>
        </w:tc>
        <w:tc>
          <w:tcPr>
            <w:tcW w:w="1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17"/>
              <w:jc w:val="center"/>
              <w:rPr>
                <w:rFonts w:ascii="Times New Roman" w:hAnsi="Times New Roman" w:cs="Times New Roman" w:eastAsia="Times New Roman" w:hint="default"/>
                <w:sz w:val="18"/>
                <w:szCs w:val="18"/>
              </w:rPr>
            </w:pPr>
            <w:r>
              <w:rPr>
                <w:rFonts w:ascii="Times New Roman"/>
                <w:sz w:val="18"/>
              </w:rPr>
              <w:t>6</w:t>
            </w:r>
          </w:p>
        </w:tc>
        <w:tc>
          <w:tcPr>
            <w:tcW w:w="1737" w:type="dxa"/>
            <w:tcBorders>
              <w:top w:val="single" w:sz="12" w:space="0" w:color="000000"/>
              <w:left w:val="nil" w:sz="6" w:space="0" w:color="auto"/>
              <w:bottom w:val="single" w:sz="12" w:space="0" w:color="000000"/>
              <w:right w:val="nil" w:sz="6" w:space="0" w:color="auto"/>
            </w:tcBorders>
          </w:tcPr>
          <w:p>
            <w:pPr/>
          </w:p>
        </w:tc>
        <w:tc>
          <w:tcPr>
            <w:tcW w:w="1481"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4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增加股份（Ⅱ）下一月份起至报告期期末的月份数</w:t>
            </w:r>
          </w:p>
        </w:tc>
        <w:tc>
          <w:tcPr>
            <w:tcW w:w="1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7"/>
              <w:jc w:val="center"/>
              <w:rPr>
                <w:rFonts w:ascii="Times New Roman" w:hAnsi="Times New Roman" w:cs="Times New Roman" w:eastAsia="Times New Roman" w:hint="default"/>
                <w:sz w:val="18"/>
                <w:szCs w:val="18"/>
              </w:rPr>
            </w:pPr>
            <w:r>
              <w:rPr>
                <w:rFonts w:ascii="Times New Roman"/>
                <w:sz w:val="18"/>
              </w:rPr>
              <w:t>7</w:t>
            </w:r>
          </w:p>
        </w:tc>
        <w:tc>
          <w:tcPr>
            <w:tcW w:w="1737" w:type="dxa"/>
            <w:tcBorders>
              <w:top w:val="single" w:sz="12" w:space="0" w:color="000000"/>
              <w:left w:val="nil" w:sz="6" w:space="0" w:color="auto"/>
              <w:bottom w:val="single" w:sz="12" w:space="0" w:color="000000"/>
              <w:right w:val="nil" w:sz="6" w:space="0" w:color="auto"/>
            </w:tcBorders>
          </w:tcPr>
          <w:p>
            <w:pPr/>
          </w:p>
        </w:tc>
        <w:tc>
          <w:tcPr>
            <w:tcW w:w="1481" w:type="dxa"/>
            <w:tcBorders>
              <w:top w:val="single" w:sz="12" w:space="0" w:color="000000"/>
              <w:left w:val="nil" w:sz="6" w:space="0" w:color="auto"/>
              <w:bottom w:val="single" w:sz="12" w:space="0" w:color="000000"/>
              <w:right w:val="nil" w:sz="6" w:space="0" w:color="auto"/>
            </w:tcBorders>
          </w:tcPr>
          <w:p>
            <w:pPr/>
          </w:p>
        </w:tc>
      </w:tr>
      <w:tr>
        <w:trPr>
          <w:trHeight w:val="350" w:hRule="exact"/>
        </w:trPr>
        <w:tc>
          <w:tcPr>
            <w:tcW w:w="4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发行新股或债转股等增加股份数（Ⅲ）</w:t>
            </w:r>
          </w:p>
        </w:tc>
        <w:tc>
          <w:tcPr>
            <w:tcW w:w="1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7"/>
              <w:jc w:val="center"/>
              <w:rPr>
                <w:rFonts w:ascii="Times New Roman" w:hAnsi="Times New Roman" w:cs="Times New Roman" w:eastAsia="Times New Roman" w:hint="default"/>
                <w:sz w:val="18"/>
                <w:szCs w:val="18"/>
              </w:rPr>
            </w:pPr>
            <w:r>
              <w:rPr>
                <w:rFonts w:ascii="Times New Roman"/>
                <w:sz w:val="18"/>
              </w:rPr>
              <w:t>8</w:t>
            </w:r>
          </w:p>
        </w:tc>
        <w:tc>
          <w:tcPr>
            <w:tcW w:w="1737" w:type="dxa"/>
            <w:tcBorders>
              <w:top w:val="single" w:sz="12" w:space="0" w:color="000000"/>
              <w:left w:val="nil" w:sz="6" w:space="0" w:color="auto"/>
              <w:bottom w:val="single" w:sz="12" w:space="0" w:color="000000"/>
              <w:right w:val="nil" w:sz="6" w:space="0" w:color="auto"/>
            </w:tcBorders>
          </w:tcPr>
          <w:p>
            <w:pPr/>
          </w:p>
        </w:tc>
        <w:tc>
          <w:tcPr>
            <w:tcW w:w="1481"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4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增加股份（Ⅲ）下一月份起至报告期期末的月份数</w:t>
            </w:r>
          </w:p>
        </w:tc>
        <w:tc>
          <w:tcPr>
            <w:tcW w:w="1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17"/>
              <w:jc w:val="center"/>
              <w:rPr>
                <w:rFonts w:ascii="Times New Roman" w:hAnsi="Times New Roman" w:cs="Times New Roman" w:eastAsia="Times New Roman" w:hint="default"/>
                <w:sz w:val="18"/>
                <w:szCs w:val="18"/>
              </w:rPr>
            </w:pPr>
            <w:r>
              <w:rPr>
                <w:rFonts w:ascii="Times New Roman"/>
                <w:sz w:val="18"/>
              </w:rPr>
              <w:t>9</w:t>
            </w:r>
          </w:p>
        </w:tc>
        <w:tc>
          <w:tcPr>
            <w:tcW w:w="1737" w:type="dxa"/>
            <w:tcBorders>
              <w:top w:val="single" w:sz="12" w:space="0" w:color="000000"/>
              <w:left w:val="nil" w:sz="6" w:space="0" w:color="auto"/>
              <w:bottom w:val="single" w:sz="12" w:space="0" w:color="000000"/>
              <w:right w:val="nil" w:sz="6" w:space="0" w:color="auto"/>
            </w:tcBorders>
          </w:tcPr>
          <w:p>
            <w:pPr/>
          </w:p>
        </w:tc>
        <w:tc>
          <w:tcPr>
            <w:tcW w:w="1481"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4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报告期因回购或缩股等减少股份数</w:t>
            </w:r>
          </w:p>
        </w:tc>
        <w:tc>
          <w:tcPr>
            <w:tcW w:w="1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1"/>
              <w:jc w:val="center"/>
              <w:rPr>
                <w:rFonts w:ascii="Times New Roman" w:hAnsi="Times New Roman" w:cs="Times New Roman" w:eastAsia="Times New Roman" w:hint="default"/>
                <w:sz w:val="18"/>
                <w:szCs w:val="18"/>
              </w:rPr>
            </w:pPr>
            <w:r>
              <w:rPr>
                <w:rFonts w:ascii="Times New Roman"/>
                <w:sz w:val="18"/>
              </w:rPr>
              <w:t>10</w:t>
            </w:r>
          </w:p>
        </w:tc>
        <w:tc>
          <w:tcPr>
            <w:tcW w:w="1737" w:type="dxa"/>
            <w:tcBorders>
              <w:top w:val="single" w:sz="12" w:space="0" w:color="000000"/>
              <w:left w:val="nil" w:sz="6" w:space="0" w:color="auto"/>
              <w:bottom w:val="single" w:sz="12" w:space="0" w:color="000000"/>
              <w:right w:val="nil" w:sz="6" w:space="0" w:color="auto"/>
            </w:tcBorders>
          </w:tcPr>
          <w:p>
            <w:pPr/>
          </w:p>
        </w:tc>
        <w:tc>
          <w:tcPr>
            <w:tcW w:w="1481" w:type="dxa"/>
            <w:tcBorders>
              <w:top w:val="single" w:sz="12" w:space="0" w:color="000000"/>
              <w:left w:val="nil" w:sz="6" w:space="0" w:color="auto"/>
              <w:bottom w:val="single" w:sz="12" w:space="0" w:color="000000"/>
              <w:right w:val="nil" w:sz="6" w:space="0" w:color="auto"/>
            </w:tcBorders>
          </w:tcPr>
          <w:p>
            <w:pPr/>
          </w:p>
        </w:tc>
      </w:tr>
      <w:tr>
        <w:trPr>
          <w:trHeight w:val="350" w:hRule="exact"/>
        </w:trPr>
        <w:tc>
          <w:tcPr>
            <w:tcW w:w="4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减少股份下一月份起至报告期期末的月份数</w:t>
            </w:r>
          </w:p>
        </w:tc>
        <w:tc>
          <w:tcPr>
            <w:tcW w:w="1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1"/>
              <w:jc w:val="center"/>
              <w:rPr>
                <w:rFonts w:ascii="Times New Roman" w:hAnsi="Times New Roman" w:cs="Times New Roman" w:eastAsia="Times New Roman" w:hint="default"/>
                <w:sz w:val="18"/>
                <w:szCs w:val="18"/>
              </w:rPr>
            </w:pPr>
            <w:r>
              <w:rPr>
                <w:rFonts w:ascii="Times New Roman"/>
                <w:sz w:val="18"/>
              </w:rPr>
              <w:t>11</w:t>
            </w:r>
          </w:p>
        </w:tc>
        <w:tc>
          <w:tcPr>
            <w:tcW w:w="17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32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4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11"/>
              <w:jc w:val="center"/>
              <w:rPr>
                <w:rFonts w:ascii="Times New Roman" w:hAnsi="Times New Roman" w:cs="Times New Roman" w:eastAsia="Times New Roman" w:hint="default"/>
                <w:sz w:val="18"/>
                <w:szCs w:val="18"/>
              </w:rPr>
            </w:pPr>
            <w:r>
              <w:rPr>
                <w:rFonts w:ascii="Times New Roman"/>
                <w:sz w:val="18"/>
              </w:rPr>
              <w:t>12</w:t>
            </w:r>
          </w:p>
        </w:tc>
        <w:tc>
          <w:tcPr>
            <w:tcW w:w="17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322"/>
              <w:jc w:val="right"/>
              <w:rPr>
                <w:rFonts w:ascii="Times New Roman" w:hAnsi="Times New Roman" w:cs="Times New Roman" w:eastAsia="Times New Roman" w:hint="default"/>
                <w:sz w:val="20"/>
                <w:szCs w:val="20"/>
              </w:rPr>
            </w:pPr>
            <w:r>
              <w:rPr>
                <w:rFonts w:ascii="Times New Roman"/>
                <w:sz w:val="20"/>
              </w:rPr>
              <w:t>12</w:t>
            </w:r>
          </w:p>
        </w:tc>
        <w:tc>
          <w:tcPr>
            <w:tcW w:w="14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2"/>
              <w:jc w:val="right"/>
              <w:rPr>
                <w:rFonts w:ascii="Times New Roman" w:hAnsi="Times New Roman" w:cs="Times New Roman" w:eastAsia="Times New Roman" w:hint="default"/>
                <w:sz w:val="20"/>
                <w:szCs w:val="20"/>
              </w:rPr>
            </w:pPr>
            <w:r>
              <w:rPr>
                <w:rFonts w:ascii="Times New Roman"/>
                <w:sz w:val="20"/>
              </w:rPr>
              <w:t>12</w:t>
            </w:r>
          </w:p>
        </w:tc>
      </w:tr>
      <w:tr>
        <w:trPr>
          <w:trHeight w:val="977" w:hRule="exact"/>
        </w:trPr>
        <w:tc>
          <w:tcPr>
            <w:tcW w:w="4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right="11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13=4+5+6×7÷12</w:t>
            </w:r>
          </w:p>
          <w:p>
            <w:pPr>
              <w:pStyle w:val="TableParagraph"/>
              <w:spacing w:line="240" w:lineRule="auto" w:before="105"/>
              <w:ind w:right="1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+8×9÷12-10×11</w:t>
            </w:r>
          </w:p>
          <w:p>
            <w:pPr>
              <w:pStyle w:val="TableParagraph"/>
              <w:spacing w:line="240" w:lineRule="auto" w:before="105"/>
              <w:ind w:right="11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p>
        </w:tc>
        <w:tc>
          <w:tcPr>
            <w:tcW w:w="17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325"/>
              <w:jc w:val="right"/>
              <w:rPr>
                <w:rFonts w:ascii="Times New Roman" w:hAnsi="Times New Roman" w:cs="Times New Roman" w:eastAsia="Times New Roman" w:hint="default"/>
                <w:sz w:val="20"/>
                <w:szCs w:val="20"/>
              </w:rPr>
            </w:pPr>
            <w:r>
              <w:rPr>
                <w:rFonts w:ascii="Times New Roman"/>
                <w:w w:val="95"/>
                <w:sz w:val="20"/>
              </w:rPr>
              <w:t>156,000,000</w:t>
            </w:r>
            <w:r>
              <w:rPr>
                <w:rFonts w:ascii="Times New Roman"/>
                <w:sz w:val="20"/>
              </w:rPr>
            </w:r>
          </w:p>
        </w:tc>
        <w:tc>
          <w:tcPr>
            <w:tcW w:w="14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0"/>
                <w:szCs w:val="20"/>
              </w:rPr>
            </w:pPr>
            <w:r>
              <w:rPr>
                <w:rFonts w:ascii="Times New Roman"/>
                <w:w w:val="95"/>
                <w:sz w:val="20"/>
              </w:rPr>
              <w:t>156,000,000</w:t>
            </w:r>
            <w:r>
              <w:rPr>
                <w:rFonts w:ascii="Times New Roman"/>
                <w:sz w:val="20"/>
              </w:rPr>
            </w:r>
          </w:p>
        </w:tc>
      </w:tr>
      <w:tr>
        <w:trPr>
          <w:trHeight w:val="350" w:hRule="exact"/>
        </w:trPr>
        <w:tc>
          <w:tcPr>
            <w:tcW w:w="4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b/>
                <w:bCs/>
                <w:sz w:val="18"/>
                <w:szCs w:val="18"/>
              </w:rPr>
              <w:t>基本每股收益（Ⅰ）</w:t>
            </w:r>
            <w:r>
              <w:rPr>
                <w:rFonts w:ascii="宋体" w:hAnsi="宋体" w:cs="宋体" w:eastAsia="宋体" w:hint="default"/>
                <w:sz w:val="18"/>
                <w:szCs w:val="18"/>
              </w:rPr>
            </w:r>
          </w:p>
        </w:tc>
        <w:tc>
          <w:tcPr>
            <w:tcW w:w="1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5"/>
              <w:ind w:right="1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14=1÷13</w:t>
            </w:r>
            <w:r>
              <w:rPr>
                <w:rFonts w:ascii="Times New Roman" w:hAnsi="Times New Roman" w:cs="Times New Roman" w:eastAsia="Times New Roman" w:hint="default"/>
                <w:sz w:val="18"/>
                <w:szCs w:val="18"/>
              </w:rPr>
            </w:r>
          </w:p>
        </w:tc>
        <w:tc>
          <w:tcPr>
            <w:tcW w:w="17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324"/>
              <w:jc w:val="right"/>
              <w:rPr>
                <w:rFonts w:ascii="Times New Roman" w:hAnsi="Times New Roman" w:cs="Times New Roman" w:eastAsia="Times New Roman" w:hint="default"/>
                <w:sz w:val="20"/>
                <w:szCs w:val="20"/>
              </w:rPr>
            </w:pPr>
            <w:r>
              <w:rPr>
                <w:rFonts w:ascii="Times New Roman"/>
                <w:b/>
                <w:sz w:val="20"/>
              </w:rPr>
              <w:t>0.30</w:t>
            </w:r>
            <w:r>
              <w:rPr>
                <w:rFonts w:ascii="Times New Roman"/>
                <w:sz w:val="20"/>
              </w:rPr>
            </w:r>
          </w:p>
        </w:tc>
        <w:tc>
          <w:tcPr>
            <w:tcW w:w="14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4"/>
              <w:jc w:val="right"/>
              <w:rPr>
                <w:rFonts w:ascii="Times New Roman" w:hAnsi="Times New Roman" w:cs="Times New Roman" w:eastAsia="Times New Roman" w:hint="default"/>
                <w:sz w:val="20"/>
                <w:szCs w:val="20"/>
              </w:rPr>
            </w:pPr>
            <w:r>
              <w:rPr>
                <w:rFonts w:ascii="Times New Roman"/>
                <w:b/>
                <w:sz w:val="20"/>
              </w:rPr>
              <w:t>0.26</w:t>
            </w:r>
            <w:r>
              <w:rPr>
                <w:rFonts w:ascii="Times New Roman"/>
                <w:sz w:val="20"/>
              </w:rPr>
            </w:r>
          </w:p>
        </w:tc>
      </w:tr>
      <w:tr>
        <w:trPr>
          <w:trHeight w:val="353" w:hRule="exact"/>
        </w:trPr>
        <w:tc>
          <w:tcPr>
            <w:tcW w:w="4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b/>
                <w:bCs/>
                <w:sz w:val="18"/>
                <w:szCs w:val="18"/>
              </w:rPr>
              <w:t>基本每股收益（Ⅱ）</w:t>
            </w:r>
            <w:r>
              <w:rPr>
                <w:rFonts w:ascii="宋体" w:hAnsi="宋体" w:cs="宋体" w:eastAsia="宋体" w:hint="default"/>
                <w:sz w:val="18"/>
                <w:szCs w:val="18"/>
              </w:rPr>
            </w:r>
          </w:p>
        </w:tc>
        <w:tc>
          <w:tcPr>
            <w:tcW w:w="1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7"/>
              <w:ind w:right="1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15=3÷13</w:t>
            </w:r>
            <w:r>
              <w:rPr>
                <w:rFonts w:ascii="Times New Roman" w:hAnsi="Times New Roman" w:cs="Times New Roman" w:eastAsia="Times New Roman" w:hint="default"/>
                <w:sz w:val="18"/>
                <w:szCs w:val="18"/>
              </w:rPr>
            </w:r>
          </w:p>
        </w:tc>
        <w:tc>
          <w:tcPr>
            <w:tcW w:w="17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324"/>
              <w:jc w:val="right"/>
              <w:rPr>
                <w:rFonts w:ascii="Times New Roman" w:hAnsi="Times New Roman" w:cs="Times New Roman" w:eastAsia="Times New Roman" w:hint="default"/>
                <w:sz w:val="20"/>
                <w:szCs w:val="20"/>
              </w:rPr>
            </w:pPr>
            <w:r>
              <w:rPr>
                <w:rFonts w:ascii="Times New Roman"/>
                <w:b/>
                <w:sz w:val="20"/>
              </w:rPr>
              <w:t>0.26</w:t>
            </w:r>
            <w:r>
              <w:rPr>
                <w:rFonts w:ascii="Times New Roman"/>
                <w:sz w:val="20"/>
              </w:rPr>
            </w:r>
          </w:p>
        </w:tc>
        <w:tc>
          <w:tcPr>
            <w:tcW w:w="14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4"/>
              <w:jc w:val="right"/>
              <w:rPr>
                <w:rFonts w:ascii="Times New Roman" w:hAnsi="Times New Roman" w:cs="Times New Roman" w:eastAsia="Times New Roman" w:hint="default"/>
                <w:sz w:val="20"/>
                <w:szCs w:val="20"/>
              </w:rPr>
            </w:pPr>
            <w:r>
              <w:rPr>
                <w:rFonts w:ascii="Times New Roman"/>
                <w:b/>
                <w:sz w:val="20"/>
              </w:rPr>
              <w:t>0.23</w:t>
            </w:r>
            <w:r>
              <w:rPr>
                <w:rFonts w:ascii="Times New Roman"/>
                <w:sz w:val="20"/>
              </w:rPr>
            </w:r>
          </w:p>
        </w:tc>
      </w:tr>
      <w:tr>
        <w:trPr>
          <w:trHeight w:val="353" w:hRule="exact"/>
        </w:trPr>
        <w:tc>
          <w:tcPr>
            <w:tcW w:w="4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1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1"/>
              <w:jc w:val="center"/>
              <w:rPr>
                <w:rFonts w:ascii="Times New Roman" w:hAnsi="Times New Roman" w:cs="Times New Roman" w:eastAsia="Times New Roman" w:hint="default"/>
                <w:sz w:val="18"/>
                <w:szCs w:val="18"/>
              </w:rPr>
            </w:pPr>
            <w:r>
              <w:rPr>
                <w:rFonts w:ascii="Times New Roman"/>
                <w:sz w:val="18"/>
              </w:rPr>
              <w:t>16</w:t>
            </w:r>
          </w:p>
        </w:tc>
        <w:tc>
          <w:tcPr>
            <w:tcW w:w="1737" w:type="dxa"/>
            <w:tcBorders>
              <w:top w:val="single" w:sz="12" w:space="0" w:color="000000"/>
              <w:left w:val="nil" w:sz="6" w:space="0" w:color="auto"/>
              <w:bottom w:val="single" w:sz="12" w:space="0" w:color="000000"/>
              <w:right w:val="nil" w:sz="6" w:space="0" w:color="auto"/>
            </w:tcBorders>
          </w:tcPr>
          <w:p>
            <w:pPr/>
          </w:p>
        </w:tc>
        <w:tc>
          <w:tcPr>
            <w:tcW w:w="1481" w:type="dxa"/>
            <w:tcBorders>
              <w:top w:val="single" w:sz="12" w:space="0" w:color="000000"/>
              <w:left w:val="nil" w:sz="6" w:space="0" w:color="auto"/>
              <w:bottom w:val="single" w:sz="12" w:space="0" w:color="000000"/>
              <w:right w:val="nil" w:sz="6" w:space="0" w:color="auto"/>
            </w:tcBorders>
          </w:tcPr>
          <w:p>
            <w:pPr/>
          </w:p>
        </w:tc>
      </w:tr>
      <w:tr>
        <w:trPr>
          <w:trHeight w:val="350" w:hRule="exact"/>
        </w:trPr>
        <w:tc>
          <w:tcPr>
            <w:tcW w:w="4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1"/>
              <w:jc w:val="center"/>
              <w:rPr>
                <w:rFonts w:ascii="Times New Roman" w:hAnsi="Times New Roman" w:cs="Times New Roman" w:eastAsia="Times New Roman" w:hint="default"/>
                <w:sz w:val="18"/>
                <w:szCs w:val="18"/>
              </w:rPr>
            </w:pPr>
            <w:r>
              <w:rPr>
                <w:rFonts w:ascii="Times New Roman"/>
                <w:sz w:val="18"/>
              </w:rPr>
              <w:t>17</w:t>
            </w:r>
          </w:p>
        </w:tc>
        <w:tc>
          <w:tcPr>
            <w:tcW w:w="1737" w:type="dxa"/>
            <w:tcBorders>
              <w:top w:val="single" w:sz="12" w:space="0" w:color="000000"/>
              <w:left w:val="nil" w:sz="6" w:space="0" w:color="auto"/>
              <w:bottom w:val="single" w:sz="12" w:space="0" w:color="000000"/>
              <w:right w:val="nil" w:sz="6" w:space="0" w:color="auto"/>
            </w:tcBorders>
          </w:tcPr>
          <w:p>
            <w:pPr/>
          </w:p>
        </w:tc>
        <w:tc>
          <w:tcPr>
            <w:tcW w:w="1481"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4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11"/>
              <w:jc w:val="center"/>
              <w:rPr>
                <w:rFonts w:ascii="Times New Roman" w:hAnsi="Times New Roman" w:cs="Times New Roman" w:eastAsia="Times New Roman" w:hint="default"/>
                <w:sz w:val="18"/>
                <w:szCs w:val="18"/>
              </w:rPr>
            </w:pPr>
            <w:r>
              <w:rPr>
                <w:rFonts w:ascii="Times New Roman"/>
                <w:sz w:val="18"/>
              </w:rPr>
              <w:t>18</w:t>
            </w:r>
          </w:p>
        </w:tc>
        <w:tc>
          <w:tcPr>
            <w:tcW w:w="1737" w:type="dxa"/>
            <w:tcBorders>
              <w:top w:val="single" w:sz="12" w:space="0" w:color="000000"/>
              <w:left w:val="nil" w:sz="6" w:space="0" w:color="auto"/>
              <w:bottom w:val="single" w:sz="12" w:space="0" w:color="000000"/>
              <w:right w:val="nil" w:sz="6" w:space="0" w:color="auto"/>
            </w:tcBorders>
          </w:tcPr>
          <w:p>
            <w:pPr/>
          </w:p>
        </w:tc>
        <w:tc>
          <w:tcPr>
            <w:tcW w:w="1481"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4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认股权证、期权行权增加股份数</w:t>
            </w:r>
          </w:p>
        </w:tc>
        <w:tc>
          <w:tcPr>
            <w:tcW w:w="1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1"/>
              <w:jc w:val="center"/>
              <w:rPr>
                <w:rFonts w:ascii="Times New Roman" w:hAnsi="Times New Roman" w:cs="Times New Roman" w:eastAsia="Times New Roman" w:hint="default"/>
                <w:sz w:val="18"/>
                <w:szCs w:val="18"/>
              </w:rPr>
            </w:pPr>
            <w:r>
              <w:rPr>
                <w:rFonts w:ascii="Times New Roman"/>
                <w:sz w:val="18"/>
              </w:rPr>
              <w:t>19</w:t>
            </w:r>
          </w:p>
        </w:tc>
        <w:tc>
          <w:tcPr>
            <w:tcW w:w="1737" w:type="dxa"/>
            <w:tcBorders>
              <w:top w:val="single" w:sz="12" w:space="0" w:color="000000"/>
              <w:left w:val="nil" w:sz="6" w:space="0" w:color="auto"/>
              <w:bottom w:val="single" w:sz="12" w:space="0" w:color="000000"/>
              <w:right w:val="nil" w:sz="6" w:space="0" w:color="auto"/>
            </w:tcBorders>
          </w:tcPr>
          <w:p>
            <w:pPr/>
          </w:p>
        </w:tc>
        <w:tc>
          <w:tcPr>
            <w:tcW w:w="1481" w:type="dxa"/>
            <w:tcBorders>
              <w:top w:val="single" w:sz="12" w:space="0" w:color="000000"/>
              <w:left w:val="nil" w:sz="6" w:space="0" w:color="auto"/>
              <w:bottom w:val="single" w:sz="12" w:space="0" w:color="000000"/>
              <w:right w:val="nil" w:sz="6" w:space="0" w:color="auto"/>
            </w:tcBorders>
          </w:tcPr>
          <w:p>
            <w:pPr/>
          </w:p>
        </w:tc>
      </w:tr>
      <w:tr>
        <w:trPr>
          <w:trHeight w:val="663" w:hRule="exact"/>
        </w:trPr>
        <w:tc>
          <w:tcPr>
            <w:tcW w:w="4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b/>
                <w:bCs/>
                <w:sz w:val="18"/>
                <w:szCs w:val="18"/>
              </w:rPr>
              <w:t>稀释每股收益（Ⅰ）</w:t>
            </w:r>
            <w:r>
              <w:rPr>
                <w:rFonts w:ascii="宋体" w:hAnsi="宋体" w:cs="宋体" w:eastAsia="宋体" w:hint="default"/>
                <w:sz w:val="18"/>
                <w:szCs w:val="18"/>
              </w:rPr>
            </w:r>
          </w:p>
        </w:tc>
        <w:tc>
          <w:tcPr>
            <w:tcW w:w="1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5"/>
              <w:ind w:left="4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20=[1+(16-18)×(</w:t>
            </w:r>
            <w:r>
              <w:rPr>
                <w:rFonts w:ascii="Times New Roman" w:hAnsi="Times New Roman" w:cs="Times New Roman" w:eastAsia="Times New Roman" w:hint="default"/>
                <w:sz w:val="18"/>
                <w:szCs w:val="18"/>
              </w:rPr>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1-17)]÷(13+19)</w:t>
            </w:r>
            <w:r>
              <w:rPr>
                <w:rFonts w:ascii="Times New Roman" w:hAnsi="Times New Roman" w:cs="Times New Roman" w:eastAsia="Times New Roman" w:hint="default"/>
                <w:sz w:val="18"/>
                <w:szCs w:val="18"/>
              </w:rPr>
            </w:r>
          </w:p>
        </w:tc>
        <w:tc>
          <w:tcPr>
            <w:tcW w:w="17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324"/>
              <w:jc w:val="right"/>
              <w:rPr>
                <w:rFonts w:ascii="Times New Roman" w:hAnsi="Times New Roman" w:cs="Times New Roman" w:eastAsia="Times New Roman" w:hint="default"/>
                <w:sz w:val="20"/>
                <w:szCs w:val="20"/>
              </w:rPr>
            </w:pPr>
            <w:r>
              <w:rPr>
                <w:rFonts w:ascii="Times New Roman"/>
                <w:b/>
                <w:sz w:val="20"/>
              </w:rPr>
              <w:t>0.30</w:t>
            </w:r>
            <w:r>
              <w:rPr>
                <w:rFonts w:ascii="Times New Roman"/>
                <w:sz w:val="20"/>
              </w:rPr>
            </w:r>
          </w:p>
        </w:tc>
        <w:tc>
          <w:tcPr>
            <w:tcW w:w="14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4"/>
              <w:jc w:val="right"/>
              <w:rPr>
                <w:rFonts w:ascii="Times New Roman" w:hAnsi="Times New Roman" w:cs="Times New Roman" w:eastAsia="Times New Roman" w:hint="default"/>
                <w:sz w:val="20"/>
                <w:szCs w:val="20"/>
              </w:rPr>
            </w:pPr>
            <w:r>
              <w:rPr>
                <w:rFonts w:ascii="Times New Roman"/>
                <w:b/>
                <w:sz w:val="20"/>
              </w:rPr>
              <w:t>0.26</w:t>
            </w:r>
            <w:r>
              <w:rPr>
                <w:rFonts w:ascii="Times New Roman"/>
                <w:sz w:val="20"/>
              </w:rPr>
            </w:r>
          </w:p>
        </w:tc>
      </w:tr>
      <w:tr>
        <w:trPr>
          <w:trHeight w:val="665" w:hRule="exact"/>
        </w:trPr>
        <w:tc>
          <w:tcPr>
            <w:tcW w:w="4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b/>
                <w:bCs/>
                <w:sz w:val="18"/>
                <w:szCs w:val="18"/>
              </w:rPr>
              <w:t>稀释每股收益（Ⅱ）</w:t>
            </w:r>
            <w:r>
              <w:rPr>
                <w:rFonts w:ascii="宋体" w:hAnsi="宋体" w:cs="宋体" w:eastAsia="宋体" w:hint="default"/>
                <w:sz w:val="18"/>
                <w:szCs w:val="18"/>
              </w:rPr>
            </w:r>
          </w:p>
        </w:tc>
        <w:tc>
          <w:tcPr>
            <w:tcW w:w="1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7"/>
              <w:ind w:left="4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21=[3+(16-18)×(</w:t>
            </w:r>
            <w:r>
              <w:rPr>
                <w:rFonts w:ascii="Times New Roman" w:hAnsi="Times New Roman" w:cs="Times New Roman" w:eastAsia="Times New Roman" w:hint="default"/>
                <w:sz w:val="18"/>
                <w:szCs w:val="18"/>
              </w:rPr>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1-17)]÷(13+19)</w:t>
            </w:r>
            <w:r>
              <w:rPr>
                <w:rFonts w:ascii="Times New Roman" w:hAnsi="Times New Roman" w:cs="Times New Roman" w:eastAsia="Times New Roman" w:hint="default"/>
                <w:sz w:val="18"/>
                <w:szCs w:val="18"/>
              </w:rPr>
            </w:r>
          </w:p>
        </w:tc>
        <w:tc>
          <w:tcPr>
            <w:tcW w:w="17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324"/>
              <w:jc w:val="right"/>
              <w:rPr>
                <w:rFonts w:ascii="Times New Roman" w:hAnsi="Times New Roman" w:cs="Times New Roman" w:eastAsia="Times New Roman" w:hint="default"/>
                <w:sz w:val="20"/>
                <w:szCs w:val="20"/>
              </w:rPr>
            </w:pPr>
            <w:r>
              <w:rPr>
                <w:rFonts w:ascii="Times New Roman"/>
                <w:b/>
                <w:sz w:val="20"/>
              </w:rPr>
              <w:t>0.26</w:t>
            </w:r>
            <w:r>
              <w:rPr>
                <w:rFonts w:ascii="Times New Roman"/>
                <w:sz w:val="20"/>
              </w:rPr>
            </w:r>
          </w:p>
        </w:tc>
        <w:tc>
          <w:tcPr>
            <w:tcW w:w="14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4"/>
              <w:jc w:val="right"/>
              <w:rPr>
                <w:rFonts w:ascii="Times New Roman" w:hAnsi="Times New Roman" w:cs="Times New Roman" w:eastAsia="Times New Roman" w:hint="default"/>
                <w:sz w:val="20"/>
                <w:szCs w:val="20"/>
              </w:rPr>
            </w:pPr>
            <w:r>
              <w:rPr>
                <w:rFonts w:ascii="Times New Roman"/>
                <w:b/>
                <w:sz w:val="20"/>
              </w:rPr>
              <w:t>0.23</w:t>
            </w:r>
            <w:r>
              <w:rPr>
                <w:rFonts w:ascii="Times New Roman"/>
                <w:sz w:val="20"/>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收到的退回投标保证金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1,715,177.12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收到的项目拨款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19,854,900.00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9,846,567.16</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1,111,908.65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32,528,552.93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after="0"/>
        <w:jc w:val="left"/>
        <w:rPr>
          <w:rFonts w:ascii="宋体" w:hAnsi="宋体" w:cs="宋体" w:eastAsia="宋体" w:hint="default"/>
          <w:sz w:val="18"/>
          <w:szCs w:val="18"/>
        </w:rPr>
        <w:sectPr>
          <w:footerReference w:type="default" r:id="rId18"/>
          <w:pgSz w:w="11910" w:h="16840"/>
          <w:pgMar w:footer="980" w:header="745" w:top="1060" w:bottom="1160" w:left="980" w:right="980"/>
          <w:pgNumType w:start="11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7,244,246.10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7,086,310.56</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代理费、投标保证金、中标服务费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12,264,988.66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4,633,157.56</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2,474,668.83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1,146,545.78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2,140,748.68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审计、咨询、培训费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988,456.00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移动电话费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452,887.50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5,558,048.82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225,588.00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办事处费用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248,127.41</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823,345.00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2,999,523.53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48,286,642.43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代扣代缴股改或分红时个人所得税</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4,992,346.02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支付中节能资产经营有限公司款项（长期应付款）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1,035,725.00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6,028,071.02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46,386,006.25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40,192,477.02</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7,097,533.29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7,806,203.48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2,774,581.82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2,612,693.22</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749,156.37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542,163.88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40,333.24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12,666.64</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2,445,833.10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884,325.00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-1,086,581.18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-1,117,546.87</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-35,271,030.34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1,250,518.08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-65,344,031.45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-87,348,944.23</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29,894,625.89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-3,939,198.02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-12,313,573.01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-39,104,641.80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469,822,808.28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563,981,846.75</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563,981,846.75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682,181,020.47</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-94,159,038.47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-118,199,173.72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469,822,808.28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563,981,846.75</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127,196.20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66,056.64</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469,695,612.08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563,915,790.11</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469,822,808.28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563,981,846.75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line="240" w:lineRule="auto" w:before="3"/>
        <w:rPr>
          <w:rFonts w:ascii="宋体" w:hAnsi="宋体" w:cs="宋体" w:eastAsia="宋体" w:hint="default"/>
          <w:sz w:val="20"/>
          <w:szCs w:val="20"/>
        </w:rPr>
      </w:pPr>
    </w:p>
    <w:p>
      <w:pPr>
        <w:pStyle w:val="BodyText"/>
        <w:spacing w:line="240" w:lineRule="auto"/>
        <w:ind w:left="573" w:right="0"/>
        <w:jc w:val="left"/>
      </w:pPr>
      <w:r>
        <w:rPr>
          <w:spacing w:val="-4"/>
        </w:rPr>
        <w:t>注：截至</w:t>
      </w:r>
      <w:r>
        <w:rPr>
          <w:spacing w:val="-49"/>
        </w:rPr>
        <w:t> </w:t>
      </w:r>
      <w:r>
        <w:rPr>
          <w:rFonts w:ascii="宋体" w:hAnsi="宋体" w:cs="宋体" w:eastAsia="宋体" w:hint="default"/>
        </w:rPr>
        <w:t>2012</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50"/>
        </w:rPr>
        <w:t> </w:t>
      </w:r>
      <w:r>
        <w:rPr/>
        <w:t>日公司货币资金余额为</w:t>
      </w:r>
      <w:r>
        <w:rPr>
          <w:spacing w:val="-49"/>
        </w:rPr>
        <w:t> </w:t>
      </w:r>
      <w:r>
        <w:rPr>
          <w:rFonts w:ascii="宋体" w:hAnsi="宋体" w:cs="宋体" w:eastAsia="宋体" w:hint="default"/>
        </w:rPr>
        <w:t>472,586,244.64</w:t>
      </w:r>
      <w:r>
        <w:rPr>
          <w:rFonts w:ascii="宋体" w:hAnsi="宋体" w:cs="宋体" w:eastAsia="宋体" w:hint="default"/>
          <w:spacing w:val="-51"/>
        </w:rPr>
        <w:t> </w:t>
      </w:r>
      <w:r>
        <w:rPr>
          <w:spacing w:val="-3"/>
        </w:rPr>
        <w:t>元，列示于现金流量表的现金期末</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36"/>
        <w:ind w:right="0"/>
        <w:jc w:val="left"/>
      </w:pPr>
      <w:r>
        <w:rPr/>
        <w:t>余额为</w:t>
      </w:r>
      <w:r>
        <w:rPr>
          <w:spacing w:val="-54"/>
        </w:rPr>
        <w:t> </w:t>
      </w:r>
      <w:r>
        <w:rPr>
          <w:rFonts w:ascii="宋体" w:hAnsi="宋体" w:cs="宋体" w:eastAsia="宋体" w:hint="default"/>
        </w:rPr>
        <w:t>469,822,808.28</w:t>
      </w:r>
      <w:r>
        <w:rPr>
          <w:rFonts w:ascii="宋体" w:hAnsi="宋体" w:cs="宋体" w:eastAsia="宋体" w:hint="default"/>
          <w:spacing w:val="-57"/>
        </w:rPr>
        <w:t> </w:t>
      </w:r>
      <w:r>
        <w:rPr/>
        <w:t>元，差额</w:t>
      </w:r>
      <w:r>
        <w:rPr>
          <w:spacing w:val="-54"/>
        </w:rPr>
        <w:t> </w:t>
      </w:r>
      <w:r>
        <w:rPr>
          <w:rFonts w:ascii="宋体" w:hAnsi="宋体" w:cs="宋体" w:eastAsia="宋体" w:hint="default"/>
        </w:rPr>
        <w:t>2,763,436.36</w:t>
      </w:r>
      <w:r>
        <w:rPr>
          <w:rFonts w:ascii="宋体" w:hAnsi="宋体" w:cs="宋体" w:eastAsia="宋体" w:hint="default"/>
          <w:spacing w:val="-55"/>
        </w:rPr>
        <w:t> </w:t>
      </w:r>
      <w:r>
        <w:rPr/>
        <w:t>元为不符合现金确认标准的履约或预付款保证金。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80" w:lineRule="auto" w:before="164"/>
        <w:ind w:left="152" w:right="64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b/>
          <w:bCs/>
          <w:sz w:val="24"/>
          <w:szCs w:val="24"/>
        </w:rPr>
        <w:t>八、资产证券化业务的会计处理</w:t>
      </w:r>
      <w:r>
        <w:rPr>
          <w:rFonts w:ascii="宋体" w:hAnsi="宋体" w:cs="宋体" w:eastAsia="宋体" w:hint="default"/>
          <w:b/>
          <w:bCs/>
          <w:w w:val="99"/>
          <w:sz w:val="24"/>
          <w:szCs w:val="24"/>
        </w:rPr>
        <w:t> </w:t>
      </w:r>
      <w:r>
        <w:rPr>
          <w:rFonts w:ascii="宋体" w:hAnsi="宋体" w:cs="宋体" w:eastAsia="宋体" w:hint="default"/>
          <w:b/>
          <w:bCs/>
          <w:sz w:val="24"/>
          <w:szCs w:val="24"/>
        </w:rPr>
        <w:t>九、关联方及关联交易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Heading3"/>
        <w:spacing w:line="240" w:lineRule="auto" w:before="89"/>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河北先河中 翼环保运营 服务有限公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石家庄高新 区湘江道 </w:t>
            </w:r>
            <w:r>
              <w:rPr>
                <w:rFonts w:ascii="Times New Roman" w:hAnsi="Times New Roman" w:cs="Times New Roman" w:eastAsia="Times New Roman" w:hint="default"/>
                <w:sz w:val="18"/>
                <w:szCs w:val="18"/>
              </w:rPr>
              <w:t>251 </w:t>
            </w:r>
            <w:r>
              <w:rPr>
                <w:rFonts w:ascii="宋体" w:hAnsi="宋体" w:cs="宋体" w:eastAsia="宋体" w:hint="default"/>
                <w:sz w:val="18"/>
                <w:szCs w:val="18"/>
              </w:rPr>
              <w:t>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曹双利</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1"/>
              <w:jc w:val="left"/>
              <w:rPr>
                <w:rFonts w:ascii="宋体" w:hAnsi="宋体" w:cs="宋体" w:eastAsia="宋体" w:hint="default"/>
                <w:sz w:val="18"/>
                <w:szCs w:val="18"/>
              </w:rPr>
            </w:pPr>
            <w:r>
              <w:rPr>
                <w:rFonts w:ascii="宋体" w:hAnsi="宋体" w:cs="宋体" w:eastAsia="宋体" w:hint="default"/>
                <w:sz w:val="18"/>
                <w:szCs w:val="18"/>
              </w:rPr>
              <w:t>环保设备的 安装、调试</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66527578-9</w:t>
            </w:r>
          </w:p>
        </w:tc>
      </w:tr>
      <w:tr>
        <w:trPr>
          <w:trHeight w:val="165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2"/>
              <w:jc w:val="both"/>
              <w:rPr>
                <w:rFonts w:ascii="宋体" w:hAnsi="宋体" w:cs="宋体" w:eastAsia="宋体" w:hint="default"/>
                <w:sz w:val="18"/>
                <w:szCs w:val="18"/>
              </w:rPr>
            </w:pPr>
            <w:r>
              <w:rPr>
                <w:rFonts w:ascii="宋体" w:hAnsi="宋体" w:cs="宋体" w:eastAsia="宋体" w:hint="default"/>
                <w:sz w:val="18"/>
                <w:szCs w:val="18"/>
              </w:rPr>
              <w:t>北京先河中 润科技有限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北京市西城 区车公庄大 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号院五 栋大楼</w:t>
            </w:r>
          </w:p>
          <w:p>
            <w:pPr>
              <w:pStyle w:val="TableParagraph"/>
              <w:spacing w:line="240" w:lineRule="auto" w:before="22"/>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A3-403 </w:t>
            </w:r>
            <w:r>
              <w:rPr>
                <w:rFonts w:ascii="宋体" w:hAnsi="宋体" w:cs="宋体" w:eastAsia="宋体" w:hint="default"/>
                <w:sz w:val="18"/>
                <w:szCs w:val="18"/>
              </w:rPr>
              <w:t>室</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刘春田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z w:val="18"/>
                <w:szCs w:val="18"/>
              </w:rPr>
              <w:t>按法律、法 规规定经营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66219943-4</w:t>
            </w:r>
          </w:p>
        </w:tc>
      </w:tr>
      <w:tr>
        <w:trPr>
          <w:trHeight w:val="196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z w:val="18"/>
                <w:szCs w:val="18"/>
              </w:rPr>
              <w:t>山东先河环 保科技有限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济南市高新 区经十东路 经南济南出 口加工区海 关西卡口楼 </w:t>
            </w:r>
            <w:r>
              <w:rPr>
                <w:rFonts w:ascii="Times New Roman" w:hAnsi="Times New Roman" w:cs="Times New Roman" w:eastAsia="Times New Roman" w:hint="default"/>
                <w:spacing w:val="-3"/>
                <w:sz w:val="18"/>
                <w:szCs w:val="18"/>
              </w:rPr>
              <w:t>311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1"/>
              <w:jc w:val="both"/>
              <w:rPr>
                <w:rFonts w:ascii="宋体" w:hAnsi="宋体" w:cs="宋体" w:eastAsia="宋体" w:hint="default"/>
                <w:sz w:val="18"/>
                <w:szCs w:val="18"/>
              </w:rPr>
            </w:pPr>
            <w:r>
              <w:rPr>
                <w:rFonts w:ascii="宋体" w:hAnsi="宋体" w:cs="宋体" w:eastAsia="宋体" w:hint="default"/>
                <w:sz w:val="18"/>
                <w:szCs w:val="18"/>
              </w:rPr>
              <w:t>环保技术、 计量仪器的 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57555746-7</w:t>
            </w:r>
          </w:p>
        </w:tc>
      </w:tr>
      <w:tr>
        <w:trPr>
          <w:trHeight w:val="290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2"/>
              <w:jc w:val="both"/>
              <w:rPr>
                <w:rFonts w:ascii="宋体" w:hAnsi="宋体" w:cs="宋体" w:eastAsia="宋体" w:hint="default"/>
                <w:sz w:val="18"/>
                <w:szCs w:val="18"/>
              </w:rPr>
            </w:pPr>
            <w:r>
              <w:rPr>
                <w:rFonts w:ascii="宋体" w:hAnsi="宋体" w:cs="宋体" w:eastAsia="宋体" w:hint="default"/>
                <w:sz w:val="18"/>
                <w:szCs w:val="18"/>
              </w:rPr>
              <w:t>河北先河金 瑞环保设施 运营服务有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石家庄高新 区湘江道 </w:t>
            </w:r>
            <w:r>
              <w:rPr>
                <w:rFonts w:ascii="Times New Roman" w:hAnsi="Times New Roman" w:cs="Times New Roman" w:eastAsia="Times New Roman" w:hint="default"/>
                <w:sz w:val="18"/>
                <w:szCs w:val="18"/>
              </w:rPr>
              <w:t>251 </w:t>
            </w:r>
            <w:r>
              <w:rPr>
                <w:rFonts w:ascii="宋体" w:hAnsi="宋体" w:cs="宋体" w:eastAsia="宋体" w:hint="default"/>
                <w:sz w:val="18"/>
                <w:szCs w:val="18"/>
              </w:rPr>
              <w:t>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孙保和</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环境监测仪 器、环保设 备的安装调 试服务、日 常运营管理 服务、维修 服务、技术 咨询、技术 服务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60" w:lineRule="auto"/>
              <w:ind w:left="23" w:right="139"/>
              <w:jc w:val="left"/>
              <w:rPr>
                <w:rFonts w:ascii="Times New Roman" w:hAnsi="Times New Roman" w:cs="Times New Roman" w:eastAsia="Times New Roman" w:hint="default"/>
                <w:sz w:val="18"/>
                <w:szCs w:val="18"/>
              </w:rPr>
            </w:pPr>
            <w:r>
              <w:rPr>
                <w:rFonts w:ascii="Times New Roman"/>
                <w:sz w:val="18"/>
              </w:rPr>
              <w:t>69207435- X</w:t>
            </w:r>
          </w:p>
        </w:tc>
      </w:tr>
    </w:tbl>
    <w:p>
      <w:pPr>
        <w:spacing w:after="0" w:line="36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01"/>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56"/>
              <w:jc w:val="righ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2"/>
              <w:jc w:val="right"/>
              <w:rPr>
                <w:rFonts w:ascii="宋体" w:hAnsi="宋体" w:cs="宋体" w:eastAsia="宋体" w:hint="default"/>
                <w:sz w:val="18"/>
                <w:szCs w:val="18"/>
              </w:rPr>
            </w:pPr>
            <w:r>
              <w:rPr>
                <w:rFonts w:ascii="宋体" w:hAnsi="宋体" w:cs="宋体" w:eastAsia="宋体" w:hint="default"/>
                <w:sz w:val="18"/>
                <w:szCs w:val="18"/>
              </w:rPr>
              <w:t>红塔创新投资股份有限公司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以上的公司股东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71940980-0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2"/>
              <w:jc w:val="right"/>
              <w:rPr>
                <w:rFonts w:ascii="宋体" w:hAnsi="宋体" w:cs="宋体" w:eastAsia="宋体" w:hint="default"/>
                <w:sz w:val="18"/>
                <w:szCs w:val="18"/>
              </w:rPr>
            </w:pPr>
            <w:r>
              <w:rPr>
                <w:rFonts w:ascii="宋体" w:hAnsi="宋体" w:cs="宋体" w:eastAsia="宋体" w:hint="default"/>
                <w:sz w:val="18"/>
                <w:szCs w:val="18"/>
              </w:rPr>
              <w:t>北京科桥投资顾问有限公司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以上的公司股东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67425090-3</w:t>
            </w:r>
          </w:p>
        </w:tc>
      </w:tr>
    </w:tbl>
    <w:p>
      <w:pPr>
        <w:spacing w:before="49"/>
        <w:ind w:left="152" w:right="101"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line="240" w:lineRule="auto" w:before="0"/>
        <w:rPr>
          <w:rFonts w:ascii="宋体" w:hAnsi="宋体" w:cs="宋体" w:eastAsia="宋体" w:hint="default"/>
          <w:sz w:val="18"/>
          <w:szCs w:val="18"/>
        </w:rPr>
      </w:pPr>
    </w:p>
    <w:p>
      <w:pPr>
        <w:spacing w:line="475" w:lineRule="auto" w:before="118"/>
        <w:ind w:left="152" w:right="8147"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、关联方交易</w:t>
      </w:r>
      <w:r>
        <w:rPr>
          <w:rFonts w:ascii="宋体" w:hAnsi="宋体" w:cs="宋体" w:eastAsia="宋体" w:hint="default"/>
          <w:b/>
          <w:bCs/>
          <w:spacing w:val="-103"/>
          <w:sz w:val="21"/>
          <w:szCs w:val="21"/>
        </w:rPr>
        <w:t> </w:t>
      </w:r>
      <w:r>
        <w:rPr>
          <w:rFonts w:ascii="宋体" w:hAnsi="宋体" w:cs="宋体" w:eastAsia="宋体" w:hint="default"/>
          <w:b/>
          <w:bCs/>
          <w:sz w:val="24"/>
          <w:szCs w:val="24"/>
        </w:rPr>
        <w:t>十、股份支付</w:t>
      </w:r>
      <w:r>
        <w:rPr>
          <w:rFonts w:ascii="宋体" w:hAnsi="宋体" w:cs="宋体" w:eastAsia="宋体" w:hint="default"/>
          <w:b/>
          <w:bCs/>
          <w:w w:val="99"/>
          <w:sz w:val="24"/>
          <w:szCs w:val="24"/>
        </w:rPr>
        <w:t> </w:t>
      </w:r>
      <w:r>
        <w:rPr>
          <w:rFonts w:ascii="宋体" w:hAnsi="宋体" w:cs="宋体" w:eastAsia="宋体" w:hint="default"/>
          <w:b/>
          <w:bCs/>
          <w:sz w:val="24"/>
          <w:szCs w:val="24"/>
        </w:rPr>
        <w:t>十一、或有事项</w:t>
      </w:r>
      <w:r>
        <w:rPr>
          <w:rFonts w:ascii="宋体" w:hAnsi="宋体" w:cs="宋体" w:eastAsia="宋体" w:hint="default"/>
          <w:b/>
          <w:bCs/>
          <w:w w:val="99"/>
          <w:sz w:val="24"/>
          <w:szCs w:val="24"/>
        </w:rPr>
        <w:t> </w:t>
      </w:r>
      <w:r>
        <w:rPr>
          <w:rFonts w:ascii="宋体" w:hAnsi="宋体" w:cs="宋体" w:eastAsia="宋体" w:hint="default"/>
          <w:b/>
          <w:bCs/>
          <w:sz w:val="24"/>
          <w:szCs w:val="24"/>
        </w:rPr>
        <w:t>十二、承诺事项</w:t>
      </w:r>
      <w:r>
        <w:rPr>
          <w:rFonts w:ascii="宋体" w:hAnsi="宋体" w:cs="宋体" w:eastAsia="宋体" w:hint="default"/>
          <w:sz w:val="24"/>
          <w:szCs w:val="24"/>
        </w:rPr>
      </w:r>
    </w:p>
    <w:p>
      <w:pPr>
        <w:pStyle w:val="Heading2"/>
        <w:spacing w:line="240" w:lineRule="auto" w:before="65"/>
        <w:ind w:right="101"/>
        <w:jc w:val="left"/>
        <w:rPr>
          <w:b w:val="0"/>
          <w:bCs w:val="0"/>
        </w:rPr>
      </w:pPr>
      <w:r>
        <w:rPr/>
        <w:t>十三、资产负债表日后事项</w:t>
      </w:r>
      <w:r>
        <w:rPr>
          <w:b w:val="0"/>
          <w:bCs w:val="0"/>
        </w:rPr>
      </w:r>
    </w:p>
    <w:p>
      <w:pPr>
        <w:spacing w:line="614" w:lineRule="exact" w:before="77"/>
        <w:ind w:left="573" w:right="101"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、其他资产负债表日后事项说明</w:t>
      </w:r>
      <w:r>
        <w:rPr>
          <w:rFonts w:ascii="宋体" w:hAnsi="宋体" w:cs="宋体" w:eastAsia="宋体" w:hint="default"/>
          <w:b/>
          <w:bCs/>
          <w:w w:val="100"/>
          <w:sz w:val="21"/>
          <w:szCs w:val="21"/>
        </w:rPr>
        <w:t> </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日第二届董事会第七次会议决议通过</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年度利润分配预案：</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年度母公司实</w:t>
      </w:r>
    </w:p>
    <w:p>
      <w:pPr>
        <w:pStyle w:val="BodyText"/>
        <w:spacing w:line="235" w:lineRule="exact"/>
        <w:ind w:right="101"/>
        <w:jc w:val="left"/>
      </w:pPr>
      <w:r>
        <w:rPr/>
        <w:t>现净利润人民币</w:t>
      </w:r>
      <w:r>
        <w:rPr>
          <w:rFonts w:ascii="Times New Roman" w:hAnsi="Times New Roman" w:cs="Times New Roman" w:eastAsia="Times New Roman" w:hint="default"/>
        </w:rPr>
        <w:t>46,468,470.62</w:t>
      </w:r>
      <w:r>
        <w:rPr/>
        <w:t>元，根据《公司法》和《公司章程》的有关规定，按</w:t>
      </w:r>
      <w:r>
        <w:rPr>
          <w:rFonts w:ascii="Times New Roman" w:hAnsi="Times New Roman" w:cs="Times New Roman" w:eastAsia="Times New Roman" w:hint="default"/>
        </w:rPr>
        <w:t>2012</w:t>
      </w:r>
      <w:r>
        <w:rPr/>
        <w:t>年度母公司实现净</w:t>
      </w:r>
    </w:p>
    <w:p>
      <w:pPr>
        <w:pStyle w:val="BodyText"/>
        <w:spacing w:line="256" w:lineRule="auto" w:before="21"/>
        <w:ind w:right="101"/>
        <w:jc w:val="left"/>
      </w:pPr>
      <w:r>
        <w:rPr>
          <w:spacing w:val="-3"/>
        </w:rPr>
        <w:t>利润</w:t>
      </w:r>
      <w:r>
        <w:rPr>
          <w:rFonts w:ascii="Times New Roman" w:hAnsi="Times New Roman" w:cs="Times New Roman" w:eastAsia="Times New Roman" w:hint="default"/>
          <w:spacing w:val="-3"/>
        </w:rPr>
        <w:t>10%</w:t>
      </w:r>
      <w:r>
        <w:rPr>
          <w:spacing w:val="-3"/>
        </w:rPr>
        <w:t>提取法定盈余公积金</w:t>
      </w:r>
      <w:r>
        <w:rPr>
          <w:rFonts w:ascii="Times New Roman" w:hAnsi="Times New Roman" w:cs="Times New Roman" w:eastAsia="Times New Roman" w:hint="default"/>
          <w:spacing w:val="-3"/>
        </w:rPr>
        <w:t>4,646,847.06</w:t>
      </w:r>
      <w:r>
        <w:rPr>
          <w:spacing w:val="-3"/>
        </w:rPr>
        <w:t>元，加上年初未分配利润</w:t>
      </w:r>
      <w:r>
        <w:rPr>
          <w:rFonts w:ascii="Times New Roman" w:hAnsi="Times New Roman" w:cs="Times New Roman" w:eastAsia="Times New Roman" w:hint="default"/>
          <w:spacing w:val="-3"/>
        </w:rPr>
        <w:t>106,393,467.77</w:t>
      </w:r>
      <w:r>
        <w:rPr>
          <w:spacing w:val="-3"/>
        </w:rPr>
        <w:t>元，公司年末可供股东分</w:t>
      </w:r>
      <w:r>
        <w:rPr>
          <w:spacing w:val="-28"/>
        </w:rPr>
        <w:t> </w:t>
      </w:r>
      <w:r>
        <w:rPr>
          <w:spacing w:val="-28"/>
        </w:rPr>
      </w:r>
      <w:r>
        <w:rPr>
          <w:spacing w:val="-3"/>
        </w:rPr>
        <w:t>配的利润</w:t>
      </w:r>
      <w:r>
        <w:rPr>
          <w:rFonts w:ascii="Times New Roman" w:hAnsi="Times New Roman" w:cs="Times New Roman" w:eastAsia="Times New Roman" w:hint="default"/>
          <w:spacing w:val="-3"/>
        </w:rPr>
        <w:t>140,415,091.33</w:t>
      </w:r>
      <w:r>
        <w:rPr>
          <w:spacing w:val="-3"/>
        </w:rPr>
        <w:t>元。考虑目前总股本规模，以及公司未来发展情况，拟定如下利润分配预案：拟以</w:t>
      </w:r>
      <w:r>
        <w:rPr>
          <w:spacing w:val="-28"/>
        </w:rPr>
        <w:t> </w:t>
      </w:r>
      <w:r>
        <w:rPr>
          <w:spacing w:val="-28"/>
        </w:rPr>
      </w:r>
      <w:r>
        <w:rPr/>
        <w:t>现有总股本 </w:t>
      </w:r>
      <w:r>
        <w:rPr>
          <w:rFonts w:ascii="Times New Roman" w:hAnsi="Times New Roman" w:cs="Times New Roman" w:eastAsia="Times New Roman" w:hint="default"/>
        </w:rPr>
        <w:t>156,000,000 </w:t>
      </w:r>
      <w:r>
        <w:rPr>
          <w:spacing w:val="-4"/>
        </w:rPr>
        <w:t>股为基数，以资本公积金转增股本，每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3</w:t>
      </w:r>
      <w:r>
        <w:rPr>
          <w:spacing w:val="-4"/>
        </w:rPr>
        <w:t>股，共计转增股本</w:t>
      </w:r>
      <w:r>
        <w:rPr>
          <w:rFonts w:ascii="Times New Roman" w:hAnsi="Times New Roman" w:cs="Times New Roman" w:eastAsia="Times New Roman" w:hint="default"/>
          <w:spacing w:val="-4"/>
        </w:rPr>
        <w:t>46,800,000</w:t>
      </w:r>
      <w:r>
        <w:rPr>
          <w:spacing w:val="-4"/>
        </w:rPr>
        <w:t>股。</w:t>
      </w:r>
      <w:r>
        <w:rPr>
          <w:spacing w:val="-73"/>
        </w:rPr>
        <w:t> </w:t>
      </w:r>
      <w:r>
        <w:rPr/>
        <w:t>公司</w:t>
      </w:r>
      <w:r>
        <w:rPr>
          <w:rFonts w:ascii="Times New Roman" w:hAnsi="Times New Roman" w:cs="Times New Roman" w:eastAsia="Times New Roman" w:hint="default"/>
        </w:rPr>
        <w:t>2012</w:t>
      </w:r>
      <w:r>
        <w:rPr/>
        <w:t>年度利润分配预案待股东大会决议通过后执行。</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3"/>
          <w:szCs w:val="23"/>
        </w:rPr>
      </w:pPr>
    </w:p>
    <w:p>
      <w:pPr>
        <w:pStyle w:val="Heading2"/>
        <w:spacing w:line="240" w:lineRule="auto"/>
        <w:ind w:right="101"/>
        <w:jc w:val="left"/>
        <w:rPr>
          <w:b w:val="0"/>
          <w:bCs w:val="0"/>
        </w:rPr>
      </w:pPr>
      <w:r>
        <w:rPr/>
        <w:t>十四、其他重要事项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
        <w:jc w:val="left"/>
        <w:rPr>
          <w:b w:val="0"/>
          <w:bCs w:val="0"/>
        </w:rPr>
      </w:pPr>
      <w:r>
        <w:rPr>
          <w:rFonts w:ascii="Times New Roman" w:hAnsi="Times New Roman" w:cs="Times New Roman" w:eastAsia="Times New Roman" w:hint="default"/>
        </w:rPr>
        <w:t>1</w:t>
      </w:r>
      <w:r>
        <w:rPr/>
        <w:t>、其他</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01" w:firstLine="420"/>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23</w:t>
      </w:r>
      <w:r>
        <w:rPr>
          <w:spacing w:val="-1"/>
        </w:rPr>
        <w:t>日公司控股股东李玉国先生将其持有的本公司有限售条件股份</w:t>
      </w:r>
      <w:r>
        <w:rPr>
          <w:rFonts w:ascii="Times New Roman" w:hAnsi="Times New Roman" w:cs="Times New Roman" w:eastAsia="Times New Roman" w:hint="default"/>
          <w:spacing w:val="-1"/>
        </w:rPr>
        <w:t>20,000,000</w:t>
      </w:r>
      <w:r>
        <w:rPr>
          <w:spacing w:val="-1"/>
        </w:rPr>
        <w:t>股</w:t>
      </w:r>
      <w:r>
        <w:rPr>
          <w:rFonts w:ascii="Times New Roman" w:hAnsi="Times New Roman" w:cs="Times New Roman" w:eastAsia="Times New Roman" w:hint="default"/>
          <w:spacing w:val="-1"/>
        </w:rPr>
        <w:t>,</w:t>
      </w:r>
      <w:r>
        <w:rPr>
          <w:spacing w:val="-1"/>
        </w:rPr>
        <w:t>质押给中融</w:t>
      </w:r>
      <w:r>
        <w:rPr>
          <w:w w:val="100"/>
        </w:rPr>
        <w:t> </w:t>
      </w:r>
      <w:r>
        <w:rPr/>
        <w:t>国际信托有限公司</w:t>
      </w:r>
      <w:r>
        <w:rPr>
          <w:rFonts w:ascii="Times New Roman" w:hAnsi="Times New Roman" w:cs="Times New Roman" w:eastAsia="Times New Roman" w:hint="default"/>
        </w:rPr>
        <w:t>,</w:t>
      </w:r>
      <w:r>
        <w:rPr/>
        <w:t>质押期限自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日起至李玉国先生办理解除质押登记手续之日止。</w:t>
      </w:r>
    </w:p>
    <w:p>
      <w:pPr>
        <w:pStyle w:val="BodyText"/>
        <w:spacing w:line="240" w:lineRule="auto" w:before="5"/>
        <w:ind w:left="573" w:right="101"/>
        <w:jc w:val="left"/>
      </w:pPr>
      <w:r>
        <w:rPr/>
        <w:t>除上述事项外</w:t>
      </w:r>
      <w:r>
        <w:rPr>
          <w:rFonts w:ascii="Times New Roman" w:hAnsi="Times New Roman" w:cs="Times New Roman" w:eastAsia="Times New Roman" w:hint="default"/>
        </w:rPr>
        <w:t>,</w:t>
      </w:r>
      <w:r>
        <w:rPr/>
        <w:t>截至报告日，本公司未发生影响财务报表阅读和理解的其他重大事项。</w:t>
      </w:r>
    </w:p>
    <w:p>
      <w:pPr>
        <w:spacing w:after="0" w:line="240" w:lineRule="auto"/>
        <w:jc w:val="left"/>
        <w:sectPr>
          <w:pgSz w:w="11910" w:h="16840"/>
          <w:pgMar w:header="745" w:footer="980" w:top="1060" w:bottom="116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40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000"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left"/>
              <w:rPr>
                <w:rFonts w:ascii="宋体" w:hAnsi="宋体" w:cs="宋体" w:eastAsia="宋体" w:hint="default"/>
                <w:sz w:val="18"/>
                <w:szCs w:val="18"/>
              </w:rPr>
            </w:pPr>
            <w:r>
              <w:rPr>
                <w:rFonts w:ascii="宋体" w:hAnsi="宋体" w:cs="宋体" w:eastAsia="宋体" w:hint="default"/>
                <w:sz w:val="18"/>
                <w:szCs w:val="18"/>
              </w:rPr>
              <w:t>①合并范围内的应收账 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3,299,500.00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w:t>
            </w:r>
          </w:p>
        </w:tc>
        <w:tc>
          <w:tcPr>
            <w:tcW w:w="13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left"/>
              <w:rPr>
                <w:rFonts w:ascii="宋体" w:hAnsi="宋体" w:cs="宋体" w:eastAsia="宋体" w:hint="default"/>
                <w:sz w:val="18"/>
                <w:szCs w:val="18"/>
              </w:rPr>
            </w:pPr>
            <w:r>
              <w:rPr>
                <w:rFonts w:ascii="宋体" w:hAnsi="宋体" w:cs="宋体" w:eastAsia="宋体" w:hint="default"/>
                <w:sz w:val="18"/>
                <w:szCs w:val="18"/>
              </w:rPr>
              <w:t>②以账龄作为信用风险 特征组合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186,373,918.20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98.26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20,086,031.45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178,672,737.21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99.43%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13,228,996.79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189,673,418.20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20,086,031.45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179,697,737.21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13,228,996.79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189,673,418.20</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20,086,031.45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179,697,737.21</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13,228,996.79</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360"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40" w:lineRule="auto" w:before="2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组合中，采用账龄分析法计提坏账准备的应收账款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995"/>
        <w:gridCol w:w="662"/>
        <w:gridCol w:w="1462"/>
        <w:gridCol w:w="2126"/>
        <w:gridCol w:w="665"/>
        <w:gridCol w:w="1594"/>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4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6" w:type="dxa"/>
            <w:vMerge/>
            <w:tcBorders>
              <w:left w:val="single" w:sz="4" w:space="0" w:color="000000"/>
              <w:right w:val="single" w:sz="4" w:space="0" w:color="000000"/>
            </w:tcBorders>
            <w:shd w:val="clear" w:color="auto" w:fill="D2D2D2"/>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70,704,417.63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37.28%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3,535,220.88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119,483,363.67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5,974,168.18</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70,704,417.63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37.28%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3,535,220.88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119,483,363.67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5,974,168.18</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98,072,145.83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51.71%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9,807,214.58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55,160,714.81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5,516,071.48</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15,505,369.64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4,651,610.89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3,271,288.00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981,386.40</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2,091,985.10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2,091,985.10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757,370.73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757,370.73</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186,373,918.20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20,086,031.45</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178,672,737.21</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13,228,996.79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line="340" w:lineRule="auto" w:before="44"/>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39"/>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河北正和信通电子有限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9,616,000.02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河北省环境监测中心站</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秦皇岛环境监测站</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6,830,900.00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贵州省环境监测中心站</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中国环境监测总站</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3,812,301.27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33,399,201.29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17.61%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宋体" w:hAnsi="宋体" w:cs="宋体" w:eastAsia="宋体" w:hint="default"/>
                <w:sz w:val="18"/>
                <w:szCs w:val="18"/>
              </w:rPr>
            </w:pPr>
            <w:r>
              <w:rPr>
                <w:rFonts w:ascii="宋体" w:hAnsi="宋体" w:cs="宋体" w:eastAsia="宋体" w:hint="default"/>
                <w:sz w:val="18"/>
                <w:szCs w:val="18"/>
              </w:rPr>
              <w:t>北京先河中润科技有限公司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3,299,500.00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1.74%</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3,299,500.00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不符合终止确认条件的应收账款的转移金额为元。</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403"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170"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①合并范围内的其他应收 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5,205,067.01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1,739,993.80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②以账龄作为信用风险特 征组合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22,395,314.91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2,320,387.80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10,574,279.80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2,087,068.97</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27,600,381.92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2,320,387.80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12,314,273.60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2,087,068.97</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27,600,381.92</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2,320,387.80</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12,314,273.60</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2,087,068.97</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360"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40" w:lineRule="auto" w:before="2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1"/>
        <w:ind w:left="152" w:right="23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793"/>
        <w:gridCol w:w="662"/>
        <w:gridCol w:w="1594"/>
        <w:gridCol w:w="1862"/>
        <w:gridCol w:w="665"/>
        <w:gridCol w:w="1726"/>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68"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17,699,139.86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884,956.99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5,987,954.28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48.63%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299,397.71</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17,699,139.86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884,956.99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5,987,954.28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48.63%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299,397.71</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3,022,249.80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302,224.98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1,639,887.32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13.32%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163,988.73</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772,456.31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231,736.89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1,889,650.96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15.35%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566,895.29</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901,468.94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901,468.94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1,056,787.24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8.58%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1,056,787.24</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22,395,314.91</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2,320,387.80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10,574,279.80</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2,087,068.97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组合中，采用其他方法计提坏账准备的其他应收款</w:t>
      </w:r>
    </w:p>
    <w:p>
      <w:pPr>
        <w:spacing w:line="338" w:lineRule="auto" w:before="117"/>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销售一部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2,369,966.25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山东省环境保护监测站</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4.29%</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河北博鳌招标代理有限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四川省环境监测中心站</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995,990.00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3.61%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河南省环境监测中心站</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938,500.00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6,638,456.25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北京先河中润科技有限公司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5,205,067.01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18.86%</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5,205,067.01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不符合终止确认条件的其他应收款项的转移金额为元。</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北京先河 中润科技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河北先河 中翼环保 运营服务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山东先河 环保科技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河北先河 金瑞环保 设施运营 服务有限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15,250,00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15,250,00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15,250,00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197,524,386.12</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145,347,934.49</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450,331.38</w:t>
            </w:r>
          </w:p>
        </w:tc>
        <w:tc>
          <w:tcPr>
            <w:tcW w:w="35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197,974,717.50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145,347,934.49</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97,830,022.63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67,186,109.58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197,524,386.12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97,630,350.91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145,347,934.49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67,186,109.58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197,524,386.12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97,630,350.91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145,347,934.49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67,186,109.58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空气质量连续自动监测系统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115,446,058.96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58,397,698.44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101,975,265.35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47,094,506.76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烟气在线自动监测系统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3,795,235.04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2,026,533.21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10,945,687.49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5,501,551.84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水质连续自动监测系统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11,115,865.81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6,154,944.43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6,524,138.79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3,636,074.68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污水在线自动监测系统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4,367,895.74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2,271,303.89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4,078,461.26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1,919,743.60</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12,836,588.55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7,404,114.38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11,576,995.73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5,778,928.32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49,962,742.02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21,375,756.56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10,247,385.87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3,255,304.38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197,524,386.12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97,630,350.91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145,347,934.49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67,186,109.58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其中：华北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124,446,043.74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60,810,133.78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86,857,343.31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39,780,341.64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19,047,356.64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10,588,909.15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18,164,512.62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8,602,442.45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3,186,504.91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1,446,872.14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9,746,095.54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4,480,872.98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3,468,624.76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2,026,937.85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6,996,197.67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3,691,896.89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47,375,856.07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22,757,497.99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23,583,785.35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10,630,555.62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197,524,386.12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97,630,350.91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145,347,934.49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67,186,109.58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2922"/>
        <w:gridCol w:w="1867"/>
      </w:tblGrid>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6"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bl>
    <w:p>
      <w:pPr>
        <w:spacing w:after="0" w:line="316" w:lineRule="auto"/>
        <w:jc w:val="left"/>
        <w:rPr>
          <w:rFonts w:ascii="Times New Roman" w:hAnsi="Times New Roman" w:cs="Times New Roman" w:eastAsia="Times New Roman" w:hint="default"/>
          <w:sz w:val="18"/>
          <w:szCs w:val="18"/>
        </w:rPr>
        <w:sectPr>
          <w:footerReference w:type="default" r:id="rId19"/>
          <w:pgSz w:w="11910" w:h="16840"/>
          <w:pgMar w:footer="980" w:header="745" w:top="1060" w:bottom="1160" w:left="980" w:right="98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河北省环境监测中心站</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18,672,649.57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秦皇岛环境监测站</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12,210,256.41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兰州市政府采购中心</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11,907,350.42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贵州省环境监测中心站</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7,435,897.44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河北省环境执法监察局</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7,200,577.78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57,426,731.62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27.35%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46,468,470.62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40,955,304.52</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7,090,353.49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7,450,312.45</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2,515,653.76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2,423,455.18</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749,156.37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542,163.88</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2,445,833.10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884,325.00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-1,063,553.03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-1,117,546.87</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-34,272,513.32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7,190.22</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-67,094,084.55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-85,236,963.74</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24,710,831.98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-4,160,269.02</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-18,449,851.58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-38,252,028.38</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455,199,449.21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553,641,929.07</w:t>
            </w:r>
          </w:p>
        </w:tc>
      </w:tr>
      <w:tr>
        <w:trPr>
          <w:trHeight w:val="40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553,641,929.07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678,761,579.37</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-98,442,479.86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-125,119,650.30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十六、补充资料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z w:val="18"/>
              </w:rPr>
              <w:t>0.3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z w:val="18"/>
              </w:rPr>
              <w:t>0.3</w:t>
            </w:r>
          </w:p>
        </w:tc>
      </w:tr>
      <w:tr>
        <w:trPr>
          <w:trHeight w:val="715"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422"/>
        <w:jc w:val="center"/>
        <w:rPr>
          <w:b w:val="0"/>
          <w:bCs w:val="0"/>
        </w:rPr>
      </w:pPr>
      <w:bookmarkStart w:name="_TOC_250000" w:id="10"/>
      <w:r>
        <w:rPr/>
        <w:t>第十节</w:t>
      </w:r>
      <w:r>
        <w:rPr>
          <w:spacing w:val="-6"/>
        </w:rPr>
        <w:t> </w:t>
      </w:r>
      <w:r>
        <w:rPr/>
        <w:t>备查文件目录</w:t>
      </w:r>
      <w:bookmarkEnd w:id="10"/>
      <w:r>
        <w:rPr>
          <w:b w:val="0"/>
          <w:bCs w:val="0"/>
        </w:rPr>
      </w:r>
    </w:p>
    <w:p>
      <w:pPr>
        <w:spacing w:line="240" w:lineRule="auto" w:before="12"/>
        <w:rPr>
          <w:rFonts w:ascii="宋体" w:hAnsi="宋体" w:cs="宋体" w:eastAsia="宋体" w:hint="default"/>
          <w:b/>
          <w:bCs/>
          <w:sz w:val="40"/>
          <w:szCs w:val="40"/>
        </w:rPr>
      </w:pPr>
    </w:p>
    <w:p>
      <w:pPr>
        <w:pStyle w:val="BodyText"/>
        <w:spacing w:line="273" w:lineRule="auto"/>
        <w:ind w:right="0"/>
        <w:jc w:val="left"/>
      </w:pPr>
      <w:r>
        <w:rPr>
          <w:spacing w:val="-2"/>
        </w:rPr>
        <w:t>（一）载有法定代表人李玉国先生、主管会计工作负责人陈荣强先生、会计机构负责人吴江女士签名盖章</w:t>
      </w:r>
      <w:r>
        <w:rPr>
          <w:spacing w:val="-44"/>
        </w:rPr>
        <w:t> </w:t>
      </w:r>
      <w:r>
        <w:rPr>
          <w:spacing w:val="-44"/>
        </w:rPr>
      </w:r>
      <w:r>
        <w:rPr/>
        <w:t>的财务报表。</w:t>
      </w:r>
    </w:p>
    <w:p>
      <w:pPr>
        <w:pStyle w:val="BodyText"/>
        <w:spacing w:line="273" w:lineRule="auto" w:before="7"/>
        <w:ind w:right="0"/>
        <w:jc w:val="left"/>
      </w:pPr>
      <w:r>
        <w:rPr>
          <w:spacing w:val="-2"/>
        </w:rPr>
        <w:t>（二）载有中磊会计师事务所有限责任公司盖章、注册会计师邱淦泳先生、张彦巧女士签名并盖章的审计</w:t>
      </w:r>
      <w:r>
        <w:rPr>
          <w:spacing w:val="-43"/>
        </w:rPr>
        <w:t> </w:t>
      </w:r>
      <w:r>
        <w:rPr>
          <w:spacing w:val="-43"/>
        </w:rPr>
      </w:r>
      <w:r>
        <w:rPr/>
        <w:t>报告原件。</w:t>
      </w:r>
    </w:p>
    <w:p>
      <w:pPr>
        <w:pStyle w:val="BodyText"/>
        <w:spacing w:line="544" w:lineRule="auto" w:before="7"/>
        <w:ind w:right="0"/>
        <w:jc w:val="left"/>
      </w:pPr>
      <w:r>
        <w:rPr>
          <w:spacing w:val="-2"/>
        </w:rPr>
        <w:t>（三）报告期内在中国证监会指定网站上公开披露过的所有公司文件的正本及公告原稿。</w:t>
      </w:r>
      <w:r>
        <w:rPr>
          <w:spacing w:val="-31"/>
        </w:rPr>
        <w:t> </w:t>
      </w:r>
      <w:r>
        <w:rPr>
          <w:spacing w:val="-31"/>
        </w:rPr>
      </w:r>
      <w:r>
        <w:rPr/>
        <w:t>以上文件置备于公司证券部，地址为石家庄市高新区湘江道</w:t>
      </w:r>
      <w:r>
        <w:rPr>
          <w:rFonts w:ascii="宋体" w:hAnsi="宋体" w:cs="宋体" w:eastAsia="宋体" w:hint="default"/>
        </w:rPr>
        <w:t>251</w:t>
      </w:r>
      <w:r>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73" w:lineRule="auto"/>
        <w:ind w:left="6034" w:right="0" w:firstLine="417"/>
        <w:jc w:val="left"/>
      </w:pPr>
      <w:r>
        <w:rPr/>
        <w:t>董事长：李玉国</w:t>
      </w:r>
      <w:r>
        <w:rPr>
          <w:w w:val="100"/>
        </w:rPr>
        <w:t> </w:t>
      </w:r>
      <w:r>
        <w:rPr>
          <w:spacing w:val="-2"/>
        </w:rPr>
        <w:t>河北先河环保科技股份有限公司</w:t>
      </w:r>
    </w:p>
    <w:p>
      <w:pPr>
        <w:pStyle w:val="BodyText"/>
        <w:spacing w:line="240" w:lineRule="auto" w:before="7"/>
        <w:ind w:left="6451" w:right="0"/>
        <w:jc w:val="left"/>
      </w:pPr>
      <w:r>
        <w:rPr/>
        <w:t>二○一三年四月十日</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6672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667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667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6672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667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667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667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6673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242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ailhero.com.cn/" TargetMode="External"/><Relationship Id="rId10" Type="http://schemas.openxmlformats.org/officeDocument/2006/relationships/hyperlink" Target="mailto:xhzq@sailhero.com.cn" TargetMode="External"/><Relationship Id="rId11" Type="http://schemas.openxmlformats.org/officeDocument/2006/relationships/hyperlink" Target="mailto:zupengfei@sina.com" TargetMode="External"/><Relationship Id="rId12" Type="http://schemas.openxmlformats.org/officeDocument/2006/relationships/hyperlink" Target="mailto:hebeiwsj@126.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2020-05-04T01:52:26Z</dcterms:created>
  <dcterms:modified xsi:type="dcterms:W3CDTF">2020-05-04T01:52:26Z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2013-04-11T00:00:00Z</vt:filetime>
  </property>
  <property fmtid="{D5CDD505-2E9C-101B-9397-08002B2CF9AE}" pid="3" name="Creator">
    <vt:lpwstr>Microsoft® Office Word 2007</vt:lpwstr>
  </property>
  <property fmtid="{D5CDD505-2E9C-101B-9397-08002B2CF9AE}" pid="4" name="LastSaved">
    <vt:filetime>2020-05-03T00:00:00Z</vt:filetime>
  </property>
</Properties>
</file>