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png" ContentType="image/png"/>
  <Override PartName="/word/footer2.xml" ContentType="application/vnd.openxmlformats-officedocument.wordprocessingml.footer+xml"/>
  <Default Extension="jpeg" ContentType="image/jpeg"/>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before="104"/>
        <w:ind w:left="816" w:right="816" w:firstLine="0"/>
        <w:jc w:val="center"/>
        <w:rPr>
          <w:rFonts w:ascii="宋体" w:hAnsi="宋体" w:cs="宋体" w:eastAsia="宋体" w:hint="default"/>
          <w:sz w:val="36"/>
          <w:szCs w:val="36"/>
        </w:rPr>
      </w:pPr>
      <w:r>
        <w:rPr/>
        <w:pict>
          <v:group style="position:absolute;margin-left:55.200001pt;margin-top:-84.796555pt;width:485pt;height:.1pt;mso-position-horizontal-relative:page;mso-position-vertical-relative:paragraph;z-index:0" coordorigin="1104,-1696" coordsize="9700,2">
            <v:shape style="position:absolute;left:1104;top:-1696;width:9700;height:2" coordorigin="1104,-1696" coordsize="9700,0" path="m1104,-1696l10804,-1696e" filled="false" stroked="true" strokeweight=".72pt" strokecolor="#000000">
              <v:path arrowok="t"/>
            </v:shape>
            <w10:wrap type="none"/>
          </v:group>
        </w:pict>
      </w:r>
      <w:r>
        <w:rPr>
          <w:rFonts w:ascii="宋体" w:hAnsi="宋体" w:cs="宋体" w:eastAsia="宋体" w:hint="default"/>
          <w:b/>
          <w:bCs/>
          <w:sz w:val="36"/>
          <w:szCs w:val="36"/>
        </w:rPr>
        <w:t>河北先河环保科技股份有限公司</w:t>
      </w:r>
      <w:r>
        <w:rPr>
          <w:rFonts w:ascii="宋体" w:hAnsi="宋体" w:cs="宋体" w:eastAsia="宋体" w:hint="default"/>
          <w:sz w:val="36"/>
          <w:szCs w:val="36"/>
        </w:rPr>
      </w:r>
    </w:p>
    <w:p>
      <w:pPr>
        <w:spacing w:line="240" w:lineRule="auto" w:before="10"/>
        <w:rPr>
          <w:rFonts w:ascii="宋体" w:hAnsi="宋体" w:cs="宋体" w:eastAsia="宋体" w:hint="default"/>
          <w:b/>
          <w:bCs/>
          <w:sz w:val="30"/>
          <w:szCs w:val="30"/>
        </w:rPr>
      </w:pPr>
    </w:p>
    <w:p>
      <w:pPr>
        <w:spacing w:before="0"/>
        <w:ind w:left="815" w:right="816"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2017</w:t>
      </w:r>
      <w:r>
        <w:rPr>
          <w:rFonts w:ascii="Times New Roman" w:hAnsi="Times New Roman" w:cs="Times New Roman" w:eastAsia="Times New Roman" w:hint="default"/>
          <w:b/>
          <w:bCs/>
          <w:spacing w:val="-4"/>
          <w:sz w:val="32"/>
          <w:szCs w:val="32"/>
        </w:rPr>
        <w:t> </w:t>
      </w:r>
      <w:r>
        <w:rPr>
          <w:rFonts w:ascii="宋体" w:hAnsi="宋体" w:cs="宋体" w:eastAsia="宋体" w:hint="default"/>
          <w:b/>
          <w:bCs/>
          <w:sz w:val="32"/>
          <w:szCs w:val="32"/>
        </w:rPr>
        <w:t>年年度报告</w:t>
      </w:r>
      <w:r>
        <w:rPr>
          <w:rFonts w:ascii="宋体" w:hAnsi="宋体" w:cs="宋体" w:eastAsia="宋体" w:hint="default"/>
          <w:sz w:val="32"/>
          <w:szCs w:val="32"/>
        </w:rPr>
      </w: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4"/>
        <w:rPr>
          <w:rFonts w:ascii="宋体" w:hAnsi="宋体" w:cs="宋体" w:eastAsia="宋体" w:hint="default"/>
          <w:b/>
          <w:bCs/>
          <w:sz w:val="48"/>
          <w:szCs w:val="48"/>
        </w:rPr>
      </w:pPr>
    </w:p>
    <w:p>
      <w:pPr>
        <w:spacing w:before="0"/>
        <w:ind w:left="817" w:right="816"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2018</w:t>
      </w:r>
      <w:r>
        <w:rPr>
          <w:rFonts w:ascii="Times New Roman" w:hAnsi="Times New Roman" w:cs="Times New Roman" w:eastAsia="Times New Roman" w:hint="default"/>
          <w:b/>
          <w:bCs/>
          <w:spacing w:val="-1"/>
          <w:sz w:val="32"/>
          <w:szCs w:val="32"/>
        </w:rPr>
        <w:t> </w:t>
      </w:r>
      <w:r>
        <w:rPr>
          <w:rFonts w:ascii="宋体" w:hAnsi="宋体" w:cs="宋体" w:eastAsia="宋体" w:hint="default"/>
          <w:b/>
          <w:bCs/>
          <w:sz w:val="32"/>
          <w:szCs w:val="32"/>
        </w:rPr>
        <w:t>年</w:t>
      </w:r>
      <w:r>
        <w:rPr>
          <w:rFonts w:ascii="宋体" w:hAnsi="宋体" w:cs="宋体" w:eastAsia="宋体" w:hint="default"/>
          <w:b/>
          <w:bCs/>
          <w:spacing w:val="-82"/>
          <w:sz w:val="32"/>
          <w:szCs w:val="32"/>
        </w:rPr>
        <w:t> </w:t>
      </w:r>
      <w:r>
        <w:rPr>
          <w:rFonts w:ascii="Times New Roman" w:hAnsi="Times New Roman" w:cs="Times New Roman" w:eastAsia="Times New Roman" w:hint="default"/>
          <w:b/>
          <w:bCs/>
          <w:sz w:val="32"/>
          <w:szCs w:val="32"/>
        </w:rPr>
        <w:t>04</w:t>
      </w:r>
      <w:r>
        <w:rPr>
          <w:rFonts w:ascii="Times New Roman" w:hAnsi="Times New Roman" w:cs="Times New Roman" w:eastAsia="Times New Roman" w:hint="default"/>
          <w:b/>
          <w:bCs/>
          <w:spacing w:val="-2"/>
          <w:sz w:val="32"/>
          <w:szCs w:val="32"/>
        </w:rPr>
        <w:t> </w:t>
      </w:r>
      <w:r>
        <w:rPr>
          <w:rFonts w:ascii="宋体" w:hAnsi="宋体" w:cs="宋体" w:eastAsia="宋体" w:hint="default"/>
          <w:b/>
          <w:bCs/>
          <w:sz w:val="32"/>
          <w:szCs w:val="32"/>
        </w:rPr>
        <w:t>月</w:t>
      </w:r>
      <w:r>
        <w:rPr>
          <w:rFonts w:ascii="宋体" w:hAnsi="宋体" w:cs="宋体" w:eastAsia="宋体" w:hint="default"/>
          <w:sz w:val="32"/>
          <w:szCs w:val="32"/>
        </w:rPr>
      </w:r>
    </w:p>
    <w:p>
      <w:pPr>
        <w:spacing w:after="0"/>
        <w:jc w:val="center"/>
        <w:rPr>
          <w:rFonts w:ascii="宋体" w:hAnsi="宋体" w:cs="宋体" w:eastAsia="宋体" w:hint="default"/>
          <w:sz w:val="32"/>
          <w:szCs w:val="32"/>
        </w:rPr>
        <w:sectPr>
          <w:headerReference w:type="default" r:id="rId5"/>
          <w:footerReference w:type="default" r:id="rId6"/>
          <w:type w:val="continuous"/>
          <w:pgSz w:w="11910" w:h="16840"/>
          <w:pgMar w:header="747" w:footer="979" w:top="1060" w:bottom="1160" w:left="0" w:right="0"/>
        </w:sectPr>
      </w:pPr>
    </w:p>
    <w:p>
      <w:pPr>
        <w:spacing w:line="240" w:lineRule="auto" w:before="12"/>
        <w:rPr>
          <w:rFonts w:ascii="宋体" w:hAnsi="宋体" w:cs="宋体" w:eastAsia="宋体" w:hint="default"/>
          <w:b/>
          <w:bCs/>
          <w:sz w:val="2"/>
          <w:szCs w:val="2"/>
        </w:rPr>
      </w:pPr>
    </w:p>
    <w:p>
      <w:pPr>
        <w:spacing w:line="20" w:lineRule="exact"/>
        <w:ind w:left="109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18"/>
          <w:szCs w:val="18"/>
        </w:rPr>
      </w:pPr>
    </w:p>
    <w:p>
      <w:pPr>
        <w:pStyle w:val="Heading1"/>
        <w:spacing w:line="240" w:lineRule="auto"/>
        <w:ind w:left="3785" w:right="0"/>
        <w:jc w:val="left"/>
        <w:rPr>
          <w:b w:val="0"/>
          <w:bCs w:val="0"/>
        </w:rPr>
      </w:pPr>
      <w:bookmarkStart w:name="第一节 重要提示、目录和释义" w:id="1"/>
      <w:bookmarkEnd w:id="1"/>
      <w:r>
        <w:rPr>
          <w:b w:val="0"/>
          <w:bCs w:val="0"/>
        </w:rPr>
      </w:r>
      <w:bookmarkStart w:name="_bookmark0" w:id="2"/>
      <w:bookmarkEnd w:id="2"/>
      <w:r>
        <w:rPr>
          <w:b w:val="0"/>
          <w:bCs w:val="0"/>
        </w:rPr>
      </w:r>
      <w:r>
        <w:rPr/>
        <w:t>第一节</w:t>
      </w:r>
      <w:r>
        <w:rPr>
          <w:spacing w:val="-11"/>
        </w:rPr>
        <w:t> </w:t>
      </w:r>
      <w:r>
        <w:rPr/>
        <w:t>重要提示、目录和释义</w:t>
      </w:r>
      <w:r>
        <w:rPr>
          <w:b w:val="0"/>
          <w:bCs w:val="0"/>
        </w:rPr>
      </w:r>
    </w:p>
    <w:p>
      <w:pPr>
        <w:spacing w:line="240" w:lineRule="auto" w:before="0"/>
        <w:rPr>
          <w:rFonts w:ascii="宋体" w:hAnsi="宋体" w:cs="宋体" w:eastAsia="宋体" w:hint="default"/>
          <w:b/>
          <w:bCs/>
          <w:sz w:val="32"/>
          <w:szCs w:val="32"/>
        </w:rPr>
      </w:pPr>
    </w:p>
    <w:p>
      <w:pPr>
        <w:spacing w:line="408" w:lineRule="auto" w:before="211"/>
        <w:ind w:left="1133" w:right="1141" w:firstLine="562"/>
        <w:jc w:val="both"/>
        <w:rPr>
          <w:rFonts w:ascii="宋体" w:hAnsi="宋体" w:cs="宋体" w:eastAsia="宋体" w:hint="default"/>
          <w:sz w:val="28"/>
          <w:szCs w:val="28"/>
        </w:rPr>
      </w:pPr>
      <w:r>
        <w:rPr>
          <w:rFonts w:ascii="宋体" w:hAnsi="宋体" w:cs="宋体" w:eastAsia="宋体" w:hint="default"/>
          <w:b/>
          <w:bCs/>
          <w:spacing w:val="3"/>
          <w:w w:val="95"/>
          <w:sz w:val="28"/>
          <w:szCs w:val="28"/>
        </w:rPr>
        <w:t>公司董事会、监事会及董事、监事、高级管理人员保证年度报告内容的真</w:t>
      </w:r>
      <w:r>
        <w:rPr>
          <w:rFonts w:ascii="宋体" w:hAnsi="宋体" w:cs="宋体" w:eastAsia="宋体" w:hint="default"/>
          <w:b/>
          <w:bCs/>
          <w:w w:val="99"/>
          <w:sz w:val="28"/>
          <w:szCs w:val="28"/>
        </w:rPr>
        <w:t> </w:t>
      </w:r>
      <w:r>
        <w:rPr>
          <w:rFonts w:ascii="宋体" w:hAnsi="宋体" w:cs="宋体" w:eastAsia="宋体" w:hint="default"/>
          <w:b/>
          <w:bCs/>
          <w:spacing w:val="3"/>
          <w:w w:val="95"/>
          <w:sz w:val="28"/>
          <w:szCs w:val="28"/>
        </w:rPr>
        <w:t>实、准确、完整，不存在虚假记载、误导性陈述或重大遗漏，并承担个别和连</w:t>
      </w:r>
      <w:r>
        <w:rPr>
          <w:rFonts w:ascii="宋体" w:hAnsi="宋体" w:cs="宋体" w:eastAsia="宋体" w:hint="default"/>
          <w:b/>
          <w:bCs/>
          <w:spacing w:val="23"/>
          <w:w w:val="95"/>
          <w:sz w:val="28"/>
          <w:szCs w:val="28"/>
        </w:rPr>
        <w:t> </w:t>
      </w:r>
      <w:r>
        <w:rPr>
          <w:rFonts w:ascii="宋体" w:hAnsi="宋体" w:cs="宋体" w:eastAsia="宋体" w:hint="default"/>
          <w:b/>
          <w:bCs/>
          <w:spacing w:val="23"/>
          <w:w w:val="95"/>
          <w:sz w:val="28"/>
          <w:szCs w:val="28"/>
        </w:rPr>
      </w:r>
      <w:r>
        <w:rPr>
          <w:rFonts w:ascii="宋体" w:hAnsi="宋体" w:cs="宋体" w:eastAsia="宋体" w:hint="default"/>
          <w:b/>
          <w:bCs/>
          <w:sz w:val="28"/>
          <w:szCs w:val="28"/>
        </w:rPr>
        <w:t>带的法律责任。</w:t>
      </w:r>
      <w:r>
        <w:rPr>
          <w:rFonts w:ascii="宋体" w:hAnsi="宋体" w:cs="宋体" w:eastAsia="宋体" w:hint="default"/>
          <w:sz w:val="28"/>
          <w:szCs w:val="28"/>
        </w:rPr>
      </w:r>
    </w:p>
    <w:p>
      <w:pPr>
        <w:spacing w:line="386" w:lineRule="auto" w:before="161"/>
        <w:ind w:left="1133" w:right="1132" w:firstLine="562"/>
        <w:jc w:val="both"/>
        <w:rPr>
          <w:rFonts w:ascii="宋体" w:hAnsi="宋体" w:cs="宋体" w:eastAsia="宋体" w:hint="default"/>
          <w:sz w:val="28"/>
          <w:szCs w:val="28"/>
        </w:rPr>
      </w:pPr>
      <w:r>
        <w:rPr>
          <w:rFonts w:ascii="宋体" w:hAnsi="宋体" w:cs="宋体" w:eastAsia="宋体" w:hint="default"/>
          <w:b/>
          <w:bCs/>
          <w:w w:val="95"/>
          <w:sz w:val="28"/>
          <w:szCs w:val="28"/>
        </w:rPr>
        <w:t>公司负责人李玉国、主管会计工作负责人李国壁及会计机构负责人</w:t>
      </w:r>
      <w:r>
        <w:rPr>
          <w:rFonts w:ascii="Times New Roman" w:hAnsi="Times New Roman" w:cs="Times New Roman" w:eastAsia="Times New Roman" w:hint="default"/>
          <w:b/>
          <w:bCs/>
          <w:w w:val="95"/>
          <w:sz w:val="28"/>
          <w:szCs w:val="28"/>
        </w:rPr>
        <w:t>(</w:t>
      </w:r>
      <w:r>
        <w:rPr>
          <w:rFonts w:ascii="宋体" w:hAnsi="宋体" w:cs="宋体" w:eastAsia="宋体" w:hint="default"/>
          <w:b/>
          <w:bCs/>
          <w:w w:val="95"/>
          <w:sz w:val="28"/>
          <w:szCs w:val="28"/>
        </w:rPr>
        <w:t>会计主</w:t>
      </w:r>
      <w:r>
        <w:rPr>
          <w:rFonts w:ascii="宋体" w:hAnsi="宋体" w:cs="宋体" w:eastAsia="宋体" w:hint="default"/>
          <w:b/>
          <w:bCs/>
          <w:spacing w:val="1"/>
          <w:w w:val="99"/>
          <w:sz w:val="28"/>
          <w:szCs w:val="28"/>
        </w:rPr>
        <w:t> </w:t>
      </w:r>
      <w:r>
        <w:rPr>
          <w:rFonts w:ascii="宋体" w:hAnsi="宋体" w:cs="宋体" w:eastAsia="宋体" w:hint="default"/>
          <w:b/>
          <w:bCs/>
          <w:sz w:val="28"/>
          <w:szCs w:val="28"/>
        </w:rPr>
        <w:t>管人员</w:t>
      </w:r>
      <w:r>
        <w:rPr>
          <w:rFonts w:ascii="Times New Roman" w:hAnsi="Times New Roman" w:cs="Times New Roman" w:eastAsia="Times New Roman" w:hint="default"/>
          <w:b/>
          <w:bCs/>
          <w:sz w:val="28"/>
          <w:szCs w:val="28"/>
        </w:rPr>
        <w:t>)</w:t>
      </w:r>
      <w:r>
        <w:rPr>
          <w:rFonts w:ascii="宋体" w:hAnsi="宋体" w:cs="宋体" w:eastAsia="宋体" w:hint="default"/>
          <w:b/>
          <w:bCs/>
          <w:sz w:val="28"/>
          <w:szCs w:val="28"/>
        </w:rPr>
        <w:t>王才宁声明：保证年度报告中财务报告的真实、准确、完整。</w:t>
      </w:r>
      <w:r>
        <w:rPr>
          <w:rFonts w:ascii="宋体" w:hAnsi="宋体" w:cs="宋体" w:eastAsia="宋体" w:hint="default"/>
          <w:sz w:val="28"/>
          <w:szCs w:val="28"/>
        </w:rPr>
      </w:r>
    </w:p>
    <w:p>
      <w:pPr>
        <w:spacing w:line="472" w:lineRule="auto" w:before="147"/>
        <w:ind w:left="1695" w:right="0" w:firstLine="0"/>
        <w:jc w:val="left"/>
        <w:rPr>
          <w:rFonts w:ascii="宋体" w:hAnsi="宋体" w:cs="宋体" w:eastAsia="宋体" w:hint="default"/>
          <w:sz w:val="28"/>
          <w:szCs w:val="28"/>
        </w:rPr>
      </w:pPr>
      <w:r>
        <w:rPr>
          <w:rFonts w:ascii="宋体" w:hAnsi="宋体" w:cs="宋体" w:eastAsia="宋体" w:hint="default"/>
          <w:b/>
          <w:bCs/>
          <w:sz w:val="28"/>
          <w:szCs w:val="28"/>
        </w:rPr>
        <w:t>所有董事均已出席了审议本报告的董事会会议。</w:t>
      </w:r>
      <w:r>
        <w:rPr>
          <w:rFonts w:ascii="宋体" w:hAnsi="宋体" w:cs="宋体" w:eastAsia="宋体" w:hint="default"/>
          <w:b/>
          <w:bCs/>
          <w:w w:val="99"/>
          <w:sz w:val="28"/>
          <w:szCs w:val="28"/>
        </w:rPr>
        <w:t> </w:t>
      </w:r>
      <w:r>
        <w:rPr>
          <w:rFonts w:ascii="宋体" w:hAnsi="宋体" w:cs="宋体" w:eastAsia="宋体" w:hint="default"/>
          <w:b/>
          <w:bCs/>
          <w:spacing w:val="3"/>
          <w:w w:val="95"/>
          <w:sz w:val="28"/>
          <w:szCs w:val="28"/>
        </w:rPr>
        <w:t>本报告中如有涉及未来的计划、业绩预测等方面的内容，均不构成本公司</w:t>
      </w:r>
      <w:r>
        <w:rPr>
          <w:rFonts w:ascii="宋体" w:hAnsi="宋体" w:cs="宋体" w:eastAsia="宋体" w:hint="default"/>
          <w:spacing w:val="3"/>
          <w:sz w:val="28"/>
          <w:szCs w:val="28"/>
        </w:rPr>
      </w:r>
    </w:p>
    <w:p>
      <w:pPr>
        <w:spacing w:line="410" w:lineRule="auto" w:before="0"/>
        <w:ind w:left="1133" w:right="0" w:firstLine="0"/>
        <w:jc w:val="left"/>
        <w:rPr>
          <w:rFonts w:ascii="宋体" w:hAnsi="宋体" w:cs="宋体" w:eastAsia="宋体" w:hint="default"/>
          <w:sz w:val="28"/>
          <w:szCs w:val="28"/>
        </w:rPr>
      </w:pPr>
      <w:r>
        <w:rPr>
          <w:rFonts w:ascii="宋体" w:hAnsi="宋体" w:cs="宋体" w:eastAsia="宋体" w:hint="default"/>
          <w:b/>
          <w:bCs/>
          <w:spacing w:val="3"/>
          <w:w w:val="95"/>
          <w:sz w:val="28"/>
          <w:szCs w:val="28"/>
        </w:rPr>
        <w:t>对任何投资者及相关人士的承诺，投资者及相关人士均应对此保持足够的风险</w:t>
      </w:r>
      <w:r>
        <w:rPr>
          <w:rFonts w:ascii="宋体" w:hAnsi="宋体" w:cs="宋体" w:eastAsia="宋体" w:hint="default"/>
          <w:b/>
          <w:bCs/>
          <w:spacing w:val="23"/>
          <w:w w:val="95"/>
          <w:sz w:val="28"/>
          <w:szCs w:val="28"/>
        </w:rPr>
        <w:t> </w:t>
      </w:r>
      <w:r>
        <w:rPr>
          <w:rFonts w:ascii="宋体" w:hAnsi="宋体" w:cs="宋体" w:eastAsia="宋体" w:hint="default"/>
          <w:b/>
          <w:bCs/>
          <w:spacing w:val="23"/>
          <w:w w:val="95"/>
          <w:sz w:val="28"/>
          <w:szCs w:val="28"/>
        </w:rPr>
      </w:r>
      <w:r>
        <w:rPr>
          <w:rFonts w:ascii="宋体" w:hAnsi="宋体" w:cs="宋体" w:eastAsia="宋体" w:hint="default"/>
          <w:b/>
          <w:bCs/>
          <w:sz w:val="28"/>
          <w:szCs w:val="28"/>
        </w:rPr>
        <w:t>认识，并且应当理解计划、预测与承诺之间的差异。</w:t>
      </w:r>
      <w:r>
        <w:rPr>
          <w:rFonts w:ascii="宋体" w:hAnsi="宋体" w:cs="宋体" w:eastAsia="宋体" w:hint="default"/>
          <w:sz w:val="28"/>
          <w:szCs w:val="28"/>
        </w:rPr>
      </w:r>
    </w:p>
    <w:p>
      <w:pPr>
        <w:spacing w:line="386" w:lineRule="auto" w:before="158"/>
        <w:ind w:left="1133" w:right="1134" w:firstLine="562"/>
        <w:jc w:val="both"/>
        <w:rPr>
          <w:rFonts w:ascii="宋体" w:hAnsi="宋体" w:cs="宋体" w:eastAsia="宋体" w:hint="default"/>
          <w:sz w:val="28"/>
          <w:szCs w:val="28"/>
        </w:rPr>
      </w:pPr>
      <w:r>
        <w:rPr>
          <w:rFonts w:ascii="宋体" w:hAnsi="宋体" w:cs="宋体" w:eastAsia="宋体" w:hint="default"/>
          <w:b/>
          <w:bCs/>
          <w:spacing w:val="9"/>
          <w:w w:val="95"/>
          <w:sz w:val="28"/>
          <w:szCs w:val="28"/>
        </w:rPr>
        <w:t>本报告第四节</w:t>
      </w:r>
      <w:r>
        <w:rPr>
          <w:rFonts w:ascii="Times New Roman" w:hAnsi="Times New Roman" w:cs="Times New Roman" w:eastAsia="Times New Roman" w:hint="default"/>
          <w:b/>
          <w:bCs/>
          <w:spacing w:val="9"/>
          <w:w w:val="95"/>
          <w:sz w:val="28"/>
          <w:szCs w:val="28"/>
        </w:rPr>
        <w:t>“</w:t>
      </w:r>
      <w:r>
        <w:rPr>
          <w:rFonts w:ascii="宋体" w:hAnsi="宋体" w:cs="宋体" w:eastAsia="宋体" w:hint="default"/>
          <w:b/>
          <w:bCs/>
          <w:spacing w:val="9"/>
          <w:w w:val="95"/>
          <w:sz w:val="28"/>
          <w:szCs w:val="28"/>
        </w:rPr>
        <w:t>经营情况讨论与分析</w:t>
      </w:r>
      <w:r>
        <w:rPr>
          <w:rFonts w:ascii="Times New Roman" w:hAnsi="Times New Roman" w:cs="Times New Roman" w:eastAsia="Times New Roman" w:hint="default"/>
          <w:b/>
          <w:bCs/>
          <w:spacing w:val="9"/>
          <w:w w:val="95"/>
          <w:sz w:val="28"/>
          <w:szCs w:val="28"/>
        </w:rPr>
        <w:t>-</w:t>
      </w:r>
      <w:r>
        <w:rPr>
          <w:rFonts w:ascii="宋体" w:hAnsi="宋体" w:cs="宋体" w:eastAsia="宋体" w:hint="default"/>
          <w:b/>
          <w:bCs/>
          <w:spacing w:val="9"/>
          <w:w w:val="95"/>
          <w:sz w:val="28"/>
          <w:szCs w:val="28"/>
        </w:rPr>
        <w:t>公司未来发展的展望</w:t>
      </w:r>
      <w:r>
        <w:rPr>
          <w:rFonts w:ascii="Times New Roman" w:hAnsi="Times New Roman" w:cs="Times New Roman" w:eastAsia="Times New Roman" w:hint="default"/>
          <w:b/>
          <w:bCs/>
          <w:spacing w:val="9"/>
          <w:w w:val="95"/>
          <w:sz w:val="28"/>
          <w:szCs w:val="28"/>
        </w:rPr>
        <w:t>”</w:t>
      </w:r>
      <w:r>
        <w:rPr>
          <w:rFonts w:ascii="宋体" w:hAnsi="宋体" w:cs="宋体" w:eastAsia="宋体" w:hint="default"/>
          <w:b/>
          <w:bCs/>
          <w:spacing w:val="9"/>
          <w:w w:val="95"/>
          <w:sz w:val="28"/>
          <w:szCs w:val="28"/>
        </w:rPr>
        <w:t>中已详述公司</w:t>
      </w:r>
      <w:r>
        <w:rPr>
          <w:rFonts w:ascii="宋体" w:hAnsi="宋体" w:cs="宋体" w:eastAsia="宋体" w:hint="default"/>
          <w:b/>
          <w:bCs/>
          <w:w w:val="99"/>
          <w:sz w:val="28"/>
          <w:szCs w:val="28"/>
        </w:rPr>
        <w:t> </w:t>
      </w:r>
      <w:r>
        <w:rPr>
          <w:rFonts w:ascii="宋体" w:hAnsi="宋体" w:cs="宋体" w:eastAsia="宋体" w:hint="default"/>
          <w:b/>
          <w:bCs/>
          <w:sz w:val="28"/>
          <w:szCs w:val="28"/>
        </w:rPr>
        <w:t>风险因素提示，敬请关注</w:t>
      </w:r>
      <w:r>
        <w:rPr>
          <w:rFonts w:ascii="宋体" w:hAnsi="宋体" w:cs="宋体" w:eastAsia="宋体" w:hint="default"/>
          <w:b/>
          <w:bCs/>
          <w:spacing w:val="-9"/>
          <w:sz w:val="28"/>
          <w:szCs w:val="28"/>
        </w:rPr>
        <w:t> </w:t>
      </w:r>
      <w:r>
        <w:rPr>
          <w:rFonts w:ascii="宋体" w:hAnsi="宋体" w:cs="宋体" w:eastAsia="宋体" w:hint="default"/>
          <w:b/>
          <w:bCs/>
          <w:sz w:val="28"/>
          <w:szCs w:val="28"/>
        </w:rPr>
        <w:t>。</w:t>
      </w:r>
      <w:r>
        <w:rPr>
          <w:rFonts w:ascii="宋体" w:hAnsi="宋体" w:cs="宋体" w:eastAsia="宋体" w:hint="default"/>
          <w:sz w:val="28"/>
          <w:szCs w:val="28"/>
        </w:rPr>
      </w:r>
    </w:p>
    <w:p>
      <w:pPr>
        <w:spacing w:before="185"/>
        <w:ind w:left="1695" w:right="0" w:firstLine="0"/>
        <w:jc w:val="left"/>
        <w:rPr>
          <w:rFonts w:ascii="宋体" w:hAnsi="宋体" w:cs="宋体" w:eastAsia="宋体" w:hint="default"/>
          <w:sz w:val="28"/>
          <w:szCs w:val="28"/>
        </w:rPr>
      </w:pPr>
      <w:r>
        <w:rPr>
          <w:rFonts w:ascii="宋体" w:hAnsi="宋体" w:cs="宋体" w:eastAsia="宋体" w:hint="default"/>
          <w:b/>
          <w:bCs/>
          <w:sz w:val="28"/>
          <w:szCs w:val="28"/>
        </w:rPr>
        <w:t>公司经本次董事会审议通过的利润分配预案为：以</w:t>
      </w:r>
      <w:r>
        <w:rPr>
          <w:rFonts w:ascii="宋体" w:hAnsi="宋体" w:cs="宋体" w:eastAsia="宋体" w:hint="default"/>
          <w:b/>
          <w:bCs/>
          <w:spacing w:val="-93"/>
          <w:sz w:val="28"/>
          <w:szCs w:val="28"/>
        </w:rPr>
        <w:t> </w:t>
      </w:r>
      <w:r>
        <w:rPr>
          <w:rFonts w:ascii="Times New Roman" w:hAnsi="Times New Roman" w:cs="Times New Roman" w:eastAsia="Times New Roman" w:hint="default"/>
          <w:b/>
          <w:bCs/>
          <w:sz w:val="28"/>
          <w:szCs w:val="28"/>
        </w:rPr>
        <w:t>344,395,344</w:t>
      </w:r>
      <w:r>
        <w:rPr>
          <w:rFonts w:ascii="Times New Roman" w:hAnsi="Times New Roman" w:cs="Times New Roman" w:eastAsia="Times New Roman" w:hint="default"/>
          <w:b/>
          <w:bCs/>
          <w:spacing w:val="-26"/>
          <w:sz w:val="28"/>
          <w:szCs w:val="28"/>
        </w:rPr>
        <w:t> </w:t>
      </w:r>
      <w:r>
        <w:rPr>
          <w:rFonts w:ascii="宋体" w:hAnsi="宋体" w:cs="宋体" w:eastAsia="宋体" w:hint="default"/>
          <w:b/>
          <w:bCs/>
          <w:spacing w:val="-6"/>
          <w:sz w:val="28"/>
          <w:szCs w:val="28"/>
        </w:rPr>
        <w:t>为基数，向</w:t>
      </w:r>
      <w:r>
        <w:rPr>
          <w:rFonts w:ascii="宋体" w:hAnsi="宋体" w:cs="宋体" w:eastAsia="宋体" w:hint="default"/>
          <w:spacing w:val="-6"/>
          <w:sz w:val="28"/>
          <w:szCs w:val="28"/>
        </w:rPr>
      </w:r>
    </w:p>
    <w:p>
      <w:pPr>
        <w:spacing w:before="236"/>
        <w:ind w:left="1133" w:right="0" w:firstLine="0"/>
        <w:jc w:val="left"/>
        <w:rPr>
          <w:rFonts w:ascii="宋体" w:hAnsi="宋体" w:cs="宋体" w:eastAsia="宋体" w:hint="default"/>
          <w:sz w:val="28"/>
          <w:szCs w:val="28"/>
        </w:rPr>
      </w:pPr>
      <w:r>
        <w:rPr>
          <w:rFonts w:ascii="宋体" w:hAnsi="宋体" w:cs="宋体" w:eastAsia="宋体" w:hint="default"/>
          <w:b/>
          <w:bCs/>
          <w:w w:val="99"/>
          <w:sz w:val="28"/>
          <w:szCs w:val="28"/>
        </w:rPr>
        <w:t>全体股</w:t>
      </w:r>
      <w:r>
        <w:rPr>
          <w:rFonts w:ascii="宋体" w:hAnsi="宋体" w:cs="宋体" w:eastAsia="宋体" w:hint="default"/>
          <w:b/>
          <w:bCs/>
          <w:spacing w:val="2"/>
          <w:w w:val="99"/>
          <w:sz w:val="28"/>
          <w:szCs w:val="28"/>
        </w:rPr>
        <w:t>东</w:t>
      </w:r>
      <w:r>
        <w:rPr>
          <w:rFonts w:ascii="宋体" w:hAnsi="宋体" w:cs="宋体" w:eastAsia="宋体" w:hint="default"/>
          <w:b/>
          <w:bCs/>
          <w:w w:val="99"/>
          <w:sz w:val="28"/>
          <w:szCs w:val="28"/>
        </w:rPr>
        <w:t>每</w:t>
      </w:r>
      <w:r>
        <w:rPr>
          <w:rFonts w:ascii="宋体" w:hAnsi="宋体" w:cs="宋体" w:eastAsia="宋体" w:hint="default"/>
          <w:b/>
          <w:bCs/>
          <w:spacing w:val="-68"/>
          <w:sz w:val="28"/>
          <w:szCs w:val="28"/>
        </w:rPr>
        <w:t> </w:t>
      </w:r>
      <w:r>
        <w:rPr>
          <w:rFonts w:ascii="Times New Roman" w:hAnsi="Times New Roman" w:cs="Times New Roman" w:eastAsia="Times New Roman" w:hint="default"/>
          <w:b/>
          <w:bCs/>
          <w:w w:val="99"/>
          <w:sz w:val="28"/>
          <w:szCs w:val="28"/>
        </w:rPr>
        <w:t>10</w:t>
      </w:r>
      <w:r>
        <w:rPr>
          <w:rFonts w:ascii="Times New Roman" w:hAnsi="Times New Roman" w:cs="Times New Roman" w:eastAsia="Times New Roman" w:hint="default"/>
          <w:b/>
          <w:bCs/>
          <w:spacing w:val="1"/>
          <w:sz w:val="28"/>
          <w:szCs w:val="28"/>
        </w:rPr>
        <w:t> </w:t>
      </w:r>
      <w:r>
        <w:rPr>
          <w:rFonts w:ascii="宋体" w:hAnsi="宋体" w:cs="宋体" w:eastAsia="宋体" w:hint="default"/>
          <w:b/>
          <w:bCs/>
          <w:w w:val="99"/>
          <w:sz w:val="28"/>
          <w:szCs w:val="28"/>
        </w:rPr>
        <w:t>股派发现</w:t>
      </w:r>
      <w:r>
        <w:rPr>
          <w:rFonts w:ascii="宋体" w:hAnsi="宋体" w:cs="宋体" w:eastAsia="宋体" w:hint="default"/>
          <w:b/>
          <w:bCs/>
          <w:spacing w:val="2"/>
          <w:w w:val="99"/>
          <w:sz w:val="28"/>
          <w:szCs w:val="28"/>
        </w:rPr>
        <w:t>金</w:t>
      </w:r>
      <w:r>
        <w:rPr>
          <w:rFonts w:ascii="宋体" w:hAnsi="宋体" w:cs="宋体" w:eastAsia="宋体" w:hint="default"/>
          <w:b/>
          <w:bCs/>
          <w:w w:val="99"/>
          <w:sz w:val="28"/>
          <w:szCs w:val="28"/>
        </w:rPr>
        <w:t>红利</w:t>
      </w:r>
      <w:r>
        <w:rPr>
          <w:rFonts w:ascii="宋体" w:hAnsi="宋体" w:cs="宋体" w:eastAsia="宋体" w:hint="default"/>
          <w:b/>
          <w:bCs/>
          <w:spacing w:val="-68"/>
          <w:sz w:val="28"/>
          <w:szCs w:val="28"/>
        </w:rPr>
        <w:t> </w:t>
      </w:r>
      <w:r>
        <w:rPr>
          <w:rFonts w:ascii="Times New Roman" w:hAnsi="Times New Roman" w:cs="Times New Roman" w:eastAsia="Times New Roman" w:hint="default"/>
          <w:b/>
          <w:bCs/>
          <w:w w:val="99"/>
          <w:sz w:val="28"/>
          <w:szCs w:val="28"/>
        </w:rPr>
        <w:t>0.50</w:t>
      </w:r>
      <w:r>
        <w:rPr>
          <w:rFonts w:ascii="Times New Roman" w:hAnsi="Times New Roman" w:cs="Times New Roman" w:eastAsia="Times New Roman" w:hint="default"/>
          <w:b/>
          <w:bCs/>
          <w:sz w:val="28"/>
          <w:szCs w:val="28"/>
        </w:rPr>
        <w:t> </w:t>
      </w:r>
      <w:r>
        <w:rPr>
          <w:rFonts w:ascii="宋体" w:hAnsi="宋体" w:cs="宋体" w:eastAsia="宋体" w:hint="default"/>
          <w:b/>
          <w:bCs/>
          <w:spacing w:val="-30"/>
          <w:w w:val="99"/>
          <w:sz w:val="28"/>
          <w:szCs w:val="28"/>
        </w:rPr>
        <w:t>元</w:t>
      </w:r>
      <w:r>
        <w:rPr>
          <w:rFonts w:ascii="宋体" w:hAnsi="宋体" w:cs="宋体" w:eastAsia="宋体" w:hint="default"/>
          <w:b/>
          <w:bCs/>
          <w:w w:val="99"/>
          <w:sz w:val="28"/>
          <w:szCs w:val="28"/>
        </w:rPr>
        <w:t>（含</w:t>
      </w:r>
      <w:r>
        <w:rPr>
          <w:rFonts w:ascii="宋体" w:hAnsi="宋体" w:cs="宋体" w:eastAsia="宋体" w:hint="default"/>
          <w:b/>
          <w:bCs/>
          <w:spacing w:val="2"/>
          <w:w w:val="99"/>
          <w:sz w:val="28"/>
          <w:szCs w:val="28"/>
        </w:rPr>
        <w:t>税</w:t>
      </w:r>
      <w:r>
        <w:rPr>
          <w:rFonts w:ascii="宋体" w:hAnsi="宋体" w:cs="宋体" w:eastAsia="宋体" w:hint="default"/>
          <w:b/>
          <w:bCs/>
          <w:spacing w:val="-140"/>
          <w:w w:val="99"/>
          <w:sz w:val="28"/>
          <w:szCs w:val="28"/>
        </w:rPr>
        <w:t>）</w:t>
      </w:r>
      <w:r>
        <w:rPr>
          <w:rFonts w:ascii="宋体" w:hAnsi="宋体" w:cs="宋体" w:eastAsia="宋体" w:hint="default"/>
          <w:b/>
          <w:bCs/>
          <w:spacing w:val="-30"/>
          <w:w w:val="99"/>
          <w:sz w:val="28"/>
          <w:szCs w:val="28"/>
        </w:rPr>
        <w:t>，</w:t>
      </w:r>
      <w:r>
        <w:rPr>
          <w:rFonts w:ascii="宋体" w:hAnsi="宋体" w:cs="宋体" w:eastAsia="宋体" w:hint="default"/>
          <w:b/>
          <w:bCs/>
          <w:w w:val="99"/>
          <w:sz w:val="28"/>
          <w:szCs w:val="28"/>
        </w:rPr>
        <w:t>送红股</w:t>
      </w:r>
      <w:r>
        <w:rPr>
          <w:rFonts w:ascii="宋体" w:hAnsi="宋体" w:cs="宋体" w:eastAsia="宋体" w:hint="default"/>
          <w:b/>
          <w:bCs/>
          <w:spacing w:val="-68"/>
          <w:sz w:val="28"/>
          <w:szCs w:val="28"/>
        </w:rPr>
        <w:t> </w:t>
      </w:r>
      <w:r>
        <w:rPr>
          <w:rFonts w:ascii="Times New Roman" w:hAnsi="Times New Roman" w:cs="Times New Roman" w:eastAsia="Times New Roman" w:hint="default"/>
          <w:b/>
          <w:bCs/>
          <w:w w:val="99"/>
          <w:sz w:val="28"/>
          <w:szCs w:val="28"/>
        </w:rPr>
        <w:t>0</w:t>
      </w:r>
      <w:r>
        <w:rPr>
          <w:rFonts w:ascii="Times New Roman" w:hAnsi="Times New Roman" w:cs="Times New Roman" w:eastAsia="Times New Roman" w:hint="default"/>
          <w:b/>
          <w:bCs/>
          <w:spacing w:val="1"/>
          <w:sz w:val="28"/>
          <w:szCs w:val="28"/>
        </w:rPr>
        <w:t> </w:t>
      </w:r>
      <w:r>
        <w:rPr>
          <w:rFonts w:ascii="宋体" w:hAnsi="宋体" w:cs="宋体" w:eastAsia="宋体" w:hint="default"/>
          <w:b/>
          <w:bCs/>
          <w:spacing w:val="-30"/>
          <w:w w:val="99"/>
          <w:sz w:val="28"/>
          <w:szCs w:val="28"/>
        </w:rPr>
        <w:t>股</w:t>
      </w:r>
      <w:r>
        <w:rPr>
          <w:rFonts w:ascii="宋体" w:hAnsi="宋体" w:cs="宋体" w:eastAsia="宋体" w:hint="default"/>
          <w:b/>
          <w:bCs/>
          <w:w w:val="99"/>
          <w:sz w:val="28"/>
          <w:szCs w:val="28"/>
        </w:rPr>
        <w:t>（含税</w:t>
      </w:r>
      <w:r>
        <w:rPr>
          <w:rFonts w:ascii="宋体" w:hAnsi="宋体" w:cs="宋体" w:eastAsia="宋体" w:hint="default"/>
          <w:b/>
          <w:bCs/>
          <w:spacing w:val="-140"/>
          <w:w w:val="99"/>
          <w:sz w:val="28"/>
          <w:szCs w:val="28"/>
        </w:rPr>
        <w:t>）</w:t>
      </w:r>
      <w:r>
        <w:rPr>
          <w:rFonts w:ascii="宋体" w:hAnsi="宋体" w:cs="宋体" w:eastAsia="宋体" w:hint="default"/>
          <w:b/>
          <w:bCs/>
          <w:spacing w:val="-30"/>
          <w:w w:val="99"/>
          <w:sz w:val="28"/>
          <w:szCs w:val="28"/>
        </w:rPr>
        <w:t>，</w:t>
      </w:r>
      <w:r>
        <w:rPr>
          <w:rFonts w:ascii="宋体" w:hAnsi="宋体" w:cs="宋体" w:eastAsia="宋体" w:hint="default"/>
          <w:b/>
          <w:bCs/>
          <w:w w:val="99"/>
          <w:sz w:val="28"/>
          <w:szCs w:val="28"/>
        </w:rPr>
        <w:t>以资本公</w:t>
      </w:r>
      <w:r>
        <w:rPr>
          <w:rFonts w:ascii="宋体" w:hAnsi="宋体" w:cs="宋体" w:eastAsia="宋体" w:hint="default"/>
          <w:sz w:val="28"/>
          <w:szCs w:val="28"/>
        </w:rPr>
      </w:r>
    </w:p>
    <w:p>
      <w:pPr>
        <w:spacing w:before="237"/>
        <w:ind w:left="1133" w:right="0" w:firstLine="0"/>
        <w:jc w:val="left"/>
        <w:rPr>
          <w:rFonts w:ascii="宋体" w:hAnsi="宋体" w:cs="宋体" w:eastAsia="宋体" w:hint="default"/>
          <w:sz w:val="28"/>
          <w:szCs w:val="28"/>
        </w:rPr>
      </w:pPr>
      <w:r>
        <w:rPr>
          <w:rFonts w:ascii="宋体" w:hAnsi="宋体" w:cs="宋体" w:eastAsia="宋体" w:hint="default"/>
          <w:b/>
          <w:bCs/>
          <w:sz w:val="28"/>
          <w:szCs w:val="28"/>
        </w:rPr>
        <w:t>积金向全体股东每</w:t>
      </w:r>
      <w:r>
        <w:rPr>
          <w:rFonts w:ascii="宋体" w:hAnsi="宋体" w:cs="宋体" w:eastAsia="宋体" w:hint="default"/>
          <w:b/>
          <w:bCs/>
          <w:spacing w:val="-71"/>
          <w:sz w:val="28"/>
          <w:szCs w:val="28"/>
        </w:rPr>
        <w:t> </w:t>
      </w:r>
      <w:r>
        <w:rPr>
          <w:rFonts w:ascii="Times New Roman" w:hAnsi="Times New Roman" w:cs="Times New Roman" w:eastAsia="Times New Roman" w:hint="default"/>
          <w:b/>
          <w:bCs/>
          <w:sz w:val="28"/>
          <w:szCs w:val="28"/>
        </w:rPr>
        <w:t>10</w:t>
      </w:r>
      <w:r>
        <w:rPr>
          <w:rFonts w:ascii="Times New Roman" w:hAnsi="Times New Roman" w:cs="Times New Roman" w:eastAsia="Times New Roman" w:hint="default"/>
          <w:b/>
          <w:bCs/>
          <w:spacing w:val="-3"/>
          <w:sz w:val="28"/>
          <w:szCs w:val="28"/>
        </w:rPr>
        <w:t> </w:t>
      </w:r>
      <w:r>
        <w:rPr>
          <w:rFonts w:ascii="宋体" w:hAnsi="宋体" w:cs="宋体" w:eastAsia="宋体" w:hint="default"/>
          <w:b/>
          <w:bCs/>
          <w:sz w:val="28"/>
          <w:szCs w:val="28"/>
        </w:rPr>
        <w:t>股转增</w:t>
      </w:r>
      <w:r>
        <w:rPr>
          <w:rFonts w:ascii="宋体" w:hAnsi="宋体" w:cs="宋体" w:eastAsia="宋体" w:hint="default"/>
          <w:b/>
          <w:bCs/>
          <w:spacing w:val="-73"/>
          <w:sz w:val="28"/>
          <w:szCs w:val="28"/>
        </w:rPr>
        <w:t> </w:t>
      </w:r>
      <w:r>
        <w:rPr>
          <w:rFonts w:ascii="Times New Roman" w:hAnsi="Times New Roman" w:cs="Times New Roman" w:eastAsia="Times New Roman" w:hint="default"/>
          <w:b/>
          <w:bCs/>
          <w:sz w:val="28"/>
          <w:szCs w:val="28"/>
        </w:rPr>
        <w:t>6</w:t>
      </w:r>
      <w:r>
        <w:rPr>
          <w:rFonts w:ascii="Times New Roman" w:hAnsi="Times New Roman" w:cs="Times New Roman" w:eastAsia="Times New Roman" w:hint="default"/>
          <w:b/>
          <w:bCs/>
          <w:spacing w:val="-3"/>
          <w:sz w:val="28"/>
          <w:szCs w:val="28"/>
        </w:rPr>
        <w:t> </w:t>
      </w:r>
      <w:r>
        <w:rPr>
          <w:rFonts w:ascii="宋体" w:hAnsi="宋体" w:cs="宋体" w:eastAsia="宋体" w:hint="default"/>
          <w:b/>
          <w:bCs/>
          <w:sz w:val="28"/>
          <w:szCs w:val="28"/>
        </w:rPr>
        <w:t>股。</w:t>
      </w:r>
      <w:r>
        <w:rPr>
          <w:rFonts w:ascii="宋体" w:hAnsi="宋体" w:cs="宋体" w:eastAsia="宋体" w:hint="default"/>
          <w:sz w:val="28"/>
          <w:szCs w:val="28"/>
        </w:rPr>
      </w:r>
    </w:p>
    <w:p>
      <w:pPr>
        <w:spacing w:after="0"/>
        <w:jc w:val="left"/>
        <w:rPr>
          <w:rFonts w:ascii="宋体" w:hAnsi="宋体" w:cs="宋体" w:eastAsia="宋体" w:hint="default"/>
          <w:sz w:val="28"/>
          <w:szCs w:val="28"/>
        </w:rPr>
        <w:sectPr>
          <w:footerReference w:type="default" r:id="rId7"/>
          <w:pgSz w:w="11910" w:h="16840"/>
          <w:pgMar w:footer="979" w:header="747" w:top="1060" w:bottom="1160" w:left="0" w:right="0"/>
          <w:pgNumType w:start="2"/>
        </w:sectPr>
      </w:pPr>
    </w:p>
    <w:p>
      <w:pPr>
        <w:spacing w:line="240" w:lineRule="auto" w:before="12"/>
        <w:rPr>
          <w:rFonts w:ascii="宋体" w:hAnsi="宋体" w:cs="宋体" w:eastAsia="宋体" w:hint="default"/>
          <w:b/>
          <w:bCs/>
          <w:sz w:val="2"/>
          <w:szCs w:val="2"/>
        </w:rPr>
      </w:pPr>
    </w:p>
    <w:p>
      <w:pPr>
        <w:spacing w:line="20" w:lineRule="exact"/>
        <w:ind w:left="109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25"/>
          <w:szCs w:val="25"/>
        </w:rPr>
      </w:pPr>
    </w:p>
    <w:p>
      <w:pPr>
        <w:spacing w:line="460" w:lineRule="exact" w:before="0"/>
        <w:ind w:left="816" w:right="816" w:firstLine="0"/>
        <w:jc w:val="center"/>
        <w:rPr>
          <w:rFonts w:ascii="宋体" w:hAnsi="宋体" w:cs="宋体" w:eastAsia="宋体" w:hint="default"/>
          <w:sz w:val="36"/>
          <w:szCs w:val="36"/>
        </w:rPr>
      </w:pPr>
      <w:r>
        <w:rPr>
          <w:rFonts w:ascii="宋体" w:hAnsi="宋体" w:cs="宋体" w:eastAsia="宋体" w:hint="default"/>
          <w:b/>
          <w:bCs/>
          <w:sz w:val="36"/>
          <w:szCs w:val="36"/>
        </w:rPr>
        <w:t>目录</w:t>
      </w:r>
      <w:r>
        <w:rPr>
          <w:rFonts w:ascii="宋体" w:hAnsi="宋体" w:cs="宋体" w:eastAsia="宋体" w:hint="default"/>
          <w:sz w:val="36"/>
          <w:szCs w:val="36"/>
        </w:rPr>
      </w:r>
    </w:p>
    <w:p>
      <w:pPr>
        <w:spacing w:line="240" w:lineRule="auto" w:before="0"/>
        <w:rPr>
          <w:rFonts w:ascii="宋体" w:hAnsi="宋体" w:cs="宋体" w:eastAsia="宋体" w:hint="default"/>
          <w:b/>
          <w:bCs/>
          <w:sz w:val="36"/>
          <w:szCs w:val="36"/>
        </w:rPr>
      </w:pPr>
    </w:p>
    <w:p>
      <w:pPr>
        <w:spacing w:line="240" w:lineRule="auto" w:before="0"/>
        <w:rPr>
          <w:rFonts w:ascii="宋体" w:hAnsi="宋体" w:cs="宋体" w:eastAsia="宋体" w:hint="default"/>
          <w:b/>
          <w:bCs/>
          <w:sz w:val="36"/>
          <w:szCs w:val="36"/>
        </w:rPr>
      </w:pPr>
    </w:p>
    <w:p>
      <w:pPr>
        <w:spacing w:line="240" w:lineRule="auto" w:before="3"/>
        <w:rPr>
          <w:rFonts w:ascii="宋体" w:hAnsi="宋体" w:cs="宋体" w:eastAsia="宋体" w:hint="default"/>
          <w:b/>
          <w:bCs/>
          <w:sz w:val="48"/>
          <w:szCs w:val="48"/>
        </w:rPr>
      </w:pPr>
    </w:p>
    <w:sdt>
      <w:sdtPr>
        <w:docPartObj>
          <w:docPartGallery w:val="Table of Contents"/>
          <w:docPartUnique/>
        </w:docPartObj>
      </w:sdtPr>
      <w:sdtEndPr/>
      <w:sdtContent>
        <w:p>
          <w:pPr>
            <w:pStyle w:val="TOC1"/>
            <w:tabs>
              <w:tab w:pos="10762" w:val="right" w:leader="dot"/>
            </w:tabs>
            <w:spacing w:line="240" w:lineRule="auto" w:before="0"/>
            <w:ind w:right="0"/>
            <w:jc w:val="left"/>
            <w:rPr>
              <w:rFonts w:ascii="Times New Roman" w:hAnsi="Times New Roman" w:cs="Times New Roman" w:eastAsia="Times New Roman" w:hint="default"/>
              <w:b w:val="0"/>
              <w:bCs w:val="0"/>
            </w:rPr>
          </w:pPr>
          <w:r>
            <w:fldChar w:fldCharType="begin"/>
          </w:r>
          <w:r>
            <w:instrText>TOC \o "1-1" \h \z \u </w:instrText>
          </w:r>
          <w:r>
            <w:fldChar w:fldCharType="separate"/>
          </w:r>
          <w:hyperlink w:history="true" w:anchor="_bookmark0">
            <w:r>
              <w:rPr/>
              <w:t>第一节</w:t>
            </w:r>
            <w:r>
              <w:rPr>
                <w:spacing w:val="-1"/>
              </w:rPr>
              <w:t> </w:t>
            </w:r>
            <w:r>
              <w:rPr/>
              <w:t>重要提示、目录和释义</w:t>
            </w:r>
            <w:r>
              <w:rPr>
                <w:rFonts w:ascii="Times New Roman" w:hAnsi="Times New Roman" w:cs="Times New Roman" w:eastAsia="Times New Roman" w:hint="default"/>
              </w:rPr>
              <w:tab/>
              <w:t>2</w:t>
            </w:r>
            <w:r>
              <w:rPr>
                <w:rFonts w:ascii="Times New Roman" w:hAnsi="Times New Roman" w:cs="Times New Roman" w:eastAsia="Times New Roman" w:hint="default"/>
                <w:b w:val="0"/>
                <w:bCs w:val="0"/>
              </w:rPr>
            </w:r>
          </w:hyperlink>
        </w:p>
        <w:p>
          <w:pPr>
            <w:pStyle w:val="TOC1"/>
            <w:tabs>
              <w:tab w:pos="10762" w:val="right" w:leader="dot"/>
            </w:tabs>
            <w:spacing w:line="240" w:lineRule="auto"/>
            <w:ind w:right="0"/>
            <w:jc w:val="left"/>
            <w:rPr>
              <w:rFonts w:ascii="Times New Roman" w:hAnsi="Times New Roman" w:cs="Times New Roman" w:eastAsia="Times New Roman" w:hint="default"/>
              <w:b w:val="0"/>
              <w:bCs w:val="0"/>
            </w:rPr>
          </w:pPr>
          <w:hyperlink w:history="true" w:anchor="_bookmark1">
            <w:r>
              <w:rPr/>
              <w:t>第二节</w:t>
            </w:r>
            <w:r>
              <w:rPr>
                <w:spacing w:val="-1"/>
              </w:rPr>
              <w:t> </w:t>
            </w:r>
            <w:r>
              <w:rPr/>
              <w:t>公司简介和主要财务指标</w:t>
            </w:r>
            <w:r>
              <w:rPr>
                <w:rFonts w:ascii="Times New Roman" w:hAnsi="Times New Roman" w:cs="Times New Roman" w:eastAsia="Times New Roman" w:hint="default"/>
              </w:rPr>
              <w:tab/>
              <w:t>5</w:t>
            </w:r>
            <w:r>
              <w:rPr>
                <w:rFonts w:ascii="Times New Roman" w:hAnsi="Times New Roman" w:cs="Times New Roman" w:eastAsia="Times New Roman" w:hint="default"/>
                <w:b w:val="0"/>
                <w:bCs w:val="0"/>
              </w:rPr>
            </w:r>
          </w:hyperlink>
        </w:p>
        <w:p>
          <w:pPr>
            <w:pStyle w:val="TOC1"/>
            <w:tabs>
              <w:tab w:pos="10762" w:val="right" w:leader="dot"/>
            </w:tabs>
            <w:spacing w:line="240" w:lineRule="auto" w:before="176"/>
            <w:ind w:right="0"/>
            <w:jc w:val="left"/>
            <w:rPr>
              <w:rFonts w:ascii="Times New Roman" w:hAnsi="Times New Roman" w:cs="Times New Roman" w:eastAsia="Times New Roman" w:hint="default"/>
              <w:b w:val="0"/>
              <w:bCs w:val="0"/>
            </w:rPr>
          </w:pPr>
          <w:hyperlink w:history="true" w:anchor="_bookmark2">
            <w:r>
              <w:rPr/>
              <w:t>第三节</w:t>
            </w:r>
            <w:r>
              <w:rPr>
                <w:spacing w:val="-1"/>
              </w:rPr>
              <w:t> </w:t>
            </w:r>
            <w:r>
              <w:rPr/>
              <w:t>公司业务概要</w:t>
            </w:r>
            <w:r>
              <w:rPr>
                <w:rFonts w:ascii="Times New Roman" w:hAnsi="Times New Roman" w:cs="Times New Roman" w:eastAsia="Times New Roman" w:hint="default"/>
              </w:rPr>
              <w:tab/>
              <w:t>8</w:t>
            </w:r>
            <w:r>
              <w:rPr>
                <w:rFonts w:ascii="Times New Roman" w:hAnsi="Times New Roman" w:cs="Times New Roman" w:eastAsia="Times New Roman" w:hint="default"/>
                <w:b w:val="0"/>
                <w:bCs w:val="0"/>
              </w:rPr>
            </w:r>
          </w:hyperlink>
        </w:p>
        <w:p>
          <w:pPr>
            <w:pStyle w:val="TOC1"/>
            <w:tabs>
              <w:tab w:pos="10749" w:val="right" w:leader="dot"/>
            </w:tabs>
            <w:spacing w:line="240" w:lineRule="auto"/>
            <w:ind w:right="0"/>
            <w:jc w:val="left"/>
            <w:rPr>
              <w:rFonts w:ascii="Times New Roman" w:hAnsi="Times New Roman" w:cs="Times New Roman" w:eastAsia="Times New Roman" w:hint="default"/>
              <w:b w:val="0"/>
              <w:bCs w:val="0"/>
            </w:rPr>
          </w:pPr>
          <w:hyperlink w:history="true" w:anchor="_bookmark3">
            <w:r>
              <w:rPr/>
              <w:t>第四节</w:t>
            </w:r>
            <w:r>
              <w:rPr>
                <w:spacing w:val="-1"/>
              </w:rPr>
              <w:t> </w:t>
            </w:r>
            <w:r>
              <w:rPr/>
              <w:t>经营情况讨论与分析</w:t>
            </w:r>
            <w:r>
              <w:rPr>
                <w:rFonts w:ascii="Times New Roman" w:hAnsi="Times New Roman" w:cs="Times New Roman" w:eastAsia="Times New Roman" w:hint="default"/>
              </w:rPr>
              <w:tab/>
            </w:r>
            <w:r>
              <w:rPr>
                <w:rFonts w:ascii="Times New Roman" w:hAnsi="Times New Roman" w:cs="Times New Roman" w:eastAsia="Times New Roman" w:hint="default"/>
                <w:spacing w:val="-14"/>
              </w:rPr>
              <w:t>11</w:t>
            </w:r>
            <w:r>
              <w:rPr>
                <w:rFonts w:ascii="Times New Roman" w:hAnsi="Times New Roman" w:cs="Times New Roman" w:eastAsia="Times New Roman" w:hint="default"/>
                <w:b w:val="0"/>
                <w:bCs w:val="0"/>
              </w:rPr>
            </w:r>
          </w:hyperlink>
        </w:p>
        <w:p>
          <w:pPr>
            <w:pStyle w:val="TOC1"/>
            <w:tabs>
              <w:tab w:pos="10762" w:val="right" w:leader="dot"/>
            </w:tabs>
            <w:spacing w:line="240" w:lineRule="auto"/>
            <w:ind w:right="0"/>
            <w:jc w:val="left"/>
            <w:rPr>
              <w:rFonts w:ascii="Times New Roman" w:hAnsi="Times New Roman" w:cs="Times New Roman" w:eastAsia="Times New Roman" w:hint="default"/>
              <w:b w:val="0"/>
              <w:bCs w:val="0"/>
            </w:rPr>
          </w:pPr>
          <w:hyperlink w:history="true" w:anchor="_bookmark4">
            <w:r>
              <w:rPr/>
              <w:t>第五节</w:t>
            </w:r>
            <w:r>
              <w:rPr>
                <w:spacing w:val="-1"/>
              </w:rPr>
              <w:t> </w:t>
            </w:r>
            <w:r>
              <w:rPr/>
              <w:t>重要事项</w:t>
            </w:r>
            <w:r>
              <w:rPr>
                <w:rFonts w:ascii="Times New Roman" w:hAnsi="Times New Roman" w:cs="Times New Roman" w:eastAsia="Times New Roman" w:hint="default"/>
              </w:rPr>
              <w:tab/>
              <w:t>31</w:t>
            </w:r>
            <w:r>
              <w:rPr>
                <w:rFonts w:ascii="Times New Roman" w:hAnsi="Times New Roman" w:cs="Times New Roman" w:eastAsia="Times New Roman" w:hint="default"/>
                <w:b w:val="0"/>
                <w:bCs w:val="0"/>
              </w:rPr>
            </w:r>
          </w:hyperlink>
        </w:p>
        <w:p>
          <w:pPr>
            <w:pStyle w:val="TOC1"/>
            <w:tabs>
              <w:tab w:pos="10762" w:val="right" w:leader="dot"/>
            </w:tabs>
            <w:spacing w:line="240" w:lineRule="auto" w:before="176"/>
            <w:ind w:right="0"/>
            <w:jc w:val="left"/>
            <w:rPr>
              <w:rFonts w:ascii="Times New Roman" w:hAnsi="Times New Roman" w:cs="Times New Roman" w:eastAsia="Times New Roman" w:hint="default"/>
              <w:b w:val="0"/>
              <w:bCs w:val="0"/>
            </w:rPr>
          </w:pPr>
          <w:hyperlink w:history="true" w:anchor="_bookmark5">
            <w:r>
              <w:rPr/>
              <w:t>第六节</w:t>
            </w:r>
            <w:r>
              <w:rPr>
                <w:spacing w:val="-1"/>
              </w:rPr>
              <w:t> </w:t>
            </w:r>
            <w:r>
              <w:rPr/>
              <w:t>股份变动及股东情况</w:t>
            </w:r>
            <w:r>
              <w:rPr>
                <w:rFonts w:ascii="Times New Roman" w:hAnsi="Times New Roman" w:cs="Times New Roman" w:eastAsia="Times New Roman" w:hint="default"/>
              </w:rPr>
              <w:tab/>
              <w:t>51</w:t>
            </w:r>
            <w:r>
              <w:rPr>
                <w:rFonts w:ascii="Times New Roman" w:hAnsi="Times New Roman" w:cs="Times New Roman" w:eastAsia="Times New Roman" w:hint="default"/>
                <w:b w:val="0"/>
                <w:bCs w:val="0"/>
              </w:rPr>
            </w:r>
          </w:hyperlink>
        </w:p>
        <w:p>
          <w:pPr>
            <w:pStyle w:val="TOC1"/>
            <w:tabs>
              <w:tab w:pos="10762" w:val="right" w:leader="dot"/>
            </w:tabs>
            <w:spacing w:line="240" w:lineRule="auto"/>
            <w:ind w:right="0"/>
            <w:jc w:val="left"/>
            <w:rPr>
              <w:rFonts w:ascii="Times New Roman" w:hAnsi="Times New Roman" w:cs="Times New Roman" w:eastAsia="Times New Roman" w:hint="default"/>
              <w:b w:val="0"/>
              <w:bCs w:val="0"/>
            </w:rPr>
          </w:pPr>
          <w:hyperlink w:history="true" w:anchor="_bookmark6">
            <w:r>
              <w:rPr/>
              <w:t>第七节</w:t>
            </w:r>
            <w:r>
              <w:rPr>
                <w:spacing w:val="-1"/>
              </w:rPr>
              <w:t> </w:t>
            </w:r>
            <w:r>
              <w:rPr/>
              <w:t>优先股相关情况</w:t>
            </w:r>
            <w:r>
              <w:rPr>
                <w:rFonts w:ascii="Times New Roman" w:hAnsi="Times New Roman" w:cs="Times New Roman" w:eastAsia="Times New Roman" w:hint="default"/>
              </w:rPr>
              <w:tab/>
              <w:t>56</w:t>
            </w:r>
            <w:r>
              <w:rPr>
                <w:rFonts w:ascii="Times New Roman" w:hAnsi="Times New Roman" w:cs="Times New Roman" w:eastAsia="Times New Roman" w:hint="default"/>
                <w:b w:val="0"/>
                <w:bCs w:val="0"/>
              </w:rPr>
            </w:r>
          </w:hyperlink>
        </w:p>
        <w:p>
          <w:pPr>
            <w:pStyle w:val="TOC1"/>
            <w:tabs>
              <w:tab w:pos="10762" w:val="right" w:leader="dot"/>
            </w:tabs>
            <w:spacing w:line="240" w:lineRule="auto"/>
            <w:ind w:right="0"/>
            <w:jc w:val="left"/>
            <w:rPr>
              <w:rFonts w:ascii="Times New Roman" w:hAnsi="Times New Roman" w:cs="Times New Roman" w:eastAsia="Times New Roman" w:hint="default"/>
              <w:b w:val="0"/>
              <w:bCs w:val="0"/>
            </w:rPr>
          </w:pPr>
          <w:hyperlink w:history="true" w:anchor="_bookmark7">
            <w:r>
              <w:rPr/>
              <w:t>第八节</w:t>
            </w:r>
            <w:r>
              <w:rPr>
                <w:spacing w:val="-1"/>
              </w:rPr>
              <w:t> </w:t>
            </w:r>
            <w:r>
              <w:rPr/>
              <w:t>董事、监事、高级管理人员和员工情况</w:t>
            </w:r>
            <w:r>
              <w:rPr>
                <w:rFonts w:ascii="Times New Roman" w:hAnsi="Times New Roman" w:cs="Times New Roman" w:eastAsia="Times New Roman" w:hint="default"/>
              </w:rPr>
              <w:tab/>
              <w:t>57</w:t>
            </w:r>
            <w:r>
              <w:rPr>
                <w:rFonts w:ascii="Times New Roman" w:hAnsi="Times New Roman" w:cs="Times New Roman" w:eastAsia="Times New Roman" w:hint="default"/>
                <w:b w:val="0"/>
                <w:bCs w:val="0"/>
              </w:rPr>
            </w:r>
          </w:hyperlink>
        </w:p>
        <w:p>
          <w:pPr>
            <w:pStyle w:val="TOC1"/>
            <w:tabs>
              <w:tab w:pos="10762" w:val="right" w:leader="dot"/>
            </w:tabs>
            <w:spacing w:line="240" w:lineRule="auto" w:before="176"/>
            <w:ind w:right="0"/>
            <w:jc w:val="left"/>
            <w:rPr>
              <w:rFonts w:ascii="Times New Roman" w:hAnsi="Times New Roman" w:cs="Times New Roman" w:eastAsia="Times New Roman" w:hint="default"/>
              <w:b w:val="0"/>
              <w:bCs w:val="0"/>
            </w:rPr>
          </w:pPr>
          <w:hyperlink w:history="true" w:anchor="_bookmark8">
            <w:r>
              <w:rPr/>
              <w:t>第九节</w:t>
            </w:r>
            <w:r>
              <w:rPr>
                <w:spacing w:val="-1"/>
              </w:rPr>
              <w:t> </w:t>
            </w:r>
            <w:r>
              <w:rPr/>
              <w:t>公司治理</w:t>
            </w:r>
            <w:r>
              <w:rPr>
                <w:rFonts w:ascii="Times New Roman" w:hAnsi="Times New Roman" w:cs="Times New Roman" w:eastAsia="Times New Roman" w:hint="default"/>
              </w:rPr>
              <w:tab/>
              <w:t>64</w:t>
            </w:r>
            <w:r>
              <w:rPr>
                <w:rFonts w:ascii="Times New Roman" w:hAnsi="Times New Roman" w:cs="Times New Roman" w:eastAsia="Times New Roman" w:hint="default"/>
                <w:b w:val="0"/>
                <w:bCs w:val="0"/>
              </w:rPr>
            </w:r>
          </w:hyperlink>
        </w:p>
        <w:p>
          <w:pPr>
            <w:pStyle w:val="TOC1"/>
            <w:tabs>
              <w:tab w:pos="10762" w:val="right" w:leader="dot"/>
            </w:tabs>
            <w:spacing w:line="240" w:lineRule="auto"/>
            <w:ind w:right="0"/>
            <w:jc w:val="left"/>
            <w:rPr>
              <w:rFonts w:ascii="Times New Roman" w:hAnsi="Times New Roman" w:cs="Times New Roman" w:eastAsia="Times New Roman" w:hint="default"/>
              <w:b w:val="0"/>
              <w:bCs w:val="0"/>
            </w:rPr>
          </w:pPr>
          <w:hyperlink w:history="true" w:anchor="_bookmark9">
            <w:r>
              <w:rPr/>
              <w:t>第十节</w:t>
            </w:r>
            <w:r>
              <w:rPr>
                <w:spacing w:val="-1"/>
              </w:rPr>
              <w:t> </w:t>
            </w:r>
            <w:r>
              <w:rPr/>
              <w:t>公司债券相关情况</w:t>
            </w:r>
            <w:r>
              <w:rPr>
                <w:rFonts w:ascii="Times New Roman" w:hAnsi="Times New Roman" w:cs="Times New Roman" w:eastAsia="Times New Roman" w:hint="default"/>
              </w:rPr>
              <w:tab/>
              <w:t>68</w:t>
            </w:r>
            <w:r>
              <w:rPr>
                <w:rFonts w:ascii="Times New Roman" w:hAnsi="Times New Roman" w:cs="Times New Roman" w:eastAsia="Times New Roman" w:hint="default"/>
                <w:b w:val="0"/>
                <w:bCs w:val="0"/>
              </w:rPr>
            </w:r>
          </w:hyperlink>
        </w:p>
        <w:p>
          <w:pPr>
            <w:pStyle w:val="TOC1"/>
            <w:tabs>
              <w:tab w:pos="10762" w:val="right" w:leader="dot"/>
            </w:tabs>
            <w:spacing w:line="240" w:lineRule="auto"/>
            <w:ind w:right="0"/>
            <w:jc w:val="left"/>
            <w:rPr>
              <w:rFonts w:ascii="Times New Roman" w:hAnsi="Times New Roman" w:cs="Times New Roman" w:eastAsia="Times New Roman" w:hint="default"/>
              <w:b w:val="0"/>
              <w:bCs w:val="0"/>
            </w:rPr>
          </w:pPr>
          <w:hyperlink w:history="true" w:anchor="_bookmark10">
            <w:r>
              <w:rPr/>
              <w:t>第十一节</w:t>
            </w:r>
            <w:r>
              <w:rPr>
                <w:spacing w:val="-1"/>
              </w:rPr>
              <w:t> </w:t>
            </w:r>
            <w:r>
              <w:rPr/>
              <w:t>财务报告</w:t>
            </w:r>
            <w:r>
              <w:rPr>
                <w:rFonts w:ascii="Times New Roman" w:hAnsi="Times New Roman" w:cs="Times New Roman" w:eastAsia="Times New Roman" w:hint="default"/>
              </w:rPr>
              <w:tab/>
              <w:t>69</w:t>
            </w:r>
            <w:r>
              <w:rPr>
                <w:rFonts w:ascii="Times New Roman" w:hAnsi="Times New Roman" w:cs="Times New Roman" w:eastAsia="Times New Roman" w:hint="default"/>
                <w:b w:val="0"/>
                <w:bCs w:val="0"/>
              </w:rPr>
            </w:r>
          </w:hyperlink>
        </w:p>
        <w:p>
          <w:pPr>
            <w:pStyle w:val="TOC1"/>
            <w:tabs>
              <w:tab w:pos="10762" w:val="right" w:leader="dot"/>
            </w:tabs>
            <w:spacing w:line="240" w:lineRule="auto" w:before="176"/>
            <w:ind w:right="0"/>
            <w:jc w:val="left"/>
            <w:rPr>
              <w:rFonts w:ascii="Times New Roman" w:hAnsi="Times New Roman" w:cs="Times New Roman" w:eastAsia="Times New Roman" w:hint="default"/>
              <w:b w:val="0"/>
              <w:bCs w:val="0"/>
            </w:rPr>
          </w:pPr>
          <w:hyperlink w:history="true" w:anchor="_bookmark11">
            <w:r>
              <w:rPr/>
              <w:t>第十二节</w:t>
            </w:r>
            <w:r>
              <w:rPr>
                <w:spacing w:val="-2"/>
              </w:rPr>
              <w:t> </w:t>
            </w:r>
            <w:r>
              <w:rPr/>
              <w:t>备查文件目录</w:t>
            </w:r>
            <w:r>
              <w:rPr>
                <w:rFonts w:ascii="Times New Roman" w:hAnsi="Times New Roman" w:cs="Times New Roman" w:eastAsia="Times New Roman" w:hint="default"/>
              </w:rPr>
              <w:tab/>
              <w:t>163</w:t>
            </w:r>
            <w:r>
              <w:rPr>
                <w:rFonts w:ascii="Times New Roman" w:hAnsi="Times New Roman" w:cs="Times New Roman" w:eastAsia="Times New Roman" w:hint="default"/>
                <w:b w:val="0"/>
                <w:bCs w:val="0"/>
              </w:rPr>
            </w:r>
          </w:hyperlink>
        </w:p>
        <w:p>
          <w:pPr/>
          <w:r>
            <w:fldChar w:fldCharType="end"/>
          </w:r>
        </w:p>
      </w:sdtContent>
    </w:sdt>
    <w:p>
      <w:pPr>
        <w:spacing w:after="0"/>
        <w:sectPr>
          <w:pgSz w:w="11910" w:h="16840"/>
          <w:pgMar w:header="747" w:footer="979" w:top="1060" w:bottom="1160" w:left="0" w:right="0"/>
        </w:sectPr>
      </w:pPr>
    </w:p>
    <w:p>
      <w:pPr>
        <w:spacing w:before="946"/>
        <w:ind w:left="817" w:right="816" w:firstLine="0"/>
        <w:jc w:val="center"/>
        <w:rPr>
          <w:rFonts w:ascii="宋体" w:hAnsi="宋体" w:cs="宋体" w:eastAsia="宋体" w:hint="default"/>
          <w:sz w:val="32"/>
          <w:szCs w:val="32"/>
        </w:rPr>
      </w:pPr>
      <w:r>
        <w:rPr>
          <w:rFonts w:ascii="宋体" w:hAnsi="宋体" w:cs="宋体" w:eastAsia="宋体" w:hint="default"/>
          <w:b/>
          <w:bCs/>
          <w:sz w:val="32"/>
          <w:szCs w:val="32"/>
        </w:rPr>
        <w:t>释义</w:t>
      </w:r>
      <w:r>
        <w:rPr>
          <w:rFonts w:ascii="宋体" w:hAnsi="宋体" w:cs="宋体" w:eastAsia="宋体" w:hint="default"/>
          <w:sz w:val="32"/>
          <w:szCs w:val="3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3536"/>
        <w:gridCol w:w="598"/>
        <w:gridCol w:w="5436"/>
      </w:tblGrid>
      <w:tr>
        <w:trPr>
          <w:trHeight w:val="402" w:hRule="exact"/>
        </w:trPr>
        <w:tc>
          <w:tcPr>
            <w:tcW w:w="35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释义项</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 w:right="0"/>
              <w:jc w:val="center"/>
              <w:rPr>
                <w:rFonts w:ascii="宋体" w:hAnsi="宋体" w:cs="宋体" w:eastAsia="宋体" w:hint="default"/>
                <w:sz w:val="18"/>
                <w:szCs w:val="18"/>
              </w:rPr>
            </w:pPr>
            <w:r>
              <w:rPr>
                <w:rFonts w:ascii="宋体" w:hAnsi="宋体" w:cs="宋体" w:eastAsia="宋体" w:hint="default"/>
                <w:sz w:val="18"/>
                <w:szCs w:val="18"/>
              </w:rPr>
              <w:t>释义内容</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本公司、先河环保、先河或公司</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河北先河环保科技股份有限公司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股东大会</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河北先河环保科技股份有限公司股东大会</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董事会</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河北先河环保科技股份有限公司董事会</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监事会</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河北先河环保科技股份有限公司监事会</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公司章程</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河北先河环保科技股份有限公司章程</w:t>
            </w:r>
          </w:p>
        </w:tc>
      </w:tr>
      <w:tr>
        <w:trPr>
          <w:trHeight w:val="317" w:hRule="exact"/>
        </w:trPr>
        <w:tc>
          <w:tcPr>
            <w:tcW w:w="3536" w:type="dxa"/>
            <w:vMerge w:val="restart"/>
            <w:tcBorders>
              <w:top w:val="single" w:sz="4" w:space="0" w:color="000000"/>
              <w:left w:val="single" w:sz="4" w:space="0" w:color="000000"/>
              <w:right w:val="single" w:sz="9" w:space="0" w:color="D2D2D2"/>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环境监测</w:t>
            </w:r>
          </w:p>
        </w:tc>
        <w:tc>
          <w:tcPr>
            <w:tcW w:w="598" w:type="dxa"/>
            <w:tcBorders>
              <w:top w:val="single" w:sz="4" w:space="0" w:color="000000"/>
              <w:left w:val="single" w:sz="4" w:space="0" w:color="000000"/>
              <w:bottom w:val="nil" w:sz="6" w:space="0" w:color="auto"/>
              <w:right w:val="single" w:sz="4" w:space="0" w:color="000000"/>
            </w:tcBorders>
            <w:shd w:val="clear" w:color="auto" w:fill="D2D2D2"/>
          </w:tcPr>
          <w:p>
            <w:pPr/>
          </w:p>
        </w:tc>
        <w:tc>
          <w:tcPr>
            <w:tcW w:w="5436" w:type="dxa"/>
            <w:vMerge w:val="restart"/>
            <w:tcBorders>
              <w:top w:val="single" w:sz="4" w:space="0" w:color="000000"/>
              <w:left w:val="single" w:sz="9" w:space="0" w:color="D2D2D2"/>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运用现代科学技术手段对代表环境污染和环境质量的各种环境要素</w:t>
            </w:r>
          </w:p>
          <w:p>
            <w:pPr>
              <w:pStyle w:val="TableParagraph"/>
              <w:spacing w:line="319" w:lineRule="auto" w:before="75"/>
              <w:ind w:left="27" w:right="22"/>
              <w:jc w:val="left"/>
              <w:rPr>
                <w:rFonts w:ascii="宋体" w:hAnsi="宋体" w:cs="宋体" w:eastAsia="宋体" w:hint="default"/>
                <w:sz w:val="18"/>
                <w:szCs w:val="18"/>
              </w:rPr>
            </w:pPr>
            <w:r>
              <w:rPr>
                <w:rFonts w:ascii="宋体" w:hAnsi="宋体" w:cs="宋体" w:eastAsia="宋体" w:hint="default"/>
                <w:spacing w:val="-2"/>
                <w:sz w:val="18"/>
                <w:szCs w:val="18"/>
              </w:rPr>
              <w:t>（环境污染物）的监视、监控和测定，从而科学评价环境质量及其变</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z w:val="18"/>
                <w:szCs w:val="18"/>
              </w:rPr>
              <w:t>化趋势的操作过程</w:t>
            </w:r>
          </w:p>
        </w:tc>
      </w:tr>
      <w:tr>
        <w:trPr>
          <w:trHeight w:val="392" w:hRule="exact"/>
        </w:trPr>
        <w:tc>
          <w:tcPr>
            <w:tcW w:w="3536" w:type="dxa"/>
            <w:vMerge/>
            <w:tcBorders>
              <w:left w:val="single" w:sz="4" w:space="0" w:color="000000"/>
              <w:right w:val="single" w:sz="9" w:space="0" w:color="D2D2D2"/>
            </w:tcBorders>
          </w:tcPr>
          <w:p>
            <w:pPr/>
          </w:p>
        </w:tc>
        <w:tc>
          <w:tcPr>
            <w:tcW w:w="59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vMerge/>
            <w:tcBorders>
              <w:left w:val="single" w:sz="9" w:space="0" w:color="D2D2D2"/>
              <w:right w:val="single" w:sz="4" w:space="0" w:color="000000"/>
            </w:tcBorders>
          </w:tcPr>
          <w:p>
            <w:pPr/>
          </w:p>
        </w:tc>
      </w:tr>
      <w:tr>
        <w:trPr>
          <w:trHeight w:val="317" w:hRule="exact"/>
        </w:trPr>
        <w:tc>
          <w:tcPr>
            <w:tcW w:w="3536" w:type="dxa"/>
            <w:vMerge/>
            <w:tcBorders>
              <w:left w:val="single" w:sz="4" w:space="0" w:color="000000"/>
              <w:bottom w:val="single" w:sz="4" w:space="0" w:color="000000"/>
              <w:right w:val="single" w:sz="9" w:space="0" w:color="D2D2D2"/>
            </w:tcBorders>
          </w:tcPr>
          <w:p>
            <w:pPr/>
          </w:p>
        </w:tc>
        <w:tc>
          <w:tcPr>
            <w:tcW w:w="598" w:type="dxa"/>
            <w:tcBorders>
              <w:top w:val="nil" w:sz="6" w:space="0" w:color="auto"/>
              <w:left w:val="single" w:sz="4" w:space="0" w:color="000000"/>
              <w:bottom w:val="single" w:sz="4" w:space="0" w:color="000000"/>
              <w:right w:val="single" w:sz="4" w:space="0" w:color="000000"/>
            </w:tcBorders>
            <w:shd w:val="clear" w:color="auto" w:fill="D2D2D2"/>
          </w:tcPr>
          <w:p>
            <w:pPr/>
          </w:p>
        </w:tc>
        <w:tc>
          <w:tcPr>
            <w:tcW w:w="5436" w:type="dxa"/>
            <w:vMerge/>
            <w:tcBorders>
              <w:left w:val="single" w:sz="9" w:space="0" w:color="D2D2D2"/>
              <w:bottom w:val="single" w:sz="4" w:space="0" w:color="000000"/>
              <w:right w:val="single" w:sz="4" w:space="0" w:color="000000"/>
            </w:tcBorders>
          </w:tcPr>
          <w:p>
            <w:pPr/>
          </w:p>
        </w:tc>
      </w:tr>
      <w:tr>
        <w:trPr>
          <w:trHeight w:val="317" w:hRule="exact"/>
        </w:trPr>
        <w:tc>
          <w:tcPr>
            <w:tcW w:w="3536" w:type="dxa"/>
            <w:vMerge w:val="restart"/>
            <w:tcBorders>
              <w:top w:val="single" w:sz="4" w:space="0" w:color="000000"/>
              <w:left w:val="single" w:sz="4" w:space="0" w:color="000000"/>
              <w:right w:val="single" w:sz="9" w:space="0" w:color="D2D2D2"/>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空气质量连续自动监测系统（</w:t>
            </w:r>
            <w:r>
              <w:rPr>
                <w:rFonts w:ascii="Times New Roman" w:hAnsi="Times New Roman" w:cs="Times New Roman" w:eastAsia="Times New Roman" w:hint="default"/>
                <w:sz w:val="18"/>
                <w:szCs w:val="18"/>
              </w:rPr>
              <w:t>AQMS</w:t>
            </w:r>
            <w:r>
              <w:rPr>
                <w:rFonts w:ascii="宋体" w:hAnsi="宋体" w:cs="宋体" w:eastAsia="宋体" w:hint="default"/>
                <w:sz w:val="18"/>
                <w:szCs w:val="18"/>
              </w:rPr>
              <w:t>）</w:t>
            </w:r>
          </w:p>
        </w:tc>
        <w:tc>
          <w:tcPr>
            <w:tcW w:w="598" w:type="dxa"/>
            <w:tcBorders>
              <w:top w:val="single" w:sz="4" w:space="0" w:color="000000"/>
              <w:left w:val="single" w:sz="4" w:space="0" w:color="000000"/>
              <w:bottom w:val="nil" w:sz="6" w:space="0" w:color="auto"/>
              <w:right w:val="single" w:sz="4" w:space="0" w:color="000000"/>
            </w:tcBorders>
            <w:shd w:val="clear" w:color="auto" w:fill="D2D2D2"/>
          </w:tcPr>
          <w:p>
            <w:pPr/>
          </w:p>
        </w:tc>
        <w:tc>
          <w:tcPr>
            <w:tcW w:w="5436" w:type="dxa"/>
            <w:vMerge w:val="restart"/>
            <w:tcBorders>
              <w:top w:val="single" w:sz="4" w:space="0" w:color="000000"/>
              <w:left w:val="single" w:sz="9" w:space="0" w:color="D2D2D2"/>
              <w:right w:val="single" w:sz="4" w:space="0" w:color="000000"/>
            </w:tcBorders>
          </w:tcPr>
          <w:p>
            <w:pPr>
              <w:pStyle w:val="TableParagraph"/>
              <w:spacing w:line="316" w:lineRule="auto" w:before="51"/>
              <w:ind w:left="27" w:right="20"/>
              <w:jc w:val="both"/>
              <w:rPr>
                <w:rFonts w:ascii="宋体" w:hAnsi="宋体" w:cs="宋体" w:eastAsia="宋体" w:hint="default"/>
                <w:sz w:val="18"/>
                <w:szCs w:val="18"/>
              </w:rPr>
            </w:pPr>
            <w:r>
              <w:rPr>
                <w:rFonts w:ascii="宋体" w:hAnsi="宋体" w:cs="宋体" w:eastAsia="宋体" w:hint="default"/>
                <w:spacing w:val="-2"/>
                <w:sz w:val="18"/>
                <w:szCs w:val="18"/>
              </w:rPr>
              <w:t>对空气质量进行自动监测系统，由中心站和若干个子站构成，两者有</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2"/>
                <w:sz w:val="18"/>
                <w:szCs w:val="18"/>
              </w:rPr>
              <w:t>机结合，协调整个监测系统的运行，完成对各种监测仪器的数据采集</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和远程通讯控制及数据处理，并形成报告</w:t>
            </w:r>
          </w:p>
        </w:tc>
      </w:tr>
      <w:tr>
        <w:trPr>
          <w:trHeight w:val="392" w:hRule="exact"/>
        </w:trPr>
        <w:tc>
          <w:tcPr>
            <w:tcW w:w="3536" w:type="dxa"/>
            <w:vMerge/>
            <w:tcBorders>
              <w:left w:val="single" w:sz="4" w:space="0" w:color="000000"/>
              <w:right w:val="single" w:sz="9" w:space="0" w:color="D2D2D2"/>
            </w:tcBorders>
          </w:tcPr>
          <w:p>
            <w:pPr/>
          </w:p>
        </w:tc>
        <w:tc>
          <w:tcPr>
            <w:tcW w:w="59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vMerge/>
            <w:tcBorders>
              <w:left w:val="single" w:sz="9" w:space="0" w:color="D2D2D2"/>
              <w:right w:val="single" w:sz="4" w:space="0" w:color="000000"/>
            </w:tcBorders>
          </w:tcPr>
          <w:p>
            <w:pPr/>
          </w:p>
        </w:tc>
      </w:tr>
      <w:tr>
        <w:trPr>
          <w:trHeight w:val="317" w:hRule="exact"/>
        </w:trPr>
        <w:tc>
          <w:tcPr>
            <w:tcW w:w="3536" w:type="dxa"/>
            <w:vMerge/>
            <w:tcBorders>
              <w:left w:val="single" w:sz="4" w:space="0" w:color="000000"/>
              <w:bottom w:val="single" w:sz="4" w:space="0" w:color="000000"/>
              <w:right w:val="single" w:sz="9" w:space="0" w:color="D2D2D2"/>
            </w:tcBorders>
          </w:tcPr>
          <w:p>
            <w:pPr/>
          </w:p>
        </w:tc>
        <w:tc>
          <w:tcPr>
            <w:tcW w:w="598" w:type="dxa"/>
            <w:tcBorders>
              <w:top w:val="nil" w:sz="6" w:space="0" w:color="auto"/>
              <w:left w:val="single" w:sz="4" w:space="0" w:color="000000"/>
              <w:bottom w:val="single" w:sz="4" w:space="0" w:color="000000"/>
              <w:right w:val="single" w:sz="4" w:space="0" w:color="000000"/>
            </w:tcBorders>
            <w:shd w:val="clear" w:color="auto" w:fill="D2D2D2"/>
          </w:tcPr>
          <w:p>
            <w:pPr/>
          </w:p>
        </w:tc>
        <w:tc>
          <w:tcPr>
            <w:tcW w:w="5436" w:type="dxa"/>
            <w:vMerge/>
            <w:tcBorders>
              <w:left w:val="single" w:sz="9" w:space="0" w:color="D2D2D2"/>
              <w:bottom w:val="single" w:sz="4" w:space="0" w:color="000000"/>
              <w:right w:val="single" w:sz="4" w:space="0" w:color="000000"/>
            </w:tcBorders>
          </w:tcPr>
          <w:p>
            <w:pPr/>
          </w:p>
        </w:tc>
      </w:tr>
      <w:tr>
        <w:trPr>
          <w:trHeight w:val="317" w:hRule="exact"/>
        </w:trPr>
        <w:tc>
          <w:tcPr>
            <w:tcW w:w="3536" w:type="dxa"/>
            <w:vMerge w:val="restart"/>
            <w:tcBorders>
              <w:top w:val="single" w:sz="4" w:space="0" w:color="000000"/>
              <w:left w:val="single" w:sz="4" w:space="0" w:color="000000"/>
              <w:right w:val="single" w:sz="9" w:space="0" w:color="D2D2D2"/>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水质连续自动监测系统（</w:t>
            </w:r>
            <w:r>
              <w:rPr>
                <w:rFonts w:ascii="Times New Roman" w:hAnsi="Times New Roman" w:cs="Times New Roman" w:eastAsia="Times New Roman" w:hint="default"/>
                <w:sz w:val="18"/>
                <w:szCs w:val="18"/>
              </w:rPr>
              <w:t>WQMS</w:t>
            </w:r>
            <w:r>
              <w:rPr>
                <w:rFonts w:ascii="宋体" w:hAnsi="宋体" w:cs="宋体" w:eastAsia="宋体" w:hint="default"/>
                <w:sz w:val="18"/>
                <w:szCs w:val="18"/>
              </w:rPr>
              <w:t>）</w:t>
            </w:r>
          </w:p>
        </w:tc>
        <w:tc>
          <w:tcPr>
            <w:tcW w:w="598" w:type="dxa"/>
            <w:tcBorders>
              <w:top w:val="single" w:sz="4" w:space="0" w:color="000000"/>
              <w:left w:val="single" w:sz="4" w:space="0" w:color="000000"/>
              <w:bottom w:val="nil" w:sz="6" w:space="0" w:color="auto"/>
              <w:right w:val="single" w:sz="4" w:space="0" w:color="000000"/>
            </w:tcBorders>
            <w:shd w:val="clear" w:color="auto" w:fill="D2D2D2"/>
          </w:tcPr>
          <w:p>
            <w:pPr/>
          </w:p>
        </w:tc>
        <w:tc>
          <w:tcPr>
            <w:tcW w:w="5436" w:type="dxa"/>
            <w:vMerge w:val="restart"/>
            <w:tcBorders>
              <w:top w:val="single" w:sz="4" w:space="0" w:color="000000"/>
              <w:left w:val="single" w:sz="9" w:space="0" w:color="D2D2D2"/>
              <w:right w:val="single" w:sz="4" w:space="0" w:color="000000"/>
            </w:tcBorders>
          </w:tcPr>
          <w:p>
            <w:pPr>
              <w:pStyle w:val="TableParagraph"/>
              <w:spacing w:line="319" w:lineRule="auto" w:before="51"/>
              <w:ind w:left="27" w:right="22"/>
              <w:jc w:val="left"/>
              <w:rPr>
                <w:rFonts w:ascii="宋体" w:hAnsi="宋体" w:cs="宋体" w:eastAsia="宋体" w:hint="default"/>
                <w:sz w:val="18"/>
                <w:szCs w:val="18"/>
              </w:rPr>
            </w:pPr>
            <w:r>
              <w:rPr>
                <w:rFonts w:ascii="宋体" w:hAnsi="宋体" w:cs="宋体" w:eastAsia="宋体" w:hint="default"/>
                <w:spacing w:val="-2"/>
                <w:sz w:val="18"/>
                <w:szCs w:val="18"/>
              </w:rPr>
              <w:t>以在线自动分析仪器为核心，运用现代传感技术、自动测量技术、计</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z w:val="18"/>
                <w:szCs w:val="18"/>
              </w:rPr>
              <w:t>算机应用技术以及相关的专业分析软件和通讯网络所组成的一个综 合性的地表水质量在线自动监测体系</w:t>
            </w:r>
          </w:p>
        </w:tc>
      </w:tr>
      <w:tr>
        <w:trPr>
          <w:trHeight w:val="393" w:hRule="exact"/>
        </w:trPr>
        <w:tc>
          <w:tcPr>
            <w:tcW w:w="3536" w:type="dxa"/>
            <w:vMerge/>
            <w:tcBorders>
              <w:left w:val="single" w:sz="4" w:space="0" w:color="000000"/>
              <w:right w:val="single" w:sz="9" w:space="0" w:color="D2D2D2"/>
            </w:tcBorders>
          </w:tcPr>
          <w:p>
            <w:pPr/>
          </w:p>
        </w:tc>
        <w:tc>
          <w:tcPr>
            <w:tcW w:w="59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vMerge/>
            <w:tcBorders>
              <w:left w:val="single" w:sz="9" w:space="0" w:color="D2D2D2"/>
              <w:right w:val="single" w:sz="4" w:space="0" w:color="000000"/>
            </w:tcBorders>
          </w:tcPr>
          <w:p>
            <w:pPr/>
          </w:p>
        </w:tc>
      </w:tr>
      <w:tr>
        <w:trPr>
          <w:trHeight w:val="317" w:hRule="exact"/>
        </w:trPr>
        <w:tc>
          <w:tcPr>
            <w:tcW w:w="3536" w:type="dxa"/>
            <w:vMerge/>
            <w:tcBorders>
              <w:left w:val="single" w:sz="4" w:space="0" w:color="000000"/>
              <w:bottom w:val="single" w:sz="4" w:space="0" w:color="000000"/>
              <w:right w:val="single" w:sz="9" w:space="0" w:color="D2D2D2"/>
            </w:tcBorders>
          </w:tcPr>
          <w:p>
            <w:pPr/>
          </w:p>
        </w:tc>
        <w:tc>
          <w:tcPr>
            <w:tcW w:w="598" w:type="dxa"/>
            <w:tcBorders>
              <w:top w:val="nil" w:sz="6" w:space="0" w:color="auto"/>
              <w:left w:val="single" w:sz="4" w:space="0" w:color="000000"/>
              <w:bottom w:val="single" w:sz="4" w:space="0" w:color="000000"/>
              <w:right w:val="single" w:sz="4" w:space="0" w:color="000000"/>
            </w:tcBorders>
            <w:shd w:val="clear" w:color="auto" w:fill="D2D2D2"/>
          </w:tcPr>
          <w:p>
            <w:pPr/>
          </w:p>
        </w:tc>
        <w:tc>
          <w:tcPr>
            <w:tcW w:w="5436" w:type="dxa"/>
            <w:vMerge/>
            <w:tcBorders>
              <w:left w:val="single" w:sz="9" w:space="0" w:color="D2D2D2"/>
              <w:bottom w:val="single" w:sz="4" w:space="0" w:color="000000"/>
              <w:right w:val="single" w:sz="4" w:space="0" w:color="000000"/>
            </w:tcBorders>
          </w:tcPr>
          <w:p>
            <w:pPr/>
          </w:p>
        </w:tc>
      </w:tr>
      <w:tr>
        <w:trPr>
          <w:trHeight w:val="317" w:hRule="exact"/>
        </w:trPr>
        <w:tc>
          <w:tcPr>
            <w:tcW w:w="3536" w:type="dxa"/>
            <w:vMerge w:val="restart"/>
            <w:tcBorders>
              <w:top w:val="single" w:sz="4" w:space="0" w:color="000000"/>
              <w:left w:val="single" w:sz="4" w:space="0" w:color="000000"/>
              <w:right w:val="single" w:sz="9" w:space="0" w:color="D2D2D2"/>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VOCs</w:t>
            </w:r>
          </w:p>
        </w:tc>
        <w:tc>
          <w:tcPr>
            <w:tcW w:w="598" w:type="dxa"/>
            <w:tcBorders>
              <w:top w:val="single" w:sz="4" w:space="0" w:color="000000"/>
              <w:left w:val="single" w:sz="4" w:space="0" w:color="000000"/>
              <w:bottom w:val="nil" w:sz="6" w:space="0" w:color="auto"/>
              <w:right w:val="single" w:sz="4" w:space="0" w:color="000000"/>
            </w:tcBorders>
            <w:shd w:val="clear" w:color="auto" w:fill="D2D2D2"/>
          </w:tcPr>
          <w:p>
            <w:pPr/>
          </w:p>
        </w:tc>
        <w:tc>
          <w:tcPr>
            <w:tcW w:w="5436" w:type="dxa"/>
            <w:vMerge w:val="restart"/>
            <w:tcBorders>
              <w:top w:val="single" w:sz="4" w:space="0" w:color="000000"/>
              <w:left w:val="single" w:sz="9" w:space="0" w:color="D2D2D2"/>
              <w:right w:val="single" w:sz="4" w:space="0" w:color="000000"/>
            </w:tcBorders>
          </w:tcPr>
          <w:p>
            <w:pPr>
              <w:pStyle w:val="TableParagraph"/>
              <w:spacing w:line="300" w:lineRule="auto" w:before="51"/>
              <w:ind w:left="27" w:right="22"/>
              <w:jc w:val="left"/>
              <w:rPr>
                <w:rFonts w:ascii="宋体" w:hAnsi="宋体" w:cs="宋体" w:eastAsia="宋体" w:hint="default"/>
                <w:sz w:val="18"/>
                <w:szCs w:val="18"/>
              </w:rPr>
            </w:pPr>
            <w:r>
              <w:rPr>
                <w:rFonts w:ascii="宋体" w:hAnsi="宋体" w:cs="宋体" w:eastAsia="宋体" w:hint="default"/>
                <w:sz w:val="18"/>
                <w:szCs w:val="18"/>
              </w:rPr>
              <w:t>挥发性有机物，是指常温下饱和蒸汽压大于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70 Pa</w:t>
            </w:r>
            <w:r>
              <w:rPr>
                <w:rFonts w:ascii="宋体" w:hAnsi="宋体" w:cs="宋体" w:eastAsia="宋体" w:hint="default"/>
                <w:sz w:val="18"/>
                <w:szCs w:val="18"/>
              </w:rPr>
              <w:t>、常压下沸点在 </w:t>
            </w:r>
            <w:r>
              <w:rPr>
                <w:rFonts w:ascii="Times New Roman" w:hAnsi="Times New Roman" w:cs="Times New Roman" w:eastAsia="Times New Roman" w:hint="default"/>
                <w:spacing w:val="-6"/>
                <w:sz w:val="18"/>
                <w:szCs w:val="18"/>
              </w:rPr>
              <w:t>260</w:t>
            </w:r>
            <w:r>
              <w:rPr>
                <w:rFonts w:ascii="宋体" w:hAnsi="宋体" w:cs="宋体" w:eastAsia="宋体" w:hint="default"/>
                <w:spacing w:val="-6"/>
                <w:sz w:val="18"/>
                <w:szCs w:val="18"/>
              </w:rPr>
              <w:t>℃以下的有机化合物，或在</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20</w:t>
            </w:r>
            <w:r>
              <w:rPr>
                <w:rFonts w:ascii="宋体" w:hAnsi="宋体" w:cs="宋体" w:eastAsia="宋体" w:hint="default"/>
                <w:sz w:val="18"/>
                <w:szCs w:val="18"/>
              </w:rPr>
              <w:t>℃条件下蒸汽压大于或者等于</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3"/>
                <w:sz w:val="18"/>
                <w:szCs w:val="18"/>
              </w:rPr>
              <w:t> </w:t>
            </w:r>
            <w:r>
              <w:rPr>
                <w:rFonts w:ascii="Times New Roman" w:hAnsi="Times New Roman" w:cs="Times New Roman" w:eastAsia="Times New Roman" w:hint="default"/>
                <w:w w:val="99"/>
                <w:sz w:val="18"/>
                <w:szCs w:val="18"/>
              </w:rPr>
              <w:t>Pa</w:t>
            </w:r>
            <w:r>
              <w:rPr>
                <w:rFonts w:ascii="Times New Roman" w:hAnsi="Times New Roman" w:cs="Times New Roman" w:eastAsia="Times New Roman" w:hint="default"/>
                <w:w w:val="99"/>
                <w:sz w:val="18"/>
                <w:szCs w:val="18"/>
              </w:rPr>
              <w:t> </w:t>
            </w:r>
            <w:r>
              <w:rPr>
                <w:rFonts w:ascii="宋体" w:hAnsi="宋体" w:cs="宋体" w:eastAsia="宋体" w:hint="default"/>
                <w:sz w:val="18"/>
                <w:szCs w:val="18"/>
              </w:rPr>
              <w:t>具有相应挥发性的全部有机化合物</w:t>
            </w:r>
          </w:p>
        </w:tc>
      </w:tr>
      <w:tr>
        <w:trPr>
          <w:trHeight w:val="392" w:hRule="exact"/>
        </w:trPr>
        <w:tc>
          <w:tcPr>
            <w:tcW w:w="3536" w:type="dxa"/>
            <w:vMerge/>
            <w:tcBorders>
              <w:left w:val="single" w:sz="4" w:space="0" w:color="000000"/>
              <w:right w:val="single" w:sz="9" w:space="0" w:color="D2D2D2"/>
            </w:tcBorders>
          </w:tcPr>
          <w:p>
            <w:pPr/>
          </w:p>
        </w:tc>
        <w:tc>
          <w:tcPr>
            <w:tcW w:w="59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vMerge/>
            <w:tcBorders>
              <w:left w:val="single" w:sz="9" w:space="0" w:color="D2D2D2"/>
              <w:right w:val="single" w:sz="4" w:space="0" w:color="000000"/>
            </w:tcBorders>
          </w:tcPr>
          <w:p>
            <w:pPr/>
          </w:p>
        </w:tc>
      </w:tr>
      <w:tr>
        <w:trPr>
          <w:trHeight w:val="317" w:hRule="exact"/>
        </w:trPr>
        <w:tc>
          <w:tcPr>
            <w:tcW w:w="3536" w:type="dxa"/>
            <w:vMerge/>
            <w:tcBorders>
              <w:left w:val="single" w:sz="4" w:space="0" w:color="000000"/>
              <w:bottom w:val="single" w:sz="4" w:space="0" w:color="000000"/>
              <w:right w:val="single" w:sz="9" w:space="0" w:color="D2D2D2"/>
            </w:tcBorders>
          </w:tcPr>
          <w:p>
            <w:pPr/>
          </w:p>
        </w:tc>
        <w:tc>
          <w:tcPr>
            <w:tcW w:w="598" w:type="dxa"/>
            <w:tcBorders>
              <w:top w:val="nil" w:sz="6" w:space="0" w:color="auto"/>
              <w:left w:val="single" w:sz="4" w:space="0" w:color="000000"/>
              <w:bottom w:val="single" w:sz="4" w:space="0" w:color="000000"/>
              <w:right w:val="single" w:sz="4" w:space="0" w:color="000000"/>
            </w:tcBorders>
            <w:shd w:val="clear" w:color="auto" w:fill="D2D2D2"/>
          </w:tcPr>
          <w:p>
            <w:pPr/>
          </w:p>
        </w:tc>
        <w:tc>
          <w:tcPr>
            <w:tcW w:w="5436" w:type="dxa"/>
            <w:vMerge/>
            <w:tcBorders>
              <w:left w:val="single" w:sz="9" w:space="0" w:color="D2D2D2"/>
              <w:bottom w:val="single" w:sz="4" w:space="0" w:color="000000"/>
              <w:right w:val="single" w:sz="4" w:space="0" w:color="000000"/>
            </w:tcBorders>
          </w:tcPr>
          <w:p>
            <w:pPr/>
          </w:p>
        </w:tc>
      </w:tr>
      <w:tr>
        <w:trPr>
          <w:trHeight w:val="161" w:hRule="exact"/>
        </w:trPr>
        <w:tc>
          <w:tcPr>
            <w:tcW w:w="3536" w:type="dxa"/>
            <w:vMerge w:val="restart"/>
            <w:tcBorders>
              <w:top w:val="single" w:sz="4" w:space="0" w:color="000000"/>
              <w:left w:val="single" w:sz="4" w:space="0" w:color="000000"/>
              <w:right w:val="single" w:sz="9" w:space="0" w:color="D2D2D2"/>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PM2.5</w:t>
            </w:r>
          </w:p>
        </w:tc>
        <w:tc>
          <w:tcPr>
            <w:tcW w:w="598" w:type="dxa"/>
            <w:tcBorders>
              <w:top w:val="single" w:sz="4" w:space="0" w:color="000000"/>
              <w:left w:val="single" w:sz="4" w:space="0" w:color="000000"/>
              <w:bottom w:val="nil" w:sz="6" w:space="0" w:color="auto"/>
              <w:right w:val="single" w:sz="4" w:space="0" w:color="000000"/>
            </w:tcBorders>
            <w:shd w:val="clear" w:color="auto" w:fill="D2D2D2"/>
          </w:tcPr>
          <w:p>
            <w:pPr/>
          </w:p>
        </w:tc>
        <w:tc>
          <w:tcPr>
            <w:tcW w:w="5436" w:type="dxa"/>
            <w:vMerge w:val="restart"/>
            <w:tcBorders>
              <w:top w:val="single" w:sz="4" w:space="0" w:color="000000"/>
              <w:left w:val="single" w:sz="9" w:space="0" w:color="D2D2D2"/>
              <w:right w:val="single" w:sz="4" w:space="0" w:color="000000"/>
            </w:tcBorders>
          </w:tcPr>
          <w:p>
            <w:pPr>
              <w:pStyle w:val="TableParagraph"/>
              <w:spacing w:line="300" w:lineRule="auto" w:before="51"/>
              <w:ind w:left="27" w:right="35"/>
              <w:jc w:val="left"/>
              <w:rPr>
                <w:rFonts w:ascii="宋体" w:hAnsi="宋体" w:cs="宋体" w:eastAsia="宋体" w:hint="default"/>
                <w:sz w:val="18"/>
                <w:szCs w:val="18"/>
              </w:rPr>
            </w:pPr>
            <w:r>
              <w:rPr>
                <w:rFonts w:ascii="宋体" w:hAnsi="宋体" w:cs="宋体" w:eastAsia="宋体" w:hint="default"/>
                <w:sz w:val="18"/>
                <w:szCs w:val="18"/>
              </w:rPr>
              <w:t>空气动力学粒径在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微米以下的颗粒物，又称为细颗粒物或大气细 粒子。</w:t>
            </w:r>
          </w:p>
        </w:tc>
      </w:tr>
      <w:tr>
        <w:trPr>
          <w:trHeight w:val="392" w:hRule="exact"/>
        </w:trPr>
        <w:tc>
          <w:tcPr>
            <w:tcW w:w="3536" w:type="dxa"/>
            <w:vMerge/>
            <w:tcBorders>
              <w:left w:val="single" w:sz="4" w:space="0" w:color="000000"/>
              <w:right w:val="single" w:sz="9" w:space="0" w:color="D2D2D2"/>
            </w:tcBorders>
          </w:tcPr>
          <w:p>
            <w:pPr/>
          </w:p>
        </w:tc>
        <w:tc>
          <w:tcPr>
            <w:tcW w:w="59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vMerge/>
            <w:tcBorders>
              <w:left w:val="single" w:sz="9" w:space="0" w:color="D2D2D2"/>
              <w:right w:val="single" w:sz="4" w:space="0" w:color="000000"/>
            </w:tcBorders>
          </w:tcPr>
          <w:p>
            <w:pPr/>
          </w:p>
        </w:tc>
      </w:tr>
      <w:tr>
        <w:trPr>
          <w:trHeight w:val="161" w:hRule="exact"/>
        </w:trPr>
        <w:tc>
          <w:tcPr>
            <w:tcW w:w="3536" w:type="dxa"/>
            <w:vMerge/>
            <w:tcBorders>
              <w:left w:val="single" w:sz="4" w:space="0" w:color="000000"/>
              <w:bottom w:val="single" w:sz="4" w:space="0" w:color="000000"/>
              <w:right w:val="single" w:sz="9" w:space="0" w:color="D2D2D2"/>
            </w:tcBorders>
          </w:tcPr>
          <w:p>
            <w:pPr/>
          </w:p>
        </w:tc>
        <w:tc>
          <w:tcPr>
            <w:tcW w:w="598" w:type="dxa"/>
            <w:tcBorders>
              <w:top w:val="nil" w:sz="6" w:space="0" w:color="auto"/>
              <w:left w:val="single" w:sz="4" w:space="0" w:color="000000"/>
              <w:bottom w:val="single" w:sz="4" w:space="0" w:color="000000"/>
              <w:right w:val="single" w:sz="4" w:space="0" w:color="000000"/>
            </w:tcBorders>
            <w:shd w:val="clear" w:color="auto" w:fill="D2D2D2"/>
          </w:tcPr>
          <w:p>
            <w:pPr/>
          </w:p>
        </w:tc>
        <w:tc>
          <w:tcPr>
            <w:tcW w:w="5436" w:type="dxa"/>
            <w:vMerge/>
            <w:tcBorders>
              <w:left w:val="single" w:sz="9" w:space="0" w:color="D2D2D2"/>
              <w:bottom w:val="single" w:sz="4" w:space="0" w:color="000000"/>
              <w:right w:val="single" w:sz="4" w:space="0" w:color="000000"/>
            </w:tcBorders>
          </w:tcPr>
          <w:p>
            <w:pPr/>
          </w:p>
        </w:tc>
      </w:tr>
      <w:tr>
        <w:trPr>
          <w:trHeight w:val="317" w:hRule="exact"/>
        </w:trPr>
        <w:tc>
          <w:tcPr>
            <w:tcW w:w="3536" w:type="dxa"/>
            <w:vMerge w:val="restart"/>
            <w:tcBorders>
              <w:top w:val="single" w:sz="4" w:space="0" w:color="000000"/>
              <w:left w:val="single" w:sz="4" w:space="0" w:color="000000"/>
              <w:right w:val="single" w:sz="9" w:space="0" w:color="D2D2D2"/>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网格化</w:t>
            </w:r>
          </w:p>
        </w:tc>
        <w:tc>
          <w:tcPr>
            <w:tcW w:w="598" w:type="dxa"/>
            <w:tcBorders>
              <w:top w:val="single" w:sz="4" w:space="0" w:color="000000"/>
              <w:left w:val="single" w:sz="4" w:space="0" w:color="000000"/>
              <w:bottom w:val="nil" w:sz="6" w:space="0" w:color="auto"/>
              <w:right w:val="single" w:sz="4" w:space="0" w:color="000000"/>
            </w:tcBorders>
            <w:shd w:val="clear" w:color="auto" w:fill="D2D2D2"/>
          </w:tcPr>
          <w:p>
            <w:pPr/>
          </w:p>
        </w:tc>
        <w:tc>
          <w:tcPr>
            <w:tcW w:w="5436" w:type="dxa"/>
            <w:vMerge w:val="restart"/>
            <w:tcBorders>
              <w:top w:val="single" w:sz="4" w:space="0" w:color="000000"/>
              <w:left w:val="single" w:sz="9" w:space="0" w:color="D2D2D2"/>
              <w:right w:val="single" w:sz="4" w:space="0" w:color="000000"/>
            </w:tcBorders>
          </w:tcPr>
          <w:p>
            <w:pPr>
              <w:pStyle w:val="TableParagraph"/>
              <w:spacing w:line="300" w:lineRule="auto" w:before="51"/>
              <w:ind w:left="27" w:right="20"/>
              <w:jc w:val="both"/>
              <w:rPr>
                <w:rFonts w:ascii="宋体" w:hAnsi="宋体" w:cs="宋体" w:eastAsia="宋体" w:hint="default"/>
                <w:sz w:val="18"/>
                <w:szCs w:val="18"/>
              </w:rPr>
            </w:pPr>
            <w:r>
              <w:rPr>
                <w:rFonts w:ascii="宋体" w:hAnsi="宋体" w:cs="宋体" w:eastAsia="宋体" w:hint="default"/>
                <w:sz w:val="18"/>
                <w:szCs w:val="18"/>
              </w:rPr>
              <w:t>采用最新的小型化、微型化组合监测技术，以</w:t>
            </w:r>
            <w:r>
              <w:rPr>
                <w:rFonts w:ascii="Times New Roman" w:hAnsi="Times New Roman" w:cs="Times New Roman" w:eastAsia="Times New Roman" w:hint="default"/>
                <w:sz w:val="18"/>
                <w:szCs w:val="18"/>
              </w:rPr>
              <w:t>“</w:t>
            </w:r>
            <w:r>
              <w:rPr>
                <w:rFonts w:ascii="宋体" w:hAnsi="宋体" w:cs="宋体" w:eastAsia="宋体" w:hint="default"/>
                <w:sz w:val="18"/>
                <w:szCs w:val="18"/>
              </w:rPr>
              <w:t>全面布点、全面联网</w:t>
            </w:r>
            <w:r>
              <w:rPr>
                <w:rFonts w:ascii="Times New Roman" w:hAnsi="Times New Roman" w:cs="Times New Roman" w:eastAsia="Times New Roman" w:hint="default"/>
                <w:sz w:val="18"/>
                <w:szCs w:val="18"/>
              </w:rPr>
              <w:t>”</w:t>
            </w:r>
            <w:r>
              <w:rPr>
                <w:rFonts w:ascii="Times New Roman" w:hAnsi="Times New Roman" w:cs="Times New Roman" w:eastAsia="Times New Roman" w:hint="default"/>
                <w:w w:val="100"/>
                <w:sz w:val="18"/>
                <w:szCs w:val="18"/>
              </w:rPr>
              <w:t> </w:t>
            </w:r>
            <w:r>
              <w:rPr>
                <w:rFonts w:ascii="宋体" w:hAnsi="宋体" w:cs="宋体" w:eastAsia="宋体" w:hint="default"/>
                <w:sz w:val="18"/>
                <w:szCs w:val="18"/>
              </w:rPr>
              <w:t>为宗旨，通过大范围、高密度</w:t>
            </w:r>
            <w:r>
              <w:rPr>
                <w:rFonts w:ascii="Times New Roman" w:hAnsi="Times New Roman" w:cs="Times New Roman" w:eastAsia="Times New Roman" w:hint="default"/>
                <w:sz w:val="18"/>
                <w:szCs w:val="18"/>
              </w:rPr>
              <w:t>“</w:t>
            </w:r>
            <w:r>
              <w:rPr>
                <w:rFonts w:ascii="宋体" w:hAnsi="宋体" w:cs="宋体" w:eastAsia="宋体" w:hint="default"/>
                <w:sz w:val="18"/>
                <w:szCs w:val="18"/>
              </w:rPr>
              <w:t>网格组合布点</w:t>
            </w:r>
            <w:r>
              <w:rPr>
                <w:rFonts w:ascii="Times New Roman" w:hAnsi="Times New Roman" w:cs="Times New Roman" w:eastAsia="Times New Roman" w:hint="default"/>
                <w:sz w:val="18"/>
                <w:szCs w:val="18"/>
              </w:rPr>
              <w:t>”</w:t>
            </w:r>
            <w:r>
              <w:rPr>
                <w:rFonts w:ascii="宋体" w:hAnsi="宋体" w:cs="宋体" w:eastAsia="宋体" w:hint="default"/>
                <w:sz w:val="18"/>
                <w:szCs w:val="18"/>
              </w:rPr>
              <w:t>，结合立体监测、移动 监测等，形成覆盖整个区域的在线监控网格</w:t>
            </w:r>
          </w:p>
        </w:tc>
      </w:tr>
      <w:tr>
        <w:trPr>
          <w:trHeight w:val="392" w:hRule="exact"/>
        </w:trPr>
        <w:tc>
          <w:tcPr>
            <w:tcW w:w="3536" w:type="dxa"/>
            <w:vMerge/>
            <w:tcBorders>
              <w:left w:val="single" w:sz="4" w:space="0" w:color="000000"/>
              <w:right w:val="single" w:sz="9" w:space="0" w:color="D2D2D2"/>
            </w:tcBorders>
          </w:tcPr>
          <w:p>
            <w:pPr/>
          </w:p>
        </w:tc>
        <w:tc>
          <w:tcPr>
            <w:tcW w:w="59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vMerge/>
            <w:tcBorders>
              <w:left w:val="single" w:sz="9" w:space="0" w:color="D2D2D2"/>
              <w:right w:val="single" w:sz="4" w:space="0" w:color="000000"/>
            </w:tcBorders>
          </w:tcPr>
          <w:p>
            <w:pPr/>
          </w:p>
        </w:tc>
      </w:tr>
      <w:tr>
        <w:trPr>
          <w:trHeight w:val="317" w:hRule="exact"/>
        </w:trPr>
        <w:tc>
          <w:tcPr>
            <w:tcW w:w="3536" w:type="dxa"/>
            <w:vMerge/>
            <w:tcBorders>
              <w:left w:val="single" w:sz="4" w:space="0" w:color="000000"/>
              <w:bottom w:val="single" w:sz="4" w:space="0" w:color="000000"/>
              <w:right w:val="single" w:sz="9" w:space="0" w:color="D2D2D2"/>
            </w:tcBorders>
          </w:tcPr>
          <w:p>
            <w:pPr/>
          </w:p>
        </w:tc>
        <w:tc>
          <w:tcPr>
            <w:tcW w:w="598" w:type="dxa"/>
            <w:tcBorders>
              <w:top w:val="nil" w:sz="6" w:space="0" w:color="auto"/>
              <w:left w:val="single" w:sz="4" w:space="0" w:color="000000"/>
              <w:bottom w:val="single" w:sz="4" w:space="0" w:color="000000"/>
              <w:right w:val="single" w:sz="4" w:space="0" w:color="000000"/>
            </w:tcBorders>
            <w:shd w:val="clear" w:color="auto" w:fill="D2D2D2"/>
          </w:tcPr>
          <w:p>
            <w:pPr/>
          </w:p>
        </w:tc>
        <w:tc>
          <w:tcPr>
            <w:tcW w:w="5436" w:type="dxa"/>
            <w:vMerge/>
            <w:tcBorders>
              <w:left w:val="single" w:sz="9" w:space="0" w:color="D2D2D2"/>
              <w:bottom w:val="single" w:sz="4" w:space="0" w:color="000000"/>
              <w:right w:val="single" w:sz="4" w:space="0" w:color="000000"/>
            </w:tcBorders>
          </w:tcPr>
          <w:p>
            <w:pP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中国证监会、证监会</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中国证券监督管理委员会</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证券交易所</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深圳证券交易所</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中登公司</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中国证券登记结算有限责任公司深圳分公司</w:t>
            </w:r>
          </w:p>
        </w:tc>
      </w:tr>
    </w:tbl>
    <w:p>
      <w:pPr>
        <w:spacing w:after="0" w:line="240"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20"/>
          <w:szCs w:val="20"/>
        </w:rPr>
      </w:pPr>
    </w:p>
    <w:p>
      <w:pPr>
        <w:pStyle w:val="Heading1"/>
        <w:spacing w:line="240" w:lineRule="auto"/>
        <w:ind w:left="3624" w:right="0"/>
        <w:jc w:val="left"/>
        <w:rPr>
          <w:b w:val="0"/>
          <w:bCs w:val="0"/>
        </w:rPr>
      </w:pPr>
      <w:bookmarkStart w:name="第二节 公司简介和主要财务指标" w:id="3"/>
      <w:bookmarkEnd w:id="3"/>
      <w:r>
        <w:rPr>
          <w:b w:val="0"/>
          <w:bCs w:val="0"/>
        </w:rPr>
      </w:r>
      <w:bookmarkStart w:name="_bookmark1" w:id="4"/>
      <w:bookmarkEnd w:id="4"/>
      <w:r>
        <w:rPr>
          <w:b w:val="0"/>
          <w:bCs w:val="0"/>
        </w:rPr>
      </w:r>
      <w:r>
        <w:rPr/>
        <w:t>第二节</w:t>
      </w:r>
      <w:r>
        <w:rPr>
          <w:spacing w:val="-11"/>
        </w:rPr>
        <w:t> </w:t>
      </w:r>
      <w:r>
        <w:rPr/>
        <w:t>公司简介和主要财务指标</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left"/>
        <w:rPr>
          <w:b w:val="0"/>
          <w:bCs w:val="0"/>
        </w:rPr>
      </w:pPr>
      <w:r>
        <w:rPr/>
        <w:pict>
          <v:group style="position:absolute;margin-left:172.339996pt;margin-top:114.735596pt;width:361.5pt;height:19.6pt;mso-position-horizontal-relative:page;mso-position-vertical-relative:paragraph;z-index:-985960" coordorigin="3447,2295" coordsize="7230,392">
            <v:shape style="position:absolute;left:3447;top:2295;width:7230;height:392" coordorigin="3447,2295" coordsize="7230,392" path="m3447,2686l10676,2686,10676,2295,3447,2295,3447,2686xe" filled="true" fillcolor="#ffffff" stroked="false">
              <v:path arrowok="t"/>
              <v:fill type="solid"/>
            </v:shape>
            <w10:wrap type="none"/>
          </v:group>
        </w:pict>
      </w:r>
      <w:bookmarkStart w:name="一、公司信息" w:id="5"/>
      <w:bookmarkEnd w:id="5"/>
      <w:r>
        <w:rPr>
          <w:b w:val="0"/>
          <w:bCs w:val="0"/>
        </w:rPr>
      </w:r>
      <w:r>
        <w:rPr/>
        <w:t>一、公司信息</w:t>
      </w:r>
      <w:r>
        <w:rPr>
          <w:b w:val="0"/>
          <w:bCs w:val="0"/>
        </w:rPr>
      </w:r>
    </w:p>
    <w:p>
      <w:pPr>
        <w:spacing w:line="240" w:lineRule="auto" w:before="9"/>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2273"/>
        <w:gridCol w:w="2965"/>
        <w:gridCol w:w="2145"/>
        <w:gridCol w:w="2188"/>
      </w:tblGrid>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股票简称</w:t>
            </w:r>
          </w:p>
        </w:tc>
        <w:tc>
          <w:tcPr>
            <w:tcW w:w="296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先河环保</w:t>
            </w:r>
          </w:p>
        </w:tc>
        <w:tc>
          <w:tcPr>
            <w:tcW w:w="21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股票代码</w:t>
            </w:r>
          </w:p>
        </w:tc>
        <w:tc>
          <w:tcPr>
            <w:tcW w:w="218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left="27" w:right="0"/>
              <w:jc w:val="left"/>
              <w:rPr>
                <w:rFonts w:ascii="Times New Roman" w:hAnsi="Times New Roman" w:cs="Times New Roman" w:eastAsia="Times New Roman" w:hint="default"/>
                <w:sz w:val="18"/>
                <w:szCs w:val="18"/>
              </w:rPr>
            </w:pPr>
            <w:r>
              <w:rPr>
                <w:rFonts w:ascii="Times New Roman"/>
                <w:sz w:val="18"/>
              </w:rPr>
              <w:t>300137</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公司的中文名称</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河北先河环保科技股份有限公司</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公司的中文简称</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先河环保</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公司的外文名称（如有）</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r>
              <w:rPr>
                <w:rFonts w:ascii="Times New Roman"/>
                <w:sz w:val="18"/>
              </w:rPr>
              <w:t>Hebei Sailhero Environmental Protection    High-tech</w:t>
            </w:r>
            <w:r>
              <w:rPr>
                <w:rFonts w:ascii="Times New Roman"/>
                <w:spacing w:val="-12"/>
                <w:sz w:val="18"/>
              </w:rPr>
              <w:t> </w:t>
            </w:r>
            <w:r>
              <w:rPr>
                <w:rFonts w:ascii="Times New Roman"/>
                <w:sz w:val="18"/>
              </w:rPr>
              <w:t>Co.,ltd</w:t>
            </w:r>
          </w:p>
        </w:tc>
      </w:tr>
      <w:tr>
        <w:trPr>
          <w:trHeight w:val="402" w:hRule="exact"/>
        </w:trPr>
        <w:tc>
          <w:tcPr>
            <w:tcW w:w="2273" w:type="dxa"/>
            <w:tcBorders>
              <w:top w:val="single" w:sz="4" w:space="0" w:color="000000"/>
              <w:left w:val="single" w:sz="4" w:space="0" w:color="000000"/>
              <w:bottom w:val="single" w:sz="4" w:space="0" w:color="000000"/>
              <w:right w:val="single" w:sz="13" w:space="0" w:color="FFFFFF"/>
            </w:tcBorders>
            <w:shd w:val="clear" w:color="auto" w:fill="D2D2D2"/>
          </w:tcPr>
          <w:p>
            <w:pPr>
              <w:pStyle w:val="TableParagraph"/>
              <w:spacing w:line="240" w:lineRule="auto" w:before="52"/>
              <w:ind w:left="22" w:right="-58"/>
              <w:jc w:val="left"/>
              <w:rPr>
                <w:rFonts w:ascii="宋体" w:hAnsi="宋体" w:cs="宋体" w:eastAsia="宋体" w:hint="default"/>
                <w:sz w:val="18"/>
                <w:szCs w:val="18"/>
              </w:rPr>
            </w:pPr>
            <w:r>
              <w:rPr>
                <w:rFonts w:ascii="宋体" w:hAnsi="宋体" w:cs="宋体" w:eastAsia="宋体" w:hint="default"/>
                <w:spacing w:val="-5"/>
                <w:sz w:val="18"/>
                <w:szCs w:val="18"/>
              </w:rPr>
              <w:t>公司的外文名称缩写（如有）</w:t>
            </w:r>
            <w:r>
              <w:rPr>
                <w:rFonts w:ascii="宋体" w:hAnsi="宋体" w:cs="宋体" w:eastAsia="宋体" w:hint="default"/>
                <w:sz w:val="18"/>
                <w:szCs w:val="18"/>
              </w:rPr>
            </w:r>
          </w:p>
        </w:tc>
        <w:tc>
          <w:tcPr>
            <w:tcW w:w="7297" w:type="dxa"/>
            <w:gridSpan w:val="3"/>
            <w:tcBorders>
              <w:top w:val="single" w:sz="4" w:space="0" w:color="000000"/>
              <w:left w:val="single" w:sz="23" w:space="0" w:color="FFFFFF"/>
              <w:bottom w:val="single" w:sz="4" w:space="0" w:color="000000"/>
              <w:right w:val="single" w:sz="4" w:space="0" w:color="000000"/>
            </w:tcBorders>
          </w:tcPr>
          <w:p>
            <w:pPr>
              <w:pStyle w:val="TableParagraph"/>
              <w:spacing w:line="240" w:lineRule="auto" w:before="92"/>
              <w:ind w:left="12" w:right="0"/>
              <w:jc w:val="left"/>
              <w:rPr>
                <w:rFonts w:ascii="Times New Roman" w:hAnsi="Times New Roman" w:cs="Times New Roman" w:eastAsia="Times New Roman" w:hint="default"/>
                <w:sz w:val="18"/>
                <w:szCs w:val="18"/>
              </w:rPr>
            </w:pPr>
            <w:r>
              <w:rPr>
                <w:rFonts w:ascii="Times New Roman"/>
                <w:sz w:val="18"/>
              </w:rPr>
              <w:t>SailheroEnviroprotec</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公司的法定代表人</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李玉国</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注册地址</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石家庄市湘江道</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注册地址的邮政编码</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r>
              <w:rPr>
                <w:rFonts w:ascii="Times New Roman"/>
                <w:sz w:val="18"/>
              </w:rPr>
              <w:t>050035</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办公地址</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石家庄市湘江道</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办公地址的邮政编码</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r>
              <w:rPr>
                <w:rFonts w:ascii="Times New Roman"/>
                <w:sz w:val="18"/>
              </w:rPr>
              <w:t>050035</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公司国际互联网网址</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hyperlink r:id="rId8">
              <w:r>
                <w:rPr>
                  <w:rFonts w:ascii="Times New Roman"/>
                  <w:sz w:val="18"/>
                </w:rPr>
                <w:t>http://www.sailhero.com.cn</w:t>
              </w:r>
            </w:hyperlink>
          </w:p>
        </w:tc>
      </w:tr>
      <w:tr>
        <w:trPr>
          <w:trHeight w:val="403"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hyperlink r:id="rId9">
              <w:r>
                <w:rPr>
                  <w:rFonts w:ascii="Times New Roman"/>
                  <w:sz w:val="18"/>
                </w:rPr>
                <w:t>xhhbzq@sailhero.com.cn</w:t>
              </w:r>
            </w:hyperlink>
          </w:p>
        </w:tc>
      </w:tr>
    </w:tbl>
    <w:p>
      <w:pPr>
        <w:spacing w:line="240" w:lineRule="auto" w:before="2"/>
        <w:rPr>
          <w:rFonts w:ascii="宋体" w:hAnsi="宋体" w:cs="宋体" w:eastAsia="宋体" w:hint="default"/>
          <w:b/>
          <w:bCs/>
          <w:sz w:val="18"/>
          <w:szCs w:val="18"/>
        </w:rPr>
      </w:pPr>
    </w:p>
    <w:p>
      <w:pPr>
        <w:pStyle w:val="Heading2"/>
        <w:spacing w:line="240" w:lineRule="auto" w:before="26"/>
        <w:ind w:left="1134" w:right="0"/>
        <w:jc w:val="left"/>
        <w:rPr>
          <w:b w:val="0"/>
          <w:bCs w:val="0"/>
        </w:rPr>
      </w:pPr>
      <w:bookmarkStart w:name="二、联系人和联系方式" w:id="6"/>
      <w:bookmarkEnd w:id="6"/>
      <w:r>
        <w:rPr>
          <w:b w:val="0"/>
          <w:bCs w:val="0"/>
        </w:rPr>
      </w:r>
      <w:r>
        <w:rPr/>
        <w:t>二、联系人和联系方式</w:t>
      </w:r>
      <w:r>
        <w:rPr>
          <w:b w:val="0"/>
          <w:bCs w:val="0"/>
        </w:rPr>
      </w:r>
    </w:p>
    <w:p>
      <w:pPr>
        <w:spacing w:line="240" w:lineRule="auto" w:before="9"/>
        <w:rPr>
          <w:rFonts w:ascii="宋体" w:hAnsi="宋体" w:cs="宋体" w:eastAsia="宋体" w:hint="default"/>
          <w:b/>
          <w:bCs/>
          <w:sz w:val="25"/>
          <w:szCs w:val="25"/>
        </w:rPr>
      </w:pPr>
    </w:p>
    <w:tbl>
      <w:tblPr>
        <w:tblW w:w="0" w:type="auto"/>
        <w:jc w:val="left"/>
        <w:tblInd w:w="114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董事会秘书</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50" w:right="0"/>
              <w:jc w:val="left"/>
              <w:rPr>
                <w:rFonts w:ascii="宋体" w:hAnsi="宋体" w:cs="宋体" w:eastAsia="宋体" w:hint="default"/>
                <w:sz w:val="18"/>
                <w:szCs w:val="18"/>
              </w:rPr>
            </w:pPr>
            <w:r>
              <w:rPr>
                <w:rFonts w:ascii="宋体" w:hAnsi="宋体" w:cs="宋体" w:eastAsia="宋体" w:hint="default"/>
                <w:sz w:val="18"/>
                <w:szCs w:val="18"/>
              </w:rPr>
              <w:t>证券事务代表</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王少军</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孟利利</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联系地址</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石家庄市湘江道</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石家庄市湘江道</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电话</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0311-85323900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0311-85323900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传真</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0311-85329383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0311-85329383</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hyperlink r:id="rId9">
              <w:r>
                <w:rPr>
                  <w:rFonts w:ascii="Times New Roman"/>
                  <w:sz w:val="18"/>
                </w:rPr>
                <w:t>xhhbzq@sailhero.com.cn</w:t>
              </w:r>
            </w:hyperlink>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hyperlink r:id="rId9">
              <w:r>
                <w:rPr>
                  <w:rFonts w:ascii="Times New Roman"/>
                  <w:sz w:val="18"/>
                </w:rPr>
                <w:t>xhhbzq@sailhero.com.cn</w:t>
              </w:r>
            </w:hyperlink>
          </w:p>
        </w:tc>
      </w:tr>
    </w:tbl>
    <w:p>
      <w:pPr>
        <w:spacing w:line="240" w:lineRule="auto" w:before="2"/>
        <w:rPr>
          <w:rFonts w:ascii="宋体" w:hAnsi="宋体" w:cs="宋体" w:eastAsia="宋体" w:hint="default"/>
          <w:b/>
          <w:bCs/>
          <w:sz w:val="18"/>
          <w:szCs w:val="18"/>
        </w:rPr>
      </w:pPr>
    </w:p>
    <w:p>
      <w:pPr>
        <w:pStyle w:val="Heading2"/>
        <w:spacing w:line="240" w:lineRule="auto" w:before="26"/>
        <w:ind w:left="1134" w:right="0"/>
        <w:jc w:val="left"/>
        <w:rPr>
          <w:b w:val="0"/>
          <w:bCs w:val="0"/>
        </w:rPr>
      </w:pPr>
      <w:bookmarkStart w:name="三、信息披露及备置地点" w:id="7"/>
      <w:bookmarkEnd w:id="7"/>
      <w:r>
        <w:rPr>
          <w:b w:val="0"/>
          <w:bCs w:val="0"/>
        </w:rPr>
      </w:r>
      <w:r>
        <w:rPr/>
        <w:t>三、信息披露及备置地点</w:t>
      </w:r>
      <w:r>
        <w:rPr>
          <w:b w:val="0"/>
          <w:bCs w:val="0"/>
        </w:rPr>
      </w:r>
    </w:p>
    <w:p>
      <w:pPr>
        <w:spacing w:line="240" w:lineRule="auto" w:before="9"/>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3993"/>
        <w:gridCol w:w="5576"/>
      </w:tblGrid>
      <w:tr>
        <w:trPr>
          <w:trHeight w:val="402" w:hRule="exact"/>
        </w:trPr>
        <w:tc>
          <w:tcPr>
            <w:tcW w:w="3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公司选定的信息披露媒体的名称</w:t>
            </w:r>
          </w:p>
        </w:tc>
        <w:tc>
          <w:tcPr>
            <w:tcW w:w="5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《中国证券报</w:t>
            </w:r>
            <w:r>
              <w:rPr>
                <w:rFonts w:ascii="宋体" w:hAnsi="宋体" w:cs="宋体" w:eastAsia="宋体" w:hint="default"/>
                <w:spacing w:val="-90"/>
                <w:sz w:val="18"/>
                <w:szCs w:val="18"/>
              </w:rPr>
              <w:t>》、</w:t>
            </w:r>
            <w:r>
              <w:rPr>
                <w:rFonts w:ascii="宋体" w:hAnsi="宋体" w:cs="宋体" w:eastAsia="宋体" w:hint="default"/>
                <w:sz w:val="18"/>
                <w:szCs w:val="18"/>
              </w:rPr>
              <w:t>《证券时报》</w:t>
            </w:r>
          </w:p>
        </w:tc>
      </w:tr>
      <w:tr>
        <w:trPr>
          <w:trHeight w:val="402" w:hRule="exact"/>
        </w:trPr>
        <w:tc>
          <w:tcPr>
            <w:tcW w:w="3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登载年度报告的中国证监会指定网站的网址</w:t>
            </w:r>
          </w:p>
        </w:tc>
        <w:tc>
          <w:tcPr>
            <w:tcW w:w="5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hyperlink r:id="rId10">
              <w:r>
                <w:rPr>
                  <w:rFonts w:ascii="Times New Roman"/>
                  <w:sz w:val="18"/>
                </w:rPr>
                <w:t>www.cninfo.com.cn</w:t>
              </w:r>
            </w:hyperlink>
          </w:p>
        </w:tc>
      </w:tr>
      <w:tr>
        <w:trPr>
          <w:trHeight w:val="402" w:hRule="exact"/>
        </w:trPr>
        <w:tc>
          <w:tcPr>
            <w:tcW w:w="3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公司年度报告备置地点</w:t>
            </w:r>
          </w:p>
        </w:tc>
        <w:tc>
          <w:tcPr>
            <w:tcW w:w="5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石家庄市湘江道</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号公司三楼（证券部）</w:t>
            </w:r>
          </w:p>
        </w:tc>
      </w:tr>
    </w:tbl>
    <w:p>
      <w:pPr>
        <w:spacing w:line="240" w:lineRule="auto" w:before="2"/>
        <w:rPr>
          <w:rFonts w:ascii="宋体" w:hAnsi="宋体" w:cs="宋体" w:eastAsia="宋体" w:hint="default"/>
          <w:b/>
          <w:bCs/>
          <w:sz w:val="18"/>
          <w:szCs w:val="18"/>
        </w:rPr>
      </w:pPr>
    </w:p>
    <w:p>
      <w:pPr>
        <w:pStyle w:val="Heading2"/>
        <w:spacing w:line="240" w:lineRule="auto" w:before="26"/>
        <w:ind w:left="1134" w:right="0"/>
        <w:jc w:val="left"/>
        <w:rPr>
          <w:b w:val="0"/>
          <w:bCs w:val="0"/>
        </w:rPr>
      </w:pPr>
      <w:bookmarkStart w:name="四、其他有关资料" w:id="8"/>
      <w:bookmarkEnd w:id="8"/>
      <w:r>
        <w:rPr>
          <w:b w:val="0"/>
          <w:bCs w:val="0"/>
        </w:rPr>
      </w:r>
      <w:r>
        <w:rPr/>
        <w:t>四、其他有关资料</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公司聘请的会计师事务所</w:t>
      </w:r>
    </w:p>
    <w:p>
      <w:pPr>
        <w:spacing w:after="0" w:line="240" w:lineRule="auto"/>
        <w:jc w:val="left"/>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2662"/>
        <w:gridCol w:w="6907"/>
      </w:tblGrid>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会计师事务所名称</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利安达会计师事务所（特殊普通合伙）</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会计师事务所办公地址</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北京市朝阳区慈云寺北里</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号远洋国际二期</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E</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座</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层</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签字会计师姓名</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邱淦泳、许海丽</w:t>
            </w:r>
          </w:p>
        </w:tc>
      </w:tr>
    </w:tbl>
    <w:p>
      <w:pPr>
        <w:pStyle w:val="BodyText"/>
        <w:spacing w:line="240" w:lineRule="auto" w:before="51"/>
        <w:ind w:left="1134" w:right="0"/>
        <w:jc w:val="left"/>
      </w:pPr>
      <w:r>
        <w:rPr/>
        <w:t>公司聘请的报告期内履行持续督导职责的保荐机构</w:t>
      </w:r>
    </w:p>
    <w:p>
      <w:pPr>
        <w:pStyle w:val="BodyText"/>
        <w:spacing w:line="338" w:lineRule="auto" w:before="117"/>
        <w:ind w:right="67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公司聘请的报告期内履行持续督导职责的财务顾问</w:t>
      </w:r>
    </w:p>
    <w:p>
      <w:pPr>
        <w:pStyle w:val="BodyText"/>
        <w:spacing w:line="240" w:lineRule="auto" w:before="43"/>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五、主要会计数据和财务指标" w:id="9"/>
      <w:bookmarkEnd w:id="9"/>
      <w:r>
        <w:rPr>
          <w:b w:val="0"/>
          <w:bCs w:val="0"/>
        </w:rPr>
      </w:r>
      <w:r>
        <w:rPr/>
        <w:t>五、主要会计数据和财务指标</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公司是否需追溯调整或重述以前年度会计数据</w:t>
      </w:r>
    </w:p>
    <w:p>
      <w:pPr>
        <w:pStyle w:val="BodyText"/>
        <w:spacing w:line="240" w:lineRule="auto" w:before="116"/>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12"/>
        <w:rPr>
          <w:rFonts w:ascii="宋体" w:hAnsi="宋体" w:cs="宋体" w:eastAsia="宋体" w:hint="default"/>
          <w:sz w:val="6"/>
          <w:szCs w:val="6"/>
        </w:rPr>
      </w:pPr>
    </w:p>
    <w:tbl>
      <w:tblPr>
        <w:tblW w:w="0" w:type="auto"/>
        <w:jc w:val="left"/>
        <w:tblInd w:w="1140" w:type="dxa"/>
        <w:tblLayout w:type="fixed"/>
        <w:tblCellMar>
          <w:top w:w="0" w:type="dxa"/>
          <w:left w:w="0" w:type="dxa"/>
          <w:bottom w:w="0" w:type="dxa"/>
          <w:right w:w="0" w:type="dxa"/>
        </w:tblCellMar>
        <w:tblLook w:val="01E0"/>
      </w:tblPr>
      <w:tblGrid>
        <w:gridCol w:w="2598"/>
        <w:gridCol w:w="1751"/>
        <w:gridCol w:w="1736"/>
        <w:gridCol w:w="1738"/>
        <w:gridCol w:w="1735"/>
      </w:tblGrid>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32" w:right="0"/>
              <w:jc w:val="left"/>
              <w:rPr>
                <w:rFonts w:ascii="宋体" w:hAnsi="宋体" w:cs="宋体" w:eastAsia="宋体" w:hint="default"/>
                <w:sz w:val="18"/>
                <w:szCs w:val="18"/>
              </w:rPr>
            </w:pPr>
            <w:r>
              <w:rPr>
                <w:rFonts w:ascii="宋体" w:hAnsi="宋体" w:cs="宋体" w:eastAsia="宋体" w:hint="default"/>
                <w:sz w:val="18"/>
                <w:szCs w:val="18"/>
              </w:rPr>
              <w:t>本年比上年增减</w:t>
            </w:r>
          </w:p>
        </w:tc>
        <w:tc>
          <w:tcPr>
            <w:tcW w:w="1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7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营业收入（元）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1,042,537,654.56</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789,543,369.79</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32.04%</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633,731,464.34</w:t>
            </w:r>
          </w:p>
        </w:tc>
      </w:tr>
      <w:tr>
        <w:trPr>
          <w:trHeight w:val="714"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188,169,290.74</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105,311,976.46</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78.68%</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81,766,786.51</w:t>
            </w:r>
          </w:p>
        </w:tc>
      </w:tr>
      <w:tr>
        <w:trPr>
          <w:trHeight w:val="714"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55"/>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 常性损益的净利润（元）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177,269,049.66</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93,534,860.60</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89.52%</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72,575,628.51</w:t>
            </w:r>
          </w:p>
        </w:tc>
      </w:tr>
      <w:tr>
        <w:trPr>
          <w:trHeight w:val="714"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191,412,255.55</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151,805,528.22</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26.09%</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27,548,119.66</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0.55</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0.310</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77.42%</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0.24</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0.55</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0.310</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77.42%</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0.24</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12.19%</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7.36%</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4.83%</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6.24%</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9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1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8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53"/>
              <w:jc w:val="right"/>
              <w:rPr>
                <w:rFonts w:ascii="宋体" w:hAnsi="宋体" w:cs="宋体" w:eastAsia="宋体" w:hint="default"/>
                <w:sz w:val="18"/>
                <w:szCs w:val="18"/>
              </w:rPr>
            </w:pPr>
            <w:r>
              <w:rPr>
                <w:rFonts w:ascii="宋体" w:hAnsi="宋体" w:cs="宋体" w:eastAsia="宋体" w:hint="default"/>
                <w:sz w:val="18"/>
                <w:szCs w:val="18"/>
              </w:rPr>
              <w:t>本年末比上年末增减</w:t>
            </w:r>
          </w:p>
        </w:tc>
        <w:tc>
          <w:tcPr>
            <w:tcW w:w="1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8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资产总额（元）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2,120,996,274.54</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1,785,402,740.52</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18.80%</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1,639,059,606.25</w:t>
            </w:r>
          </w:p>
        </w:tc>
      </w:tr>
      <w:tr>
        <w:trPr>
          <w:trHeight w:val="715"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归属于上市公司股东的净资产</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1,602,362,562.90</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1,449,615,380.52</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10.54%</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1,378,387,117.18</w:t>
            </w:r>
          </w:p>
        </w:tc>
      </w:tr>
    </w:tbl>
    <w:p>
      <w:pPr>
        <w:spacing w:line="240" w:lineRule="auto" w:before="2"/>
        <w:rPr>
          <w:rFonts w:ascii="宋体" w:hAnsi="宋体" w:cs="宋体" w:eastAsia="宋体" w:hint="default"/>
          <w:sz w:val="18"/>
          <w:szCs w:val="18"/>
        </w:rPr>
      </w:pPr>
    </w:p>
    <w:p>
      <w:pPr>
        <w:pStyle w:val="Heading2"/>
        <w:spacing w:line="240" w:lineRule="auto" w:before="26"/>
        <w:ind w:left="1134" w:right="0"/>
        <w:jc w:val="left"/>
        <w:rPr>
          <w:b w:val="0"/>
          <w:bCs w:val="0"/>
        </w:rPr>
      </w:pPr>
      <w:bookmarkStart w:name="六、分季度主要财务指标" w:id="10"/>
      <w:bookmarkEnd w:id="10"/>
      <w:r>
        <w:rPr>
          <w:b w:val="0"/>
          <w:bCs w:val="0"/>
        </w:rPr>
      </w:r>
      <w:r>
        <w:rPr/>
        <w:t>六、分季度主要财务指标</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2598"/>
        <w:gridCol w:w="1752"/>
        <w:gridCol w:w="1739"/>
        <w:gridCol w:w="1740"/>
        <w:gridCol w:w="1729"/>
      </w:tblGrid>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15" w:right="0"/>
              <w:jc w:val="left"/>
              <w:rPr>
                <w:rFonts w:ascii="宋体" w:hAnsi="宋体" w:cs="宋体" w:eastAsia="宋体" w:hint="default"/>
                <w:sz w:val="18"/>
                <w:szCs w:val="18"/>
              </w:rPr>
            </w:pPr>
            <w:r>
              <w:rPr>
                <w:rFonts w:ascii="宋体" w:hAnsi="宋体" w:cs="宋体" w:eastAsia="宋体" w:hint="default"/>
                <w:sz w:val="18"/>
                <w:szCs w:val="18"/>
              </w:rPr>
              <w:t>第一季度</w:t>
            </w:r>
          </w:p>
        </w:tc>
        <w:tc>
          <w:tcPr>
            <w:tcW w:w="17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3" w:right="0"/>
              <w:jc w:val="left"/>
              <w:rPr>
                <w:rFonts w:ascii="宋体" w:hAnsi="宋体" w:cs="宋体" w:eastAsia="宋体" w:hint="default"/>
                <w:sz w:val="18"/>
                <w:szCs w:val="18"/>
              </w:rPr>
            </w:pPr>
            <w:r>
              <w:rPr>
                <w:rFonts w:ascii="宋体" w:hAnsi="宋体" w:cs="宋体" w:eastAsia="宋体" w:hint="default"/>
                <w:sz w:val="18"/>
                <w:szCs w:val="18"/>
              </w:rPr>
              <w:t>第二季度</w:t>
            </w:r>
          </w:p>
        </w:tc>
        <w:tc>
          <w:tcPr>
            <w:tcW w:w="17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5" w:right="0"/>
              <w:jc w:val="left"/>
              <w:rPr>
                <w:rFonts w:ascii="宋体" w:hAnsi="宋体" w:cs="宋体" w:eastAsia="宋体" w:hint="default"/>
                <w:sz w:val="18"/>
                <w:szCs w:val="18"/>
              </w:rPr>
            </w:pPr>
            <w:r>
              <w:rPr>
                <w:rFonts w:ascii="宋体" w:hAnsi="宋体" w:cs="宋体" w:eastAsia="宋体" w:hint="default"/>
                <w:sz w:val="18"/>
                <w:szCs w:val="18"/>
              </w:rPr>
              <w:t>第三季度</w:t>
            </w:r>
          </w:p>
        </w:tc>
        <w:tc>
          <w:tcPr>
            <w:tcW w:w="17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99" w:right="0"/>
              <w:jc w:val="left"/>
              <w:rPr>
                <w:rFonts w:ascii="宋体" w:hAnsi="宋体" w:cs="宋体" w:eastAsia="宋体" w:hint="default"/>
                <w:sz w:val="18"/>
                <w:szCs w:val="18"/>
              </w:rPr>
            </w:pPr>
            <w:r>
              <w:rPr>
                <w:rFonts w:ascii="宋体" w:hAnsi="宋体" w:cs="宋体" w:eastAsia="宋体" w:hint="default"/>
                <w:sz w:val="18"/>
                <w:szCs w:val="18"/>
              </w:rPr>
              <w:t>第四季度</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5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181,976,733.90</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223,902,861.50</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218,824,838.56</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417,833,220.60</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tc>
        <w:tc>
          <w:tcPr>
            <w:tcW w:w="175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13,175,138.79</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36,173,365.85</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45,169,000.97</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93,651,785.13</w:t>
            </w:r>
          </w:p>
        </w:tc>
      </w:tr>
      <w:tr>
        <w:trPr>
          <w:trHeight w:val="714"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55"/>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 常性损益的净利润</w:t>
            </w:r>
          </w:p>
        </w:tc>
        <w:tc>
          <w:tcPr>
            <w:tcW w:w="175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11,829,214.29</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31,089,981.06</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42,796,724.13</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91,203,976.06</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75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-163,408,679.38</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-20,199,415.88</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-69,938,322.45</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444,958,673.26</w:t>
            </w:r>
          </w:p>
        </w:tc>
      </w:tr>
    </w:tbl>
    <w:p>
      <w:pPr>
        <w:pStyle w:val="BodyText"/>
        <w:spacing w:line="240" w:lineRule="auto" w:before="51"/>
        <w:ind w:left="1134" w:right="0"/>
        <w:jc w:val="left"/>
      </w:pPr>
      <w:r>
        <w:rPr/>
        <w:t>上述财务指标或其加总数是否与公司已披露季度报告、半年度报告相关财务指标存在重大差异</w:t>
      </w:r>
    </w:p>
    <w:p>
      <w:pPr>
        <w:spacing w:after="0" w:line="240" w:lineRule="auto"/>
        <w:jc w:val="left"/>
        <w:sectPr>
          <w:pgSz w:w="11910" w:h="16840"/>
          <w:pgMar w:header="747" w:footer="979" w:top="1060" w:bottom="1160" w:left="0" w:right="0"/>
        </w:sectPr>
      </w:pPr>
    </w:p>
    <w:p>
      <w:pPr>
        <w:spacing w:line="240" w:lineRule="auto" w:before="13"/>
        <w:rPr>
          <w:rFonts w:ascii="宋体" w:hAnsi="宋体" w:cs="宋体" w:eastAsia="宋体" w:hint="default"/>
          <w:sz w:val="25"/>
          <w:szCs w:val="25"/>
        </w:rPr>
      </w:pPr>
    </w:p>
    <w:p>
      <w:pPr>
        <w:pStyle w:val="BodyText"/>
        <w:spacing w:line="240" w:lineRule="auto" w:before="44"/>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七、境内外会计准则下会计数据差异" w:id="11"/>
      <w:bookmarkEnd w:id="11"/>
      <w:r>
        <w:rPr>
          <w:b w:val="0"/>
          <w:bCs w:val="0"/>
        </w:rPr>
      </w:r>
      <w:r>
        <w:rPr/>
        <w:t>七、境内外会计准则下会计数据差异</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同时按照国际会计准则与按照中国会计准则披露的财务报告中净利润和净资产差异情况" w:id="12"/>
      <w:bookmarkEnd w:id="12"/>
      <w:r>
        <w:rPr>
          <w:b w:val="0"/>
          <w:bCs w:val="0"/>
        </w:rPr>
      </w:r>
      <w:r>
        <w:rPr>
          <w:rFonts w:ascii="Times New Roman" w:hAnsi="Times New Roman" w:cs="Times New Roman" w:eastAsia="Times New Roman" w:hint="default"/>
        </w:rPr>
        <w:t>1</w:t>
      </w:r>
      <w:r>
        <w:rPr/>
        <w:t>、同时按照国际会计准则与按照中国会计准则披露的财务报告中净利润和净资产差异情况</w:t>
      </w:r>
      <w:r>
        <w:rPr>
          <w:b w:val="0"/>
          <w:bCs w:val="0"/>
        </w:rPr>
      </w:r>
    </w:p>
    <w:p>
      <w:pPr>
        <w:spacing w:line="240" w:lineRule="auto" w:before="8"/>
        <w:rPr>
          <w:rFonts w:ascii="宋体" w:hAnsi="宋体" w:cs="宋体" w:eastAsia="宋体" w:hint="default"/>
          <w:b/>
          <w:bCs/>
          <w:sz w:val="26"/>
          <w:szCs w:val="26"/>
        </w:rPr>
      </w:pPr>
    </w:p>
    <w:p>
      <w:pPr>
        <w:pStyle w:val="BodyText"/>
        <w:spacing w:line="338" w:lineRule="auto"/>
        <w:ind w:right="13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公司报告期不存在按照国际会计准则与按照中国会计准则披露的财务报告中净利润和净资产差异情况。</w:t>
      </w:r>
    </w:p>
    <w:p>
      <w:pPr>
        <w:spacing w:line="240" w:lineRule="auto" w:before="2"/>
        <w:rPr>
          <w:rFonts w:ascii="宋体" w:hAnsi="宋体" w:cs="宋体" w:eastAsia="宋体" w:hint="default"/>
          <w:sz w:val="21"/>
          <w:szCs w:val="21"/>
        </w:rPr>
      </w:pPr>
    </w:p>
    <w:p>
      <w:pPr>
        <w:pStyle w:val="Heading3"/>
        <w:spacing w:line="240" w:lineRule="auto"/>
        <w:ind w:right="0"/>
        <w:jc w:val="left"/>
        <w:rPr>
          <w:b w:val="0"/>
          <w:bCs w:val="0"/>
        </w:rPr>
      </w:pPr>
      <w:bookmarkStart w:name="2、同时按照境外会计准则与按照中国会计准则披露的财务报告中净利润和净资产差异情况" w:id="13"/>
      <w:bookmarkEnd w:id="13"/>
      <w:r>
        <w:rPr>
          <w:b w:val="0"/>
          <w:bCs w:val="0"/>
        </w:rPr>
      </w:r>
      <w:r>
        <w:rPr>
          <w:rFonts w:ascii="Times New Roman" w:hAnsi="Times New Roman" w:cs="Times New Roman" w:eastAsia="Times New Roman" w:hint="default"/>
        </w:rPr>
        <w:t>2</w:t>
      </w:r>
      <w:r>
        <w:rPr/>
        <w:t>、同时按照境外会计准则与按照中国会计准则披露的财务报告中净利润和净资产差异情况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26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公司报告期不存在按照境外会计准则与按照中国会计准则披露的财务报告中净利润和净资产差异情况。</w:t>
      </w:r>
    </w:p>
    <w:p>
      <w:pPr>
        <w:spacing w:line="240" w:lineRule="auto" w:before="4"/>
        <w:rPr>
          <w:rFonts w:ascii="宋体" w:hAnsi="宋体" w:cs="宋体" w:eastAsia="宋体" w:hint="default"/>
          <w:sz w:val="19"/>
          <w:szCs w:val="19"/>
        </w:rPr>
      </w:pPr>
    </w:p>
    <w:p>
      <w:pPr>
        <w:pStyle w:val="Heading2"/>
        <w:spacing w:line="240" w:lineRule="auto"/>
        <w:ind w:right="0"/>
        <w:jc w:val="left"/>
        <w:rPr>
          <w:b w:val="0"/>
          <w:bCs w:val="0"/>
        </w:rPr>
      </w:pPr>
      <w:bookmarkStart w:name="八、非经常性损益项目及金额" w:id="14"/>
      <w:bookmarkEnd w:id="14"/>
      <w:r>
        <w:rPr>
          <w:b w:val="0"/>
          <w:bCs w:val="0"/>
        </w:rPr>
      </w:r>
      <w:r>
        <w:rPr/>
        <w:t>八、非经常性损益项目及金额</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3273"/>
        <w:gridCol w:w="1532"/>
        <w:gridCol w:w="1520"/>
        <w:gridCol w:w="1522"/>
        <w:gridCol w:w="1710"/>
      </w:tblGrid>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5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714"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0"/>
              <w:jc w:val="left"/>
              <w:rPr>
                <w:rFonts w:ascii="宋体" w:hAnsi="宋体" w:cs="宋体" w:eastAsia="宋体" w:hint="default"/>
                <w:sz w:val="18"/>
                <w:szCs w:val="18"/>
              </w:rPr>
            </w:pPr>
            <w:r>
              <w:rPr>
                <w:rFonts w:ascii="宋体" w:hAnsi="宋体" w:cs="宋体" w:eastAsia="宋体" w:hint="default"/>
                <w:sz w:val="18"/>
                <w:szCs w:val="18"/>
              </w:rPr>
              <w:t>非流动资产处置损益（包括已计提资产减 值准备的冲销部分）</w:t>
            </w:r>
          </w:p>
        </w:tc>
        <w:tc>
          <w:tcPr>
            <w:tcW w:w="15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20,786.66</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110,077.89</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-1,117,302.76</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0"/>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 受的政府补助除外）</w:t>
            </w:r>
          </w:p>
        </w:tc>
        <w:tc>
          <w:tcPr>
            <w:tcW w:w="15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14,701,025.32</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15,711,425.23</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11,486,690.88</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0"/>
              <w:jc w:val="left"/>
              <w:rPr>
                <w:rFonts w:ascii="宋体" w:hAnsi="宋体" w:cs="宋体" w:eastAsia="宋体" w:hint="default"/>
                <w:sz w:val="18"/>
                <w:szCs w:val="18"/>
              </w:rPr>
            </w:pPr>
            <w:r>
              <w:rPr>
                <w:rFonts w:ascii="宋体" w:hAnsi="宋体" w:cs="宋体" w:eastAsia="宋体" w:hint="default"/>
                <w:sz w:val="18"/>
                <w:szCs w:val="18"/>
              </w:rPr>
              <w:t>同一控制下企业合并产生的子公司期初至 合并日的当期净损益</w:t>
            </w:r>
          </w:p>
        </w:tc>
        <w:tc>
          <w:tcPr>
            <w:tcW w:w="1532" w:type="dxa"/>
            <w:tcBorders>
              <w:top w:val="single" w:sz="4" w:space="0" w:color="000000"/>
              <w:left w:val="single" w:sz="13" w:space="0" w:color="D2D2D2"/>
              <w:bottom w:val="single" w:sz="4" w:space="0" w:color="000000"/>
              <w:right w:val="single" w:sz="4" w:space="0" w:color="000000"/>
            </w:tcBorders>
          </w:tcPr>
          <w:p>
            <w:pP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-1,836,118.28</w:t>
            </w:r>
          </w:p>
        </w:tc>
        <w:tc>
          <w:tcPr>
            <w:tcW w:w="1522"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15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-594,898.94</w:t>
            </w:r>
            <w:r>
              <w:rPr>
                <w:rFonts w:ascii="Times New Roman"/>
                <w:sz w:val="18"/>
              </w:rPr>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1,608,619.23</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264,063.07</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15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2,123,209.12</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1,965,459.41</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1,587,320.09</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少数股东权益影响额（税后）</w:t>
            </w:r>
          </w:p>
        </w:tc>
        <w:tc>
          <w:tcPr>
            <w:tcW w:w="15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1,103,462.84</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1,851,428.80</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-145,026.90</w:t>
            </w:r>
            <w:r>
              <w:rPr>
                <w:rFonts w:ascii="Times New Roman"/>
                <w:sz w:val="18"/>
              </w:rPr>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10,900,241.08</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11,777,115.86</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9,191,158.00</w:t>
            </w:r>
          </w:p>
        </w:tc>
        <w:tc>
          <w:tcPr>
            <w:tcW w:w="1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left="1134" w:right="0"/>
        <w:jc w:val="left"/>
      </w:pPr>
      <w:r>
        <w:rPr>
          <w:spacing w:val="-3"/>
        </w:rPr>
        <w:t>对公司根据《公开发行证券的公司信息披露解释性公告第</w:t>
      </w:r>
      <w:r>
        <w:rPr>
          <w:spacing w:val="-39"/>
        </w:rPr>
        <w:t> </w:t>
      </w:r>
      <w:r>
        <w:rPr>
          <w:rFonts w:ascii="Times New Roman" w:hAnsi="Times New Roman" w:cs="Times New Roman" w:eastAsia="Times New Roman" w:hint="default"/>
        </w:rPr>
        <w:t>1</w:t>
      </w:r>
      <w:r>
        <w:rPr>
          <w:rFonts w:ascii="Times New Roman" w:hAnsi="Times New Roman" w:cs="Times New Roman" w:eastAsia="Times New Roman" w:hint="default"/>
          <w:spacing w:val="5"/>
        </w:rPr>
        <w:t> </w:t>
      </w:r>
      <w:r>
        <w:rPr>
          <w:spacing w:val="-7"/>
        </w:rPr>
        <w:t>号</w:t>
      </w:r>
      <w:r>
        <w:rPr>
          <w:rFonts w:ascii="Times New Roman" w:hAnsi="Times New Roman" w:cs="Times New Roman" w:eastAsia="Times New Roman" w:hint="default"/>
          <w:spacing w:val="-7"/>
        </w:rPr>
        <w:t>——</w:t>
      </w:r>
      <w:r>
        <w:rPr>
          <w:spacing w:val="-7"/>
        </w:rPr>
        <w:t>非经常性损益》定义界定的非经常性损益项目，以及把《公</w:t>
      </w:r>
    </w:p>
    <w:p>
      <w:pPr>
        <w:pStyle w:val="BodyText"/>
        <w:spacing w:line="302" w:lineRule="auto" w:before="61"/>
        <w:ind w:left="1134" w:right="1118"/>
        <w:jc w:val="left"/>
      </w:pPr>
      <w:r>
        <w:rPr/>
        <w:t>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6"/>
        </w:rPr>
        <w:t> </w:t>
      </w:r>
      <w:r>
        <w:rPr>
          <w:spacing w:val="-3"/>
        </w:rPr>
        <w:t>号</w:t>
      </w:r>
      <w:r>
        <w:rPr>
          <w:rFonts w:ascii="Times New Roman" w:hAnsi="Times New Roman" w:cs="Times New Roman" w:eastAsia="Times New Roman" w:hint="default"/>
          <w:spacing w:val="-3"/>
        </w:rPr>
        <w:t>——</w:t>
      </w:r>
      <w:r>
        <w:rPr>
          <w:spacing w:val="-3"/>
        </w:rPr>
        <w:t>非经常性损益》中列举的非经常性损益项目界定为经常性损益的项目，应</w:t>
      </w:r>
      <w:r>
        <w:rPr/>
        <w:t> 说明原因</w:t>
      </w:r>
    </w:p>
    <w:p>
      <w:pPr>
        <w:pStyle w:val="BodyText"/>
        <w:spacing w:line="240" w:lineRule="auto" w:before="70"/>
        <w:ind w:left="113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302" w:lineRule="auto" w:before="101"/>
        <w:ind w:right="1116"/>
        <w:jc w:val="left"/>
      </w:pPr>
      <w:r>
        <w:rPr/>
        <w:t>公司报告期不存在将根据《公开发行证券的公司信息披露解释性公告第</w:t>
      </w:r>
      <w:r>
        <w:rPr>
          <w:spacing w:val="-53"/>
        </w:rPr>
        <w:t> </w:t>
      </w:r>
      <w:r>
        <w:rPr>
          <w:rFonts w:ascii="Times New Roman" w:hAnsi="Times New Roman" w:cs="Times New Roman" w:eastAsia="Times New Roman" w:hint="default"/>
        </w:rPr>
        <w:t>1</w:t>
      </w:r>
      <w:r>
        <w:rPr>
          <w:rFonts w:ascii="Times New Roman" w:hAnsi="Times New Roman" w:cs="Times New Roman" w:eastAsia="Times New Roman" w:hint="default"/>
          <w:spacing w:val="-9"/>
        </w:rPr>
        <w:t> </w:t>
      </w:r>
      <w:r>
        <w:rPr>
          <w:spacing w:val="-3"/>
        </w:rPr>
        <w:t>号</w:t>
      </w:r>
      <w:r>
        <w:rPr>
          <w:rFonts w:ascii="Times New Roman" w:hAnsi="Times New Roman" w:cs="Times New Roman" w:eastAsia="Times New Roman" w:hint="default"/>
          <w:spacing w:val="-3"/>
        </w:rPr>
        <w:t>——</w:t>
      </w:r>
      <w:r>
        <w:rPr>
          <w:spacing w:val="-3"/>
        </w:rPr>
        <w:t>非经常性损益》定义、列举的非经常性损益</w:t>
      </w:r>
      <w:r>
        <w:rPr/>
        <w:t> 项目界定为经常性损益的项目的情形。</w:t>
      </w:r>
    </w:p>
    <w:p>
      <w:pPr>
        <w:spacing w:after="0" w:line="302" w:lineRule="auto"/>
        <w:jc w:val="left"/>
        <w:sectPr>
          <w:pgSz w:w="11910" w:h="16840"/>
          <w:pgMar w:header="747" w:footer="979" w:top="1060" w:bottom="1160" w:left="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right="816"/>
        <w:jc w:val="center"/>
        <w:rPr>
          <w:b w:val="0"/>
          <w:bCs w:val="0"/>
        </w:rPr>
      </w:pPr>
      <w:bookmarkStart w:name="第三节 公司业务概要" w:id="15"/>
      <w:bookmarkEnd w:id="15"/>
      <w:r>
        <w:rPr>
          <w:b w:val="0"/>
          <w:bCs w:val="0"/>
        </w:rPr>
      </w:r>
      <w:bookmarkStart w:name="_bookmark2" w:id="16"/>
      <w:bookmarkEnd w:id="16"/>
      <w:r>
        <w:rPr>
          <w:b w:val="0"/>
          <w:bCs w:val="0"/>
        </w:rPr>
      </w:r>
      <w:r>
        <w:rPr/>
        <w:t>第三节</w:t>
      </w:r>
      <w:r>
        <w:rPr>
          <w:spacing w:val="-7"/>
        </w:rPr>
        <w:t> </w:t>
      </w:r>
      <w:r>
        <w:rPr/>
        <w:t>公司业务概要</w:t>
      </w:r>
      <w:r>
        <w:rPr>
          <w:b w:val="0"/>
          <w:bCs w:val="0"/>
        </w:rPr>
      </w:r>
    </w:p>
    <w:p>
      <w:pPr>
        <w:spacing w:line="240" w:lineRule="auto" w:before="12"/>
        <w:rPr>
          <w:rFonts w:ascii="宋体" w:hAnsi="宋体" w:cs="宋体" w:eastAsia="宋体" w:hint="default"/>
          <w:b/>
          <w:bCs/>
          <w:sz w:val="38"/>
          <w:szCs w:val="38"/>
        </w:rPr>
      </w:pPr>
    </w:p>
    <w:p>
      <w:pPr>
        <w:pStyle w:val="Heading2"/>
        <w:spacing w:line="240" w:lineRule="auto"/>
        <w:ind w:right="0"/>
        <w:jc w:val="left"/>
        <w:rPr>
          <w:b w:val="0"/>
          <w:bCs w:val="0"/>
        </w:rPr>
      </w:pPr>
      <w:bookmarkStart w:name="一、报告期内公司从事的主要业务" w:id="17"/>
      <w:bookmarkEnd w:id="17"/>
      <w:r>
        <w:rPr>
          <w:b w:val="0"/>
          <w:bCs w:val="0"/>
        </w:rPr>
      </w:r>
      <w:r>
        <w:rPr/>
        <w:t>一、报告期内公司从事的主要业务</w:t>
      </w:r>
      <w:r>
        <w:rPr>
          <w:b w:val="0"/>
          <w:bCs w:val="0"/>
        </w:rPr>
      </w:r>
    </w:p>
    <w:p>
      <w:pPr>
        <w:spacing w:line="240" w:lineRule="auto" w:before="7"/>
        <w:rPr>
          <w:rFonts w:ascii="宋体" w:hAnsi="宋体" w:cs="宋体" w:eastAsia="宋体" w:hint="default"/>
          <w:b/>
          <w:bCs/>
          <w:sz w:val="26"/>
          <w:szCs w:val="26"/>
        </w:rPr>
      </w:pPr>
    </w:p>
    <w:p>
      <w:pPr>
        <w:pStyle w:val="BodyText"/>
        <w:spacing w:line="360" w:lineRule="auto"/>
        <w:ind w:right="7693"/>
        <w:jc w:val="left"/>
      </w:pPr>
      <w:r>
        <w:rPr/>
        <w:t>公司是否需要遵守特殊行业的披露要求 否</w:t>
      </w:r>
    </w:p>
    <w:p>
      <w:pPr>
        <w:pStyle w:val="BodyText"/>
        <w:spacing w:line="307" w:lineRule="auto" w:before="25"/>
        <w:ind w:right="1129" w:firstLine="360"/>
        <w:jc w:val="both"/>
      </w:pPr>
      <w:r>
        <w:rPr>
          <w:rFonts w:ascii="Times New Roman" w:hAnsi="Times New Roman" w:cs="Times New Roman" w:eastAsia="Times New Roman" w:hint="default"/>
        </w:rPr>
        <w:t>2017</w:t>
      </w:r>
      <w:r>
        <w:rPr/>
        <w:t>年是</w:t>
      </w:r>
      <w:r>
        <w:rPr>
          <w:rFonts w:ascii="Times New Roman" w:hAnsi="Times New Roman" w:cs="Times New Roman" w:eastAsia="Times New Roman" w:hint="default"/>
        </w:rPr>
        <w:t>“</w:t>
      </w:r>
      <w:r>
        <w:rPr/>
        <w:t>大气十条</w:t>
      </w:r>
      <w:r>
        <w:rPr>
          <w:rFonts w:ascii="Times New Roman" w:hAnsi="Times New Roman" w:cs="Times New Roman" w:eastAsia="Times New Roman" w:hint="default"/>
        </w:rPr>
        <w:t>”</w:t>
      </w:r>
      <w:r>
        <w:rPr/>
        <w:t>的收官之年，党中央高度重视生态环境建设，实现中央环保督察全覆盖，《国家环境保护标准</w:t>
      </w:r>
      <w:r>
        <w:rPr>
          <w:rFonts w:ascii="Times New Roman" w:hAnsi="Times New Roman" w:cs="Times New Roman" w:eastAsia="Times New Roman" w:hint="default"/>
        </w:rPr>
        <w:t>“</w:t>
      </w:r>
      <w:r>
        <w:rPr/>
        <w:t>十 </w:t>
      </w:r>
      <w:r>
        <w:rPr>
          <w:spacing w:val="-7"/>
        </w:rPr>
        <w:t>三五</w:t>
      </w:r>
      <w:r>
        <w:rPr>
          <w:rFonts w:ascii="Times New Roman" w:hAnsi="Times New Roman" w:cs="Times New Roman" w:eastAsia="Times New Roman" w:hint="default"/>
          <w:spacing w:val="-7"/>
        </w:rPr>
        <w:t>”</w:t>
      </w:r>
      <w:r>
        <w:rPr>
          <w:spacing w:val="-7"/>
        </w:rPr>
        <w:t>发展规划》的出台，进一步打开环保产业市场。《城市环境空气质量变化程度排名方案》、《京津冀及周边地区</w:t>
      </w:r>
      <w:r>
        <w:rPr>
          <w:rFonts w:ascii="Times New Roman" w:hAnsi="Times New Roman" w:cs="Times New Roman" w:eastAsia="Times New Roman" w:hint="default"/>
          <w:spacing w:val="-7"/>
        </w:rPr>
        <w:t>2017-2018</w:t>
      </w:r>
      <w:r>
        <w:rPr>
          <w:rFonts w:ascii="Times New Roman" w:hAnsi="Times New Roman" w:cs="Times New Roman" w:eastAsia="Times New Roman" w:hint="default"/>
          <w:spacing w:val="-23"/>
        </w:rPr>
        <w:t> </w:t>
      </w:r>
      <w:r>
        <w:rPr>
          <w:spacing w:val="-2"/>
        </w:rPr>
        <w:t>年秋冬季大气污染综合治理攻坚行动方案》、《</w:t>
      </w:r>
      <w:r>
        <w:rPr>
          <w:rFonts w:ascii="Times New Roman" w:hAnsi="Times New Roman" w:cs="Times New Roman" w:eastAsia="Times New Roman" w:hint="default"/>
          <w:spacing w:val="-2"/>
        </w:rPr>
        <w:t>“</w:t>
      </w:r>
      <w:r>
        <w:rPr>
          <w:spacing w:val="-2"/>
        </w:rPr>
        <w:t>十三五</w:t>
      </w:r>
      <w:r>
        <w:rPr>
          <w:rFonts w:ascii="Times New Roman" w:hAnsi="Times New Roman" w:cs="Times New Roman" w:eastAsia="Times New Roman" w:hint="default"/>
          <w:spacing w:val="-2"/>
        </w:rPr>
        <w:t>”</w:t>
      </w:r>
      <w:r>
        <w:rPr>
          <w:spacing w:val="-2"/>
        </w:rPr>
        <w:t>挥发性有机物污染防治工作方案》等政策进一步推进，使得原有大</w:t>
      </w:r>
      <w:r>
        <w:rPr>
          <w:spacing w:val="-45"/>
        </w:rPr>
        <w:t> </w:t>
      </w:r>
      <w:r>
        <w:rPr>
          <w:spacing w:val="-45"/>
        </w:rPr>
      </w:r>
      <w:r>
        <w:rPr>
          <w:spacing w:val="-2"/>
        </w:rPr>
        <w:t>气监测市场继续扩容；另一方面，《水污染防治法》、《国家地表水环境质量监测网采测分离实施方案》以及河长制等法规</w:t>
      </w:r>
      <w:r>
        <w:rPr>
          <w:spacing w:val="-68"/>
        </w:rPr>
        <w:t> </w:t>
      </w:r>
      <w:r>
        <w:rPr>
          <w:spacing w:val="-68"/>
        </w:rPr>
      </w:r>
      <w:r>
        <w:rPr>
          <w:spacing w:val="-2"/>
        </w:rPr>
        <w:t>政策的相继出台，水质监测市场继续保持高速增长的态势。公司作为国内高端环境监测仪器仪表领军企业，已发展成为集环</w:t>
      </w:r>
      <w:r>
        <w:rPr>
          <w:spacing w:val="-65"/>
        </w:rPr>
        <w:t> </w:t>
      </w:r>
      <w:r>
        <w:rPr>
          <w:spacing w:val="-65"/>
        </w:rPr>
      </w:r>
      <w:r>
        <w:rPr>
          <w:spacing w:val="-2"/>
        </w:rPr>
        <w:t>境监测、治理、服务为一体的集团化公司，业务涵盖生态环境监测装备、运维服务、社会化检测、环境大数据分析及决策支</w:t>
      </w:r>
      <w:r>
        <w:rPr>
          <w:spacing w:val="-68"/>
        </w:rPr>
        <w:t> </w:t>
      </w:r>
      <w:r>
        <w:rPr>
          <w:spacing w:val="-68"/>
        </w:rPr>
      </w:r>
      <w:r>
        <w:rPr/>
        <w:t>持服务、</w:t>
      </w:r>
      <w:r>
        <w:rPr>
          <w:rFonts w:ascii="Times New Roman" w:hAnsi="Times New Roman" w:cs="Times New Roman" w:eastAsia="Times New Roman" w:hint="default"/>
        </w:rPr>
        <w:t>VOCs</w:t>
      </w:r>
      <w:r>
        <w:rPr/>
        <w:t>治理、农村分散污水治理以及民用净化七大领域。报告期内，公司逐渐从环境监测装备制造商到环境数据服</w:t>
      </w:r>
      <w:r>
        <w:rPr>
          <w:spacing w:val="-84"/>
        </w:rPr>
        <w:t> </w:t>
      </w:r>
      <w:r>
        <w:rPr>
          <w:spacing w:val="-84"/>
        </w:rPr>
      </w:r>
      <w:r>
        <w:rPr/>
        <w:t>务提供商再到生态环境综合服务商进行转变，抢抓市场，推动了业绩的大幅提升。</w:t>
      </w:r>
    </w:p>
    <w:p>
      <w:pPr>
        <w:pStyle w:val="BodyText"/>
        <w:spacing w:line="240" w:lineRule="auto" w:before="26"/>
        <w:ind w:left="1405" w:right="0"/>
        <w:jc w:val="left"/>
      </w:pPr>
      <w:r>
        <w:rPr/>
        <w:t>（一）所处行业的发展趋势</w:t>
      </w:r>
    </w:p>
    <w:p>
      <w:pPr>
        <w:pStyle w:val="BodyText"/>
        <w:spacing w:line="300" w:lineRule="auto" w:before="76"/>
        <w:ind w:left="1134" w:right="1122" w:firstLine="360"/>
        <w:jc w:val="left"/>
      </w:pPr>
      <w:r>
        <w:rPr>
          <w:rFonts w:ascii="Times New Roman" w:hAnsi="Times New Roman" w:cs="Times New Roman" w:eastAsia="Times New Roman" w:hint="default"/>
        </w:rPr>
        <w:t>1</w:t>
      </w:r>
      <w:r>
        <w:rPr/>
        <w:t>、以生态环境网格化综合监控为基础的大气污染监控及决策支持系统、成分分析系统、道路交通综合管理、水环境综 合监测及决策支持系统等市场规模会稳步增长。</w:t>
      </w:r>
    </w:p>
    <w:p>
      <w:pPr>
        <w:pStyle w:val="BodyText"/>
        <w:spacing w:line="300" w:lineRule="auto" w:before="31"/>
        <w:ind w:right="1041" w:firstLine="360"/>
        <w:jc w:val="both"/>
      </w:pPr>
      <w:r>
        <w:rPr>
          <w:rFonts w:ascii="Times New Roman" w:hAnsi="Times New Roman" w:cs="Times New Roman" w:eastAsia="Times New Roman" w:hint="default"/>
          <w:spacing w:val="-4"/>
        </w:rPr>
        <w:t>2018</w:t>
      </w:r>
      <w:r>
        <w:rPr>
          <w:spacing w:val="-4"/>
        </w:rPr>
        <w:t>年将贯彻落实《</w:t>
      </w:r>
      <w:r>
        <w:rPr>
          <w:rFonts w:ascii="Times New Roman" w:hAnsi="Times New Roman" w:cs="Times New Roman" w:eastAsia="Times New Roman" w:hint="default"/>
          <w:spacing w:val="-4"/>
        </w:rPr>
        <w:t>“</w:t>
      </w:r>
      <w:r>
        <w:rPr>
          <w:spacing w:val="-4"/>
        </w:rPr>
        <w:t>十三五</w:t>
      </w:r>
      <w:r>
        <w:rPr>
          <w:rFonts w:ascii="Times New Roman" w:hAnsi="Times New Roman" w:cs="Times New Roman" w:eastAsia="Times New Roman" w:hint="default"/>
          <w:spacing w:val="-4"/>
        </w:rPr>
        <w:t>”</w:t>
      </w:r>
      <w:r>
        <w:rPr>
          <w:spacing w:val="-4"/>
        </w:rPr>
        <w:t>生态环境保护规划》，并以此为基础，落实《</w:t>
      </w:r>
      <w:r>
        <w:rPr>
          <w:rFonts w:ascii="Times New Roman" w:hAnsi="Times New Roman" w:cs="Times New Roman" w:eastAsia="Times New Roman" w:hint="default"/>
          <w:spacing w:val="-4"/>
        </w:rPr>
        <w:t>“</w:t>
      </w:r>
      <w:r>
        <w:rPr>
          <w:spacing w:val="-4"/>
        </w:rPr>
        <w:t>十三五</w:t>
      </w:r>
      <w:r>
        <w:rPr>
          <w:rFonts w:ascii="Times New Roman" w:hAnsi="Times New Roman" w:cs="Times New Roman" w:eastAsia="Times New Roman" w:hint="default"/>
          <w:spacing w:val="-4"/>
        </w:rPr>
        <w:t>”</w:t>
      </w:r>
      <w:r>
        <w:rPr>
          <w:spacing w:val="-4"/>
        </w:rPr>
        <w:t>环境监测质量管理工作方案》、《环</w:t>
      </w:r>
      <w:r>
        <w:rPr/>
        <w:t> 境保护法》和《生态环境监测网络建设方案》，《环境保护税法》、新修订的《中华人民共和国水污染防治法》、《</w:t>
      </w:r>
      <w:r>
        <w:rPr>
          <w:rFonts w:ascii="Times New Roman" w:hAnsi="Times New Roman" w:cs="Times New Roman" w:eastAsia="Times New Roman" w:hint="default"/>
        </w:rPr>
        <w:t>2018</w:t>
      </w:r>
      <w:r>
        <w:rPr>
          <w:rFonts w:ascii="Times New Roman" w:hAnsi="Times New Roman" w:cs="Times New Roman" w:eastAsia="Times New Roman" w:hint="default"/>
          <w:spacing w:val="2"/>
        </w:rPr>
        <w:t> </w:t>
      </w:r>
      <w:r>
        <w:rPr>
          <w:rFonts w:ascii="Times New Roman" w:hAnsi="Times New Roman" w:cs="Times New Roman" w:eastAsia="Times New Roman" w:hint="default"/>
          <w:spacing w:val="2"/>
        </w:rPr>
      </w:r>
      <w:r>
        <w:rPr/>
        <w:t>年黑臭水体整治和城镇、园区污水处理设施建设专项行动方案》、《</w:t>
      </w:r>
      <w:r>
        <w:rPr>
          <w:rFonts w:ascii="Times New Roman" w:hAnsi="Times New Roman" w:cs="Times New Roman" w:eastAsia="Times New Roman" w:hint="default"/>
        </w:rPr>
        <w:t>“</w:t>
      </w:r>
      <w:r>
        <w:rPr/>
        <w:t>十三五</w:t>
      </w:r>
      <w:r>
        <w:rPr>
          <w:rFonts w:ascii="Times New Roman" w:hAnsi="Times New Roman" w:cs="Times New Roman" w:eastAsia="Times New Roman" w:hint="default"/>
        </w:rPr>
        <w:t>”</w:t>
      </w:r>
      <w:r>
        <w:rPr/>
        <w:t>挥发性有机物污染防治工作方案》，全国将继 </w:t>
      </w:r>
      <w:r>
        <w:rPr>
          <w:spacing w:val="-1"/>
        </w:rPr>
        <w:t>续聚焦环境质量改善，深化空气质量监测、水环境质量监测、</w:t>
      </w:r>
      <w:r>
        <w:rPr>
          <w:rFonts w:ascii="Times New Roman" w:hAnsi="Times New Roman" w:cs="Times New Roman" w:eastAsia="Times New Roman" w:hint="default"/>
          <w:spacing w:val="-1"/>
        </w:rPr>
        <w:t>VOC</w:t>
      </w:r>
      <w:r>
        <w:rPr>
          <w:spacing w:val="-1"/>
        </w:rPr>
        <w:t>治理、农村分散污水治理，持续加大生态环境保护力度。</w:t>
      </w:r>
    </w:p>
    <w:p>
      <w:pPr>
        <w:pStyle w:val="BodyText"/>
        <w:spacing w:line="300" w:lineRule="auto" w:before="13"/>
        <w:ind w:right="0" w:firstLine="360"/>
        <w:jc w:val="left"/>
      </w:pPr>
      <w:r>
        <w:rPr>
          <w:spacing w:val="-2"/>
        </w:rPr>
        <w:t>成分分析系统方面，</w:t>
      </w:r>
      <w:r>
        <w:rPr>
          <w:rFonts w:ascii="Times New Roman" w:hAnsi="Times New Roman" w:cs="Times New Roman" w:eastAsia="Times New Roman" w:hint="default"/>
          <w:spacing w:val="-2"/>
        </w:rPr>
        <w:t>2017</w:t>
      </w:r>
      <w:r>
        <w:rPr>
          <w:spacing w:val="-2"/>
        </w:rPr>
        <w:t>年国家完成京津冀及周边地区颗粒物组分和光化学监测网能力建设，</w:t>
      </w:r>
      <w:r>
        <w:rPr>
          <w:rFonts w:ascii="Times New Roman" w:hAnsi="Times New Roman" w:cs="Times New Roman" w:eastAsia="Times New Roman" w:hint="default"/>
          <w:spacing w:val="-2"/>
        </w:rPr>
        <w:t>2018</w:t>
      </w:r>
      <w:r>
        <w:rPr>
          <w:spacing w:val="-2"/>
        </w:rPr>
        <w:t>年会继续开展大气污</w:t>
      </w:r>
      <w:r>
        <w:rPr/>
        <w:t> 染物来源解析研究工作，成分分析市场份额会保持增长。</w:t>
      </w:r>
    </w:p>
    <w:p>
      <w:pPr>
        <w:pStyle w:val="BodyText"/>
        <w:spacing w:line="309" w:lineRule="auto" w:before="31"/>
        <w:ind w:right="1033" w:firstLine="360"/>
        <w:jc w:val="left"/>
      </w:pPr>
      <w:r>
        <w:rPr>
          <w:spacing w:val="-2"/>
        </w:rPr>
        <w:t>道路交通综合管理市场方面，</w:t>
      </w:r>
      <w:r>
        <w:rPr>
          <w:rFonts w:ascii="Times New Roman" w:hAnsi="Times New Roman" w:cs="Times New Roman" w:eastAsia="Times New Roman" w:hint="default"/>
          <w:spacing w:val="-2"/>
        </w:rPr>
        <w:t>2018</w:t>
      </w:r>
      <w:r>
        <w:rPr>
          <w:spacing w:val="-2"/>
        </w:rPr>
        <w:t>年，机动车尾气遥感监测市场进入爆发期，</w:t>
      </w:r>
      <w:r>
        <w:rPr>
          <w:rFonts w:ascii="Times New Roman" w:hAnsi="Times New Roman" w:cs="Times New Roman" w:eastAsia="Times New Roman" w:hint="default"/>
          <w:spacing w:val="-2"/>
        </w:rPr>
        <w:t>“2+26”</w:t>
      </w:r>
      <w:r>
        <w:rPr>
          <w:spacing w:val="-2"/>
        </w:rPr>
        <w:t>城市机动车尾气遥感监测网络的启</w:t>
      </w:r>
      <w:r>
        <w:rPr>
          <w:w w:val="100"/>
        </w:rPr>
        <w:t> </w:t>
      </w:r>
      <w:r>
        <w:rPr/>
        <w:t>动预计会对其他地市、区县的示范作用；黑烟车电子抓拍迎来市场发展契机，重型柴油车辆是国家机动车污染管控的重点。</w:t>
      </w:r>
      <w:r>
        <w:rPr>
          <w:w w:val="100"/>
        </w:rPr>
        <w:t> </w:t>
      </w:r>
      <w:r>
        <w:rPr/>
        <w:t>黑烟车自动抓拍系统可直接获取冒黑烟车辆尾气排放视频及图片，可为环保及交管部门提供直接的环境执法证据。</w:t>
      </w:r>
    </w:p>
    <w:p>
      <w:pPr>
        <w:pStyle w:val="BodyText"/>
        <w:spacing w:line="304" w:lineRule="auto" w:before="24"/>
        <w:ind w:right="1033" w:firstLine="360"/>
        <w:jc w:val="left"/>
      </w:pPr>
      <w:r>
        <w:rPr>
          <w:spacing w:val="-3"/>
        </w:rPr>
        <w:t>在水质监测市场上，随着</w:t>
      </w:r>
      <w:r>
        <w:rPr>
          <w:rFonts w:ascii="Times New Roman" w:hAnsi="Times New Roman" w:cs="Times New Roman" w:eastAsia="Times New Roman" w:hint="default"/>
          <w:spacing w:val="-3"/>
        </w:rPr>
        <w:t>“</w:t>
      </w:r>
      <w:r>
        <w:rPr>
          <w:spacing w:val="-3"/>
        </w:rPr>
        <w:t>水十条</w:t>
      </w:r>
      <w:r>
        <w:rPr>
          <w:rFonts w:ascii="Times New Roman" w:hAnsi="Times New Roman" w:cs="Times New Roman" w:eastAsia="Times New Roman" w:hint="default"/>
          <w:spacing w:val="-3"/>
        </w:rPr>
        <w:t>”</w:t>
      </w:r>
      <w:r>
        <w:rPr>
          <w:spacing w:val="-3"/>
        </w:rPr>
        <w:t>的实施，水质监测市场将迎来快速增长阶段。</w:t>
      </w:r>
      <w:r>
        <w:rPr>
          <w:rFonts w:ascii="Times New Roman" w:hAnsi="Times New Roman" w:cs="Times New Roman" w:eastAsia="Times New Roman" w:hint="default"/>
          <w:spacing w:val="-3"/>
        </w:rPr>
        <w:t>2018</w:t>
      </w:r>
      <w:r>
        <w:rPr>
          <w:spacing w:val="-3"/>
        </w:rPr>
        <w:t>年</w:t>
      </w:r>
      <w:r>
        <w:rPr>
          <w:rFonts w:ascii="Times New Roman" w:hAnsi="Times New Roman" w:cs="Times New Roman" w:eastAsia="Times New Roman" w:hint="default"/>
          <w:spacing w:val="-3"/>
        </w:rPr>
        <w:t>1</w:t>
      </w:r>
      <w:r>
        <w:rPr>
          <w:spacing w:val="-3"/>
        </w:rPr>
        <w:t>月</w:t>
      </w:r>
      <w:r>
        <w:rPr>
          <w:rFonts w:ascii="Times New Roman" w:hAnsi="Times New Roman" w:cs="Times New Roman" w:eastAsia="Times New Roman" w:hint="default"/>
          <w:spacing w:val="-3"/>
        </w:rPr>
        <w:t>4</w:t>
      </w:r>
      <w:r>
        <w:rPr>
          <w:spacing w:val="-3"/>
        </w:rPr>
        <w:t>日，在</w:t>
      </w:r>
      <w:r>
        <w:rPr>
          <w:rFonts w:ascii="Times New Roman" w:hAnsi="Times New Roman" w:cs="Times New Roman" w:eastAsia="Times New Roman" w:hint="default"/>
          <w:spacing w:val="-3"/>
        </w:rPr>
        <w:t>“</w:t>
      </w:r>
      <w:r>
        <w:rPr>
          <w:spacing w:val="-3"/>
        </w:rPr>
        <w:t>河长制</w:t>
      </w:r>
      <w:r>
        <w:rPr>
          <w:rFonts w:ascii="Times New Roman" w:hAnsi="Times New Roman" w:cs="Times New Roman" w:eastAsia="Times New Roman" w:hint="default"/>
          <w:spacing w:val="-3"/>
        </w:rPr>
        <w:t>”</w:t>
      </w:r>
      <w:r>
        <w:rPr>
          <w:spacing w:val="-3"/>
        </w:rPr>
        <w:t>推出一年后，</w:t>
      </w:r>
      <w:r>
        <w:rPr/>
        <w:t> 中共中央办公厅、国务院办公厅印发了《关于在湖泊实施湖长制的指导意见》，要求各地在</w:t>
      </w:r>
      <w:r>
        <w:rPr>
          <w:rFonts w:ascii="Times New Roman" w:hAnsi="Times New Roman" w:cs="Times New Roman" w:eastAsia="Times New Roman" w:hint="default"/>
        </w:rPr>
        <w:t>2018</w:t>
      </w:r>
      <w:r>
        <w:rPr/>
        <w:t>年年底前全面建成湖长制。 </w:t>
      </w:r>
      <w:r>
        <w:rPr>
          <w:spacing w:val="-2"/>
        </w:rPr>
        <w:t>根据要求，各省市要将本行政区域内所有湖泊纳入全面推行湖长制工作范围，到</w:t>
      </w:r>
      <w:r>
        <w:rPr>
          <w:rFonts w:ascii="Times New Roman" w:hAnsi="Times New Roman" w:cs="Times New Roman" w:eastAsia="Times New Roman" w:hint="default"/>
          <w:spacing w:val="-2"/>
        </w:rPr>
        <w:t>2018</w:t>
      </w:r>
      <w:r>
        <w:rPr>
          <w:spacing w:val="-2"/>
        </w:rPr>
        <w:t>年年底前在湖泊全面建立湖长制，建立</w:t>
      </w:r>
      <w:r>
        <w:rPr>
          <w:spacing w:val="-62"/>
        </w:rPr>
        <w:t> </w:t>
      </w:r>
      <w:r>
        <w:rPr>
          <w:spacing w:val="-62"/>
        </w:rPr>
      </w:r>
      <w:r>
        <w:rPr>
          <w:spacing w:val="-2"/>
        </w:rPr>
        <w:t>健全以党政领导负责制为核心的责任体系，落实属地管理责任。全国各地将全面建立省、市、县、乡四级湖长体系，实行网</w:t>
      </w:r>
      <w:r>
        <w:rPr>
          <w:spacing w:val="-67"/>
        </w:rPr>
        <w:t> </w:t>
      </w:r>
      <w:r>
        <w:rPr>
          <w:spacing w:val="-67"/>
        </w:rPr>
      </w:r>
      <w:r>
        <w:rPr/>
        <w:t>格化管理。</w:t>
      </w:r>
    </w:p>
    <w:p>
      <w:pPr>
        <w:pStyle w:val="BodyText"/>
        <w:spacing w:line="312" w:lineRule="auto" w:before="28"/>
        <w:ind w:left="1134" w:right="0" w:firstLine="360"/>
        <w:jc w:val="left"/>
        <w:rPr>
          <w:rFonts w:ascii="Times New Roman" w:hAnsi="Times New Roman" w:cs="Times New Roman" w:eastAsia="Times New Roman" w:hint="default"/>
        </w:rPr>
      </w:pPr>
      <w:r>
        <w:rPr>
          <w:spacing w:val="-2"/>
        </w:rPr>
        <w:t>运营市场作为发展趋势，市场容量进一步增加。随着对环境监测工作认识的不断深化，国家对环境监测事权划分进一步</w:t>
      </w:r>
      <w:r>
        <w:rPr/>
        <w:t> </w:t>
      </w:r>
      <w:r>
        <w:rPr>
          <w:spacing w:val="-2"/>
        </w:rPr>
        <w:t>明确，《生态环境监测网络建设方案》明确提出要</w:t>
      </w:r>
      <w:r>
        <w:rPr>
          <w:rFonts w:ascii="Times New Roman" w:hAnsi="Times New Roman" w:cs="Times New Roman" w:eastAsia="Times New Roman" w:hint="default"/>
          <w:spacing w:val="-2"/>
        </w:rPr>
        <w:t>“</w:t>
      </w:r>
      <w:r>
        <w:rPr>
          <w:spacing w:val="-2"/>
        </w:rPr>
        <w:t>明确生态环境监测事权，各级环境保护部门主要承担生态环境质量监测、</w:t>
      </w:r>
      <w:r>
        <w:rPr>
          <w:spacing w:val="-52"/>
        </w:rPr>
        <w:t> </w:t>
      </w:r>
      <w:r>
        <w:rPr>
          <w:spacing w:val="-52"/>
        </w:rPr>
      </w:r>
      <w:r>
        <w:rPr>
          <w:spacing w:val="-2"/>
        </w:rPr>
        <w:t>重点污染源监督性监测、环境执法监测、环境应急监测与预报预警等职能。环境保护部适度上收生态环境质量监测事权，准</w:t>
      </w:r>
      <w:r>
        <w:rPr>
          <w:spacing w:val="-66"/>
        </w:rPr>
        <w:t> </w:t>
      </w:r>
      <w:r>
        <w:rPr>
          <w:spacing w:val="-66"/>
        </w:rPr>
      </w:r>
      <w:r>
        <w:rPr/>
        <w:t>确掌握、客观评价全国生态环境质量总体状况。</w:t>
      </w:r>
      <w:r>
        <w:rPr>
          <w:rFonts w:ascii="Times New Roman" w:hAnsi="Times New Roman" w:cs="Times New Roman" w:eastAsia="Times New Roman" w:hint="default"/>
        </w:rPr>
        <w:t>”</w:t>
      </w:r>
    </w:p>
    <w:p>
      <w:pPr>
        <w:pStyle w:val="BodyText"/>
        <w:spacing w:line="307" w:lineRule="auto" w:before="3"/>
        <w:ind w:right="1129" w:firstLine="360"/>
        <w:jc w:val="both"/>
      </w:pPr>
      <w:r>
        <w:rPr>
          <w:rFonts w:ascii="Times New Roman" w:hAnsi="Times New Roman" w:cs="Times New Roman" w:eastAsia="Times New Roman" w:hint="default"/>
        </w:rPr>
        <w:t>2</w:t>
      </w:r>
      <w:r>
        <w:rPr/>
        <w:t>、</w:t>
      </w:r>
      <w:r>
        <w:rPr>
          <w:rFonts w:ascii="Times New Roman" w:hAnsi="Times New Roman" w:cs="Times New Roman" w:eastAsia="Times New Roman" w:hint="default"/>
        </w:rPr>
        <w:t>VOCs</w:t>
      </w:r>
      <w:r>
        <w:rPr/>
        <w:t>政策持续向好，市场空间巨大。</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9</w:t>
      </w:r>
      <w:r>
        <w:rPr/>
        <w:t>月，环保部，环保部等六部委联合印发《</w:t>
      </w:r>
      <w:r>
        <w:rPr>
          <w:rFonts w:ascii="Times New Roman" w:hAnsi="Times New Roman" w:cs="Times New Roman" w:eastAsia="Times New Roman" w:hint="default"/>
        </w:rPr>
        <w:t>“</w:t>
      </w:r>
      <w:r>
        <w:rPr/>
        <w:t>十三五</w:t>
      </w:r>
      <w:r>
        <w:rPr>
          <w:rFonts w:ascii="Times New Roman" w:hAnsi="Times New Roman" w:cs="Times New Roman" w:eastAsia="Times New Roman" w:hint="default"/>
        </w:rPr>
        <w:t>”</w:t>
      </w:r>
      <w:r>
        <w:rPr/>
        <w:t>挥发性有机物污染 </w:t>
      </w:r>
      <w:r>
        <w:rPr>
          <w:spacing w:val="-2"/>
        </w:rPr>
        <w:t>防治工作方案》的通知，文件强调京津冀及周边、长三角、珠三角、成渝、武汉及其周边、辽宁中部、陕西关中、长株潭等</w:t>
      </w:r>
      <w:r>
        <w:rPr>
          <w:spacing w:val="-69"/>
        </w:rPr>
        <w:t> </w:t>
      </w:r>
      <w:r>
        <w:rPr>
          <w:spacing w:val="-69"/>
        </w:rPr>
      </w:r>
      <w:r>
        <w:rPr>
          <w:spacing w:val="-2"/>
        </w:rPr>
        <w:t>区域，涉及北京、天津、河北、辽宁、上海、江苏、浙江、安徽、山东、河南、广东、湖北、湖南、重庆、四川、陕西等</w:t>
      </w:r>
      <w:r>
        <w:rPr>
          <w:rFonts w:ascii="Times New Roman" w:hAnsi="Times New Roman" w:cs="Times New Roman" w:eastAsia="Times New Roman" w:hint="default"/>
          <w:spacing w:val="-2"/>
        </w:rPr>
        <w:t>16</w:t>
      </w:r>
      <w:r>
        <w:rPr>
          <w:rFonts w:ascii="Times New Roman" w:hAnsi="Times New Roman" w:cs="Times New Roman" w:eastAsia="Times New Roman" w:hint="default"/>
          <w:spacing w:val="-24"/>
        </w:rPr>
        <w:t> </w:t>
      </w:r>
      <w:r>
        <w:rPr>
          <w:spacing w:val="-2"/>
        </w:rPr>
        <w:t>个省（市）作为治理的重点区域；重点推进石化、化工、包装印刷、工业涂装等重点行业以及机动车、油品储运销等交通源</w:t>
      </w:r>
      <w:r>
        <w:rPr>
          <w:spacing w:val="-72"/>
        </w:rPr>
        <w:t> </w:t>
      </w:r>
      <w:r>
        <w:rPr>
          <w:spacing w:val="-72"/>
        </w:rPr>
      </w:r>
      <w:r>
        <w:rPr>
          <w:rFonts w:ascii="Times New Roman" w:hAnsi="Times New Roman" w:cs="Times New Roman" w:eastAsia="Times New Roman" w:hint="default"/>
        </w:rPr>
        <w:t>VOCs </w:t>
      </w:r>
      <w:r>
        <w:rPr/>
        <w:t>污染防治；强调加大产业结构调整力度、加快实施工业源</w:t>
      </w:r>
      <w:r>
        <w:rPr>
          <w:rFonts w:ascii="Times New Roman" w:hAnsi="Times New Roman" w:cs="Times New Roman" w:eastAsia="Times New Roman" w:hint="default"/>
        </w:rPr>
        <w:t>VOCs </w:t>
      </w:r>
      <w:r>
        <w:rPr/>
        <w:t>污染防治、深入推进交通源</w:t>
      </w:r>
      <w:r>
        <w:rPr>
          <w:rFonts w:ascii="Times New Roman" w:hAnsi="Times New Roman" w:cs="Times New Roman" w:eastAsia="Times New Roman" w:hint="default"/>
        </w:rPr>
        <w:t>VOCs</w:t>
      </w:r>
      <w:r>
        <w:rPr>
          <w:rFonts w:ascii="Times New Roman" w:hAnsi="Times New Roman" w:cs="Times New Roman" w:eastAsia="Times New Roman" w:hint="default"/>
          <w:spacing w:val="5"/>
        </w:rPr>
        <w:t> </w:t>
      </w:r>
      <w:r>
        <w:rPr/>
        <w:t>污染防治、）有序 开展生活源农业源</w:t>
      </w:r>
      <w:r>
        <w:rPr>
          <w:rFonts w:ascii="Times New Roman" w:hAnsi="Times New Roman" w:cs="Times New Roman" w:eastAsia="Times New Roman" w:hint="default"/>
        </w:rPr>
        <w:t>VOCs</w:t>
      </w:r>
      <w:r>
        <w:rPr>
          <w:rFonts w:ascii="Times New Roman" w:hAnsi="Times New Roman" w:cs="Times New Roman" w:eastAsia="Times New Roman" w:hint="default"/>
          <w:spacing w:val="42"/>
        </w:rPr>
        <w:t> </w:t>
      </w:r>
      <w:r>
        <w:rPr/>
        <w:t>污染防治等主要任务，最终到</w:t>
      </w:r>
      <w:r>
        <w:rPr>
          <w:rFonts w:ascii="Times New Roman" w:hAnsi="Times New Roman" w:cs="Times New Roman" w:eastAsia="Times New Roman" w:hint="default"/>
        </w:rPr>
        <w:t>2020</w:t>
      </w:r>
      <w:r>
        <w:rPr>
          <w:rFonts w:ascii="Times New Roman" w:hAnsi="Times New Roman" w:cs="Times New Roman" w:eastAsia="Times New Roman" w:hint="default"/>
          <w:spacing w:val="44"/>
        </w:rPr>
        <w:t> </w:t>
      </w:r>
      <w:r>
        <w:rPr/>
        <w:t>年完成建立健全以改善环境空气质量为核心的</w:t>
      </w:r>
      <w:r>
        <w:rPr>
          <w:rFonts w:ascii="Times New Roman" w:hAnsi="Times New Roman" w:cs="Times New Roman" w:eastAsia="Times New Roman" w:hint="default"/>
        </w:rPr>
        <w:t>VOCs </w:t>
      </w:r>
      <w:r>
        <w:rPr/>
        <w:t>污染防治</w:t>
      </w:r>
      <w:r>
        <w:rPr>
          <w:spacing w:val="-87"/>
        </w:rPr>
        <w:t> </w:t>
      </w:r>
      <w:r>
        <w:rPr/>
        <w:t>管理体系，实施重点地区、重点行业</w:t>
      </w:r>
      <w:r>
        <w:rPr>
          <w:rFonts w:ascii="Times New Roman" w:hAnsi="Times New Roman" w:cs="Times New Roman" w:eastAsia="Times New Roman" w:hint="default"/>
        </w:rPr>
        <w:t>VOCs  </w:t>
      </w:r>
      <w:r>
        <w:rPr/>
        <w:t>污染减排，排放总量下降</w:t>
      </w:r>
      <w:r>
        <w:rPr>
          <w:rFonts w:ascii="Times New Roman" w:hAnsi="Times New Roman" w:cs="Times New Roman" w:eastAsia="Times New Roman" w:hint="default"/>
        </w:rPr>
        <w:t>10%</w:t>
      </w:r>
      <w:r>
        <w:rPr/>
        <w:t>以上。通过与</w:t>
      </w:r>
      <w:r>
        <w:rPr>
          <w:rFonts w:ascii="Times New Roman" w:hAnsi="Times New Roman" w:cs="Times New Roman" w:eastAsia="Times New Roman" w:hint="default"/>
        </w:rPr>
        <w:t>NOx </w:t>
      </w:r>
      <w:r>
        <w:rPr>
          <w:rFonts w:ascii="Times New Roman" w:hAnsi="Times New Roman" w:cs="Times New Roman" w:eastAsia="Times New Roman" w:hint="default"/>
          <w:spacing w:val="37"/>
        </w:rPr>
        <w:t> </w:t>
      </w:r>
      <w:r>
        <w:rPr/>
        <w:t>等污染物的协同控制，实现环</w:t>
      </w:r>
    </w:p>
    <w:p>
      <w:pPr>
        <w:spacing w:after="0" w:line="307" w:lineRule="auto"/>
        <w:jc w:val="both"/>
        <w:sectPr>
          <w:pgSz w:w="11910" w:h="16840"/>
          <w:pgMar w:header="747" w:footer="979" w:top="1060" w:bottom="1160" w:left="0" w:right="0"/>
        </w:sectPr>
      </w:pPr>
    </w:p>
    <w:p>
      <w:pPr>
        <w:spacing w:line="240" w:lineRule="auto" w:before="12"/>
        <w:rPr>
          <w:rFonts w:ascii="宋体" w:hAnsi="宋体" w:cs="宋体" w:eastAsia="宋体" w:hint="default"/>
          <w:sz w:val="25"/>
          <w:szCs w:val="25"/>
        </w:rPr>
      </w:pPr>
    </w:p>
    <w:p>
      <w:pPr>
        <w:pStyle w:val="BodyText"/>
        <w:spacing w:line="240" w:lineRule="auto" w:before="44"/>
        <w:ind w:right="0"/>
        <w:jc w:val="left"/>
      </w:pPr>
      <w:r>
        <w:rPr/>
        <w:t>境空气质量持续改善的工作目标。工作方案的印发，表明了国家对</w:t>
      </w:r>
      <w:r>
        <w:rPr>
          <w:rFonts w:ascii="Times New Roman" w:hAnsi="Times New Roman" w:cs="Times New Roman" w:eastAsia="Times New Roman" w:hint="default"/>
        </w:rPr>
        <w:t>VOCs</w:t>
      </w:r>
      <w:r>
        <w:rPr/>
        <w:t>监测和治理市场的重视，市场有望获得较快发展。</w:t>
      </w:r>
    </w:p>
    <w:p>
      <w:pPr>
        <w:pStyle w:val="BodyText"/>
        <w:spacing w:line="240" w:lineRule="auto" w:before="63"/>
        <w:ind w:left="1493" w:right="0"/>
        <w:jc w:val="left"/>
      </w:pPr>
      <w:r>
        <w:rPr>
          <w:rFonts w:ascii="Times New Roman" w:hAnsi="Times New Roman" w:cs="Times New Roman" w:eastAsia="Times New Roman" w:hint="default"/>
        </w:rPr>
        <w:t>3</w:t>
      </w:r>
      <w:r>
        <w:rPr/>
        <w:t>、农村污水处理市场将进入快速释放期。</w:t>
      </w:r>
      <w:r>
        <w:rPr>
          <w:rFonts w:ascii="Times New Roman" w:hAnsi="Times New Roman" w:cs="Times New Roman" w:eastAsia="Times New Roman" w:hint="default"/>
        </w:rPr>
        <w:t>2017</w:t>
      </w:r>
      <w:r>
        <w:rPr/>
        <w:t>年，财政部与环保部联合印发《全国农村环境综合整治</w:t>
      </w:r>
      <w:r>
        <w:rPr>
          <w:rFonts w:ascii="Times New Roman" w:hAnsi="Times New Roman" w:cs="Times New Roman" w:eastAsia="Times New Roman" w:hint="default"/>
        </w:rPr>
        <w:t>“</w:t>
      </w:r>
      <w:r>
        <w:rPr/>
        <w:t>十三五</w:t>
      </w:r>
      <w:r>
        <w:rPr>
          <w:rFonts w:ascii="Times New Roman" w:hAnsi="Times New Roman" w:cs="Times New Roman" w:eastAsia="Times New Roman" w:hint="default"/>
        </w:rPr>
        <w:t>”</w:t>
      </w:r>
      <w:r>
        <w:rPr/>
        <w:t>规划》，</w:t>
      </w:r>
    </w:p>
    <w:p>
      <w:pPr>
        <w:pStyle w:val="BodyText"/>
        <w:spacing w:line="300" w:lineRule="auto" w:before="63"/>
        <w:ind w:right="0"/>
        <w:jc w:val="left"/>
      </w:pPr>
      <w:r>
        <w:rPr>
          <w:spacing w:val="-3"/>
        </w:rPr>
        <w:t>《规划》提出，到</w:t>
      </w:r>
      <w:r>
        <w:rPr>
          <w:rFonts w:ascii="Times New Roman" w:hAnsi="Times New Roman" w:cs="Times New Roman" w:eastAsia="Times New Roman" w:hint="default"/>
          <w:spacing w:val="-3"/>
        </w:rPr>
        <w:t>2020</w:t>
      </w:r>
      <w:r>
        <w:rPr>
          <w:spacing w:val="-3"/>
        </w:rPr>
        <w:t>年新增完成环境综合整治的建制村</w:t>
      </w:r>
      <w:r>
        <w:rPr>
          <w:rFonts w:ascii="Times New Roman" w:hAnsi="Times New Roman" w:cs="Times New Roman" w:eastAsia="Times New Roman" w:hint="default"/>
          <w:spacing w:val="-3"/>
        </w:rPr>
        <w:t>13</w:t>
      </w:r>
      <w:r>
        <w:rPr>
          <w:spacing w:val="-3"/>
        </w:rPr>
        <w:t>万个；在农村污水方面，整治重点为</w:t>
      </w:r>
      <w:r>
        <w:rPr>
          <w:rFonts w:ascii="Times New Roman" w:hAnsi="Times New Roman" w:cs="Times New Roman" w:eastAsia="Times New Roman" w:hint="default"/>
          <w:spacing w:val="-3"/>
        </w:rPr>
        <w:t>“</w:t>
      </w:r>
      <w:r>
        <w:rPr>
          <w:spacing w:val="-3"/>
        </w:rPr>
        <w:t>好水</w:t>
      </w:r>
      <w:r>
        <w:rPr>
          <w:rFonts w:ascii="Times New Roman" w:hAnsi="Times New Roman" w:cs="Times New Roman" w:eastAsia="Times New Roman" w:hint="default"/>
          <w:spacing w:val="-3"/>
        </w:rPr>
        <w:t>”</w:t>
      </w:r>
      <w:r>
        <w:rPr>
          <w:spacing w:val="-3"/>
        </w:rPr>
        <w:t>和</w:t>
      </w:r>
      <w:r>
        <w:rPr>
          <w:rFonts w:ascii="Times New Roman" w:hAnsi="Times New Roman" w:cs="Times New Roman" w:eastAsia="Times New Roman" w:hint="default"/>
          <w:spacing w:val="-3"/>
        </w:rPr>
        <w:t>“</w:t>
      </w:r>
      <w:r>
        <w:rPr>
          <w:spacing w:val="-3"/>
        </w:rPr>
        <w:t>差水</w:t>
      </w:r>
      <w:r>
        <w:rPr>
          <w:rFonts w:ascii="Times New Roman" w:hAnsi="Times New Roman" w:cs="Times New Roman" w:eastAsia="Times New Roman" w:hint="default"/>
          <w:spacing w:val="-3"/>
        </w:rPr>
        <w:t>”</w:t>
      </w:r>
      <w:r>
        <w:rPr>
          <w:spacing w:val="-3"/>
        </w:rPr>
        <w:t>周边的村庄，</w:t>
      </w:r>
      <w:r>
        <w:rPr>
          <w:spacing w:val="-45"/>
        </w:rPr>
        <w:t> </w:t>
      </w:r>
      <w:r>
        <w:rPr>
          <w:spacing w:val="-2"/>
        </w:rPr>
        <w:t>涉及</w:t>
      </w:r>
      <w:r>
        <w:rPr>
          <w:rFonts w:ascii="Times New Roman" w:hAnsi="Times New Roman" w:cs="Times New Roman" w:eastAsia="Times New Roman" w:hint="default"/>
          <w:spacing w:val="-2"/>
        </w:rPr>
        <w:t>1805</w:t>
      </w:r>
      <w:r>
        <w:rPr>
          <w:spacing w:val="-2"/>
        </w:rPr>
        <w:t>个县</w:t>
      </w:r>
      <w:r>
        <w:rPr>
          <w:rFonts w:ascii="Times New Roman" w:hAnsi="Times New Roman" w:cs="Times New Roman" w:eastAsia="Times New Roman" w:hint="default"/>
          <w:spacing w:val="-2"/>
        </w:rPr>
        <w:t>(</w:t>
      </w:r>
      <w:r>
        <w:rPr>
          <w:spacing w:val="-2"/>
        </w:rPr>
        <w:t>市、区</w:t>
      </w:r>
      <w:r>
        <w:rPr>
          <w:rFonts w:ascii="Times New Roman" w:hAnsi="Times New Roman" w:cs="Times New Roman" w:eastAsia="Times New Roman" w:hint="default"/>
          <w:spacing w:val="-2"/>
        </w:rPr>
        <w:t>)12.82</w:t>
      </w:r>
      <w:r>
        <w:rPr>
          <w:spacing w:val="-2"/>
        </w:rPr>
        <w:t>万个建制村；重点抓好农村饮用水水源地保护、生活垃圾和污水治理、畜禽养殖污染防治，其中</w:t>
      </w:r>
      <w:r>
        <w:rPr>
          <w:spacing w:val="-42"/>
        </w:rPr>
        <w:t> </w:t>
      </w:r>
      <w:r>
        <w:rPr>
          <w:spacing w:val="-42"/>
        </w:rPr>
      </w:r>
      <w:r>
        <w:rPr/>
        <w:t>经过整治的村庄生活污水处理率应达到</w:t>
      </w:r>
      <w:r>
        <w:rPr>
          <w:rFonts w:ascii="Times New Roman" w:hAnsi="Times New Roman" w:cs="Times New Roman" w:eastAsia="Times New Roman" w:hint="default"/>
        </w:rPr>
        <w:t>60%</w:t>
      </w:r>
      <w:r>
        <w:rPr/>
        <w:t>以上。目前全国约有</w:t>
      </w:r>
      <w:r>
        <w:rPr>
          <w:rFonts w:ascii="Times New Roman" w:hAnsi="Times New Roman" w:cs="Times New Roman" w:eastAsia="Times New Roman" w:hint="default"/>
        </w:rPr>
        <w:t>60</w:t>
      </w:r>
      <w:r>
        <w:rPr/>
        <w:t>万个行政村，</w:t>
      </w:r>
      <w:r>
        <w:rPr>
          <w:rFonts w:ascii="Times New Roman" w:hAnsi="Times New Roman" w:cs="Times New Roman" w:eastAsia="Times New Roman" w:hint="default"/>
        </w:rPr>
        <w:t>22%</w:t>
      </w:r>
      <w:r>
        <w:rPr/>
        <w:t>的建制村生活污水得到处理，</w:t>
      </w:r>
      <w:r>
        <w:rPr>
          <w:rFonts w:ascii="Times New Roman" w:hAnsi="Times New Roman" w:cs="Times New Roman" w:eastAsia="Times New Roman" w:hint="default"/>
        </w:rPr>
        <w:t>78%</w:t>
      </w:r>
      <w:r>
        <w:rPr/>
        <w:t>的建</w:t>
      </w:r>
      <w:r>
        <w:rPr>
          <w:spacing w:val="-83"/>
        </w:rPr>
        <w:t> </w:t>
      </w:r>
      <w:r>
        <w:rPr/>
        <w:t>制村未建设污水处理设施。按照《农村环境综合整治</w:t>
      </w:r>
      <w:r>
        <w:rPr>
          <w:rFonts w:ascii="Times New Roman" w:hAnsi="Times New Roman" w:cs="Times New Roman" w:eastAsia="Times New Roman" w:hint="default"/>
        </w:rPr>
        <w:t>“</w:t>
      </w:r>
      <w:r>
        <w:rPr/>
        <w:t>十三五</w:t>
      </w:r>
      <w:r>
        <w:rPr>
          <w:rFonts w:ascii="Times New Roman" w:hAnsi="Times New Roman" w:cs="Times New Roman" w:eastAsia="Times New Roman" w:hint="default"/>
        </w:rPr>
        <w:t>”</w:t>
      </w:r>
      <w:r>
        <w:rPr/>
        <w:t>规划》要求，</w:t>
      </w:r>
      <w:r>
        <w:rPr>
          <w:rFonts w:ascii="Times New Roman" w:hAnsi="Times New Roman" w:cs="Times New Roman" w:eastAsia="Times New Roman" w:hint="default"/>
        </w:rPr>
        <w:t>“</w:t>
      </w:r>
      <w:r>
        <w:rPr/>
        <w:t>十三五</w:t>
      </w:r>
      <w:r>
        <w:rPr>
          <w:rFonts w:ascii="Times New Roman" w:hAnsi="Times New Roman" w:cs="Times New Roman" w:eastAsia="Times New Roman" w:hint="default"/>
        </w:rPr>
        <w:t>”</w:t>
      </w:r>
      <w:r>
        <w:rPr/>
        <w:t>期间即到</w:t>
      </w:r>
      <w:r>
        <w:rPr>
          <w:rFonts w:ascii="Times New Roman" w:hAnsi="Times New Roman" w:cs="Times New Roman" w:eastAsia="Times New Roman" w:hint="default"/>
        </w:rPr>
        <w:t>2020</w:t>
      </w:r>
      <w:r>
        <w:rPr/>
        <w:t>年需新增完成环境综合整 治的建制村</w:t>
      </w:r>
      <w:r>
        <w:rPr>
          <w:rFonts w:ascii="Times New Roman" w:hAnsi="Times New Roman" w:cs="Times New Roman" w:eastAsia="Times New Roman" w:hint="default"/>
        </w:rPr>
        <w:t>13</w:t>
      </w:r>
      <w:r>
        <w:rPr/>
        <w:t>万个，即约</w:t>
      </w:r>
      <w:r>
        <w:rPr>
          <w:rFonts w:ascii="Times New Roman" w:hAnsi="Times New Roman" w:cs="Times New Roman" w:eastAsia="Times New Roman" w:hint="default"/>
        </w:rPr>
        <w:t>28%</w:t>
      </w:r>
      <w:r>
        <w:rPr/>
        <w:t>农村污水处理的市场空间将在</w:t>
      </w:r>
      <w:r>
        <w:rPr>
          <w:rFonts w:ascii="Times New Roman" w:hAnsi="Times New Roman" w:cs="Times New Roman" w:eastAsia="Times New Roman" w:hint="default"/>
        </w:rPr>
        <w:t>“</w:t>
      </w:r>
      <w:r>
        <w:rPr/>
        <w:t>十三五</w:t>
      </w:r>
      <w:r>
        <w:rPr>
          <w:rFonts w:ascii="Times New Roman" w:hAnsi="Times New Roman" w:cs="Times New Roman" w:eastAsia="Times New Roman" w:hint="default"/>
        </w:rPr>
        <w:t>”</w:t>
      </w:r>
      <w:r>
        <w:rPr/>
        <w:t>期间释放。</w:t>
      </w:r>
    </w:p>
    <w:p>
      <w:pPr>
        <w:pStyle w:val="BodyText"/>
        <w:spacing w:line="316" w:lineRule="auto" w:before="13"/>
        <w:ind w:left="1554" w:right="1152" w:hanging="149"/>
        <w:jc w:val="left"/>
      </w:pPr>
      <w:r>
        <w:rPr/>
        <w:t>（二）竞争格局 常规空气监测市场，公司仍继续保持较高市场份额。在国家政策支持下，国内企业凭借自身的产品、服务、价格优势</w:t>
      </w:r>
    </w:p>
    <w:p>
      <w:pPr>
        <w:pStyle w:val="BodyText"/>
        <w:spacing w:line="316" w:lineRule="auto" w:before="19"/>
        <w:ind w:left="1554" w:right="1152" w:hanging="420"/>
        <w:jc w:val="left"/>
      </w:pPr>
      <w:r>
        <w:rPr/>
        <w:t>以及较全的产品线，国产设备的市场占有率有了提升。 目前水质监测市场仍以常规水站（含在线仪器）为主，</w:t>
      </w:r>
      <w:r>
        <w:rPr>
          <w:rFonts w:ascii="Times New Roman" w:hAnsi="Times New Roman" w:cs="Times New Roman" w:eastAsia="Times New Roman" w:hint="default"/>
        </w:rPr>
        <w:t>2017</w:t>
      </w:r>
      <w:r>
        <w:rPr/>
        <w:t>年水质网格化在渤海新区打开了市场，随着河长制政策和</w:t>
      </w:r>
    </w:p>
    <w:p>
      <w:pPr>
        <w:pStyle w:val="BodyText"/>
        <w:spacing w:line="300" w:lineRule="auto"/>
        <w:ind w:left="1134" w:right="0"/>
        <w:jc w:val="left"/>
      </w:pPr>
      <w:r>
        <w:rPr>
          <w:spacing w:val="-2"/>
        </w:rPr>
        <w:t>湖长制的推出，在</w:t>
      </w:r>
      <w:r>
        <w:rPr>
          <w:rFonts w:ascii="Times New Roman" w:hAnsi="Times New Roman" w:cs="Times New Roman" w:eastAsia="Times New Roman" w:hint="default"/>
          <w:spacing w:val="-2"/>
        </w:rPr>
        <w:t>2018</w:t>
      </w:r>
      <w:r>
        <w:rPr>
          <w:spacing w:val="-2"/>
        </w:rPr>
        <w:t>年水质网格化监控市场会进一步加强，其次为水站运营市场，未来几年内水质监测市场格局会形成以</w:t>
      </w:r>
      <w:r>
        <w:rPr>
          <w:spacing w:val="-63"/>
        </w:rPr>
        <w:t> </w:t>
      </w:r>
      <w:r>
        <w:rPr>
          <w:spacing w:val="-63"/>
        </w:rPr>
      </w:r>
      <w:r>
        <w:rPr/>
        <w:t>水环境网格化智能监控系统为基础的综合管控平台，未来几年在水质市场的投入增大。</w:t>
      </w:r>
    </w:p>
    <w:p>
      <w:pPr>
        <w:pStyle w:val="BodyText"/>
        <w:spacing w:line="316" w:lineRule="auto" w:before="31"/>
        <w:ind w:right="1153" w:firstLine="420"/>
        <w:jc w:val="left"/>
      </w:pPr>
      <w:r>
        <w:rPr/>
        <w:t>网格化监测市场，公司凭借着对市场敏锐的洞察力，作为网格化产品的引领者，拥有着齐全的产品线和完善的质控体 系，以较高的市场份额占据市场的领先地位。</w:t>
      </w:r>
    </w:p>
    <w:p>
      <w:pPr>
        <w:pStyle w:val="BodyText"/>
        <w:spacing w:line="300" w:lineRule="auto" w:before="19"/>
        <w:ind w:right="1153" w:firstLine="420"/>
        <w:jc w:val="left"/>
      </w:pPr>
      <w:r>
        <w:rPr/>
        <w:t>大气污染防治管理咨询服务市场，伴随市场的需求，成为</w:t>
      </w:r>
      <w:r>
        <w:rPr>
          <w:rFonts w:ascii="Times New Roman" w:hAnsi="Times New Roman" w:cs="Times New Roman" w:eastAsia="Times New Roman" w:hint="default"/>
        </w:rPr>
        <w:t>2017</w:t>
      </w:r>
      <w:r>
        <w:rPr/>
        <w:t>年新兴的业务；在公司网格化占据较高市场份额的条件 下，作为网格化系统的协同服务，公司在管理咨询服务市场将逐渐占据较大的市场份额。</w:t>
      </w:r>
    </w:p>
    <w:p>
      <w:pPr>
        <w:pStyle w:val="BodyText"/>
        <w:spacing w:line="300" w:lineRule="auto" w:before="31"/>
        <w:ind w:right="0" w:firstLine="420"/>
        <w:jc w:val="left"/>
      </w:pPr>
      <w:r>
        <w:rPr/>
        <w:t>与除尘、脱硫脱硝的企业相比，</w:t>
      </w:r>
      <w:r>
        <w:rPr>
          <w:rFonts w:ascii="Times New Roman" w:hAnsi="Times New Roman" w:cs="Times New Roman" w:eastAsia="Times New Roman" w:hint="default"/>
        </w:rPr>
        <w:t>VOCs</w:t>
      </w:r>
      <w:r>
        <w:rPr/>
        <w:t>种类多，排放行业多，排放源分散，治理技术复杂，目前</w:t>
      </w:r>
      <w:r>
        <w:rPr>
          <w:rFonts w:ascii="Times New Roman" w:hAnsi="Times New Roman" w:cs="Times New Roman" w:eastAsia="Times New Roman" w:hint="default"/>
        </w:rPr>
        <w:t>VOCs</w:t>
      </w:r>
      <w:r>
        <w:rPr/>
        <w:t>企业整体处于小 而散的状态。随着国家对</w:t>
      </w:r>
      <w:r>
        <w:rPr>
          <w:rFonts w:ascii="Times New Roman" w:hAnsi="Times New Roman" w:cs="Times New Roman" w:eastAsia="Times New Roman" w:hint="default"/>
        </w:rPr>
        <w:t>VOCs</w:t>
      </w:r>
      <w:r>
        <w:rPr/>
        <w:t>治理的重视，我国</w:t>
      </w:r>
      <w:r>
        <w:rPr>
          <w:rFonts w:ascii="Times New Roman" w:hAnsi="Times New Roman" w:cs="Times New Roman" w:eastAsia="Times New Roman" w:hint="default"/>
        </w:rPr>
        <w:t>VOCs</w:t>
      </w:r>
      <w:r>
        <w:rPr/>
        <w:t>治理市场开始呈现出强劲的发展势头，市场上不断有新的</w:t>
      </w:r>
      <w:r>
        <w:rPr>
          <w:rFonts w:ascii="Times New Roman" w:hAnsi="Times New Roman" w:cs="Times New Roman" w:eastAsia="Times New Roman" w:hint="default"/>
        </w:rPr>
        <w:t>VOCs</w:t>
      </w:r>
      <w:r>
        <w:rPr/>
        <w:t>治理 </w:t>
      </w:r>
      <w:r>
        <w:rPr>
          <w:spacing w:val="-2"/>
        </w:rPr>
        <w:t>公司成立，更多的环保企业开始介入或者新企业开始从事</w:t>
      </w:r>
      <w:r>
        <w:rPr>
          <w:rFonts w:ascii="Times New Roman" w:hAnsi="Times New Roman" w:cs="Times New Roman" w:eastAsia="Times New Roman" w:hint="default"/>
          <w:spacing w:val="-2"/>
        </w:rPr>
        <w:t>VOCs</w:t>
      </w:r>
      <w:r>
        <w:rPr>
          <w:spacing w:val="-2"/>
        </w:rPr>
        <w:t>的治理，但总体上来讲，企业规模仍比较小，缺乏行业龙头，</w:t>
      </w:r>
      <w:r>
        <w:rPr>
          <w:spacing w:val="-64"/>
        </w:rPr>
        <w:t> </w:t>
      </w:r>
      <w:r>
        <w:rPr>
          <w:spacing w:val="-64"/>
        </w:rPr>
      </w:r>
      <w:r>
        <w:rPr/>
        <w:t>导致达标治理难以有效、彻底实施。</w:t>
      </w:r>
    </w:p>
    <w:p>
      <w:pPr>
        <w:pStyle w:val="BodyText"/>
        <w:spacing w:line="300" w:lineRule="auto" w:before="31"/>
        <w:ind w:right="0" w:firstLine="405"/>
        <w:jc w:val="left"/>
      </w:pPr>
      <w:r>
        <w:rPr/>
        <w:t>随着城市地区环境治理措施日益完善，国家对于农村环境整治的重视，环境保护</w:t>
      </w:r>
      <w:r>
        <w:rPr>
          <w:rFonts w:ascii="Times New Roman" w:hAnsi="Times New Roman" w:cs="Times New Roman" w:eastAsia="Times New Roman" w:hint="default"/>
        </w:rPr>
        <w:t>“</w:t>
      </w:r>
      <w:r>
        <w:rPr/>
        <w:t>主战场</w:t>
      </w:r>
      <w:r>
        <w:rPr>
          <w:rFonts w:ascii="Times New Roman" w:hAnsi="Times New Roman" w:cs="Times New Roman" w:eastAsia="Times New Roman" w:hint="default"/>
        </w:rPr>
        <w:t>”</w:t>
      </w:r>
      <w:r>
        <w:rPr/>
        <w:t>由城市向农村转移的历史节 点已经来临，农村污水治理的市场预计将快速释放。</w:t>
      </w:r>
    </w:p>
    <w:p>
      <w:pPr>
        <w:spacing w:line="240" w:lineRule="auto" w:before="9"/>
        <w:rPr>
          <w:rFonts w:ascii="宋体" w:hAnsi="宋体" w:cs="宋体" w:eastAsia="宋体" w:hint="default"/>
          <w:sz w:val="21"/>
          <w:szCs w:val="21"/>
        </w:rPr>
      </w:pPr>
    </w:p>
    <w:p>
      <w:pPr>
        <w:pStyle w:val="Heading2"/>
        <w:spacing w:line="240" w:lineRule="auto"/>
        <w:ind w:left="1134" w:right="0"/>
        <w:jc w:val="left"/>
        <w:rPr>
          <w:b w:val="0"/>
          <w:bCs w:val="0"/>
        </w:rPr>
      </w:pPr>
      <w:bookmarkStart w:name="二、主要资产重大变化情况" w:id="18"/>
      <w:bookmarkEnd w:id="18"/>
      <w:r>
        <w:rPr>
          <w:b w:val="0"/>
          <w:bCs w:val="0"/>
        </w:rPr>
      </w:r>
      <w:r>
        <w:rPr/>
        <w:t>二、主要资产重大变化情况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34" w:right="0"/>
        <w:jc w:val="left"/>
        <w:rPr>
          <w:b w:val="0"/>
          <w:bCs w:val="0"/>
        </w:rPr>
      </w:pPr>
      <w:bookmarkStart w:name="1、主要资产重大变化情况" w:id="19"/>
      <w:bookmarkEnd w:id="19"/>
      <w:r>
        <w:rPr>
          <w:b w:val="0"/>
          <w:bCs w:val="0"/>
        </w:rPr>
      </w:r>
      <w:r>
        <w:rPr>
          <w:rFonts w:ascii="Times New Roman" w:hAnsi="Times New Roman" w:cs="Times New Roman" w:eastAsia="Times New Roman" w:hint="default"/>
        </w:rPr>
        <w:t>1</w:t>
      </w:r>
      <w:r>
        <w:rPr/>
        <w:t>、主要资产重大变化情况</w:t>
      </w:r>
      <w:r>
        <w:rPr>
          <w:b w:val="0"/>
          <w:bCs w:val="0"/>
        </w:rPr>
      </w:r>
    </w:p>
    <w:p>
      <w:pPr>
        <w:spacing w:line="240" w:lineRule="auto" w:before="9"/>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3052"/>
        <w:gridCol w:w="6517"/>
      </w:tblGrid>
      <w:tr>
        <w:trPr>
          <w:trHeight w:val="186" w:hRule="exact"/>
        </w:trPr>
        <w:tc>
          <w:tcPr>
            <w:tcW w:w="3052" w:type="dxa"/>
            <w:tcBorders>
              <w:top w:val="single" w:sz="4" w:space="0" w:color="000000"/>
              <w:left w:val="single" w:sz="4" w:space="0" w:color="000000"/>
              <w:bottom w:val="nil" w:sz="6" w:space="0" w:color="auto"/>
              <w:right w:val="single" w:sz="4" w:space="0" w:color="000000"/>
            </w:tcBorders>
            <w:shd w:val="clear" w:color="auto" w:fill="D2D2D2"/>
          </w:tcPr>
          <w:p>
            <w:pPr/>
          </w:p>
        </w:tc>
        <w:tc>
          <w:tcPr>
            <w:tcW w:w="6517"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2" w:hRule="exact"/>
        </w:trPr>
        <w:tc>
          <w:tcPr>
            <w:tcW w:w="305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主要资产</w:t>
            </w:r>
          </w:p>
        </w:tc>
        <w:tc>
          <w:tcPr>
            <w:tcW w:w="651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重大变化说明</w:t>
            </w:r>
          </w:p>
        </w:tc>
      </w:tr>
      <w:tr>
        <w:trPr>
          <w:trHeight w:val="186" w:hRule="exact"/>
        </w:trPr>
        <w:tc>
          <w:tcPr>
            <w:tcW w:w="3052" w:type="dxa"/>
            <w:tcBorders>
              <w:top w:val="nil" w:sz="6" w:space="0" w:color="auto"/>
              <w:left w:val="single" w:sz="4" w:space="0" w:color="000000"/>
              <w:bottom w:val="single" w:sz="4" w:space="0" w:color="000000"/>
              <w:right w:val="single" w:sz="4" w:space="0" w:color="000000"/>
            </w:tcBorders>
            <w:shd w:val="clear" w:color="auto" w:fill="D2D2D2"/>
          </w:tcPr>
          <w:p>
            <w:pPr/>
          </w:p>
        </w:tc>
        <w:tc>
          <w:tcPr>
            <w:tcW w:w="6517"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161" w:hRule="exact"/>
        </w:trPr>
        <w:tc>
          <w:tcPr>
            <w:tcW w:w="3052" w:type="dxa"/>
            <w:tcBorders>
              <w:top w:val="single" w:sz="4" w:space="0" w:color="000000"/>
              <w:left w:val="single" w:sz="4" w:space="0" w:color="000000"/>
              <w:bottom w:val="nil" w:sz="6" w:space="0" w:color="auto"/>
              <w:right w:val="single" w:sz="4" w:space="0" w:color="000000"/>
            </w:tcBorders>
            <w:shd w:val="clear" w:color="auto" w:fill="D2D2D2"/>
          </w:tcPr>
          <w:p>
            <w:pPr/>
          </w:p>
        </w:tc>
        <w:tc>
          <w:tcPr>
            <w:tcW w:w="6517" w:type="dxa"/>
            <w:vMerge w:val="restart"/>
            <w:tcBorders>
              <w:top w:val="single" w:sz="4" w:space="0" w:color="000000"/>
              <w:left w:val="single" w:sz="9" w:space="0" w:color="D2D2D2"/>
              <w:right w:val="single" w:sz="4" w:space="0" w:color="000000"/>
            </w:tcBorders>
          </w:tcPr>
          <w:p>
            <w:pPr>
              <w:pStyle w:val="TableParagraph"/>
              <w:spacing w:line="300" w:lineRule="auto" w:before="51"/>
              <w:ind w:left="16" w:right="20"/>
              <w:jc w:val="left"/>
              <w:rPr>
                <w:rFonts w:ascii="宋体" w:hAnsi="宋体" w:cs="宋体" w:eastAsia="宋体" w:hint="default"/>
                <w:sz w:val="18"/>
                <w:szCs w:val="18"/>
              </w:rPr>
            </w:pPr>
            <w:r>
              <w:rPr>
                <w:rFonts w:ascii="宋体" w:hAnsi="宋体" w:cs="宋体" w:eastAsia="宋体" w:hint="default"/>
                <w:sz w:val="18"/>
                <w:szCs w:val="18"/>
              </w:rPr>
              <w:t>在建工程期末余额较期初减少</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8,729,620.74</w:t>
            </w:r>
            <w:r>
              <w:rPr>
                <w:rFonts w:ascii="Times New Roman" w:hAnsi="Times New Roman" w:cs="Times New Roman" w:eastAsia="Times New Roman" w:hint="default"/>
                <w:spacing w:val="-8"/>
                <w:sz w:val="18"/>
                <w:szCs w:val="18"/>
              </w:rPr>
              <w:t> </w:t>
            </w:r>
            <w:r>
              <w:rPr>
                <w:rFonts w:ascii="宋体" w:hAnsi="宋体" w:cs="宋体" w:eastAsia="宋体" w:hint="default"/>
                <w:spacing w:val="-4"/>
                <w:sz w:val="18"/>
                <w:szCs w:val="18"/>
              </w:rPr>
              <w:t>元，降幅</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70.11%</w:t>
            </w:r>
            <w:r>
              <w:rPr>
                <w:rFonts w:ascii="宋体" w:hAnsi="宋体" w:cs="宋体" w:eastAsia="宋体" w:hint="default"/>
                <w:sz w:val="18"/>
                <w:szCs w:val="18"/>
              </w:rPr>
              <w:t>，主要原因是本公司下 属子公司河北正源对资源化利用治理项目完工结转所致。</w:t>
            </w:r>
          </w:p>
        </w:tc>
      </w:tr>
      <w:tr>
        <w:trPr>
          <w:trHeight w:val="392" w:hRule="exact"/>
        </w:trPr>
        <w:tc>
          <w:tcPr>
            <w:tcW w:w="305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6517" w:type="dxa"/>
            <w:vMerge/>
            <w:tcBorders>
              <w:left w:val="single" w:sz="9" w:space="0" w:color="D2D2D2"/>
              <w:right w:val="single" w:sz="4" w:space="0" w:color="000000"/>
            </w:tcBorders>
          </w:tcPr>
          <w:p>
            <w:pPr/>
          </w:p>
        </w:tc>
      </w:tr>
      <w:tr>
        <w:trPr>
          <w:trHeight w:val="161" w:hRule="exact"/>
        </w:trPr>
        <w:tc>
          <w:tcPr>
            <w:tcW w:w="3052" w:type="dxa"/>
            <w:tcBorders>
              <w:top w:val="nil" w:sz="6" w:space="0" w:color="auto"/>
              <w:left w:val="single" w:sz="4" w:space="0" w:color="000000"/>
              <w:bottom w:val="single" w:sz="4" w:space="0" w:color="000000"/>
              <w:right w:val="single" w:sz="4" w:space="0" w:color="000000"/>
            </w:tcBorders>
            <w:shd w:val="clear" w:color="auto" w:fill="D2D2D2"/>
          </w:tcPr>
          <w:p>
            <w:pPr/>
          </w:p>
        </w:tc>
        <w:tc>
          <w:tcPr>
            <w:tcW w:w="6517" w:type="dxa"/>
            <w:vMerge/>
            <w:tcBorders>
              <w:left w:val="single" w:sz="9" w:space="0" w:color="D2D2D2"/>
              <w:bottom w:val="single" w:sz="4" w:space="0" w:color="000000"/>
              <w:right w:val="single" w:sz="4" w:space="0" w:color="000000"/>
            </w:tcBorders>
          </w:tcPr>
          <w:p>
            <w:pPr/>
          </w:p>
        </w:tc>
      </w:tr>
      <w:tr>
        <w:trPr>
          <w:trHeight w:val="714" w:hRule="exact"/>
        </w:trPr>
        <w:tc>
          <w:tcPr>
            <w:tcW w:w="3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6517"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20"/>
              <w:jc w:val="left"/>
              <w:rPr>
                <w:rFonts w:ascii="宋体" w:hAnsi="宋体" w:cs="宋体" w:eastAsia="宋体" w:hint="default"/>
                <w:sz w:val="18"/>
                <w:szCs w:val="18"/>
              </w:rPr>
            </w:pPr>
            <w:r>
              <w:rPr>
                <w:rFonts w:ascii="宋体" w:hAnsi="宋体" w:cs="宋体" w:eastAsia="宋体" w:hint="default"/>
                <w:sz w:val="18"/>
                <w:szCs w:val="18"/>
              </w:rPr>
              <w:t>存货期末余额较期初增加</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140,925,105.56</w:t>
            </w:r>
            <w:r>
              <w:rPr>
                <w:rFonts w:ascii="Times New Roman" w:hAnsi="Times New Roman" w:cs="Times New Roman" w:eastAsia="Times New Roman" w:hint="default"/>
                <w:spacing w:val="-5"/>
                <w:sz w:val="18"/>
                <w:szCs w:val="18"/>
              </w:rPr>
              <w:t> </w:t>
            </w:r>
            <w:r>
              <w:rPr>
                <w:rFonts w:ascii="宋体" w:hAnsi="宋体" w:cs="宋体" w:eastAsia="宋体" w:hint="default"/>
                <w:spacing w:val="-5"/>
                <w:sz w:val="18"/>
                <w:szCs w:val="18"/>
              </w:rPr>
              <w:t>元，增幅</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51.32%</w:t>
            </w:r>
            <w:r>
              <w:rPr>
                <w:rFonts w:ascii="宋体" w:hAnsi="宋体" w:cs="宋体" w:eastAsia="宋体" w:hint="default"/>
                <w:sz w:val="18"/>
                <w:szCs w:val="18"/>
              </w:rPr>
              <w:t>，主要原因是本期订单增 加、存货存量增加所致。</w:t>
            </w:r>
          </w:p>
        </w:tc>
      </w:tr>
      <w:tr>
        <w:trPr>
          <w:trHeight w:val="714" w:hRule="exact"/>
        </w:trPr>
        <w:tc>
          <w:tcPr>
            <w:tcW w:w="3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6517"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其他应收款期末余额较期初增加</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30,354,636.63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元，增幅</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45.27%</w:t>
            </w:r>
            <w:r>
              <w:rPr>
                <w:rFonts w:ascii="宋体" w:hAnsi="宋体" w:cs="宋体" w:eastAsia="宋体" w:hint="default"/>
                <w:sz w:val="18"/>
                <w:szCs w:val="18"/>
              </w:rPr>
              <w:t>，主要原因是本公 司本期支付保证金增加所致。</w:t>
            </w:r>
          </w:p>
        </w:tc>
      </w:tr>
    </w:tbl>
    <w:p>
      <w:pPr>
        <w:spacing w:line="240" w:lineRule="auto" w:before="2"/>
        <w:rPr>
          <w:rFonts w:ascii="宋体" w:hAnsi="宋体" w:cs="宋体" w:eastAsia="宋体" w:hint="default"/>
          <w:b/>
          <w:bCs/>
          <w:sz w:val="19"/>
          <w:szCs w:val="19"/>
        </w:rPr>
      </w:pPr>
    </w:p>
    <w:p>
      <w:pPr>
        <w:pStyle w:val="Heading3"/>
        <w:spacing w:line="240" w:lineRule="auto" w:before="35"/>
        <w:ind w:left="1134" w:right="0"/>
        <w:jc w:val="left"/>
        <w:rPr>
          <w:b w:val="0"/>
          <w:bCs w:val="0"/>
        </w:rPr>
      </w:pPr>
      <w:bookmarkStart w:name="2、主要境外资产情况" w:id="20"/>
      <w:bookmarkEnd w:id="20"/>
      <w:r>
        <w:rPr>
          <w:b w:val="0"/>
          <w:bCs w:val="0"/>
        </w:rPr>
      </w:r>
      <w:r>
        <w:rPr>
          <w:rFonts w:ascii="Times New Roman" w:hAnsi="Times New Roman" w:cs="Times New Roman" w:eastAsia="Times New Roman" w:hint="default"/>
        </w:rPr>
        <w:t>2</w:t>
      </w:r>
      <w:r>
        <w:rPr/>
        <w:t>、主要境外资产情况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13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79" w:top="1060" w:bottom="1160" w:left="0" w:right="0"/>
        </w:sectPr>
      </w:pPr>
    </w:p>
    <w:p>
      <w:pPr>
        <w:spacing w:line="240" w:lineRule="auto" w:before="8"/>
        <w:rPr>
          <w:rFonts w:ascii="宋体" w:hAnsi="宋体" w:cs="宋体" w:eastAsia="宋体" w:hint="default"/>
          <w:sz w:val="23"/>
          <w:szCs w:val="23"/>
        </w:rPr>
      </w:pPr>
    </w:p>
    <w:p>
      <w:pPr>
        <w:pStyle w:val="Heading2"/>
        <w:spacing w:line="240" w:lineRule="auto" w:before="26"/>
        <w:ind w:right="0"/>
        <w:jc w:val="left"/>
        <w:rPr>
          <w:b w:val="0"/>
          <w:bCs w:val="0"/>
        </w:rPr>
      </w:pPr>
      <w:bookmarkStart w:name="三、核心竞争力分析" w:id="21"/>
      <w:bookmarkEnd w:id="21"/>
      <w:r>
        <w:rPr>
          <w:b w:val="0"/>
          <w:bCs w:val="0"/>
        </w:rPr>
      </w:r>
      <w:r>
        <w:rPr/>
        <w:t>三、核心竞争力分析</w:t>
      </w:r>
      <w:r>
        <w:rPr>
          <w:b w:val="0"/>
          <w:bCs w:val="0"/>
        </w:rPr>
      </w:r>
    </w:p>
    <w:p>
      <w:pPr>
        <w:spacing w:line="240" w:lineRule="auto" w:before="9"/>
        <w:rPr>
          <w:rFonts w:ascii="宋体" w:hAnsi="宋体" w:cs="宋体" w:eastAsia="宋体" w:hint="default"/>
          <w:b/>
          <w:bCs/>
          <w:sz w:val="26"/>
          <w:szCs w:val="26"/>
        </w:rPr>
      </w:pPr>
    </w:p>
    <w:p>
      <w:pPr>
        <w:pStyle w:val="BodyText"/>
        <w:spacing w:line="357" w:lineRule="auto"/>
        <w:ind w:right="7693"/>
        <w:jc w:val="left"/>
      </w:pPr>
      <w:r>
        <w:rPr/>
        <w:t>公司是否需要遵守特殊行业的披露要求 否</w:t>
      </w:r>
    </w:p>
    <w:p>
      <w:pPr>
        <w:pStyle w:val="BodyText"/>
        <w:spacing w:line="316" w:lineRule="auto" w:before="28"/>
        <w:ind w:left="1134" w:right="1131" w:firstLine="360"/>
        <w:jc w:val="both"/>
      </w:pPr>
      <w:r>
        <w:rPr>
          <w:spacing w:val="-2"/>
        </w:rPr>
        <w:t>公司一直坚持以自主研发为先导，加大科研投入，加强科技创新人才队伍建设。通过建立省级企业技术中心、省级工程</w:t>
      </w:r>
      <w:r>
        <w:rPr/>
        <w:t> </w:t>
      </w:r>
      <w:r>
        <w:rPr>
          <w:spacing w:val="-2"/>
        </w:rPr>
        <w:t>技术研究中心、国家工程实验室，承担国家项目，同时与国内各大院校建立紧密的技术合作，形成了大量的科技成果、科技</w:t>
      </w:r>
      <w:r>
        <w:rPr>
          <w:spacing w:val="-66"/>
        </w:rPr>
        <w:t> </w:t>
      </w:r>
      <w:r>
        <w:rPr>
          <w:spacing w:val="-66"/>
        </w:rPr>
      </w:r>
      <w:r>
        <w:rPr/>
        <w:t>奖励和专利；根据市场的发展趋势，公司对技术、产品进行及时更新和优化，带动了公司技术进步。</w:t>
      </w:r>
    </w:p>
    <w:p>
      <w:pPr>
        <w:pStyle w:val="BodyText"/>
        <w:spacing w:line="309" w:lineRule="auto" w:before="19"/>
        <w:ind w:right="1033" w:firstLine="360"/>
        <w:jc w:val="left"/>
      </w:pPr>
      <w:r>
        <w:rPr>
          <w:spacing w:val="-2"/>
        </w:rPr>
        <w:t>公司推出的</w:t>
      </w:r>
      <w:r>
        <w:rPr>
          <w:rFonts w:ascii="Times New Roman" w:hAnsi="Times New Roman" w:cs="Times New Roman" w:eastAsia="Times New Roman" w:hint="default"/>
          <w:spacing w:val="-2"/>
        </w:rPr>
        <w:t>“</w:t>
      </w:r>
      <w:r>
        <w:rPr>
          <w:spacing w:val="-2"/>
        </w:rPr>
        <w:t>大气污染网格化精准监控及决策支持系统</w:t>
      </w:r>
      <w:r>
        <w:rPr>
          <w:rFonts w:ascii="Times New Roman" w:hAnsi="Times New Roman" w:cs="Times New Roman" w:eastAsia="Times New Roman" w:hint="default"/>
          <w:spacing w:val="-2"/>
        </w:rPr>
        <w:t>”</w:t>
      </w:r>
      <w:r>
        <w:rPr>
          <w:spacing w:val="-2"/>
        </w:rPr>
        <w:t>不断迭代、更新、优化、提升，形成了完备的产品体系、科学的</w:t>
      </w:r>
      <w:r>
        <w:rPr/>
        <w:t> </w:t>
      </w:r>
      <w:r>
        <w:rPr>
          <w:spacing w:val="-2"/>
        </w:rPr>
        <w:t>质控体系、全面的应用体系、专家人才支撑体系、服务和硬件设施保障体系、规范的标准体系等六大支撑体系。网格化系统</w:t>
      </w:r>
      <w:r>
        <w:rPr>
          <w:spacing w:val="-66"/>
        </w:rPr>
        <w:t> </w:t>
      </w:r>
      <w:r>
        <w:rPr>
          <w:spacing w:val="-66"/>
        </w:rPr>
      </w:r>
      <w:r>
        <w:rPr/>
        <w:t>融合多元化数据来源，提高大数据综合分析能力，着眼于构建天地一体的生态环境监测体系，助力打造和完善</w:t>
      </w:r>
      <w:r>
        <w:rPr>
          <w:rFonts w:ascii="Times New Roman" w:hAnsi="Times New Roman" w:cs="Times New Roman" w:eastAsia="Times New Roman" w:hint="default"/>
        </w:rPr>
        <w:t>“</w:t>
      </w:r>
      <w:r>
        <w:rPr/>
        <w:t>智慧城市</w:t>
      </w:r>
      <w:r>
        <w:rPr>
          <w:rFonts w:ascii="Times New Roman" w:hAnsi="Times New Roman" w:cs="Times New Roman" w:eastAsia="Times New Roman" w:hint="default"/>
        </w:rPr>
        <w:t>”</w:t>
      </w:r>
      <w:r>
        <w:rPr>
          <w:rFonts w:ascii="Times New Roman" w:hAnsi="Times New Roman" w:cs="Times New Roman" w:eastAsia="Times New Roman" w:hint="default"/>
          <w:w w:val="100"/>
        </w:rPr>
        <w:t> </w:t>
      </w:r>
      <w:r>
        <w:rPr/>
        <w:t>总体改善方案，实现对城市环境实现全面感知、智能控制、广泛交互和深度融合，在为政府提供精准溯源、污染来源解析、 预警预报、达标规划、监管咨询、环境治理等深度支撑中，发挥更突出、更全面、更有价值的服务优势。</w:t>
      </w:r>
    </w:p>
    <w:p>
      <w:pPr>
        <w:pStyle w:val="BodyText"/>
        <w:spacing w:line="314" w:lineRule="auto" w:before="24"/>
        <w:ind w:right="1131" w:firstLine="360"/>
        <w:jc w:val="both"/>
      </w:pPr>
      <w:r>
        <w:rPr>
          <w:spacing w:val="-2"/>
        </w:rPr>
        <w:t>依托在水质监测及治理方面长期积累的技术和经验，进行技术攻关，公司研发出小型光伏生活污水处理系统。依据相关</w:t>
      </w:r>
      <w:r>
        <w:rPr/>
        <w:t> </w:t>
      </w:r>
      <w:r>
        <w:rPr>
          <w:spacing w:val="-2"/>
        </w:rPr>
        <w:t>环保法规、标准的规定，该系统结合农村实际的排污情况及排放规律，具有独特的结构设计、最小的能耗，符合相关环保法</w:t>
      </w:r>
      <w:r>
        <w:rPr>
          <w:spacing w:val="-66"/>
        </w:rPr>
        <w:t> </w:t>
      </w:r>
      <w:r>
        <w:rPr>
          <w:spacing w:val="-66"/>
        </w:rPr>
      </w:r>
      <w:r>
        <w:rPr>
          <w:spacing w:val="-2"/>
        </w:rPr>
        <w:t>规、标准的规定。装置模块化，小巧轻便、有利于运输及安装；装置成本低、且系统运行管理简单，无需委派专人维护，无</w:t>
      </w:r>
      <w:r>
        <w:rPr>
          <w:spacing w:val="-67"/>
        </w:rPr>
        <w:t> </w:t>
      </w:r>
      <w:r>
        <w:rPr>
          <w:spacing w:val="-67"/>
        </w:rPr>
      </w:r>
      <w:r>
        <w:rPr>
          <w:spacing w:val="-2"/>
        </w:rPr>
        <w:t>需外接市电来维持装置的运行，特别适合于农村分散污水的处理和净化，出水水质达到国家</w:t>
      </w:r>
      <w:r>
        <w:rPr>
          <w:rFonts w:ascii="Times New Roman" w:hAnsi="Times New Roman" w:cs="Times New Roman" w:eastAsia="Times New Roman" w:hint="default"/>
          <w:spacing w:val="-2"/>
        </w:rPr>
        <w:t>GB18918-2002</w:t>
      </w:r>
      <w:r>
        <w:rPr>
          <w:spacing w:val="-2"/>
        </w:rPr>
        <w:t>一级</w:t>
      </w:r>
      <w:r>
        <w:rPr>
          <w:rFonts w:ascii="Times New Roman" w:hAnsi="Times New Roman" w:cs="Times New Roman" w:eastAsia="Times New Roman" w:hint="default"/>
          <w:spacing w:val="-2"/>
        </w:rPr>
        <w:t>A</w:t>
      </w:r>
      <w:r>
        <w:rPr>
          <w:spacing w:val="-2"/>
        </w:rPr>
        <w:t>标准和一级</w:t>
      </w:r>
      <w:r>
        <w:rPr>
          <w:spacing w:val="-43"/>
        </w:rPr>
        <w:t> </w:t>
      </w:r>
      <w:r>
        <w:rPr>
          <w:rFonts w:ascii="Times New Roman" w:hAnsi="Times New Roman" w:cs="Times New Roman" w:eastAsia="Times New Roman" w:hint="default"/>
        </w:rPr>
        <w:t>B</w:t>
      </w:r>
      <w:r>
        <w:rPr/>
        <w:t>标准要求。</w:t>
      </w:r>
    </w:p>
    <w:p>
      <w:pPr>
        <w:pStyle w:val="BodyText"/>
        <w:spacing w:line="304" w:lineRule="auto" w:before="1"/>
        <w:ind w:right="1123" w:firstLine="360"/>
        <w:jc w:val="left"/>
      </w:pPr>
      <w:r>
        <w:rPr/>
        <w:t>公司通过创新掌握了</w:t>
      </w:r>
      <w:r>
        <w:rPr>
          <w:rFonts w:ascii="Times New Roman" w:hAnsi="Times New Roman" w:cs="Times New Roman" w:eastAsia="Times New Roman" w:hint="default"/>
        </w:rPr>
        <w:t>VOCs</w:t>
      </w:r>
      <w:r>
        <w:rPr/>
        <w:t>主要治理技术，承担了河北省重点研发计划科技治霾专项</w:t>
      </w:r>
      <w:r>
        <w:rPr>
          <w:rFonts w:ascii="Times New Roman" w:hAnsi="Times New Roman" w:cs="Times New Roman" w:eastAsia="Times New Roman" w:hint="default"/>
        </w:rPr>
        <w:t>VOCs</w:t>
      </w:r>
      <w:r>
        <w:rPr/>
        <w:t>治理技术开发与示范（</w:t>
      </w:r>
      <w:r>
        <w:rPr>
          <w:rFonts w:ascii="Times New Roman" w:hAnsi="Times New Roman" w:cs="Times New Roman" w:eastAsia="Times New Roman" w:hint="default"/>
        </w:rPr>
        <w:t>PVC</w:t>
      </w:r>
      <w:r>
        <w:rPr>
          <w:rFonts w:ascii="Times New Roman" w:hAnsi="Times New Roman" w:cs="Times New Roman" w:eastAsia="Times New Roman" w:hint="default"/>
          <w:w w:val="99"/>
        </w:rPr>
        <w:t> </w:t>
      </w:r>
      <w:r>
        <w:rPr>
          <w:spacing w:val="-2"/>
        </w:rPr>
        <w:t>塑胶制品生产过程油烟净化与余热综合利用）项目，最终实现回收溶剂资源化和稳定达标排放。有机废气净化处理系统发明</w:t>
      </w:r>
      <w:r>
        <w:rPr>
          <w:spacing w:val="-66"/>
        </w:rPr>
        <w:t> </w:t>
      </w:r>
      <w:r>
        <w:rPr>
          <w:spacing w:val="-66"/>
        </w:rPr>
      </w:r>
      <w:r>
        <w:rPr/>
        <w:t>专利获得授权，填补了高效吸附回收领域国内空白。</w:t>
      </w:r>
      <w:r>
        <w:rPr>
          <w:rFonts w:ascii="Times New Roman" w:hAnsi="Times New Roman" w:cs="Times New Roman" w:eastAsia="Times New Roman" w:hint="default"/>
        </w:rPr>
        <w:t>VOCs</w:t>
      </w:r>
      <w:r>
        <w:rPr/>
        <w:t>第三方治理模式从探索统一收集、分离、资源化利用的方式，探 </w:t>
      </w:r>
      <w:r>
        <w:rPr>
          <w:spacing w:val="-2"/>
        </w:rPr>
        <w:t>索适应区域特点和中小企业聚集的分散吸收、统一集中处理的新模式，既能有效降低</w:t>
      </w:r>
      <w:r>
        <w:rPr>
          <w:rFonts w:ascii="Times New Roman" w:hAnsi="Times New Roman" w:cs="Times New Roman" w:eastAsia="Times New Roman" w:hint="default"/>
          <w:spacing w:val="-2"/>
        </w:rPr>
        <w:t>VOCs</w:t>
      </w:r>
      <w:r>
        <w:rPr>
          <w:spacing w:val="-2"/>
        </w:rPr>
        <w:t>的排放量，也降低了企业的</w:t>
      </w:r>
      <w:r>
        <w:rPr>
          <w:rFonts w:ascii="Times New Roman" w:hAnsi="Times New Roman" w:cs="Times New Roman" w:eastAsia="Times New Roman" w:hint="default"/>
          <w:spacing w:val="-2"/>
        </w:rPr>
        <w:t>VOCs</w:t>
      </w:r>
      <w:r>
        <w:rPr>
          <w:rFonts w:ascii="Times New Roman" w:hAnsi="Times New Roman" w:cs="Times New Roman" w:eastAsia="Times New Roman" w:hint="default"/>
          <w:spacing w:val="-17"/>
        </w:rPr>
        <w:t> </w:t>
      </w:r>
      <w:r>
        <w:rPr>
          <w:rFonts w:ascii="Times New Roman" w:hAnsi="Times New Roman" w:cs="Times New Roman" w:eastAsia="Times New Roman" w:hint="default"/>
          <w:spacing w:val="-17"/>
        </w:rPr>
      </w:r>
      <w:r>
        <w:rPr/>
        <w:t>治理成本。</w:t>
      </w:r>
    </w:p>
    <w:p>
      <w:pPr>
        <w:pStyle w:val="BodyText"/>
        <w:spacing w:line="240" w:lineRule="auto" w:before="28"/>
        <w:ind w:left="1494" w:right="0"/>
        <w:jc w:val="left"/>
      </w:pPr>
      <w:r>
        <w:rPr/>
        <w:t>截止</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日，公司（含子公司）共拥有专利</w:t>
      </w:r>
      <w:r>
        <w:rPr>
          <w:rFonts w:ascii="Times New Roman" w:hAnsi="Times New Roman" w:cs="Times New Roman" w:eastAsia="Times New Roman" w:hint="default"/>
        </w:rPr>
        <w:t>77</w:t>
      </w:r>
      <w:r>
        <w:rPr/>
        <w:t>项，拥有软件著作权</w:t>
      </w:r>
      <w:r>
        <w:rPr>
          <w:rFonts w:ascii="Times New Roman" w:hAnsi="Times New Roman" w:cs="Times New Roman" w:eastAsia="Times New Roman" w:hint="default"/>
        </w:rPr>
        <w:t>112</w:t>
      </w:r>
      <w:r>
        <w:rPr/>
        <w:t>项。</w:t>
      </w:r>
    </w:p>
    <w:p>
      <w:pPr>
        <w:spacing w:after="0" w:line="240" w:lineRule="auto"/>
        <w:jc w:val="left"/>
        <w:sectPr>
          <w:pgSz w:w="11910" w:h="16840"/>
          <w:pgMar w:header="747" w:footer="979" w:top="1060" w:bottom="1160" w:left="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pStyle w:val="Heading1"/>
        <w:spacing w:line="240" w:lineRule="auto"/>
        <w:ind w:left="3945" w:right="0"/>
        <w:jc w:val="left"/>
        <w:rPr>
          <w:b w:val="0"/>
          <w:bCs w:val="0"/>
        </w:rPr>
      </w:pPr>
      <w:bookmarkStart w:name="第四节 经营情况讨论与分析" w:id="22"/>
      <w:bookmarkEnd w:id="22"/>
      <w:r>
        <w:rPr>
          <w:b w:val="0"/>
          <w:bCs w:val="0"/>
        </w:rPr>
      </w:r>
      <w:bookmarkStart w:name="_bookmark3" w:id="23"/>
      <w:bookmarkEnd w:id="23"/>
      <w:r>
        <w:rPr>
          <w:b w:val="0"/>
          <w:bCs w:val="0"/>
        </w:rPr>
      </w:r>
      <w:r>
        <w:rPr/>
        <w:t>第四节</w:t>
      </w:r>
      <w:r>
        <w:rPr>
          <w:spacing w:val="-10"/>
        </w:rPr>
        <w:t> </w:t>
      </w:r>
      <w:r>
        <w:rPr/>
        <w:t>经营情况讨论与分析</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both"/>
        <w:rPr>
          <w:b w:val="0"/>
          <w:bCs w:val="0"/>
        </w:rPr>
      </w:pPr>
      <w:bookmarkStart w:name="一、概述" w:id="24"/>
      <w:bookmarkEnd w:id="24"/>
      <w:r>
        <w:rPr>
          <w:b w:val="0"/>
          <w:bCs w:val="0"/>
        </w:rPr>
      </w:r>
      <w:r>
        <w:rPr/>
        <w:t>一、概述</w:t>
      </w:r>
      <w:r>
        <w:rPr>
          <w:b w:val="0"/>
          <w:bCs w:val="0"/>
        </w:rPr>
      </w:r>
    </w:p>
    <w:p>
      <w:pPr>
        <w:spacing w:line="240" w:lineRule="auto" w:before="7"/>
        <w:rPr>
          <w:rFonts w:ascii="宋体" w:hAnsi="宋体" w:cs="宋体" w:eastAsia="宋体" w:hint="default"/>
          <w:b/>
          <w:bCs/>
          <w:sz w:val="26"/>
          <w:szCs w:val="26"/>
        </w:rPr>
      </w:pPr>
    </w:p>
    <w:p>
      <w:pPr>
        <w:pStyle w:val="BodyText"/>
        <w:spacing w:line="300" w:lineRule="auto"/>
        <w:ind w:right="1118" w:firstLine="360"/>
        <w:jc w:val="left"/>
      </w:pPr>
      <w:r>
        <w:rPr>
          <w:rFonts w:ascii="Times New Roman" w:hAnsi="Times New Roman" w:cs="Times New Roman" w:eastAsia="Times New Roman" w:hint="default"/>
        </w:rPr>
        <w:t>2017</w:t>
      </w:r>
      <w:r>
        <w:rPr>
          <w:rFonts w:ascii="Times New Roman" w:hAnsi="Times New Roman" w:cs="Times New Roman" w:eastAsia="Times New Roman" w:hint="default"/>
          <w:spacing w:val="26"/>
        </w:rPr>
        <w:t> </w:t>
      </w:r>
      <w:r>
        <w:rPr/>
        <w:t>年，公司全体员工在董事会的正确领导下，围绕从环境监测装备制造商到环境数据服务提供商再到生态环境综合 </w:t>
      </w:r>
      <w:r>
        <w:rPr>
          <w:spacing w:val="-2"/>
        </w:rPr>
        <w:t>服务商转变的发展战略，齐心协力、创新创造，取得了较好的成绩。报告期内，公司实现营业收入</w:t>
      </w:r>
      <w:r>
        <w:rPr>
          <w:rFonts w:ascii="Times New Roman" w:hAnsi="Times New Roman" w:cs="Times New Roman" w:eastAsia="Times New Roman" w:hint="default"/>
          <w:spacing w:val="-2"/>
        </w:rPr>
        <w:t>1,042,537,654.56</w:t>
      </w:r>
      <w:r>
        <w:rPr>
          <w:spacing w:val="-2"/>
        </w:rPr>
        <w:t>元，较上</w:t>
      </w:r>
      <w:r>
        <w:rPr>
          <w:spacing w:val="-51"/>
        </w:rPr>
        <w:t> </w:t>
      </w:r>
      <w:r>
        <w:rPr>
          <w:spacing w:val="-51"/>
        </w:rPr>
      </w:r>
      <w:r>
        <w:rPr/>
        <w:t>年同期增长</w:t>
      </w:r>
      <w:r>
        <w:rPr>
          <w:spacing w:val="-4"/>
        </w:rPr>
        <w:t> </w:t>
      </w:r>
      <w:r>
        <w:rPr>
          <w:rFonts w:ascii="Times New Roman" w:hAnsi="Times New Roman" w:cs="Times New Roman" w:eastAsia="Times New Roman" w:hint="default"/>
          <w:spacing w:val="-4"/>
        </w:rPr>
        <w:t>32.04%</w:t>
      </w:r>
      <w:r>
        <w:rPr>
          <w:spacing w:val="-4"/>
        </w:rPr>
        <w:t>；实现营业利润</w:t>
      </w:r>
      <w:r>
        <w:rPr>
          <w:rFonts w:ascii="Times New Roman" w:hAnsi="Times New Roman" w:cs="Times New Roman" w:eastAsia="Times New Roman" w:hint="default"/>
          <w:spacing w:val="-4"/>
        </w:rPr>
        <w:t>232,260,798.38</w:t>
      </w:r>
      <w:r>
        <w:rPr>
          <w:spacing w:val="-4"/>
        </w:rPr>
        <w:t>元，较上年同期增长</w:t>
      </w:r>
      <w:r>
        <w:rPr>
          <w:rFonts w:ascii="Times New Roman" w:hAnsi="Times New Roman" w:cs="Times New Roman" w:eastAsia="Times New Roman" w:hint="default"/>
          <w:spacing w:val="-4"/>
        </w:rPr>
        <w:t>105.69</w:t>
      </w:r>
      <w:r>
        <w:rPr>
          <w:rFonts w:ascii="Times New Roman" w:hAnsi="Times New Roman" w:cs="Times New Roman" w:eastAsia="Times New Roman" w:hint="default"/>
          <w:spacing w:val="-3"/>
        </w:rPr>
        <w:t> %</w:t>
      </w:r>
      <w:r>
        <w:rPr>
          <w:spacing w:val="-3"/>
        </w:rPr>
        <w:t>；归属于上市公司股东的净利润</w:t>
      </w:r>
      <w:r>
        <w:rPr>
          <w:rFonts w:ascii="Times New Roman" w:hAnsi="Times New Roman" w:cs="Times New Roman" w:eastAsia="Times New Roman" w:hint="default"/>
          <w:spacing w:val="-3"/>
        </w:rPr>
        <w:t>188,169,290.74</w:t>
      </w:r>
      <w:r>
        <w:rPr>
          <w:rFonts w:ascii="Times New Roman" w:hAnsi="Times New Roman" w:cs="Times New Roman" w:eastAsia="Times New Roman" w:hint="default"/>
          <w:spacing w:val="-42"/>
        </w:rPr>
        <w:t> </w:t>
      </w:r>
      <w:r>
        <w:rPr>
          <w:rFonts w:ascii="Times New Roman" w:hAnsi="Times New Roman" w:cs="Times New Roman" w:eastAsia="Times New Roman" w:hint="default"/>
          <w:spacing w:val="-42"/>
        </w:rPr>
      </w:r>
      <w:r>
        <w:rPr/>
        <w:t>元，较上年同期增长</w:t>
      </w:r>
      <w:r>
        <w:rPr>
          <w:rFonts w:ascii="Times New Roman" w:hAnsi="Times New Roman" w:cs="Times New Roman" w:eastAsia="Times New Roman" w:hint="default"/>
        </w:rPr>
        <w:t>78.68%</w:t>
      </w:r>
      <w:r>
        <w:rPr/>
        <w:t>。截至报告期末，公司资产总额达到</w:t>
      </w:r>
      <w:r>
        <w:rPr>
          <w:rFonts w:ascii="Times New Roman" w:hAnsi="Times New Roman" w:cs="Times New Roman" w:eastAsia="Times New Roman" w:hint="default"/>
        </w:rPr>
        <w:t>2,120,996,274.54</w:t>
      </w:r>
      <w:r>
        <w:rPr/>
        <w:t>元，归属于上市公司股东的净资产 </w:t>
      </w:r>
      <w:r>
        <w:rPr>
          <w:rFonts w:ascii="Times New Roman" w:hAnsi="Times New Roman" w:cs="Times New Roman" w:eastAsia="Times New Roman" w:hint="default"/>
        </w:rPr>
        <w:t>1,602,362,562.90</w:t>
      </w:r>
      <w:r>
        <w:rPr/>
        <w:t>元，分别较上年期末增长</w:t>
      </w:r>
      <w:r>
        <w:rPr>
          <w:rFonts w:ascii="Times New Roman" w:hAnsi="Times New Roman" w:cs="Times New Roman" w:eastAsia="Times New Roman" w:hint="default"/>
        </w:rPr>
        <w:t>18.80%</w:t>
      </w:r>
      <w:r>
        <w:rPr/>
        <w:t>、 </w:t>
      </w:r>
      <w:r>
        <w:rPr>
          <w:rFonts w:ascii="Times New Roman" w:hAnsi="Times New Roman" w:cs="Times New Roman" w:eastAsia="Times New Roman" w:hint="default"/>
        </w:rPr>
        <w:t>10.54</w:t>
      </w:r>
      <w:r>
        <w:rPr>
          <w:rFonts w:ascii="Times New Roman" w:hAnsi="Times New Roman" w:cs="Times New Roman" w:eastAsia="Times New Roman" w:hint="default"/>
          <w:spacing w:val="-24"/>
        </w:rPr>
        <w:t> </w:t>
      </w:r>
      <w:r>
        <w:rPr>
          <w:rFonts w:ascii="Times New Roman" w:hAnsi="Times New Roman" w:cs="Times New Roman" w:eastAsia="Times New Roman" w:hint="default"/>
        </w:rPr>
        <w:t>%</w:t>
      </w:r>
      <w:r>
        <w:rPr/>
        <w:t>。</w:t>
      </w:r>
    </w:p>
    <w:p>
      <w:pPr>
        <w:pStyle w:val="BodyText"/>
        <w:spacing w:line="240" w:lineRule="auto" w:before="13"/>
        <w:ind w:left="1424" w:right="0"/>
        <w:jc w:val="left"/>
      </w:pPr>
      <w:r>
        <w:rPr/>
        <w:t>（一）公司进入新一轮快速增长期</w:t>
      </w:r>
    </w:p>
    <w:p>
      <w:pPr>
        <w:pStyle w:val="BodyText"/>
        <w:spacing w:line="300" w:lineRule="auto" w:before="76"/>
        <w:ind w:left="1493" w:right="0" w:hanging="70"/>
        <w:jc w:val="left"/>
      </w:pPr>
      <w:r>
        <w:rPr>
          <w:rFonts w:ascii="Times New Roman" w:hAnsi="Times New Roman" w:cs="Times New Roman" w:eastAsia="Times New Roman" w:hint="default"/>
        </w:rPr>
        <w:t>1</w:t>
      </w:r>
      <w:r>
        <w:rPr/>
        <w:t>、产品线更加丰富健全，产品质量得到提升 </w:t>
      </w:r>
      <w:r>
        <w:rPr>
          <w:spacing w:val="-2"/>
        </w:rPr>
        <w:t>生态环境监测小型化、微型化设备、软件以及系统集成等全面发力。其中，便携式国标法小型监测仪受到市场欢迎，有</w:t>
      </w:r>
    </w:p>
    <w:p>
      <w:pPr>
        <w:pStyle w:val="BodyText"/>
        <w:spacing w:line="316" w:lineRule="auto" w:before="31"/>
        <w:ind w:right="1129"/>
        <w:jc w:val="both"/>
      </w:pPr>
      <w:r>
        <w:rPr>
          <w:spacing w:val="-2"/>
        </w:rPr>
        <w:t>毒有害气体传感器监测仪、便携式特征污染物监测仪陆续推出，成为公司技术创新亮点；源解析、道路交通尾气产品线通过</w:t>
      </w:r>
      <w:r>
        <w:rPr>
          <w:spacing w:val="-66"/>
        </w:rPr>
        <w:t> </w:t>
      </w:r>
      <w:r>
        <w:rPr>
          <w:spacing w:val="-66"/>
        </w:rPr>
      </w:r>
      <w:r>
        <w:rPr>
          <w:spacing w:val="-2"/>
        </w:rPr>
        <w:t>研发新技术、引入新产品，市场规模有较大提升；软件产品销售增长幅度明显，公司对多项软件系统进行升级和完善；在水</w:t>
      </w:r>
      <w:r>
        <w:rPr>
          <w:spacing w:val="-64"/>
        </w:rPr>
        <w:t> </w:t>
      </w:r>
      <w:r>
        <w:rPr>
          <w:spacing w:val="-64"/>
        </w:rPr>
      </w:r>
      <w:r>
        <w:rPr/>
        <w:t>质监测技术上，研发并推出备受用户关注的小型化水质在线监测系统，并引进</w:t>
      </w:r>
      <w:r>
        <w:rPr>
          <w:rFonts w:ascii="Times New Roman" w:hAnsi="Times New Roman" w:cs="Times New Roman" w:eastAsia="Times New Roman" w:hint="default"/>
        </w:rPr>
        <w:t>Bran+Luebbe</w:t>
      </w:r>
      <w:r>
        <w:rPr/>
        <w:t>水质产品，进一步完善生态环境</w:t>
      </w:r>
    </w:p>
    <w:p>
      <w:pPr>
        <w:pStyle w:val="BodyText"/>
        <w:spacing w:line="316" w:lineRule="auto"/>
        <w:ind w:right="1131"/>
        <w:jc w:val="both"/>
      </w:pPr>
      <w:r>
        <w:rPr>
          <w:spacing w:val="-2"/>
        </w:rPr>
        <w:t>（水）网格化精准监控及决策支持系统的功能及应用展开。此外，公司推出农村一体化分散式污水处理系统，丰富了公司治</w:t>
      </w:r>
      <w:r>
        <w:rPr>
          <w:spacing w:val="-66"/>
        </w:rPr>
        <w:t> </w:t>
      </w:r>
      <w:r>
        <w:rPr>
          <w:spacing w:val="-66"/>
        </w:rPr>
      </w:r>
      <w:r>
        <w:rPr/>
        <w:t>理领域的产品线。公司以高品质管理和服务，顺利获得河北省政府质量奖。</w:t>
      </w:r>
    </w:p>
    <w:p>
      <w:pPr>
        <w:pStyle w:val="BodyText"/>
        <w:spacing w:line="240" w:lineRule="auto" w:before="19"/>
        <w:ind w:left="1493" w:right="0"/>
        <w:jc w:val="left"/>
      </w:pPr>
      <w:r>
        <w:rPr>
          <w:rFonts w:ascii="Times New Roman" w:hAnsi="Times New Roman" w:cs="Times New Roman" w:eastAsia="Times New Roman" w:hint="default"/>
        </w:rPr>
        <w:t>2</w:t>
      </w:r>
      <w:r>
        <w:rPr/>
        <w:t>、网格化系统强势推进，全面开疆拓土</w:t>
      </w:r>
    </w:p>
    <w:p>
      <w:pPr>
        <w:pStyle w:val="BodyText"/>
        <w:spacing w:line="307" w:lineRule="auto" w:before="63"/>
        <w:ind w:right="0" w:firstLine="360"/>
        <w:jc w:val="left"/>
      </w:pPr>
      <w:r>
        <w:rPr>
          <w:rFonts w:ascii="Times New Roman" w:hAnsi="Times New Roman" w:cs="Times New Roman" w:eastAsia="Times New Roman" w:hint="default"/>
          <w:spacing w:val="-2"/>
        </w:rPr>
        <w:t>2017</w:t>
      </w:r>
      <w:r>
        <w:rPr>
          <w:spacing w:val="-2"/>
        </w:rPr>
        <w:t>年网格化系统不断创新升级，增强服务价值，融合管理咨询、超级站等业务，从导入期逐渐过渡成长期，在全国各</w:t>
      </w:r>
      <w:r>
        <w:rPr/>
        <w:t> </w:t>
      </w:r>
      <w:r>
        <w:rPr>
          <w:spacing w:val="-2"/>
        </w:rPr>
        <w:t>地开疆拓土。截至</w:t>
      </w:r>
      <w:r>
        <w:rPr>
          <w:rFonts w:ascii="Times New Roman" w:hAnsi="Times New Roman" w:cs="Times New Roman" w:eastAsia="Times New Roman" w:hint="default"/>
          <w:spacing w:val="-2"/>
        </w:rPr>
        <w:t>2017</w:t>
      </w:r>
      <w:r>
        <w:rPr>
          <w:spacing w:val="-2"/>
        </w:rPr>
        <w:t>年底大气网格化已覆盖全国</w:t>
      </w:r>
      <w:r>
        <w:rPr>
          <w:rFonts w:ascii="Times New Roman" w:hAnsi="Times New Roman" w:cs="Times New Roman" w:eastAsia="Times New Roman" w:hint="default"/>
          <w:spacing w:val="-2"/>
        </w:rPr>
        <w:t>14</w:t>
      </w:r>
      <w:r>
        <w:rPr>
          <w:spacing w:val="-2"/>
        </w:rPr>
        <w:t>个省、</w:t>
      </w:r>
      <w:r>
        <w:rPr>
          <w:rFonts w:ascii="Times New Roman" w:hAnsi="Times New Roman" w:cs="Times New Roman" w:eastAsia="Times New Roman" w:hint="default"/>
          <w:spacing w:val="-2"/>
        </w:rPr>
        <w:t>70</w:t>
      </w:r>
      <w:r>
        <w:rPr>
          <w:spacing w:val="-2"/>
        </w:rPr>
        <w:t>个城市，其中</w:t>
      </w:r>
      <w:r>
        <w:rPr>
          <w:rFonts w:ascii="Times New Roman" w:hAnsi="Times New Roman" w:cs="Times New Roman" w:eastAsia="Times New Roman" w:hint="default"/>
          <w:spacing w:val="-2"/>
        </w:rPr>
        <w:t>“2+26”</w:t>
      </w:r>
      <w:r>
        <w:rPr>
          <w:spacing w:val="-2"/>
        </w:rPr>
        <w:t>通道城市中已覆盖</w:t>
      </w:r>
      <w:r>
        <w:rPr>
          <w:rFonts w:ascii="Times New Roman" w:hAnsi="Times New Roman" w:cs="Times New Roman" w:eastAsia="Times New Roman" w:hint="default"/>
          <w:spacing w:val="-2"/>
        </w:rPr>
        <w:t>16</w:t>
      </w:r>
      <w:r>
        <w:rPr>
          <w:spacing w:val="-2"/>
        </w:rPr>
        <w:t>个，保持着行业引领</w:t>
      </w:r>
      <w:r>
        <w:rPr>
          <w:spacing w:val="-40"/>
        </w:rPr>
        <w:t> </w:t>
      </w:r>
      <w:r>
        <w:rPr>
          <w:spacing w:val="-40"/>
        </w:rPr>
      </w:r>
      <w:r>
        <w:rPr>
          <w:spacing w:val="-4"/>
        </w:rPr>
        <w:t>者地位。作为网格化的开创者和引领者，公司通过与各地政府协同治霾、创新实践，使服务过的地市空气质量得到显著改善，</w:t>
      </w:r>
      <w:r>
        <w:rPr>
          <w:spacing w:val="-46"/>
        </w:rPr>
        <w:t> </w:t>
      </w:r>
      <w:r>
        <w:rPr>
          <w:spacing w:val="-46"/>
        </w:rPr>
      </w:r>
      <w:r>
        <w:rPr/>
        <w:t>确实发挥了科学、精准治霾的强大能量。</w:t>
      </w:r>
      <w:r>
        <w:rPr>
          <w:rFonts w:ascii="Times New Roman" w:hAnsi="Times New Roman" w:cs="Times New Roman" w:eastAsia="Times New Roman" w:hint="default"/>
        </w:rPr>
        <w:t>“</w:t>
      </w:r>
      <w:r>
        <w:rPr/>
        <w:t>水质网格化</w:t>
      </w:r>
      <w:r>
        <w:rPr>
          <w:rFonts w:ascii="Times New Roman" w:hAnsi="Times New Roman" w:cs="Times New Roman" w:eastAsia="Times New Roman" w:hint="default"/>
        </w:rPr>
        <w:t>”</w:t>
      </w:r>
      <w:r>
        <w:rPr/>
        <w:t>实现突破，水环境网格化系统在渤海新区投入使用。</w:t>
      </w:r>
    </w:p>
    <w:p>
      <w:pPr>
        <w:pStyle w:val="BodyText"/>
        <w:spacing w:line="300" w:lineRule="auto" w:before="7"/>
        <w:ind w:left="1493" w:right="0"/>
        <w:jc w:val="left"/>
      </w:pPr>
      <w:r>
        <w:rPr>
          <w:rFonts w:ascii="Times New Roman" w:hAnsi="Times New Roman" w:cs="Times New Roman" w:eastAsia="Times New Roman" w:hint="default"/>
        </w:rPr>
        <w:t>3</w:t>
      </w:r>
      <w:r>
        <w:rPr/>
        <w:t>、管理咨询协同发展，全面爆发 </w:t>
      </w:r>
      <w:r>
        <w:rPr>
          <w:spacing w:val="-2"/>
        </w:rPr>
        <w:t>随着网格化项目的深入推广，为满足客户更高层次的专业化需求，管理咨询类业务成为项目中的有机组成部分。在网格</w:t>
      </w:r>
    </w:p>
    <w:p>
      <w:pPr>
        <w:pStyle w:val="BodyText"/>
        <w:spacing w:line="316" w:lineRule="auto" w:before="31"/>
        <w:ind w:right="1033"/>
        <w:jc w:val="left"/>
      </w:pPr>
      <w:r>
        <w:rPr>
          <w:spacing w:val="-2"/>
        </w:rPr>
        <w:t>化应用城市，对数据平台实时数据进行监控，利用大数据应用技术挖掘数据之间的关系，结合气象数据、地理信息数据、多</w:t>
      </w:r>
      <w:r>
        <w:rPr>
          <w:spacing w:val="-66"/>
        </w:rPr>
        <w:t> </w:t>
      </w:r>
      <w:r>
        <w:rPr>
          <w:spacing w:val="-66"/>
        </w:rPr>
      </w:r>
      <w:r>
        <w:rPr>
          <w:spacing w:val="-2"/>
        </w:rPr>
        <w:t>种环境质量模型等进行分析研判，甄别影响区域环境质量的主要因素及其污染贡献率，并针对不同区域不同污染源问题实时</w:t>
      </w:r>
      <w:r>
        <w:rPr>
          <w:spacing w:val="-64"/>
        </w:rPr>
        <w:t> </w:t>
      </w:r>
      <w:r>
        <w:rPr>
          <w:spacing w:val="-64"/>
        </w:rPr>
      </w:r>
      <w:r>
        <w:rPr/>
        <w:t>提供管控与治理方案。报告期内，公司编制了管理咨询服务项目资源配置方案。截止报告期末，公司与新乡、鹤壁、安阳、 廊坊等十余个城市签订管理咨询服务合同。</w:t>
      </w:r>
    </w:p>
    <w:p>
      <w:pPr>
        <w:pStyle w:val="BodyText"/>
        <w:spacing w:line="300" w:lineRule="auto" w:before="19"/>
        <w:ind w:left="1494" w:right="0"/>
        <w:jc w:val="left"/>
      </w:pPr>
      <w:r>
        <w:rPr>
          <w:rFonts w:ascii="Times New Roman" w:hAnsi="Times New Roman" w:cs="Times New Roman" w:eastAsia="Times New Roman" w:hint="default"/>
        </w:rPr>
        <w:t>4</w:t>
      </w:r>
      <w:r>
        <w:rPr/>
        <w:t>、环境治理深耕细作，经营成果显现 </w:t>
      </w:r>
      <w:r>
        <w:rPr>
          <w:spacing w:val="-2"/>
        </w:rPr>
        <w:t>环境治理领域经过探索实践，</w:t>
      </w:r>
      <w:r>
        <w:rPr>
          <w:rFonts w:ascii="Times New Roman" w:hAnsi="Times New Roman" w:cs="Times New Roman" w:eastAsia="Times New Roman" w:hint="default"/>
          <w:spacing w:val="-2"/>
        </w:rPr>
        <w:t>2017</w:t>
      </w:r>
      <w:r>
        <w:rPr>
          <w:spacing w:val="-2"/>
        </w:rPr>
        <w:t>年成果显现。报告期内公司积极开拓</w:t>
      </w:r>
      <w:r>
        <w:rPr>
          <w:rFonts w:ascii="Times New Roman" w:hAnsi="Times New Roman" w:cs="Times New Roman" w:eastAsia="Times New Roman" w:hint="default"/>
          <w:spacing w:val="-2"/>
        </w:rPr>
        <w:t>VOCs</w:t>
      </w:r>
      <w:r>
        <w:rPr>
          <w:spacing w:val="-2"/>
        </w:rPr>
        <w:t>治理业务，包装印刷企业、整车喷涂企业、</w:t>
      </w:r>
    </w:p>
    <w:p>
      <w:pPr>
        <w:pStyle w:val="BodyText"/>
        <w:spacing w:line="307" w:lineRule="auto" w:before="13"/>
        <w:ind w:left="1134" w:right="1131"/>
        <w:jc w:val="both"/>
      </w:pPr>
      <w:r>
        <w:rPr>
          <w:rFonts w:ascii="Times New Roman" w:hAnsi="Times New Roman" w:cs="Times New Roman" w:eastAsia="Times New Roman" w:hint="default"/>
        </w:rPr>
        <w:t>PVC</w:t>
      </w:r>
      <w:r>
        <w:rPr/>
        <w:t>手套生产基地、制药企业等涉及不同行业领域的</w:t>
      </w:r>
      <w:r>
        <w:rPr>
          <w:rFonts w:ascii="Times New Roman" w:hAnsi="Times New Roman" w:cs="Times New Roman" w:eastAsia="Times New Roman" w:hint="default"/>
        </w:rPr>
        <w:t>VOCs</w:t>
      </w:r>
      <w:r>
        <w:rPr/>
        <w:t>治理项目陆续落地实施，通过这些项目的突破性进展，公司积累</w:t>
      </w:r>
      <w:r>
        <w:rPr>
          <w:spacing w:val="-77"/>
        </w:rPr>
        <w:t> </w:t>
      </w:r>
      <w:r>
        <w:rPr>
          <w:spacing w:val="-77"/>
        </w:rPr>
      </w:r>
      <w:r>
        <w:rPr/>
        <w:t>了宝贵经验，为打造</w:t>
      </w:r>
      <w:r>
        <w:rPr>
          <w:rFonts w:ascii="Times New Roman" w:hAnsi="Times New Roman" w:cs="Times New Roman" w:eastAsia="Times New Roman" w:hint="default"/>
        </w:rPr>
        <w:t>VOCs</w:t>
      </w:r>
      <w:r>
        <w:rPr/>
        <w:t>治理行业品牌及进一步拓展市场奠定了坚实的基础。在农村污水处理新领域，公司在多年技术积</w:t>
      </w:r>
      <w:r>
        <w:rPr>
          <w:spacing w:val="-85"/>
        </w:rPr>
        <w:t> </w:t>
      </w:r>
      <w:r>
        <w:rPr>
          <w:spacing w:val="-85"/>
        </w:rPr>
      </w:r>
      <w:r>
        <w:rPr>
          <w:spacing w:val="-2"/>
        </w:rPr>
        <w:t>累的基础上成功研制出小型光伏生活污水处理系统，装置成本低、且系统运行管理简单，无需委派专人维护，无需外接市电</w:t>
      </w:r>
      <w:r>
        <w:rPr>
          <w:spacing w:val="-66"/>
        </w:rPr>
        <w:t> </w:t>
      </w:r>
      <w:r>
        <w:rPr>
          <w:spacing w:val="-66"/>
        </w:rPr>
      </w:r>
      <w:r>
        <w:rPr/>
        <w:t>来维持装置的运行，特别适合于农村分散污水的处理和净化，已在石家庄、北京、唐山、贵州、四川等地成功试点应用。</w:t>
      </w:r>
    </w:p>
    <w:p>
      <w:pPr>
        <w:pStyle w:val="BodyText"/>
        <w:spacing w:line="240" w:lineRule="auto" w:before="25"/>
        <w:ind w:left="1351" w:right="0"/>
        <w:jc w:val="left"/>
      </w:pPr>
      <w:r>
        <w:rPr/>
        <w:t>（二）技术和产品创新能力持续增强</w:t>
      </w:r>
    </w:p>
    <w:p>
      <w:pPr>
        <w:pStyle w:val="BodyText"/>
        <w:spacing w:line="312" w:lineRule="auto" w:before="76"/>
        <w:ind w:right="1130" w:firstLine="360"/>
        <w:jc w:val="both"/>
      </w:pPr>
      <w:r>
        <w:rPr>
          <w:rFonts w:ascii="Times New Roman" w:hAnsi="Times New Roman" w:cs="Times New Roman" w:eastAsia="Times New Roman" w:hint="default"/>
          <w:spacing w:val="-2"/>
        </w:rPr>
        <w:t>1</w:t>
      </w:r>
      <w:r>
        <w:rPr>
          <w:spacing w:val="-2"/>
        </w:rPr>
        <w:t>、产品创新带动市场发力：</w:t>
      </w:r>
      <w:r>
        <w:rPr>
          <w:rFonts w:ascii="Times New Roman" w:hAnsi="Times New Roman" w:cs="Times New Roman" w:eastAsia="Times New Roman" w:hint="default"/>
          <w:spacing w:val="-2"/>
        </w:rPr>
        <w:t>2017</w:t>
      </w:r>
      <w:r>
        <w:rPr>
          <w:spacing w:val="-2"/>
        </w:rPr>
        <w:t>年有</w:t>
      </w:r>
      <w:r>
        <w:rPr>
          <w:rFonts w:ascii="Times New Roman" w:hAnsi="Times New Roman" w:cs="Times New Roman" w:eastAsia="Times New Roman" w:hint="default"/>
          <w:spacing w:val="-2"/>
        </w:rPr>
        <w:t>9</w:t>
      </w:r>
      <w:r>
        <w:rPr>
          <w:spacing w:val="-2"/>
        </w:rPr>
        <w:t>款新品走向市场创造效益。应用于走航监测的</w:t>
      </w:r>
      <w:r>
        <w:rPr>
          <w:rFonts w:ascii="Times New Roman" w:hAnsi="Times New Roman" w:cs="Times New Roman" w:eastAsia="Times New Roman" w:hint="default"/>
          <w:spacing w:val="-2"/>
        </w:rPr>
        <w:t>4000</w:t>
      </w:r>
      <w:r>
        <w:rPr>
          <w:spacing w:val="-2"/>
        </w:rPr>
        <w:t>型移动空气监测系统，成功融</w:t>
      </w:r>
      <w:r>
        <w:rPr/>
        <w:t> </w:t>
      </w:r>
      <w:r>
        <w:rPr>
          <w:spacing w:val="-2"/>
        </w:rPr>
        <w:t>入网格化项目，大幅增强公司大数据应用和研判能力；有毒有害气体传感网络监测仪走在市场前列，在河间氯气泄漏现场大</w:t>
      </w:r>
      <w:r>
        <w:rPr>
          <w:spacing w:val="-66"/>
        </w:rPr>
        <w:t> </w:t>
      </w:r>
      <w:r>
        <w:rPr>
          <w:spacing w:val="-66"/>
        </w:rPr>
      </w:r>
      <w:r>
        <w:rPr>
          <w:spacing w:val="-2"/>
        </w:rPr>
        <w:t>显身手；此外，公司成功开发源解析车，作为网格化系统的重要补充，用科学准确的数据量化源贡献及变化情况，提高环保</w:t>
      </w:r>
      <w:r>
        <w:rPr>
          <w:spacing w:val="-66"/>
        </w:rPr>
        <w:t> </w:t>
      </w:r>
      <w:r>
        <w:rPr>
          <w:spacing w:val="-66"/>
        </w:rPr>
      </w:r>
      <w:r>
        <w:rPr/>
        <w:t>数据分析服务的质量和水平。</w:t>
      </w:r>
    </w:p>
    <w:p>
      <w:pPr>
        <w:pStyle w:val="BodyText"/>
        <w:spacing w:line="300" w:lineRule="auto" w:before="22"/>
        <w:ind w:right="1042" w:firstLine="360"/>
        <w:jc w:val="left"/>
      </w:pPr>
      <w:r>
        <w:rPr>
          <w:rFonts w:ascii="Times New Roman" w:hAnsi="Times New Roman" w:cs="Times New Roman" w:eastAsia="Times New Roman" w:hint="default"/>
          <w:spacing w:val="-2"/>
        </w:rPr>
        <w:t>2</w:t>
      </w:r>
      <w:r>
        <w:rPr>
          <w:spacing w:val="-2"/>
        </w:rPr>
        <w:t>、科研项目成果丰硕：</w:t>
      </w:r>
      <w:r>
        <w:rPr>
          <w:rFonts w:ascii="Times New Roman" w:hAnsi="Times New Roman" w:cs="Times New Roman" w:eastAsia="Times New Roman" w:hint="default"/>
          <w:spacing w:val="-2"/>
        </w:rPr>
        <w:t>2017</w:t>
      </w:r>
      <w:r>
        <w:rPr>
          <w:spacing w:val="-2"/>
        </w:rPr>
        <w:t>年完成</w:t>
      </w:r>
      <w:r>
        <w:rPr>
          <w:rFonts w:ascii="Times New Roman" w:hAnsi="Times New Roman" w:cs="Times New Roman" w:eastAsia="Times New Roman" w:hint="default"/>
          <w:spacing w:val="-2"/>
        </w:rPr>
        <w:t>12</w:t>
      </w:r>
      <w:r>
        <w:rPr>
          <w:spacing w:val="-2"/>
        </w:rPr>
        <w:t>项科研项目申报，其中科技部重大仪器专项申报</w:t>
      </w:r>
      <w:r>
        <w:rPr>
          <w:rFonts w:ascii="Times New Roman" w:hAnsi="Times New Roman" w:cs="Times New Roman" w:eastAsia="Times New Roman" w:hint="default"/>
          <w:spacing w:val="-2"/>
        </w:rPr>
        <w:t>2</w:t>
      </w:r>
      <w:r>
        <w:rPr>
          <w:spacing w:val="-2"/>
        </w:rPr>
        <w:t>项；完成</w:t>
      </w:r>
      <w:r>
        <w:rPr>
          <w:rFonts w:ascii="Times New Roman" w:hAnsi="Times New Roman" w:cs="Times New Roman" w:eastAsia="Times New Roman" w:hint="default"/>
          <w:spacing w:val="-2"/>
        </w:rPr>
        <w:t>22</w:t>
      </w:r>
      <w:r>
        <w:rPr>
          <w:spacing w:val="-2"/>
        </w:rPr>
        <w:t>项计量标准及环保认</w:t>
      </w:r>
      <w:r>
        <w:rPr/>
        <w:t> </w:t>
      </w:r>
      <w:r>
        <w:rPr>
          <w:spacing w:val="-1"/>
        </w:rPr>
        <w:t>证，</w:t>
      </w:r>
      <w:r>
        <w:rPr>
          <w:rFonts w:ascii="Times New Roman" w:hAnsi="Times New Roman" w:cs="Times New Roman" w:eastAsia="Times New Roman" w:hint="default"/>
          <w:spacing w:val="-1"/>
        </w:rPr>
        <w:t>XHAQMS3000</w:t>
      </w:r>
      <w:r>
        <w:rPr>
          <w:spacing w:val="-1"/>
        </w:rPr>
        <w:t>环保认证为全国唯一取证单位，</w:t>
      </w:r>
      <w:r>
        <w:rPr>
          <w:rFonts w:ascii="Times New Roman" w:hAnsi="Times New Roman" w:cs="Times New Roman" w:eastAsia="Times New Roman" w:hint="default"/>
          <w:spacing w:val="-1"/>
        </w:rPr>
        <w:t>XHAQSN-800</w:t>
      </w:r>
      <w:r>
        <w:rPr>
          <w:spacing w:val="-1"/>
        </w:rPr>
        <w:t>环保认证为全国首家取证单位，为市场开拓提供资质保障；</w:t>
      </w:r>
      <w:r>
        <w:rPr>
          <w:spacing w:val="-87"/>
        </w:rPr>
        <w:t> </w:t>
      </w:r>
      <w:r>
        <w:rPr>
          <w:spacing w:val="-87"/>
        </w:rPr>
      </w:r>
      <w:r>
        <w:rPr/>
        <w:t>公司牵头起草的国内首批网格化地方标准在河北发布实施。</w:t>
      </w:r>
    </w:p>
    <w:p>
      <w:pPr>
        <w:spacing w:after="0" w:line="300" w:lineRule="auto"/>
        <w:jc w:val="left"/>
        <w:sectPr>
          <w:pgSz w:w="11910" w:h="16840"/>
          <w:pgMar w:header="747" w:footer="979" w:top="1060" w:bottom="1160" w:left="0" w:right="0"/>
        </w:sectPr>
      </w:pPr>
    </w:p>
    <w:p>
      <w:pPr>
        <w:spacing w:line="240" w:lineRule="auto" w:before="12"/>
        <w:rPr>
          <w:rFonts w:ascii="宋体" w:hAnsi="宋体" w:cs="宋体" w:eastAsia="宋体" w:hint="default"/>
          <w:sz w:val="25"/>
          <w:szCs w:val="25"/>
        </w:rPr>
      </w:pPr>
    </w:p>
    <w:p>
      <w:pPr>
        <w:pStyle w:val="BodyText"/>
        <w:spacing w:line="240" w:lineRule="auto" w:before="44"/>
        <w:ind w:left="1351" w:right="0"/>
        <w:jc w:val="left"/>
      </w:pPr>
      <w:r>
        <w:rPr/>
        <w:t>（三）公司品牌效应持续增强</w:t>
      </w:r>
    </w:p>
    <w:p>
      <w:pPr>
        <w:pStyle w:val="BodyText"/>
        <w:spacing w:line="300" w:lineRule="auto" w:before="76"/>
        <w:ind w:right="1027" w:firstLine="360"/>
        <w:jc w:val="left"/>
      </w:pPr>
      <w:r>
        <w:rPr>
          <w:rFonts w:ascii="Times New Roman" w:hAnsi="Times New Roman" w:cs="Times New Roman" w:eastAsia="Times New Roman" w:hint="default"/>
          <w:spacing w:val="-2"/>
        </w:rPr>
        <w:t>2017</w:t>
      </w:r>
      <w:r>
        <w:rPr>
          <w:spacing w:val="-2"/>
        </w:rPr>
        <w:t>年度，公司及公司业务、产品多次被《中国环境报》、《中国质量报》、《河北日报》、中央电视台、河北电视台</w:t>
      </w:r>
      <w:r>
        <w:rPr/>
        <w:t> 等媒体进行宣传报道；公司荣获</w:t>
      </w:r>
      <w:r>
        <w:rPr>
          <w:rFonts w:ascii="Times New Roman" w:hAnsi="Times New Roman" w:cs="Times New Roman" w:eastAsia="Times New Roman" w:hint="default"/>
        </w:rPr>
        <w:t>“</w:t>
      </w:r>
      <w:r>
        <w:rPr/>
        <w:t>河北省政府质量奖</w:t>
      </w:r>
      <w:r>
        <w:rPr>
          <w:rFonts w:ascii="Times New Roman" w:hAnsi="Times New Roman" w:cs="Times New Roman" w:eastAsia="Times New Roman" w:hint="default"/>
        </w:rPr>
        <w:t>”</w:t>
      </w:r>
      <w:r>
        <w:rPr/>
        <w:t>、</w:t>
      </w:r>
      <w:r>
        <w:rPr>
          <w:spacing w:val="-23"/>
        </w:rPr>
        <w:t> </w:t>
      </w:r>
      <w:r>
        <w:rPr>
          <w:rFonts w:ascii="Times New Roman" w:hAnsi="Times New Roman" w:cs="Times New Roman" w:eastAsia="Times New Roman" w:hint="default"/>
        </w:rPr>
        <w:t>“</w:t>
      </w:r>
      <w:r>
        <w:rPr/>
        <w:t>石家庄市十大工业名牌产品</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石家庄高新区质量奖</w:t>
      </w:r>
      <w:r>
        <w:rPr>
          <w:rFonts w:ascii="Times New Roman" w:hAnsi="Times New Roman" w:cs="Times New Roman" w:eastAsia="Times New Roman" w:hint="default"/>
        </w:rPr>
        <w:t>”</w:t>
      </w:r>
      <w:r>
        <w:rPr/>
        <w:t>等重要荣誉， 品牌知名度持续提升。</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2"/>
        <w:spacing w:line="240" w:lineRule="auto" w:before="125"/>
        <w:ind w:right="0"/>
        <w:jc w:val="left"/>
        <w:rPr>
          <w:b w:val="0"/>
          <w:bCs w:val="0"/>
        </w:rPr>
      </w:pPr>
      <w:bookmarkStart w:name="二、主营业务分析" w:id="25"/>
      <w:bookmarkEnd w:id="25"/>
      <w:r>
        <w:rPr>
          <w:b w:val="0"/>
          <w:bCs w:val="0"/>
        </w:rPr>
      </w:r>
      <w:r>
        <w:rPr/>
        <w:t>二、主营业务分析</w:t>
      </w:r>
      <w:r>
        <w:rPr>
          <w:b w:val="0"/>
          <w:bCs w:val="0"/>
        </w:rPr>
      </w:r>
    </w:p>
    <w:p>
      <w:pPr>
        <w:spacing w:line="240" w:lineRule="auto" w:before="8"/>
        <w:rPr>
          <w:rFonts w:ascii="宋体" w:hAnsi="宋体" w:cs="宋体" w:eastAsia="宋体" w:hint="default"/>
          <w:b/>
          <w:bCs/>
          <w:sz w:val="24"/>
          <w:szCs w:val="24"/>
        </w:rPr>
      </w:pPr>
    </w:p>
    <w:p>
      <w:pPr>
        <w:spacing w:line="544" w:lineRule="auto" w:before="0"/>
        <w:ind w:left="1133" w:right="6473" w:firstLine="0"/>
        <w:jc w:val="left"/>
        <w:rPr>
          <w:rFonts w:ascii="宋体" w:hAnsi="宋体" w:cs="宋体" w:eastAsia="宋体" w:hint="default"/>
          <w:sz w:val="21"/>
          <w:szCs w:val="21"/>
        </w:rPr>
      </w:pPr>
      <w:bookmarkStart w:name="1、概述" w:id="26"/>
      <w:bookmarkEnd w:id="26"/>
      <w:r>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、概述</w:t>
      </w:r>
      <w:r>
        <w:rPr>
          <w:rFonts w:ascii="宋体" w:hAnsi="宋体" w:cs="宋体" w:eastAsia="宋体" w:hint="default"/>
          <w:b/>
          <w:bCs/>
          <w:spacing w:val="1"/>
          <w:w w:val="99"/>
          <w:sz w:val="21"/>
          <w:szCs w:val="21"/>
        </w:rPr>
        <w:t> </w:t>
      </w:r>
      <w:r>
        <w:rPr>
          <w:rFonts w:ascii="宋体" w:hAnsi="宋体" w:cs="宋体" w:eastAsia="宋体" w:hint="default"/>
          <w:sz w:val="18"/>
          <w:szCs w:val="18"/>
        </w:rPr>
        <w:t>参见</w:t>
      </w:r>
      <w:r>
        <w:rPr>
          <w:rFonts w:ascii="Times New Roman" w:hAnsi="Times New Roman" w:cs="Times New Roman" w:eastAsia="Times New Roman" w:hint="default"/>
          <w:sz w:val="18"/>
          <w:szCs w:val="18"/>
        </w:rPr>
        <w:t>“</w:t>
      </w:r>
      <w:r>
        <w:rPr>
          <w:rFonts w:ascii="宋体" w:hAnsi="宋体" w:cs="宋体" w:eastAsia="宋体" w:hint="default"/>
          <w:sz w:val="18"/>
          <w:szCs w:val="18"/>
        </w:rPr>
        <w:t>经营情况讨论与分析</w:t>
      </w:r>
      <w:r>
        <w:rPr>
          <w:rFonts w:ascii="Times New Roman" w:hAnsi="Times New Roman" w:cs="Times New Roman" w:eastAsia="Times New Roman" w:hint="default"/>
          <w:sz w:val="18"/>
          <w:szCs w:val="18"/>
        </w:rPr>
        <w:t>”</w:t>
      </w:r>
      <w:r>
        <w:rPr>
          <w:rFonts w:ascii="宋体" w:hAnsi="宋体" w:cs="宋体" w:eastAsia="宋体" w:hint="default"/>
          <w:sz w:val="18"/>
          <w:szCs w:val="18"/>
        </w:rPr>
        <w:t>中的</w:t>
      </w:r>
      <w:r>
        <w:rPr>
          <w:rFonts w:ascii="Times New Roman" w:hAnsi="Times New Roman" w:cs="Times New Roman" w:eastAsia="Times New Roman" w:hint="default"/>
          <w:sz w:val="18"/>
          <w:szCs w:val="18"/>
        </w:rPr>
        <w:t>“</w:t>
      </w:r>
      <w:r>
        <w:rPr>
          <w:rFonts w:ascii="宋体" w:hAnsi="宋体" w:cs="宋体" w:eastAsia="宋体" w:hint="default"/>
          <w:sz w:val="18"/>
          <w:szCs w:val="18"/>
        </w:rPr>
        <w:t>一、概述</w:t>
      </w:r>
      <w:r>
        <w:rPr>
          <w:rFonts w:ascii="Times New Roman" w:hAnsi="Times New Roman" w:cs="Times New Roman" w:eastAsia="Times New Roman" w:hint="default"/>
          <w:sz w:val="18"/>
          <w:szCs w:val="18"/>
        </w:rPr>
        <w:t>”</w:t>
      </w:r>
      <w:r>
        <w:rPr>
          <w:rFonts w:ascii="宋体" w:hAnsi="宋体" w:cs="宋体" w:eastAsia="宋体" w:hint="default"/>
          <w:sz w:val="18"/>
          <w:szCs w:val="18"/>
        </w:rPr>
        <w:t>相关内容。 </w:t>
      </w:r>
      <w:bookmarkStart w:name="2、收入与成本" w:id="27"/>
      <w:bookmarkEnd w:id="27"/>
      <w:r>
        <w:rPr>
          <w:rFonts w:ascii="宋体" w:hAnsi="宋体" w:cs="宋体" w:eastAsia="宋体" w:hint="default"/>
          <w:sz w:val="18"/>
          <w:szCs w:val="18"/>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、收入与成本</w:t>
      </w:r>
      <w:r>
        <w:rPr>
          <w:rFonts w:ascii="宋体" w:hAnsi="宋体" w:cs="宋体" w:eastAsia="宋体" w:hint="default"/>
          <w:sz w:val="21"/>
          <w:szCs w:val="21"/>
        </w:rPr>
      </w:r>
    </w:p>
    <w:p>
      <w:pPr>
        <w:pStyle w:val="Heading3"/>
        <w:spacing w:line="240" w:lineRule="auto" w:before="28"/>
        <w:ind w:right="0"/>
        <w:jc w:val="left"/>
        <w:rPr>
          <w:b w:val="0"/>
          <w:bCs w:val="0"/>
        </w:rPr>
      </w:pPr>
      <w:bookmarkStart w:name="（1）营业收入构成" w:id="28"/>
      <w:bookmarkEnd w:id="28"/>
      <w:r>
        <w:rPr>
          <w:b w:val="0"/>
          <w:bCs w:val="0"/>
        </w:rPr>
      </w:r>
      <w:r>
        <w:rPr/>
        <w:t>（</w:t>
      </w:r>
      <w:r>
        <w:rPr>
          <w:rFonts w:ascii="Times New Roman" w:hAnsi="Times New Roman" w:cs="Times New Roman" w:eastAsia="Times New Roman" w:hint="default"/>
        </w:rPr>
        <w:t>1</w:t>
      </w:r>
      <w:r>
        <w:rPr/>
        <w:t>）营业收入构成</w:t>
      </w:r>
      <w:r>
        <w:rPr>
          <w:b w:val="0"/>
          <w:bCs w:val="0"/>
        </w:rPr>
      </w:r>
    </w:p>
    <w:p>
      <w:pPr>
        <w:spacing w:line="240" w:lineRule="auto" w:before="8"/>
        <w:rPr>
          <w:rFonts w:ascii="宋体" w:hAnsi="宋体" w:cs="宋体" w:eastAsia="宋体" w:hint="default"/>
          <w:b/>
          <w:bCs/>
          <w:sz w:val="26"/>
          <w:szCs w:val="26"/>
        </w:rPr>
      </w:pPr>
    </w:p>
    <w:p>
      <w:pPr>
        <w:pStyle w:val="BodyText"/>
        <w:spacing w:line="360" w:lineRule="auto"/>
        <w:ind w:right="6973"/>
        <w:jc w:val="left"/>
      </w:pPr>
      <w:r>
        <w:rPr/>
        <w:t>公司是否需要遵守光伏产业链相关业的披露要求 否</w:t>
      </w:r>
    </w:p>
    <w:p>
      <w:pPr>
        <w:pStyle w:val="BodyText"/>
        <w:spacing w:line="338" w:lineRule="auto" w:before="26"/>
        <w:ind w:right="1394"/>
        <w:jc w:val="left"/>
      </w:pPr>
      <w:r>
        <w:rPr/>
        <w:t>公司是否需遵守《深圳证券交易所创业板行业信息披露指引第</w:t>
      </w:r>
      <w:r>
        <w:rPr>
          <w:spacing w:val="-45"/>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上市公司从事广播电影电视业务》的披露要求： 否</w:t>
      </w:r>
    </w:p>
    <w:p>
      <w:pPr>
        <w:pStyle w:val="BodyText"/>
        <w:spacing w:line="338" w:lineRule="auto" w:before="43"/>
        <w:ind w:right="1574"/>
        <w:jc w:val="left"/>
      </w:pPr>
      <w:r>
        <w:rPr/>
        <w:t>公司是否需遵守《深圳证券交易所创业板行业信息披露指引第</w:t>
      </w:r>
      <w:r>
        <w:rPr>
          <w:spacing w:val="-45"/>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上市公司从事互联网游戏业务》的披露要求： 否</w:t>
      </w:r>
    </w:p>
    <w:p>
      <w:pPr>
        <w:pStyle w:val="BodyText"/>
        <w:spacing w:line="340" w:lineRule="auto" w:before="42"/>
        <w:ind w:right="1136"/>
        <w:jc w:val="left"/>
      </w:pPr>
      <w:r>
        <w:rPr/>
        <w:t>公司是否需遵守《深圳证券交易所创业板行业信息披露指引第</w:t>
      </w:r>
      <w:r>
        <w:rPr>
          <w:spacing w:val="-45"/>
        </w:rPr>
        <w:t> </w:t>
      </w:r>
      <w:r>
        <w:rPr>
          <w:rFonts w:ascii="Times New Roman" w:hAnsi="Times New Roman" w:cs="Times New Roman" w:eastAsia="Times New Roman" w:hint="default"/>
        </w:rPr>
        <w:t>9</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w:t>
      </w:r>
      <w:r>
        <w:rPr>
          <w:spacing w:val="-46"/>
        </w:rPr>
        <w:t> </w:t>
      </w:r>
      <w:r>
        <w:rPr>
          <w:rFonts w:ascii="Times New Roman" w:hAnsi="Times New Roman" w:cs="Times New Roman" w:eastAsia="Times New Roman" w:hint="default"/>
        </w:rPr>
        <w:t>LED</w:t>
      </w:r>
      <w:r>
        <w:rPr>
          <w:rFonts w:ascii="Times New Roman" w:hAnsi="Times New Roman" w:cs="Times New Roman" w:eastAsia="Times New Roman" w:hint="default"/>
          <w:spacing w:val="-1"/>
        </w:rPr>
        <w:t> </w:t>
      </w:r>
      <w:r>
        <w:rPr/>
        <w:t>产业链相关业务》的披露要求： 否</w:t>
      </w:r>
    </w:p>
    <w:p>
      <w:pPr>
        <w:pStyle w:val="BodyText"/>
        <w:spacing w:line="338" w:lineRule="auto" w:before="40"/>
        <w:ind w:right="1664"/>
        <w:jc w:val="left"/>
      </w:pPr>
      <w:r>
        <w:rPr/>
        <w:t>公司是否需遵守《深圳证券交易所创业板行业信息披露指引第</w:t>
      </w:r>
      <w:r>
        <w:rPr>
          <w:spacing w:val="-45"/>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上市公司从事医疗器械业务》的披露要求： 否</w:t>
      </w:r>
    </w:p>
    <w:p>
      <w:pPr>
        <w:pStyle w:val="BodyText"/>
        <w:spacing w:line="240" w:lineRule="auto" w:before="43"/>
        <w:ind w:left="1134" w:right="0"/>
        <w:jc w:val="left"/>
      </w:pPr>
      <w:r>
        <w:rPr/>
        <w:t>营业收入整体情况</w:t>
      </w:r>
    </w:p>
    <w:p>
      <w:pPr>
        <w:pStyle w:val="BodyText"/>
        <w:spacing w:line="240" w:lineRule="auto" w:before="116"/>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596"/>
        <w:gridCol w:w="1598"/>
        <w:gridCol w:w="1591"/>
        <w:gridCol w:w="1598"/>
        <w:gridCol w:w="1586"/>
        <w:gridCol w:w="1599"/>
      </w:tblGrid>
      <w:tr>
        <w:trPr>
          <w:trHeight w:val="206" w:hRule="exact"/>
        </w:trPr>
        <w:tc>
          <w:tcPr>
            <w:tcW w:w="1596" w:type="dxa"/>
            <w:tcBorders>
              <w:top w:val="single" w:sz="4" w:space="0" w:color="000000"/>
              <w:left w:val="single" w:sz="4" w:space="0" w:color="000000"/>
              <w:bottom w:val="nil" w:sz="6" w:space="0" w:color="auto"/>
              <w:right w:val="single" w:sz="4" w:space="0" w:color="000000"/>
            </w:tcBorders>
            <w:shd w:val="clear" w:color="auto" w:fill="D2D2D2"/>
          </w:tcPr>
          <w:p>
            <w:pPr/>
          </w:p>
        </w:tc>
        <w:tc>
          <w:tcPr>
            <w:tcW w:w="318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8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9"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6" w:hRule="exact"/>
        </w:trPr>
        <w:tc>
          <w:tcPr>
            <w:tcW w:w="1596" w:type="dxa"/>
            <w:vMerge w:val="restart"/>
            <w:tcBorders>
              <w:top w:val="nil" w:sz="6" w:space="0" w:color="auto"/>
              <w:left w:val="single" w:sz="4" w:space="0" w:color="000000"/>
              <w:right w:val="single" w:sz="4" w:space="0" w:color="000000"/>
            </w:tcBorders>
            <w:shd w:val="clear" w:color="auto" w:fill="D2D2D2"/>
          </w:tcPr>
          <w:p>
            <w:pPr/>
          </w:p>
        </w:tc>
        <w:tc>
          <w:tcPr>
            <w:tcW w:w="3189" w:type="dxa"/>
            <w:gridSpan w:val="2"/>
            <w:vMerge/>
            <w:tcBorders>
              <w:left w:val="single" w:sz="4" w:space="0" w:color="000000"/>
              <w:bottom w:val="single" w:sz="4" w:space="0" w:color="000000"/>
              <w:right w:val="single" w:sz="4" w:space="0" w:color="000000"/>
            </w:tcBorders>
            <w:shd w:val="clear" w:color="auto" w:fill="D2D2D2"/>
          </w:tcPr>
          <w:p>
            <w:pPr/>
          </w:p>
        </w:tc>
        <w:tc>
          <w:tcPr>
            <w:tcW w:w="3184" w:type="dxa"/>
            <w:gridSpan w:val="2"/>
            <w:vMerge/>
            <w:tcBorders>
              <w:left w:val="single" w:sz="4" w:space="0" w:color="000000"/>
              <w:bottom w:val="single" w:sz="4" w:space="0" w:color="000000"/>
              <w:right w:val="single" w:sz="4" w:space="0" w:color="000000"/>
            </w:tcBorders>
            <w:shd w:val="clear" w:color="auto" w:fill="D2D2D2"/>
          </w:tcPr>
          <w:p>
            <w:pPr/>
          </w:p>
        </w:tc>
        <w:tc>
          <w:tcPr>
            <w:tcW w:w="159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436"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196" w:hRule="exact"/>
        </w:trPr>
        <w:tc>
          <w:tcPr>
            <w:tcW w:w="1596" w:type="dxa"/>
            <w:vMerge/>
            <w:tcBorders>
              <w:left w:val="single" w:sz="4" w:space="0" w:color="000000"/>
              <w:bottom w:val="nil" w:sz="6" w:space="0" w:color="auto"/>
              <w:right w:val="single" w:sz="4" w:space="0" w:color="000000"/>
            </w:tcBorders>
            <w:shd w:val="clear" w:color="auto" w:fill="D2D2D2"/>
          </w:tcPr>
          <w:p>
            <w:pPr/>
          </w:p>
        </w:tc>
        <w:tc>
          <w:tcPr>
            <w:tcW w:w="15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3"/>
              <w:jc w:val="center"/>
              <w:rPr>
                <w:rFonts w:ascii="宋体" w:hAnsi="宋体" w:cs="宋体" w:eastAsia="宋体" w:hint="default"/>
                <w:sz w:val="18"/>
                <w:szCs w:val="18"/>
              </w:rPr>
            </w:pPr>
            <w:r>
              <w:rPr>
                <w:rFonts w:ascii="宋体" w:hAnsi="宋体" w:cs="宋体" w:eastAsia="宋体" w:hint="default"/>
                <w:sz w:val="18"/>
                <w:szCs w:val="18"/>
              </w:rPr>
              <w:t>金额</w:t>
            </w:r>
          </w:p>
        </w:tc>
        <w:tc>
          <w:tcPr>
            <w:tcW w:w="15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59"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5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58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58"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599" w:type="dxa"/>
            <w:vMerge/>
            <w:tcBorders>
              <w:left w:val="single" w:sz="4" w:space="0" w:color="000000"/>
              <w:bottom w:val="nil" w:sz="6" w:space="0" w:color="auto"/>
              <w:right w:val="single" w:sz="4" w:space="0" w:color="000000"/>
            </w:tcBorders>
            <w:shd w:val="clear" w:color="auto" w:fill="D2D2D2"/>
          </w:tcPr>
          <w:p>
            <w:pPr/>
          </w:p>
        </w:tc>
      </w:tr>
      <w:tr>
        <w:trPr>
          <w:trHeight w:val="205" w:hRule="exact"/>
        </w:trPr>
        <w:tc>
          <w:tcPr>
            <w:tcW w:w="1596"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8" w:type="dxa"/>
            <w:vMerge/>
            <w:tcBorders>
              <w:left w:val="single" w:sz="4" w:space="0" w:color="000000"/>
              <w:bottom w:val="single" w:sz="4" w:space="0" w:color="000000"/>
              <w:right w:val="single" w:sz="4" w:space="0" w:color="000000"/>
            </w:tcBorders>
            <w:shd w:val="clear" w:color="auto" w:fill="D2D2D2"/>
          </w:tcPr>
          <w:p>
            <w:pPr/>
          </w:p>
        </w:tc>
        <w:tc>
          <w:tcPr>
            <w:tcW w:w="1591" w:type="dxa"/>
            <w:vMerge/>
            <w:tcBorders>
              <w:left w:val="single" w:sz="4" w:space="0" w:color="000000"/>
              <w:bottom w:val="single" w:sz="4" w:space="0" w:color="000000"/>
              <w:right w:val="single" w:sz="4" w:space="0" w:color="000000"/>
            </w:tcBorders>
            <w:shd w:val="clear" w:color="auto" w:fill="D2D2D2"/>
          </w:tcPr>
          <w:p>
            <w:pPr/>
          </w:p>
        </w:tc>
        <w:tc>
          <w:tcPr>
            <w:tcW w:w="1598" w:type="dxa"/>
            <w:vMerge/>
            <w:tcBorders>
              <w:left w:val="single" w:sz="4" w:space="0" w:color="000000"/>
              <w:bottom w:val="single" w:sz="4" w:space="0" w:color="000000"/>
              <w:right w:val="single" w:sz="4" w:space="0" w:color="000000"/>
            </w:tcBorders>
            <w:shd w:val="clear" w:color="auto" w:fill="D2D2D2"/>
          </w:tcPr>
          <w:p>
            <w:pPr/>
          </w:p>
        </w:tc>
        <w:tc>
          <w:tcPr>
            <w:tcW w:w="1586" w:type="dxa"/>
            <w:vMerge/>
            <w:tcBorders>
              <w:left w:val="single" w:sz="4" w:space="0" w:color="000000"/>
              <w:bottom w:val="single" w:sz="4" w:space="0" w:color="000000"/>
              <w:right w:val="single" w:sz="4" w:space="0" w:color="000000"/>
            </w:tcBorders>
            <w:shd w:val="clear" w:color="auto" w:fill="D2D2D2"/>
          </w:tcPr>
          <w:p>
            <w:pPr/>
          </w:p>
        </w:tc>
        <w:tc>
          <w:tcPr>
            <w:tcW w:w="1599"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8"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营业收入合计</w:t>
            </w:r>
          </w:p>
        </w:tc>
        <w:tc>
          <w:tcPr>
            <w:tcW w:w="1598"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2"/>
              <w:ind w:right="13"/>
              <w:jc w:val="right"/>
              <w:rPr>
                <w:rFonts w:ascii="Times New Roman" w:hAnsi="Times New Roman" w:cs="Times New Roman" w:eastAsia="Times New Roman" w:hint="default"/>
                <w:sz w:val="18"/>
                <w:szCs w:val="18"/>
              </w:rPr>
            </w:pPr>
            <w:r>
              <w:rPr>
                <w:rFonts w:ascii="Times New Roman"/>
                <w:spacing w:val="-1"/>
                <w:sz w:val="18"/>
              </w:rPr>
              <w:t>1,042,537,654.56</w:t>
            </w:r>
          </w:p>
        </w:tc>
        <w:tc>
          <w:tcPr>
            <w:tcW w:w="15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w w:val="95"/>
                <w:sz w:val="18"/>
              </w:rPr>
              <w:t>100%</w:t>
            </w:r>
            <w:r>
              <w:rPr>
                <w:rFonts w:ascii="Times New Roman"/>
                <w:sz w:val="18"/>
              </w:rPr>
            </w:r>
          </w:p>
        </w:tc>
        <w:tc>
          <w:tcPr>
            <w:tcW w:w="1598"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2"/>
              <w:ind w:right="12"/>
              <w:jc w:val="right"/>
              <w:rPr>
                <w:rFonts w:ascii="Times New Roman" w:hAnsi="Times New Roman" w:cs="Times New Roman" w:eastAsia="Times New Roman" w:hint="default"/>
                <w:sz w:val="18"/>
                <w:szCs w:val="18"/>
              </w:rPr>
            </w:pPr>
            <w:r>
              <w:rPr>
                <w:rFonts w:ascii="Times New Roman"/>
                <w:spacing w:val="-1"/>
                <w:sz w:val="18"/>
              </w:rPr>
              <w:t>789,543,369.79</w:t>
            </w:r>
          </w:p>
        </w:tc>
        <w:tc>
          <w:tcPr>
            <w:tcW w:w="15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17"/>
              <w:jc w:val="right"/>
              <w:rPr>
                <w:rFonts w:ascii="Times New Roman" w:hAnsi="Times New Roman" w:cs="Times New Roman" w:eastAsia="Times New Roman" w:hint="default"/>
                <w:sz w:val="18"/>
                <w:szCs w:val="18"/>
              </w:rPr>
            </w:pPr>
            <w:r>
              <w:rPr>
                <w:rFonts w:ascii="Times New Roman"/>
                <w:w w:val="95"/>
                <w:sz w:val="18"/>
              </w:rPr>
              <w:t>100%</w:t>
            </w:r>
            <w:r>
              <w:rPr>
                <w:rFonts w:ascii="Times New Roman"/>
                <w:sz w:val="18"/>
              </w:rPr>
            </w:r>
          </w:p>
        </w:tc>
        <w:tc>
          <w:tcPr>
            <w:tcW w:w="159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32.04%</w:t>
            </w:r>
          </w:p>
        </w:tc>
      </w:tr>
      <w:tr>
        <w:trPr>
          <w:trHeight w:val="396"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22"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仪器仪表</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5"/>
              <w:jc w:val="right"/>
              <w:rPr>
                <w:rFonts w:ascii="Times New Roman" w:hAnsi="Times New Roman" w:cs="Times New Roman" w:eastAsia="Times New Roman" w:hint="default"/>
                <w:sz w:val="18"/>
                <w:szCs w:val="18"/>
              </w:rPr>
            </w:pPr>
            <w:r>
              <w:rPr>
                <w:rFonts w:ascii="Times New Roman"/>
                <w:spacing w:val="-1"/>
                <w:sz w:val="18"/>
              </w:rPr>
              <w:t>1,039,966,678.44</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99.75%</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4"/>
              <w:jc w:val="right"/>
              <w:rPr>
                <w:rFonts w:ascii="Times New Roman" w:hAnsi="Times New Roman" w:cs="Times New Roman" w:eastAsia="Times New Roman" w:hint="default"/>
                <w:sz w:val="18"/>
                <w:szCs w:val="18"/>
              </w:rPr>
            </w:pPr>
            <w:r>
              <w:rPr>
                <w:rFonts w:ascii="Times New Roman"/>
                <w:spacing w:val="-1"/>
                <w:sz w:val="18"/>
              </w:rPr>
              <w:t>787,692,788.57</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6"/>
              <w:jc w:val="right"/>
              <w:rPr>
                <w:rFonts w:ascii="Times New Roman" w:hAnsi="Times New Roman" w:cs="Times New Roman" w:eastAsia="Times New Roman" w:hint="default"/>
                <w:sz w:val="18"/>
                <w:szCs w:val="18"/>
              </w:rPr>
            </w:pPr>
            <w:r>
              <w:rPr>
                <w:rFonts w:ascii="Times New Roman"/>
                <w:sz w:val="18"/>
              </w:rPr>
              <w:t>99.77%</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32.03%</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4"/>
              <w:jc w:val="right"/>
              <w:rPr>
                <w:rFonts w:ascii="Times New Roman" w:hAnsi="Times New Roman" w:cs="Times New Roman" w:eastAsia="Times New Roman" w:hint="default"/>
                <w:sz w:val="18"/>
                <w:szCs w:val="18"/>
              </w:rPr>
            </w:pPr>
            <w:r>
              <w:rPr>
                <w:rFonts w:ascii="Times New Roman"/>
                <w:spacing w:val="-1"/>
                <w:sz w:val="18"/>
              </w:rPr>
              <w:t>2,570,976.12</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0.25%</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4"/>
              <w:jc w:val="right"/>
              <w:rPr>
                <w:rFonts w:ascii="Times New Roman" w:hAnsi="Times New Roman" w:cs="Times New Roman" w:eastAsia="Times New Roman" w:hint="default"/>
                <w:sz w:val="18"/>
                <w:szCs w:val="18"/>
              </w:rPr>
            </w:pPr>
            <w:r>
              <w:rPr>
                <w:rFonts w:ascii="Times New Roman"/>
                <w:spacing w:val="-1"/>
                <w:sz w:val="18"/>
              </w:rPr>
              <w:t>1,850,581.22</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6"/>
              <w:jc w:val="right"/>
              <w:rPr>
                <w:rFonts w:ascii="Times New Roman" w:hAnsi="Times New Roman" w:cs="Times New Roman" w:eastAsia="Times New Roman" w:hint="default"/>
                <w:sz w:val="18"/>
                <w:szCs w:val="18"/>
              </w:rPr>
            </w:pPr>
            <w:r>
              <w:rPr>
                <w:rFonts w:ascii="Times New Roman"/>
                <w:sz w:val="18"/>
              </w:rPr>
              <w:t>0.23%</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38.93%</w:t>
            </w:r>
          </w:p>
        </w:tc>
      </w:tr>
      <w:tr>
        <w:trPr>
          <w:trHeight w:val="401"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环境监测系统</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4"/>
              <w:jc w:val="right"/>
              <w:rPr>
                <w:rFonts w:ascii="Times New Roman" w:hAnsi="Times New Roman" w:cs="Times New Roman" w:eastAsia="Times New Roman" w:hint="default"/>
                <w:sz w:val="18"/>
                <w:szCs w:val="18"/>
              </w:rPr>
            </w:pPr>
            <w:r>
              <w:rPr>
                <w:rFonts w:ascii="Times New Roman"/>
                <w:spacing w:val="-1"/>
                <w:sz w:val="18"/>
              </w:rPr>
              <w:t>743,265,630.69</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71.29%</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4"/>
              <w:jc w:val="right"/>
              <w:rPr>
                <w:rFonts w:ascii="Times New Roman" w:hAnsi="Times New Roman" w:cs="Times New Roman" w:eastAsia="Times New Roman" w:hint="default"/>
                <w:sz w:val="18"/>
                <w:szCs w:val="18"/>
              </w:rPr>
            </w:pPr>
            <w:r>
              <w:rPr>
                <w:rFonts w:ascii="Times New Roman"/>
                <w:spacing w:val="-1"/>
                <w:sz w:val="18"/>
              </w:rPr>
              <w:t>624,142,461.33</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6"/>
              <w:jc w:val="right"/>
              <w:rPr>
                <w:rFonts w:ascii="Times New Roman" w:hAnsi="Times New Roman" w:cs="Times New Roman" w:eastAsia="Times New Roman" w:hint="default"/>
                <w:sz w:val="18"/>
                <w:szCs w:val="18"/>
              </w:rPr>
            </w:pPr>
            <w:r>
              <w:rPr>
                <w:rFonts w:ascii="Times New Roman"/>
                <w:sz w:val="18"/>
              </w:rPr>
              <w:t>79.05%</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19.09%</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运营及咨询服务</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4"/>
              <w:jc w:val="right"/>
              <w:rPr>
                <w:rFonts w:ascii="Times New Roman" w:hAnsi="Times New Roman" w:cs="Times New Roman" w:eastAsia="Times New Roman" w:hint="default"/>
                <w:sz w:val="18"/>
                <w:szCs w:val="18"/>
              </w:rPr>
            </w:pPr>
            <w:r>
              <w:rPr>
                <w:rFonts w:ascii="Times New Roman"/>
                <w:spacing w:val="-1"/>
                <w:sz w:val="18"/>
              </w:rPr>
              <w:t>186,380,128.53</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17.88%</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4"/>
              <w:jc w:val="right"/>
              <w:rPr>
                <w:rFonts w:ascii="Times New Roman" w:hAnsi="Times New Roman" w:cs="Times New Roman" w:eastAsia="Times New Roman" w:hint="default"/>
                <w:sz w:val="18"/>
                <w:szCs w:val="18"/>
              </w:rPr>
            </w:pPr>
            <w:r>
              <w:rPr>
                <w:rFonts w:ascii="Times New Roman"/>
                <w:spacing w:val="-1"/>
                <w:sz w:val="18"/>
              </w:rPr>
              <w:t>102,661,648.63</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6"/>
              <w:jc w:val="right"/>
              <w:rPr>
                <w:rFonts w:ascii="Times New Roman" w:hAnsi="Times New Roman" w:cs="Times New Roman" w:eastAsia="Times New Roman" w:hint="default"/>
                <w:sz w:val="18"/>
                <w:szCs w:val="18"/>
              </w:rPr>
            </w:pPr>
            <w:r>
              <w:rPr>
                <w:rFonts w:ascii="Times New Roman"/>
                <w:sz w:val="18"/>
              </w:rPr>
              <w:t>13.00%</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81.55%</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4"/>
              <w:jc w:val="right"/>
              <w:rPr>
                <w:rFonts w:ascii="Times New Roman" w:hAnsi="Times New Roman" w:cs="Times New Roman" w:eastAsia="Times New Roman" w:hint="default"/>
                <w:sz w:val="18"/>
                <w:szCs w:val="18"/>
              </w:rPr>
            </w:pPr>
            <w:r>
              <w:rPr>
                <w:rFonts w:ascii="Times New Roman"/>
                <w:spacing w:val="-1"/>
                <w:sz w:val="18"/>
              </w:rPr>
              <w:t>112,891,895.34</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10.83%</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4"/>
              <w:jc w:val="right"/>
              <w:rPr>
                <w:rFonts w:ascii="Times New Roman" w:hAnsi="Times New Roman" w:cs="Times New Roman" w:eastAsia="Times New Roman" w:hint="default"/>
                <w:sz w:val="18"/>
                <w:szCs w:val="18"/>
              </w:rPr>
            </w:pPr>
            <w:r>
              <w:rPr>
                <w:rFonts w:ascii="Times New Roman"/>
                <w:spacing w:val="-1"/>
                <w:sz w:val="18"/>
              </w:rPr>
              <w:t>62,739,259.83</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6"/>
              <w:jc w:val="right"/>
              <w:rPr>
                <w:rFonts w:ascii="Times New Roman" w:hAnsi="Times New Roman" w:cs="Times New Roman" w:eastAsia="Times New Roman" w:hint="default"/>
                <w:sz w:val="18"/>
                <w:szCs w:val="18"/>
              </w:rPr>
            </w:pPr>
            <w:r>
              <w:rPr>
                <w:rFonts w:ascii="Times New Roman"/>
                <w:sz w:val="18"/>
              </w:rPr>
              <w:t>7.95%</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79.94%</w:t>
            </w:r>
          </w:p>
        </w:tc>
      </w:tr>
      <w:tr>
        <w:trPr>
          <w:trHeight w:val="402"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分地区</w:t>
            </w:r>
          </w:p>
        </w:tc>
      </w:tr>
    </w:tbl>
    <w:p>
      <w:pPr>
        <w:spacing w:after="0" w:line="240"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国内</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1,011,869,041.81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97.06%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757,053,203.39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95.88%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33.66%</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国外</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30,668,612.75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2.94%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32,490,166.40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4.12%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-5.61%</w:t>
            </w:r>
          </w:p>
        </w:tc>
      </w:tr>
    </w:tbl>
    <w:p>
      <w:pPr>
        <w:spacing w:line="240" w:lineRule="auto" w:before="2"/>
        <w:rPr>
          <w:rFonts w:ascii="宋体" w:hAnsi="宋体" w:cs="宋体" w:eastAsia="宋体" w:hint="default"/>
          <w:sz w:val="19"/>
          <w:szCs w:val="19"/>
        </w:rPr>
      </w:pPr>
    </w:p>
    <w:p>
      <w:pPr>
        <w:pStyle w:val="Heading3"/>
        <w:spacing w:line="240" w:lineRule="auto" w:before="35"/>
        <w:ind w:left="1134" w:right="0"/>
        <w:jc w:val="left"/>
        <w:rPr>
          <w:b w:val="0"/>
          <w:bCs w:val="0"/>
        </w:rPr>
      </w:pPr>
      <w:bookmarkStart w:name="（2）占公司营业收入或营业利润10%以上的行业、产品或地区情况" w:id="29"/>
      <w:bookmarkEnd w:id="29"/>
      <w:r>
        <w:rPr>
          <w:b w:val="0"/>
          <w:bCs w:val="0"/>
        </w:rPr>
      </w:r>
      <w:r>
        <w:rPr/>
        <w:t>（</w:t>
      </w:r>
      <w:r>
        <w:rPr>
          <w:rFonts w:ascii="Times New Roman" w:hAnsi="Times New Roman" w:cs="Times New Roman" w:eastAsia="Times New Roman" w:hint="default"/>
        </w:rPr>
        <w:t>2</w:t>
      </w:r>
      <w:r>
        <w:rPr/>
        <w:t>）占公司营业收入或营业利润</w:t>
      </w:r>
      <w:r>
        <w:rPr>
          <w:spacing w:val="-59"/>
        </w:rPr>
        <w:t> </w:t>
      </w:r>
      <w:r>
        <w:rPr>
          <w:rFonts w:ascii="Times New Roman" w:hAnsi="Times New Roman" w:cs="Times New Roman" w:eastAsia="Times New Roman" w:hint="default"/>
        </w:rPr>
        <w:t>10%</w:t>
      </w:r>
      <w:r>
        <w:rPr/>
        <w:t>以上的行业、产品或地区情况</w:t>
      </w:r>
      <w:r>
        <w:rPr>
          <w:b w:val="0"/>
          <w:bCs w:val="0"/>
        </w:rPr>
      </w:r>
    </w:p>
    <w:p>
      <w:pPr>
        <w:spacing w:line="240" w:lineRule="auto" w:before="3"/>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79" w:top="1060" w:bottom="1160" w:left="0" w:right="0"/>
        </w:sectPr>
      </w:pPr>
    </w:p>
    <w:p>
      <w:pPr>
        <w:pStyle w:val="BodyText"/>
        <w:spacing w:line="348" w:lineRule="auto" w:before="44"/>
        <w:ind w:right="-1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公司是否需要遵守特殊行业的披露要求 否</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BodyText"/>
        <w:spacing w:line="240" w:lineRule="auto" w:before="158"/>
        <w:ind w:left="1113" w:right="1112"/>
        <w:jc w:val="center"/>
      </w:pPr>
      <w:r>
        <w:rPr/>
        <w:t>单位：元</w:t>
      </w:r>
    </w:p>
    <w:p>
      <w:pPr>
        <w:spacing w:after="0" w:line="240" w:lineRule="auto"/>
        <w:jc w:val="center"/>
        <w:sectPr>
          <w:type w:val="continuous"/>
          <w:pgSz w:w="11910" w:h="16840"/>
          <w:pgMar w:top="1060" w:bottom="1160" w:left="0" w:right="0"/>
          <w:cols w:num="2" w:equalWidth="0">
            <w:col w:w="4195" w:space="4725"/>
            <w:col w:w="2990"/>
          </w:cols>
        </w:sectPr>
      </w:pP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367"/>
        <w:gridCol w:w="1367"/>
        <w:gridCol w:w="1366"/>
        <w:gridCol w:w="1367"/>
        <w:gridCol w:w="1367"/>
        <w:gridCol w:w="1367"/>
        <w:gridCol w:w="1372"/>
      </w:tblGrid>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8"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07" w:right="0"/>
              <w:jc w:val="left"/>
              <w:rPr>
                <w:rFonts w:ascii="宋体" w:hAnsi="宋体" w:cs="宋体" w:eastAsia="宋体" w:hint="default"/>
                <w:sz w:val="18"/>
                <w:szCs w:val="18"/>
              </w:rPr>
            </w:pPr>
            <w:r>
              <w:rPr>
                <w:rFonts w:ascii="宋体" w:hAnsi="宋体" w:cs="宋体" w:eastAsia="宋体" w:hint="default"/>
                <w:sz w:val="18"/>
                <w:szCs w:val="18"/>
              </w:rPr>
              <w:t>毛利率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17" w:right="47" w:hanging="270"/>
              <w:jc w:val="left"/>
              <w:rPr>
                <w:rFonts w:ascii="宋体" w:hAnsi="宋体" w:cs="宋体" w:eastAsia="宋体" w:hint="default"/>
                <w:sz w:val="18"/>
                <w:szCs w:val="18"/>
              </w:rPr>
            </w:pPr>
            <w:r>
              <w:rPr>
                <w:rFonts w:ascii="宋体" w:hAnsi="宋体" w:cs="宋体" w:eastAsia="宋体" w:hint="default"/>
                <w:sz w:val="18"/>
                <w:szCs w:val="18"/>
              </w:rPr>
              <w:t>营业收入比上年 同期增减</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18" w:right="47" w:hanging="271"/>
              <w:jc w:val="left"/>
              <w:rPr>
                <w:rFonts w:ascii="宋体" w:hAnsi="宋体" w:cs="宋体" w:eastAsia="宋体" w:hint="default"/>
                <w:sz w:val="18"/>
                <w:szCs w:val="18"/>
              </w:rPr>
            </w:pPr>
            <w:r>
              <w:rPr>
                <w:rFonts w:ascii="宋体" w:hAnsi="宋体" w:cs="宋体" w:eastAsia="宋体" w:hint="default"/>
                <w:sz w:val="18"/>
                <w:szCs w:val="18"/>
              </w:rPr>
              <w:t>营业成本比上年 同期增减</w:t>
            </w:r>
          </w:p>
        </w:tc>
        <w:tc>
          <w:tcPr>
            <w:tcW w:w="13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11" w:right="48" w:hanging="360"/>
              <w:jc w:val="left"/>
              <w:rPr>
                <w:rFonts w:ascii="宋体" w:hAnsi="宋体" w:cs="宋体" w:eastAsia="宋体" w:hint="default"/>
                <w:sz w:val="18"/>
                <w:szCs w:val="18"/>
              </w:rPr>
            </w:pPr>
            <w:r>
              <w:rPr>
                <w:rFonts w:ascii="宋体" w:hAnsi="宋体" w:cs="宋体" w:eastAsia="宋体" w:hint="default"/>
                <w:sz w:val="18"/>
                <w:szCs w:val="18"/>
              </w:rPr>
              <w:t>毛利率比上年同 期增减</w:t>
            </w:r>
          </w:p>
        </w:tc>
      </w:tr>
      <w:tr>
        <w:trPr>
          <w:trHeight w:val="402" w:hRule="exact"/>
        </w:trPr>
        <w:tc>
          <w:tcPr>
            <w:tcW w:w="957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仪器仪表</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1,039,966,678.44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505,808,484.08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51.36%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32.03%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27.30%</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1.80%</w:t>
            </w:r>
          </w:p>
        </w:tc>
      </w:tr>
      <w:tr>
        <w:trPr>
          <w:trHeight w:val="402" w:hRule="exact"/>
        </w:trPr>
        <w:tc>
          <w:tcPr>
            <w:tcW w:w="957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环境监测系统</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743,265,630.69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384,398,071.52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48.28%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19.09%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15.51%</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1.60%</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运营及咨询服务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186,380,128.53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69,448,014.23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62.74%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81.55%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63.48%</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4.12%</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112,891,895.34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52,457,326.38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53.53%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79.94%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133.76%</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-10.70%</w:t>
            </w:r>
          </w:p>
        </w:tc>
      </w:tr>
      <w:tr>
        <w:trPr>
          <w:trHeight w:val="402" w:hRule="exact"/>
        </w:trPr>
        <w:tc>
          <w:tcPr>
            <w:tcW w:w="957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国内</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1,011,869,041.81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491,969,720.51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51.38%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33.66%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28.49%</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1.96%</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0" w:right="0"/>
        </w:sectPr>
      </w:pPr>
    </w:p>
    <w:p>
      <w:pPr>
        <w:pStyle w:val="BodyText"/>
        <w:spacing w:line="240" w:lineRule="auto" w:before="51"/>
        <w:ind w:left="1134" w:right="-20"/>
        <w:jc w:val="left"/>
      </w:pPr>
      <w:r>
        <w:rPr/>
        <w:t>公司主营业务数据统计口径在报告期发生调整的情况下，公司最近</w:t>
      </w:r>
      <w:r>
        <w:rPr>
          <w:spacing w:val="-45"/>
        </w:rPr>
        <w:t> </w:t>
      </w:r>
      <w:r>
        <w:rPr>
          <w:rFonts w:ascii="Times New Roman" w:hAnsi="Times New Roman" w:cs="Times New Roman" w:eastAsia="Times New Roman" w:hint="default"/>
        </w:rPr>
        <w:t>1 </w:t>
      </w:r>
      <w:r>
        <w:rPr/>
        <w:t>年按报告期末口径调整后的主营业务数据</w:t>
      </w:r>
    </w:p>
    <w:p>
      <w:pPr>
        <w:pStyle w:val="BodyText"/>
        <w:spacing w:line="240" w:lineRule="auto" w:before="103"/>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1"/>
          <w:szCs w:val="21"/>
        </w:rPr>
      </w:pPr>
    </w:p>
    <w:p>
      <w:pPr>
        <w:pStyle w:val="BodyText"/>
        <w:spacing w:line="240" w:lineRule="auto"/>
        <w:ind w:left="238" w:right="0"/>
        <w:jc w:val="left"/>
      </w:pPr>
      <w:r>
        <w:rPr/>
        <w:t>单位：元</w:t>
      </w:r>
    </w:p>
    <w:p>
      <w:pPr>
        <w:spacing w:after="0" w:line="240" w:lineRule="auto"/>
        <w:jc w:val="left"/>
        <w:sectPr>
          <w:type w:val="continuous"/>
          <w:pgSz w:w="11910" w:h="16840"/>
          <w:pgMar w:top="1060" w:bottom="1160" w:left="0" w:right="0"/>
          <w:cols w:num="2" w:equalWidth="0">
            <w:col w:w="9775" w:space="40"/>
            <w:col w:w="2095"/>
          </w:cols>
        </w:sectPr>
      </w:pP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367"/>
        <w:gridCol w:w="1367"/>
        <w:gridCol w:w="1366"/>
        <w:gridCol w:w="1367"/>
        <w:gridCol w:w="1367"/>
        <w:gridCol w:w="1367"/>
        <w:gridCol w:w="1372"/>
      </w:tblGrid>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18"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07" w:right="0"/>
              <w:jc w:val="left"/>
              <w:rPr>
                <w:rFonts w:ascii="宋体" w:hAnsi="宋体" w:cs="宋体" w:eastAsia="宋体" w:hint="default"/>
                <w:sz w:val="18"/>
                <w:szCs w:val="18"/>
              </w:rPr>
            </w:pPr>
            <w:r>
              <w:rPr>
                <w:rFonts w:ascii="宋体" w:hAnsi="宋体" w:cs="宋体" w:eastAsia="宋体" w:hint="default"/>
                <w:sz w:val="18"/>
                <w:szCs w:val="18"/>
              </w:rPr>
              <w:t>毛利率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17" w:right="47" w:hanging="270"/>
              <w:jc w:val="left"/>
              <w:rPr>
                <w:rFonts w:ascii="宋体" w:hAnsi="宋体" w:cs="宋体" w:eastAsia="宋体" w:hint="default"/>
                <w:sz w:val="18"/>
                <w:szCs w:val="18"/>
              </w:rPr>
            </w:pPr>
            <w:r>
              <w:rPr>
                <w:rFonts w:ascii="宋体" w:hAnsi="宋体" w:cs="宋体" w:eastAsia="宋体" w:hint="default"/>
                <w:sz w:val="18"/>
                <w:szCs w:val="18"/>
              </w:rPr>
              <w:t>营业收入比上年 同期增减</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18" w:right="47" w:hanging="271"/>
              <w:jc w:val="left"/>
              <w:rPr>
                <w:rFonts w:ascii="宋体" w:hAnsi="宋体" w:cs="宋体" w:eastAsia="宋体" w:hint="default"/>
                <w:sz w:val="18"/>
                <w:szCs w:val="18"/>
              </w:rPr>
            </w:pPr>
            <w:r>
              <w:rPr>
                <w:rFonts w:ascii="宋体" w:hAnsi="宋体" w:cs="宋体" w:eastAsia="宋体" w:hint="default"/>
                <w:sz w:val="18"/>
                <w:szCs w:val="18"/>
              </w:rPr>
              <w:t>营业成本比上年 同期增减</w:t>
            </w:r>
          </w:p>
        </w:tc>
        <w:tc>
          <w:tcPr>
            <w:tcW w:w="13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11" w:right="48" w:hanging="360"/>
              <w:jc w:val="left"/>
              <w:rPr>
                <w:rFonts w:ascii="宋体" w:hAnsi="宋体" w:cs="宋体" w:eastAsia="宋体" w:hint="default"/>
                <w:sz w:val="18"/>
                <w:szCs w:val="18"/>
              </w:rPr>
            </w:pPr>
            <w:r>
              <w:rPr>
                <w:rFonts w:ascii="宋体" w:hAnsi="宋体" w:cs="宋体" w:eastAsia="宋体" w:hint="default"/>
                <w:sz w:val="18"/>
                <w:szCs w:val="18"/>
              </w:rPr>
              <w:t>毛利率比上年同 期增减</w:t>
            </w:r>
          </w:p>
        </w:tc>
      </w:tr>
      <w:tr>
        <w:trPr>
          <w:trHeight w:val="401" w:hRule="exact"/>
        </w:trPr>
        <w:tc>
          <w:tcPr>
            <w:tcW w:w="957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3"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仪器仪表</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787,692,788.57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397,337,134.72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49.56%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24.73%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23.62%</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0.46%</w:t>
            </w:r>
          </w:p>
        </w:tc>
      </w:tr>
      <w:tr>
        <w:trPr>
          <w:trHeight w:val="401" w:hRule="exact"/>
        </w:trPr>
        <w:tc>
          <w:tcPr>
            <w:tcW w:w="957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环境监测系统</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624,142,461.33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332,795,445.07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46.68%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28.21%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28.97%</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-0.31%</w:t>
            </w:r>
          </w:p>
        </w:tc>
      </w:tr>
      <w:tr>
        <w:trPr>
          <w:trHeight w:val="403"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运营及咨询服务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102,661,648.63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42,481,329.18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58.62%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31.55%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28.81%</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0.88%</w:t>
            </w:r>
          </w:p>
        </w:tc>
      </w:tr>
      <w:tr>
        <w:trPr>
          <w:trHeight w:val="401" w:hRule="exact"/>
        </w:trPr>
        <w:tc>
          <w:tcPr>
            <w:tcW w:w="957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3"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国内</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757,053,203.39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382,896,838.55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49.42%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22.22%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21.58%</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0.26%</w:t>
            </w:r>
          </w:p>
        </w:tc>
      </w:tr>
    </w:tbl>
    <w:p>
      <w:pPr>
        <w:pStyle w:val="BodyText"/>
        <w:spacing w:line="357" w:lineRule="auto" w:before="51"/>
        <w:ind w:right="1030"/>
        <w:jc w:val="left"/>
      </w:pPr>
      <w:r>
        <w:rPr/>
        <w:t>变更口径的理由 </w:t>
      </w:r>
      <w:r>
        <w:rPr>
          <w:spacing w:val="-2"/>
        </w:rPr>
        <w:t>报告期内公司对</w:t>
      </w:r>
      <w:r>
        <w:rPr>
          <w:rFonts w:ascii="Times New Roman" w:hAnsi="Times New Roman" w:cs="Times New Roman" w:eastAsia="Times New Roman" w:hint="default"/>
          <w:spacing w:val="-2"/>
        </w:rPr>
        <w:t>“</w:t>
      </w:r>
      <w:r>
        <w:rPr>
          <w:spacing w:val="-2"/>
        </w:rPr>
        <w:t>分产品</w:t>
      </w:r>
      <w:r>
        <w:rPr>
          <w:rFonts w:ascii="Times New Roman" w:hAnsi="Times New Roman" w:cs="Times New Roman" w:eastAsia="Times New Roman" w:hint="default"/>
          <w:spacing w:val="-2"/>
        </w:rPr>
        <w:t>”</w:t>
      </w:r>
      <w:r>
        <w:rPr>
          <w:spacing w:val="-2"/>
        </w:rPr>
        <w:t>口径进行调整，新增管理咨询服务与运营服务一起合称</w:t>
      </w:r>
      <w:r>
        <w:rPr>
          <w:rFonts w:ascii="Times New Roman" w:hAnsi="Times New Roman" w:cs="Times New Roman" w:eastAsia="Times New Roman" w:hint="default"/>
          <w:spacing w:val="-2"/>
        </w:rPr>
        <w:t>“</w:t>
      </w:r>
      <w:r>
        <w:rPr>
          <w:spacing w:val="-2"/>
        </w:rPr>
        <w:t>运营及咨询服务</w:t>
      </w:r>
      <w:r>
        <w:rPr>
          <w:rFonts w:ascii="Times New Roman" w:hAnsi="Times New Roman" w:cs="Times New Roman" w:eastAsia="Times New Roman" w:hint="default"/>
          <w:spacing w:val="-2"/>
        </w:rPr>
        <w:t>”</w:t>
      </w:r>
      <w:r>
        <w:rPr>
          <w:spacing w:val="-2"/>
        </w:rPr>
        <w:t>，空气净化器调至</w:t>
      </w:r>
      <w:r>
        <w:rPr>
          <w:rFonts w:ascii="Times New Roman" w:hAnsi="Times New Roman" w:cs="Times New Roman" w:eastAsia="Times New Roman" w:hint="default"/>
          <w:spacing w:val="-2"/>
        </w:rPr>
        <w:t>“</w:t>
      </w:r>
      <w:r>
        <w:rPr>
          <w:spacing w:val="-2"/>
        </w:rPr>
        <w:t>其他</w:t>
      </w:r>
      <w:r>
        <w:rPr>
          <w:rFonts w:ascii="Times New Roman" w:hAnsi="Times New Roman" w:cs="Times New Roman" w:eastAsia="Times New Roman" w:hint="default"/>
          <w:spacing w:val="-2"/>
        </w:rPr>
        <w:t>”</w:t>
      </w:r>
      <w:r>
        <w:rPr>
          <w:spacing w:val="-2"/>
        </w:rPr>
        <w:t>。</w:t>
      </w:r>
    </w:p>
    <w:p>
      <w:pPr>
        <w:spacing w:line="240" w:lineRule="auto" w:before="6"/>
        <w:rPr>
          <w:rFonts w:ascii="宋体" w:hAnsi="宋体" w:cs="宋体" w:eastAsia="宋体" w:hint="default"/>
          <w:sz w:val="18"/>
          <w:szCs w:val="18"/>
        </w:rPr>
      </w:pPr>
    </w:p>
    <w:p>
      <w:pPr>
        <w:pStyle w:val="Heading3"/>
        <w:spacing w:line="240" w:lineRule="auto"/>
        <w:ind w:right="0"/>
        <w:jc w:val="left"/>
        <w:rPr>
          <w:b w:val="0"/>
          <w:bCs w:val="0"/>
        </w:rPr>
      </w:pPr>
      <w:bookmarkStart w:name="（3）公司实物销售收入是否大于劳务收入" w:id="30"/>
      <w:bookmarkEnd w:id="30"/>
      <w:r>
        <w:rPr>
          <w:b w:val="0"/>
          <w:bCs w:val="0"/>
        </w:rPr>
      </w:r>
      <w:r>
        <w:rPr/>
        <w:t>（</w:t>
      </w:r>
      <w:r>
        <w:rPr>
          <w:rFonts w:ascii="Times New Roman" w:hAnsi="Times New Roman" w:cs="Times New Roman" w:eastAsia="Times New Roman" w:hint="default"/>
        </w:rPr>
        <w:t>3</w:t>
      </w:r>
      <w:r>
        <w:rPr/>
        <w:t>）公司实物销售收入是否大于劳务收入</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after="0" w:line="240" w:lineRule="auto"/>
        <w:jc w:val="left"/>
        <w:sectPr>
          <w:type w:val="continuous"/>
          <w:pgSz w:w="11910" w:h="16840"/>
          <w:pgMar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1608"/>
        <w:gridCol w:w="1571"/>
        <w:gridCol w:w="1607"/>
        <w:gridCol w:w="1594"/>
        <w:gridCol w:w="1594"/>
        <w:gridCol w:w="1595"/>
      </w:tblGrid>
      <w:tr>
        <w:trPr>
          <w:trHeight w:val="402" w:hRule="exact"/>
        </w:trPr>
        <w:tc>
          <w:tcPr>
            <w:tcW w:w="16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行业分类</w:t>
            </w: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6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3" w:right="0"/>
              <w:jc w:val="center"/>
              <w:rPr>
                <w:rFonts w:ascii="宋体" w:hAnsi="宋体" w:cs="宋体" w:eastAsia="宋体" w:hint="default"/>
                <w:sz w:val="18"/>
                <w:szCs w:val="18"/>
              </w:rPr>
            </w:pPr>
            <w:r>
              <w:rPr>
                <w:rFonts w:ascii="宋体" w:hAnsi="宋体" w:cs="宋体" w:eastAsia="宋体" w:hint="default"/>
                <w:sz w:val="18"/>
                <w:szCs w:val="18"/>
              </w:rPr>
              <w:t>单位</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9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9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1608" w:type="dxa"/>
            <w:vMerge w:val="restart"/>
            <w:tcBorders>
              <w:top w:val="single" w:sz="4" w:space="0" w:color="000000"/>
              <w:left w:val="single" w:sz="4" w:space="0" w:color="000000"/>
              <w:right w:val="single" w:sz="13"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仪器仪表</w:t>
            </w: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销售量</w:t>
            </w:r>
          </w:p>
        </w:tc>
        <w:tc>
          <w:tcPr>
            <w:tcW w:w="16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台</w:t>
            </w:r>
            <w:r>
              <w:rPr>
                <w:rFonts w:ascii="Times New Roman" w:hAnsi="Times New Roman" w:cs="Times New Roman" w:eastAsia="Times New Roman" w:hint="default"/>
                <w:sz w:val="18"/>
                <w:szCs w:val="18"/>
              </w:rPr>
              <w:t>/</w:t>
            </w:r>
            <w:r>
              <w:rPr>
                <w:rFonts w:ascii="宋体" w:hAnsi="宋体" w:cs="宋体" w:eastAsia="宋体" w:hint="default"/>
                <w:sz w:val="18"/>
                <w:szCs w:val="18"/>
              </w:rPr>
              <w:t>套</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8,078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4,754</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69.92%</w:t>
            </w:r>
          </w:p>
        </w:tc>
      </w:tr>
      <w:tr>
        <w:trPr>
          <w:trHeight w:val="402" w:hRule="exact"/>
        </w:trPr>
        <w:tc>
          <w:tcPr>
            <w:tcW w:w="1608" w:type="dxa"/>
            <w:vMerge/>
            <w:tcBorders>
              <w:left w:val="single" w:sz="4" w:space="0" w:color="000000"/>
              <w:right w:val="single" w:sz="13" w:space="0" w:color="D2D2D2"/>
            </w:tcBorders>
          </w:tcPr>
          <w:p>
            <w:pP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生产量</w:t>
            </w:r>
          </w:p>
        </w:tc>
        <w:tc>
          <w:tcPr>
            <w:tcW w:w="16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台</w:t>
            </w:r>
            <w:r>
              <w:rPr>
                <w:rFonts w:ascii="Times New Roman" w:hAnsi="Times New Roman" w:cs="Times New Roman" w:eastAsia="Times New Roman" w:hint="default"/>
                <w:sz w:val="18"/>
                <w:szCs w:val="18"/>
              </w:rPr>
              <w:t>/</w:t>
            </w:r>
            <w:r>
              <w:rPr>
                <w:rFonts w:ascii="宋体" w:hAnsi="宋体" w:cs="宋体" w:eastAsia="宋体" w:hint="default"/>
                <w:sz w:val="18"/>
                <w:szCs w:val="18"/>
              </w:rPr>
              <w:t>套</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10,354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5,930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74.60%</w:t>
            </w:r>
          </w:p>
        </w:tc>
      </w:tr>
      <w:tr>
        <w:trPr>
          <w:trHeight w:val="402" w:hRule="exact"/>
        </w:trPr>
        <w:tc>
          <w:tcPr>
            <w:tcW w:w="1608" w:type="dxa"/>
            <w:vMerge/>
            <w:tcBorders>
              <w:left w:val="single" w:sz="4" w:space="0" w:color="000000"/>
              <w:bottom w:val="single" w:sz="4" w:space="0" w:color="000000"/>
              <w:right w:val="single" w:sz="13" w:space="0" w:color="D2D2D2"/>
            </w:tcBorders>
          </w:tcPr>
          <w:p>
            <w:pP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库存量</w:t>
            </w:r>
          </w:p>
        </w:tc>
        <w:tc>
          <w:tcPr>
            <w:tcW w:w="16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台</w:t>
            </w:r>
            <w:r>
              <w:rPr>
                <w:rFonts w:ascii="Times New Roman" w:hAnsi="Times New Roman" w:cs="Times New Roman" w:eastAsia="Times New Roman" w:hint="default"/>
                <w:sz w:val="18"/>
                <w:szCs w:val="18"/>
              </w:rPr>
              <w:t>/</w:t>
            </w:r>
            <w:r>
              <w:rPr>
                <w:rFonts w:ascii="宋体" w:hAnsi="宋体" w:cs="宋体" w:eastAsia="宋体" w:hint="default"/>
                <w:sz w:val="18"/>
                <w:szCs w:val="18"/>
              </w:rPr>
              <w:t>套</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4,881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2,605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87.37%</w:t>
            </w:r>
          </w:p>
        </w:tc>
      </w:tr>
    </w:tbl>
    <w:p>
      <w:pPr>
        <w:pStyle w:val="BodyText"/>
        <w:spacing w:line="240" w:lineRule="auto" w:before="51"/>
        <w:ind w:left="1134" w:right="0"/>
        <w:jc w:val="left"/>
      </w:pPr>
      <w:r>
        <w:rPr/>
        <w:t>相关数据同比发生变动</w:t>
      </w:r>
      <w:r>
        <w:rPr>
          <w:spacing w:val="-46"/>
        </w:rPr>
        <w:t> </w:t>
      </w:r>
      <w:r>
        <w:rPr>
          <w:rFonts w:ascii="Times New Roman" w:hAnsi="Times New Roman" w:cs="Times New Roman" w:eastAsia="Times New Roman" w:hint="default"/>
        </w:rPr>
        <w:t>30%</w:t>
      </w:r>
      <w:r>
        <w:rPr/>
        <w:t>以上的原因说明</w:t>
      </w:r>
    </w:p>
    <w:p>
      <w:pPr>
        <w:pStyle w:val="BodyText"/>
        <w:spacing w:line="338" w:lineRule="auto" w:before="103"/>
        <w:ind w:right="73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报告期内公司订单较去年同期有较大增长。</w:t>
      </w:r>
    </w:p>
    <w:p>
      <w:pPr>
        <w:spacing w:line="240" w:lineRule="auto" w:before="4"/>
        <w:rPr>
          <w:rFonts w:ascii="宋体" w:hAnsi="宋体" w:cs="宋体" w:eastAsia="宋体" w:hint="default"/>
          <w:sz w:val="21"/>
          <w:szCs w:val="21"/>
        </w:rPr>
      </w:pPr>
    </w:p>
    <w:p>
      <w:pPr>
        <w:pStyle w:val="Heading3"/>
        <w:spacing w:line="240" w:lineRule="auto"/>
        <w:ind w:right="0"/>
        <w:jc w:val="left"/>
        <w:rPr>
          <w:b w:val="0"/>
          <w:bCs w:val="0"/>
        </w:rPr>
      </w:pPr>
      <w:bookmarkStart w:name="（4）公司已签订的重大销售合同截至本报告期的履行情况" w:id="31"/>
      <w:bookmarkEnd w:id="31"/>
      <w:r>
        <w:rPr>
          <w:b w:val="0"/>
          <w:bCs w:val="0"/>
        </w:rPr>
      </w:r>
      <w:r>
        <w:rPr/>
        <w:t>（</w:t>
      </w:r>
      <w:r>
        <w:rPr>
          <w:rFonts w:ascii="Times New Roman" w:hAnsi="Times New Roman" w:cs="Times New Roman" w:eastAsia="Times New Roman" w:hint="default"/>
        </w:rPr>
        <w:t>4</w:t>
      </w:r>
      <w:r>
        <w:rPr/>
        <w:t>）公司已签订的重大销售合同截至本报告期的履行情况</w:t>
      </w:r>
      <w:r>
        <w:rPr>
          <w:b w:val="0"/>
          <w:bCs w:val="0"/>
        </w:rPr>
      </w:r>
    </w:p>
    <w:p>
      <w:pPr>
        <w:spacing w:line="240" w:lineRule="auto" w:before="8"/>
        <w:rPr>
          <w:rFonts w:ascii="宋体" w:hAnsi="宋体" w:cs="宋体" w:eastAsia="宋体" w:hint="default"/>
          <w:b/>
          <w:bCs/>
          <w:sz w:val="26"/>
          <w:szCs w:val="26"/>
        </w:rPr>
      </w:pPr>
    </w:p>
    <w:p>
      <w:pPr>
        <w:pStyle w:val="BodyText"/>
        <w:spacing w:line="340" w:lineRule="auto"/>
        <w:ind w:right="928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否</w:t>
      </w:r>
    </w:p>
    <w:p>
      <w:pPr>
        <w:pStyle w:val="BodyText"/>
        <w:spacing w:line="300" w:lineRule="auto" w:before="39"/>
        <w:ind w:right="0" w:firstLine="360"/>
        <w:jc w:val="left"/>
      </w:pPr>
      <w:r>
        <w:rPr>
          <w:rFonts w:ascii="Times New Roman" w:hAnsi="Times New Roman" w:cs="Times New Roman" w:eastAsia="Times New Roman" w:hint="default"/>
          <w:spacing w:val="-2"/>
        </w:rPr>
        <w:t>1</w:t>
      </w:r>
      <w:r>
        <w:rPr>
          <w:spacing w:val="-2"/>
        </w:rPr>
        <w:t>、</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10</w:t>
      </w:r>
      <w:r>
        <w:rPr>
          <w:spacing w:val="-2"/>
        </w:rPr>
        <w:t>月</w:t>
      </w:r>
      <w:r>
        <w:rPr>
          <w:rFonts w:ascii="Times New Roman" w:hAnsi="Times New Roman" w:cs="Times New Roman" w:eastAsia="Times New Roman" w:hint="default"/>
          <w:spacing w:val="-2"/>
        </w:rPr>
        <w:t>19</w:t>
      </w:r>
      <w:r>
        <w:rPr>
          <w:spacing w:val="-2"/>
        </w:rPr>
        <w:t>日，公司与河北省环境监测中心签署了《河北省环境监测中心</w:t>
      </w:r>
      <w:r>
        <w:rPr>
          <w:rFonts w:ascii="Times New Roman" w:hAnsi="Times New Roman" w:cs="Times New Roman" w:eastAsia="Times New Roman" w:hint="default"/>
          <w:spacing w:val="-2"/>
        </w:rPr>
        <w:t>“1+18”</w:t>
      </w:r>
      <w:r>
        <w:rPr>
          <w:spacing w:val="-2"/>
        </w:rPr>
        <w:t>大气监测专项</w:t>
      </w:r>
      <w:r>
        <w:rPr>
          <w:rFonts w:ascii="Times New Roman" w:hAnsi="Times New Roman" w:cs="Times New Roman" w:eastAsia="Times New Roman" w:hint="default"/>
          <w:spacing w:val="-2"/>
        </w:rPr>
        <w:t>1</w:t>
      </w:r>
      <w:r>
        <w:rPr>
          <w:spacing w:val="-2"/>
        </w:rPr>
        <w:t>包省控自动站建设</w:t>
      </w:r>
      <w:r>
        <w:rPr>
          <w:w w:val="100"/>
        </w:rPr>
        <w:t> </w:t>
      </w:r>
      <w:r>
        <w:rPr>
          <w:spacing w:val="-3"/>
          <w:w w:val="100"/>
        </w:rPr>
        <w:t>合同》，合同总价为</w:t>
      </w:r>
      <w:r>
        <w:rPr>
          <w:rFonts w:ascii="Times New Roman" w:hAnsi="Times New Roman" w:cs="Times New Roman" w:eastAsia="Times New Roman" w:hint="default"/>
          <w:spacing w:val="-3"/>
          <w:w w:val="100"/>
        </w:rPr>
        <w:t>22,877.45</w:t>
      </w:r>
      <w:r>
        <w:rPr>
          <w:spacing w:val="-3"/>
          <w:w w:val="100"/>
        </w:rPr>
        <w:t>万元，截止报告期末，已完成大部分供货。</w:t>
      </w:r>
    </w:p>
    <w:p>
      <w:pPr>
        <w:pStyle w:val="BodyText"/>
        <w:spacing w:line="300" w:lineRule="auto" w:before="13"/>
        <w:ind w:left="1134" w:right="1122" w:firstLine="360"/>
        <w:jc w:val="left"/>
      </w:pPr>
      <w:r>
        <w:rPr>
          <w:rFonts w:ascii="Times New Roman" w:hAnsi="Times New Roman" w:cs="Times New Roman" w:eastAsia="Times New Roman" w:hint="default"/>
        </w:rPr>
        <w:t>2</w:t>
      </w:r>
      <w:r>
        <w:rPr/>
        <w:t>、</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15</w:t>
      </w:r>
      <w:r>
        <w:rPr/>
        <w:t>日，河北先河环保科技股份有限公司与石家庄市环境保护局签署了《石家庄市重点区域空气质量监测 </w:t>
      </w:r>
      <w:r>
        <w:rPr>
          <w:spacing w:val="-3"/>
        </w:rPr>
        <w:t>网络建设购买货物合同》，合同总价为</w:t>
      </w:r>
      <w:r>
        <w:rPr>
          <w:rFonts w:ascii="Times New Roman" w:hAnsi="Times New Roman" w:cs="Times New Roman" w:eastAsia="Times New Roman" w:hint="default"/>
          <w:spacing w:val="-3"/>
        </w:rPr>
        <w:t>14,789.06</w:t>
      </w:r>
      <w:r>
        <w:rPr>
          <w:spacing w:val="-3"/>
        </w:rPr>
        <w:t>万元，截止报告期末，该合同已经执行完毕。</w:t>
      </w:r>
    </w:p>
    <w:p>
      <w:pPr>
        <w:spacing w:line="240" w:lineRule="auto" w:before="1"/>
        <w:rPr>
          <w:rFonts w:ascii="宋体" w:hAnsi="宋体" w:cs="宋体" w:eastAsia="宋体" w:hint="default"/>
          <w:sz w:val="22"/>
          <w:szCs w:val="22"/>
        </w:rPr>
      </w:pPr>
    </w:p>
    <w:p>
      <w:pPr>
        <w:pStyle w:val="Heading3"/>
        <w:spacing w:line="240" w:lineRule="auto"/>
        <w:ind w:left="1134" w:right="0"/>
        <w:jc w:val="left"/>
        <w:rPr>
          <w:b w:val="0"/>
          <w:bCs w:val="0"/>
        </w:rPr>
      </w:pPr>
      <w:bookmarkStart w:name="（5）营业成本构成" w:id="32"/>
      <w:bookmarkEnd w:id="32"/>
      <w:r>
        <w:rPr>
          <w:b w:val="0"/>
          <w:bCs w:val="0"/>
        </w:rPr>
      </w:r>
      <w:r>
        <w:rPr/>
        <w:t>（</w:t>
      </w:r>
      <w:r>
        <w:rPr>
          <w:rFonts w:ascii="Times New Roman" w:hAnsi="Times New Roman" w:cs="Times New Roman" w:eastAsia="Times New Roman" w:hint="default"/>
        </w:rPr>
        <w:t>5</w:t>
      </w:r>
      <w:r>
        <w:rPr/>
        <w:t>）营业成本构成</w:t>
      </w:r>
      <w:r>
        <w:rPr>
          <w:b w:val="0"/>
          <w:bCs w:val="0"/>
        </w:rPr>
      </w:r>
    </w:p>
    <w:p>
      <w:pPr>
        <w:spacing w:line="240" w:lineRule="auto" w:before="3"/>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79" w:top="1060" w:bottom="1160" w:left="0" w:right="0"/>
        </w:sectPr>
      </w:pPr>
    </w:p>
    <w:p>
      <w:pPr>
        <w:pStyle w:val="BodyText"/>
        <w:spacing w:line="357" w:lineRule="auto" w:before="44"/>
        <w:ind w:left="1134" w:right="-20"/>
        <w:jc w:val="left"/>
      </w:pPr>
      <w:r>
        <w:rPr/>
        <w:t>行业分类 行业分类</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ind w:left="1113" w:right="1112"/>
        <w:jc w:val="center"/>
      </w:pPr>
      <w:r>
        <w:rPr/>
        <w:t>单位：元</w:t>
      </w:r>
    </w:p>
    <w:p>
      <w:pPr>
        <w:spacing w:after="0" w:line="240" w:lineRule="auto"/>
        <w:jc w:val="center"/>
        <w:sectPr>
          <w:type w:val="continuous"/>
          <w:pgSz w:w="11910" w:h="16840"/>
          <w:pgMar w:top="1060" w:bottom="1160" w:left="0" w:right="0"/>
          <w:cols w:num="2" w:equalWidth="0">
            <w:col w:w="1855" w:space="7065"/>
            <w:col w:w="2990"/>
          </w:cols>
        </w:sectPr>
      </w:pP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370"/>
        <w:gridCol w:w="1367"/>
        <w:gridCol w:w="1367"/>
        <w:gridCol w:w="1367"/>
        <w:gridCol w:w="1368"/>
        <w:gridCol w:w="1367"/>
        <w:gridCol w:w="1367"/>
      </w:tblGrid>
      <w:tr>
        <w:trPr>
          <w:trHeight w:val="402" w:hRule="exact"/>
        </w:trPr>
        <w:tc>
          <w:tcPr>
            <w:tcW w:w="13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行业分类</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73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1370"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7"/>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7"/>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仪器仪表</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0" w:right="0"/>
              <w:jc w:val="left"/>
              <w:rPr>
                <w:rFonts w:ascii="Times New Roman" w:hAnsi="Times New Roman" w:cs="Times New Roman" w:eastAsia="Times New Roman" w:hint="default"/>
                <w:sz w:val="18"/>
                <w:szCs w:val="18"/>
              </w:rPr>
            </w:pPr>
            <w:r>
              <w:rPr>
                <w:rFonts w:ascii="Times New Roman"/>
                <w:sz w:val="18"/>
              </w:rPr>
              <w:t>416,899,141.76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82.42%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1" w:right="0"/>
              <w:jc w:val="left"/>
              <w:rPr>
                <w:rFonts w:ascii="Times New Roman" w:hAnsi="Times New Roman" w:cs="Times New Roman" w:eastAsia="Times New Roman" w:hint="default"/>
                <w:sz w:val="18"/>
                <w:szCs w:val="18"/>
              </w:rPr>
            </w:pPr>
            <w:r>
              <w:rPr>
                <w:rFonts w:ascii="Times New Roman"/>
                <w:sz w:val="18"/>
              </w:rPr>
              <w:t>305,752,542.54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90.65%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80" w:right="0"/>
              <w:jc w:val="left"/>
              <w:rPr>
                <w:rFonts w:ascii="Times New Roman" w:hAnsi="Times New Roman" w:cs="Times New Roman" w:eastAsia="Times New Roman" w:hint="default"/>
                <w:sz w:val="18"/>
                <w:szCs w:val="18"/>
              </w:rPr>
            </w:pPr>
            <w:r>
              <w:rPr>
                <w:rFonts w:ascii="Times New Roman"/>
                <w:sz w:val="18"/>
              </w:rPr>
              <w:t>36.35%</w:t>
            </w:r>
          </w:p>
        </w:tc>
      </w:tr>
    </w:tbl>
    <w:p>
      <w:pPr>
        <w:pStyle w:val="BodyText"/>
        <w:spacing w:line="240" w:lineRule="auto" w:before="51"/>
        <w:ind w:left="1134" w:right="0"/>
        <w:jc w:val="left"/>
      </w:pPr>
      <w:r>
        <w:rPr/>
        <w:t>说明</w:t>
      </w:r>
    </w:p>
    <w:p>
      <w:pPr>
        <w:spacing w:line="240" w:lineRule="auto" w:before="11"/>
        <w:rPr>
          <w:rFonts w:ascii="宋体" w:hAnsi="宋体" w:cs="宋体" w:eastAsia="宋体" w:hint="default"/>
          <w:sz w:val="26"/>
          <w:szCs w:val="26"/>
        </w:rPr>
      </w:pPr>
    </w:p>
    <w:p>
      <w:pPr>
        <w:pStyle w:val="Heading3"/>
        <w:spacing w:line="240" w:lineRule="auto"/>
        <w:ind w:left="1134" w:right="0"/>
        <w:jc w:val="left"/>
        <w:rPr>
          <w:b w:val="0"/>
          <w:bCs w:val="0"/>
        </w:rPr>
      </w:pPr>
      <w:bookmarkStart w:name="（6）报告期内合并范围是否发生变动" w:id="33"/>
      <w:bookmarkEnd w:id="33"/>
      <w:r>
        <w:rPr>
          <w:b w:val="0"/>
          <w:bCs w:val="0"/>
        </w:rPr>
      </w:r>
      <w:r>
        <w:rPr/>
        <w:t>（</w:t>
      </w:r>
      <w:r>
        <w:rPr>
          <w:rFonts w:ascii="Times New Roman" w:hAnsi="Times New Roman" w:cs="Times New Roman" w:eastAsia="Times New Roman" w:hint="default"/>
        </w:rPr>
        <w:t>6</w:t>
      </w:r>
      <w:r>
        <w:rPr/>
        <w:t>）报告期内合并范围是否发生变动</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134"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pStyle w:val="BodyText"/>
        <w:spacing w:line="300" w:lineRule="auto" w:before="101"/>
        <w:ind w:right="1132" w:firstLine="360"/>
        <w:jc w:val="both"/>
      </w:pPr>
      <w:r>
        <w:rPr>
          <w:rFonts w:ascii="Times New Roman" w:hAnsi="Times New Roman" w:cs="Times New Roman" w:eastAsia="Times New Roman" w:hint="default"/>
          <w:spacing w:val="-2"/>
        </w:rPr>
        <w:t>1</w:t>
      </w:r>
      <w:r>
        <w:rPr>
          <w:spacing w:val="-2"/>
        </w:rPr>
        <w:t>、公司下属子公司重庆冀华环保科技发展有限公司以</w:t>
      </w:r>
      <w:r>
        <w:rPr>
          <w:rFonts w:ascii="Times New Roman" w:hAnsi="Times New Roman" w:cs="Times New Roman" w:eastAsia="Times New Roman" w:hint="default"/>
          <w:spacing w:val="-2"/>
        </w:rPr>
        <w:t>600,000.00</w:t>
      </w:r>
      <w:r>
        <w:rPr>
          <w:spacing w:val="-2"/>
        </w:rPr>
        <w:t>元收购了汪渝杰和郑伟两人持有四川广迈富宇建设工程</w:t>
      </w:r>
      <w:r>
        <w:rPr/>
        <w:t> 有限公司</w:t>
      </w:r>
      <w:r>
        <w:rPr>
          <w:rFonts w:ascii="Times New Roman" w:hAnsi="Times New Roman" w:cs="Times New Roman" w:eastAsia="Times New Roman" w:hint="default"/>
        </w:rPr>
        <w:t>100%</w:t>
      </w:r>
      <w:r>
        <w:rPr/>
        <w:t>的股权，形成非同一控制下企业合并。双方于</w:t>
      </w:r>
      <w:r>
        <w:rPr>
          <w:rFonts w:ascii="Times New Roman" w:hAnsi="Times New Roman" w:cs="Times New Roman" w:eastAsia="Times New Roman" w:hint="default"/>
        </w:rPr>
        <w:t>2017</w:t>
      </w:r>
      <w:r>
        <w:rPr/>
        <w:t>年</w:t>
      </w:r>
      <w:r>
        <w:rPr>
          <w:spacing w:val="-6"/>
        </w:rPr>
        <w:t> </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7</w:t>
      </w:r>
      <w:r>
        <w:rPr/>
        <w:t>日办妥股权变更手续，四川广迈富宇建设工程有 限公司纳入公司合并报表范围。</w:t>
      </w:r>
    </w:p>
    <w:p>
      <w:pPr>
        <w:pStyle w:val="BodyText"/>
        <w:spacing w:line="300" w:lineRule="auto" w:before="31"/>
        <w:ind w:right="1130" w:firstLine="360"/>
        <w:jc w:val="both"/>
      </w:pPr>
      <w:r>
        <w:rPr>
          <w:rFonts w:ascii="Times New Roman" w:hAnsi="Times New Roman" w:cs="Times New Roman" w:eastAsia="Times New Roman" w:hint="default"/>
          <w:spacing w:val="-1"/>
        </w:rPr>
        <w:t>2</w:t>
      </w:r>
      <w:r>
        <w:rPr>
          <w:spacing w:val="-1"/>
        </w:rPr>
        <w:t>、公司于</w:t>
      </w:r>
      <w:r>
        <w:rPr>
          <w:rFonts w:ascii="Times New Roman" w:hAnsi="Times New Roman" w:cs="Times New Roman" w:eastAsia="Times New Roman" w:hint="default"/>
          <w:spacing w:val="-1"/>
        </w:rPr>
        <w:t>2016</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16</w:t>
      </w:r>
      <w:r>
        <w:rPr>
          <w:spacing w:val="-1"/>
        </w:rPr>
        <w:t>日投资设立控股子公司河北先河正阳环保设备销售有限公司，注册资本</w:t>
      </w:r>
      <w:r>
        <w:rPr>
          <w:rFonts w:ascii="Times New Roman" w:hAnsi="Times New Roman" w:cs="Times New Roman" w:eastAsia="Times New Roman" w:hint="default"/>
          <w:spacing w:val="-1"/>
        </w:rPr>
        <w:t>2,000</w:t>
      </w:r>
      <w:r>
        <w:rPr>
          <w:spacing w:val="-1"/>
        </w:rPr>
        <w:t>万元，其中公司持</w:t>
      </w:r>
      <w:r>
        <w:rPr/>
        <w:t> 有</w:t>
      </w:r>
      <w:r>
        <w:rPr>
          <w:rFonts w:ascii="Times New Roman" w:hAnsi="Times New Roman" w:cs="Times New Roman" w:eastAsia="Times New Roman" w:hint="default"/>
        </w:rPr>
        <w:t>86.75%</w:t>
      </w:r>
      <w:r>
        <w:rPr/>
        <w:t>股权。因该公司在</w:t>
      </w:r>
      <w:r>
        <w:rPr>
          <w:rFonts w:ascii="Times New Roman" w:hAnsi="Times New Roman" w:cs="Times New Roman" w:eastAsia="Times New Roman" w:hint="default"/>
        </w:rPr>
        <w:t>2016</w:t>
      </w:r>
      <w:r>
        <w:rPr/>
        <w:t>年度并未实际经营，故在</w:t>
      </w:r>
      <w:r>
        <w:rPr>
          <w:rFonts w:ascii="Times New Roman" w:hAnsi="Times New Roman" w:cs="Times New Roman" w:eastAsia="Times New Roman" w:hint="default"/>
        </w:rPr>
        <w:t>2017</w:t>
      </w:r>
      <w:r>
        <w:rPr/>
        <w:t>年度将其纳入合并范围。</w:t>
      </w:r>
    </w:p>
    <w:p>
      <w:pPr>
        <w:pStyle w:val="BodyText"/>
        <w:spacing w:line="300" w:lineRule="auto" w:before="13"/>
        <w:ind w:right="1042" w:firstLine="360"/>
        <w:jc w:val="both"/>
      </w:pPr>
      <w:r>
        <w:rPr>
          <w:rFonts w:ascii="Times New Roman" w:hAnsi="Times New Roman" w:cs="Times New Roman" w:eastAsia="Times New Roman" w:hint="default"/>
          <w:spacing w:val="-2"/>
        </w:rPr>
        <w:t>3</w:t>
      </w:r>
      <w:r>
        <w:rPr>
          <w:spacing w:val="-2"/>
        </w:rPr>
        <w:t>、公司于</w:t>
      </w:r>
      <w:r>
        <w:rPr>
          <w:rFonts w:ascii="Times New Roman" w:hAnsi="Times New Roman" w:cs="Times New Roman" w:eastAsia="Times New Roman" w:hint="default"/>
          <w:spacing w:val="-2"/>
        </w:rPr>
        <w:t>2016</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27</w:t>
      </w:r>
      <w:r>
        <w:rPr>
          <w:spacing w:val="-2"/>
        </w:rPr>
        <w:t>日投资设立河北先河正达环保技术服务有限公司，注册资本</w:t>
      </w:r>
      <w:r>
        <w:rPr>
          <w:rFonts w:ascii="Times New Roman" w:hAnsi="Times New Roman" w:cs="Times New Roman" w:eastAsia="Times New Roman" w:hint="default"/>
          <w:spacing w:val="-2"/>
        </w:rPr>
        <w:t>800</w:t>
      </w:r>
      <w:r>
        <w:rPr>
          <w:spacing w:val="-2"/>
        </w:rPr>
        <w:t>万元，其中公司持有</w:t>
      </w:r>
      <w:r>
        <w:rPr>
          <w:rFonts w:ascii="Times New Roman" w:hAnsi="Times New Roman" w:cs="Times New Roman" w:eastAsia="Times New Roman" w:hint="default"/>
          <w:spacing w:val="-2"/>
        </w:rPr>
        <w:t>77.5%</w:t>
      </w:r>
      <w:r>
        <w:rPr>
          <w:spacing w:val="-2"/>
        </w:rPr>
        <w:t>股权。</w:t>
      </w:r>
      <w:r>
        <w:rPr/>
        <w:t> 因该公司在</w:t>
      </w:r>
      <w:r>
        <w:rPr>
          <w:rFonts w:ascii="Times New Roman" w:hAnsi="Times New Roman" w:cs="Times New Roman" w:eastAsia="Times New Roman" w:hint="default"/>
        </w:rPr>
        <w:t>2016</w:t>
      </w:r>
      <w:r>
        <w:rPr/>
        <w:t>年度并未实际经营，故在</w:t>
      </w:r>
      <w:r>
        <w:rPr>
          <w:rFonts w:ascii="Times New Roman" w:hAnsi="Times New Roman" w:cs="Times New Roman" w:eastAsia="Times New Roman" w:hint="default"/>
        </w:rPr>
        <w:t>2017</w:t>
      </w:r>
      <w:r>
        <w:rPr/>
        <w:t>年度将其纳入合并范围。</w:t>
      </w:r>
    </w:p>
    <w:p>
      <w:pPr>
        <w:pStyle w:val="BodyText"/>
        <w:spacing w:line="300" w:lineRule="auto" w:before="13"/>
        <w:ind w:left="1134" w:right="1131" w:firstLine="360"/>
        <w:jc w:val="both"/>
      </w:pPr>
      <w:r>
        <w:rPr>
          <w:rFonts w:ascii="Times New Roman" w:hAnsi="Times New Roman" w:cs="Times New Roman" w:eastAsia="Times New Roman" w:hint="default"/>
          <w:spacing w:val="-2"/>
        </w:rPr>
        <w:t>4</w:t>
      </w:r>
      <w:r>
        <w:rPr>
          <w:spacing w:val="-2"/>
        </w:rPr>
        <w:t>、公司的下属子公司重庆冀华环保科技发展有限公司于</w:t>
      </w:r>
      <w:r>
        <w:rPr>
          <w:rFonts w:ascii="Times New Roman" w:hAnsi="Times New Roman" w:cs="Times New Roman" w:eastAsia="Times New Roman" w:hint="default"/>
          <w:spacing w:val="-2"/>
        </w:rPr>
        <w:t>2016</w:t>
      </w:r>
      <w:r>
        <w:rPr>
          <w:spacing w:val="-2"/>
        </w:rPr>
        <w:t>年</w:t>
      </w:r>
      <w:r>
        <w:rPr>
          <w:rFonts w:ascii="Times New Roman" w:hAnsi="Times New Roman" w:cs="Times New Roman" w:eastAsia="Times New Roman" w:hint="default"/>
          <w:spacing w:val="-2"/>
        </w:rPr>
        <w:t>4</w:t>
      </w:r>
      <w:r>
        <w:rPr>
          <w:spacing w:val="-2"/>
        </w:rPr>
        <w:t>月</w:t>
      </w:r>
      <w:r>
        <w:rPr>
          <w:rFonts w:ascii="Times New Roman" w:hAnsi="Times New Roman" w:cs="Times New Roman" w:eastAsia="Times New Roman" w:hint="default"/>
          <w:spacing w:val="-2"/>
        </w:rPr>
        <w:t>12</w:t>
      </w:r>
      <w:r>
        <w:rPr>
          <w:spacing w:val="-2"/>
        </w:rPr>
        <w:t>日投资设立全资子公司重庆冀华正态检测技术有限</w:t>
      </w:r>
      <w:r>
        <w:rPr/>
        <w:t> 公司，因该公司在</w:t>
      </w:r>
      <w:r>
        <w:rPr>
          <w:rFonts w:ascii="Times New Roman" w:hAnsi="Times New Roman" w:cs="Times New Roman" w:eastAsia="Times New Roman" w:hint="default"/>
        </w:rPr>
        <w:t>2016</w:t>
      </w:r>
      <w:r>
        <w:rPr/>
        <w:t>年度并未实际经营，故在</w:t>
      </w:r>
      <w:r>
        <w:rPr>
          <w:rFonts w:ascii="Times New Roman" w:hAnsi="Times New Roman" w:cs="Times New Roman" w:eastAsia="Times New Roman" w:hint="default"/>
        </w:rPr>
        <w:t>2017</w:t>
      </w:r>
      <w:r>
        <w:rPr/>
        <w:t>年度将其纳入合并范围。</w:t>
      </w:r>
    </w:p>
    <w:p>
      <w:pPr>
        <w:pStyle w:val="BodyText"/>
        <w:spacing w:line="300" w:lineRule="auto" w:before="13"/>
        <w:ind w:left="1134" w:right="1131" w:firstLine="360"/>
        <w:jc w:val="both"/>
      </w:pPr>
      <w:r>
        <w:rPr>
          <w:rFonts w:ascii="Times New Roman" w:hAnsi="Times New Roman" w:cs="Times New Roman" w:eastAsia="Times New Roman" w:hint="default"/>
          <w:spacing w:val="-2"/>
        </w:rPr>
        <w:t>5</w:t>
      </w:r>
      <w:r>
        <w:rPr>
          <w:spacing w:val="-2"/>
        </w:rPr>
        <w:t>、公司的下属子公司河北先河正源环境治理技术有限公司于</w:t>
      </w:r>
      <w:r>
        <w:rPr>
          <w:rFonts w:ascii="Times New Roman" w:hAnsi="Times New Roman" w:cs="Times New Roman" w:eastAsia="Times New Roman" w:hint="default"/>
          <w:spacing w:val="-2"/>
        </w:rPr>
        <w:t>2016</w:t>
      </w:r>
      <w:r>
        <w:rPr>
          <w:spacing w:val="-2"/>
        </w:rPr>
        <w:t>年</w:t>
      </w:r>
      <w:r>
        <w:rPr>
          <w:rFonts w:ascii="Times New Roman" w:hAnsi="Times New Roman" w:cs="Times New Roman" w:eastAsia="Times New Roman" w:hint="default"/>
          <w:spacing w:val="-2"/>
        </w:rPr>
        <w:t>5</w:t>
      </w:r>
      <w:r>
        <w:rPr>
          <w:spacing w:val="-2"/>
        </w:rPr>
        <w:t>月</w:t>
      </w:r>
      <w:r>
        <w:rPr>
          <w:rFonts w:ascii="Times New Roman" w:hAnsi="Times New Roman" w:cs="Times New Roman" w:eastAsia="Times New Roman" w:hint="default"/>
          <w:spacing w:val="-2"/>
        </w:rPr>
        <w:t>13</w:t>
      </w:r>
      <w:r>
        <w:rPr>
          <w:spacing w:val="-2"/>
        </w:rPr>
        <w:t>日投资设立全资子公司保定先河正源环境资源</w:t>
      </w:r>
      <w:r>
        <w:rPr/>
        <w:t> 科技有限公司，因该公司在</w:t>
      </w:r>
      <w:r>
        <w:rPr>
          <w:rFonts w:ascii="Times New Roman" w:hAnsi="Times New Roman" w:cs="Times New Roman" w:eastAsia="Times New Roman" w:hint="default"/>
        </w:rPr>
        <w:t>2016</w:t>
      </w:r>
      <w:r>
        <w:rPr/>
        <w:t>年度并未实际经营，故在</w:t>
      </w:r>
      <w:r>
        <w:rPr>
          <w:rFonts w:ascii="Times New Roman" w:hAnsi="Times New Roman" w:cs="Times New Roman" w:eastAsia="Times New Roman" w:hint="default"/>
        </w:rPr>
        <w:t>2017</w:t>
      </w:r>
      <w:r>
        <w:rPr/>
        <w:t>年度将其纳入合并范围。</w:t>
      </w:r>
    </w:p>
    <w:p>
      <w:pPr>
        <w:spacing w:after="0" w:line="300" w:lineRule="auto"/>
        <w:jc w:val="both"/>
        <w:sectPr>
          <w:type w:val="continuous"/>
          <w:pgSz w:w="11910" w:h="16840"/>
          <w:pgMar w:top="1060" w:bottom="1160" w:left="0" w:right="0"/>
        </w:sectPr>
      </w:pPr>
    </w:p>
    <w:p>
      <w:pPr>
        <w:spacing w:line="240" w:lineRule="auto" w:before="12"/>
        <w:rPr>
          <w:rFonts w:ascii="宋体" w:hAnsi="宋体" w:cs="宋体" w:eastAsia="宋体" w:hint="default"/>
          <w:sz w:val="25"/>
          <w:szCs w:val="25"/>
        </w:rPr>
      </w:pPr>
    </w:p>
    <w:p>
      <w:pPr>
        <w:pStyle w:val="BodyText"/>
        <w:spacing w:line="300" w:lineRule="auto" w:before="44"/>
        <w:ind w:right="1129" w:firstLine="360"/>
        <w:jc w:val="left"/>
      </w:pPr>
      <w:r>
        <w:rPr>
          <w:rFonts w:ascii="Times New Roman" w:hAnsi="Times New Roman" w:cs="Times New Roman" w:eastAsia="Times New Roman" w:hint="default"/>
        </w:rPr>
        <w:t>6</w:t>
      </w:r>
      <w:r>
        <w:rPr/>
        <w:t>、公司美国控股孙公司</w:t>
      </w:r>
      <w:r>
        <w:rPr>
          <w:rFonts w:ascii="Times New Roman" w:hAnsi="Times New Roman" w:cs="Times New Roman" w:eastAsia="Times New Roman" w:hint="default"/>
        </w:rPr>
        <w:t>Sunset Laboratory Inc.</w:t>
      </w:r>
      <w:r>
        <w:rPr/>
        <w:t>和</w:t>
      </w:r>
      <w:r>
        <w:rPr>
          <w:rFonts w:ascii="Times New Roman" w:hAnsi="Times New Roman" w:cs="Times New Roman" w:eastAsia="Times New Roman" w:hint="default"/>
        </w:rPr>
        <w:t>Cooper Environmental Services LLC </w:t>
      </w:r>
      <w:r>
        <w:rPr/>
        <w:t>合并成立新公司</w:t>
      </w:r>
      <w:r>
        <w:rPr>
          <w:rFonts w:ascii="Times New Roman" w:hAnsi="Times New Roman" w:cs="Times New Roman" w:eastAsia="Times New Roman" w:hint="default"/>
        </w:rPr>
        <w:t>SUNSET</w:t>
      </w:r>
      <w:r>
        <w:rPr>
          <w:rFonts w:ascii="Times New Roman" w:hAnsi="Times New Roman" w:cs="Times New Roman" w:eastAsia="Times New Roman" w:hint="default"/>
          <w:spacing w:val="-8"/>
        </w:rPr>
        <w:t> </w:t>
      </w:r>
      <w:r>
        <w:rPr>
          <w:rFonts w:ascii="Times New Roman" w:hAnsi="Times New Roman" w:cs="Times New Roman" w:eastAsia="Times New Roman" w:hint="default"/>
        </w:rPr>
        <w:t>CES</w:t>
      </w:r>
      <w:r>
        <w:rPr>
          <w:rFonts w:ascii="Times New Roman" w:hAnsi="Times New Roman" w:cs="Times New Roman" w:eastAsia="Times New Roman" w:hint="default"/>
        </w:rPr>
        <w:t> </w:t>
      </w:r>
      <w:r>
        <w:rPr>
          <w:rFonts w:ascii="Times New Roman" w:hAnsi="Times New Roman" w:cs="Times New Roman" w:eastAsia="Times New Roman" w:hint="default"/>
          <w:spacing w:val="-1"/>
        </w:rPr>
        <w:t>INCORPORATED</w:t>
      </w:r>
      <w:r>
        <w:rPr>
          <w:spacing w:val="-1"/>
        </w:rPr>
        <w:t>，于</w:t>
      </w: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11</w:t>
      </w:r>
      <w:r>
        <w:rPr>
          <w:spacing w:val="-1"/>
        </w:rPr>
        <w:t>月</w:t>
      </w:r>
      <w:r>
        <w:rPr>
          <w:rFonts w:ascii="Times New Roman" w:hAnsi="Times New Roman" w:cs="Times New Roman" w:eastAsia="Times New Roman" w:hint="default"/>
          <w:spacing w:val="-1"/>
        </w:rPr>
        <w:t>30</w:t>
      </w:r>
      <w:r>
        <w:rPr>
          <w:spacing w:val="-1"/>
        </w:rPr>
        <w:t>日取得了美国俄勒冈州</w:t>
      </w:r>
      <w:r>
        <w:rPr>
          <w:rFonts w:ascii="Times New Roman" w:hAnsi="Times New Roman" w:cs="Times New Roman" w:eastAsia="Times New Roman" w:hint="default"/>
          <w:spacing w:val="-1"/>
        </w:rPr>
        <w:t>827H567M9</w:t>
      </w:r>
      <w:r>
        <w:rPr>
          <w:spacing w:val="-1"/>
        </w:rPr>
        <w:t>的注册号。因公司拥有对其的实质控制权，故自新公</w:t>
      </w:r>
      <w:r>
        <w:rPr>
          <w:spacing w:val="-82"/>
        </w:rPr>
        <w:t> </w:t>
      </w:r>
      <w:r>
        <w:rPr>
          <w:spacing w:val="-82"/>
        </w:rPr>
      </w:r>
      <w:r>
        <w:rPr/>
        <w:t>司成立之日起，将其纳入合并财务报表范围。</w:t>
      </w:r>
    </w:p>
    <w:p>
      <w:pPr>
        <w:pStyle w:val="BodyText"/>
        <w:spacing w:line="240" w:lineRule="auto" w:before="31"/>
        <w:ind w:left="1494" w:right="0"/>
        <w:jc w:val="left"/>
      </w:pPr>
      <w:r>
        <w:rPr>
          <w:rFonts w:ascii="Times New Roman" w:hAnsi="Times New Roman" w:cs="Times New Roman" w:eastAsia="Times New Roman" w:hint="default"/>
        </w:rPr>
        <w:t>7</w:t>
      </w:r>
      <w:r>
        <w:rPr/>
        <w:t>、公司下属子公司广州市汇康仪器设备有限公司于报告期内注销，不再纳入公司合并报表范围。</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13"/>
          <w:szCs w:val="13"/>
        </w:rPr>
      </w:pPr>
    </w:p>
    <w:p>
      <w:pPr>
        <w:pStyle w:val="Heading3"/>
        <w:spacing w:line="240" w:lineRule="auto"/>
        <w:ind w:right="0"/>
        <w:jc w:val="left"/>
        <w:rPr>
          <w:b w:val="0"/>
          <w:bCs w:val="0"/>
        </w:rPr>
      </w:pPr>
      <w:bookmarkStart w:name="（7）公司报告期内业务、产品或服务发生重大变化或调整有关情况" w:id="34"/>
      <w:bookmarkEnd w:id="34"/>
      <w:r>
        <w:rPr>
          <w:b w:val="0"/>
          <w:bCs w:val="0"/>
        </w:rPr>
      </w:r>
      <w:r>
        <w:rPr/>
        <w:t>（</w:t>
      </w:r>
      <w:r>
        <w:rPr>
          <w:rFonts w:ascii="Times New Roman" w:hAnsi="Times New Roman" w:cs="Times New Roman" w:eastAsia="Times New Roman" w:hint="default"/>
        </w:rPr>
        <w:t>7</w:t>
      </w:r>
      <w:r>
        <w:rPr/>
        <w:t>）公司报告期内业务、产品或服务发生重大变化或调整有关情况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13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8）主要销售客户和主要供应商情况" w:id="35"/>
      <w:bookmarkEnd w:id="35"/>
      <w:r>
        <w:rPr>
          <w:b w:val="0"/>
          <w:bCs w:val="0"/>
        </w:rPr>
      </w:r>
      <w:r>
        <w:rPr/>
        <w:t>（</w:t>
      </w:r>
      <w:r>
        <w:rPr>
          <w:rFonts w:ascii="Times New Roman" w:hAnsi="Times New Roman" w:cs="Times New Roman" w:eastAsia="Times New Roman" w:hint="default"/>
        </w:rPr>
        <w:t>8</w:t>
      </w:r>
      <w:r>
        <w:rPr/>
        <w:t>）主要销售客户和主要供应商情况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公司主要销售客户情况</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4963"/>
        <w:gridCol w:w="4606"/>
      </w:tblGrid>
      <w:tr>
        <w:trPr>
          <w:trHeight w:val="403" w:hRule="exact"/>
        </w:trPr>
        <w:tc>
          <w:tcPr>
            <w:tcW w:w="49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前五名客户合计销售金额（元）</w:t>
            </w:r>
          </w:p>
        </w:tc>
        <w:tc>
          <w:tcPr>
            <w:tcW w:w="4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292,786,718.01</w:t>
            </w:r>
          </w:p>
        </w:tc>
      </w:tr>
      <w:tr>
        <w:trPr>
          <w:trHeight w:val="402" w:hRule="exact"/>
        </w:trPr>
        <w:tc>
          <w:tcPr>
            <w:tcW w:w="49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前五名客户合计销售金额占年度销售总额比例</w:t>
            </w:r>
          </w:p>
        </w:tc>
        <w:tc>
          <w:tcPr>
            <w:tcW w:w="4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28.08%</w:t>
            </w:r>
          </w:p>
        </w:tc>
      </w:tr>
      <w:tr>
        <w:trPr>
          <w:trHeight w:val="403" w:hRule="exact"/>
        </w:trPr>
        <w:tc>
          <w:tcPr>
            <w:tcW w:w="49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前五名客户销售额中关联方销售额占年度销售总额比例</w:t>
            </w:r>
          </w:p>
        </w:tc>
        <w:tc>
          <w:tcPr>
            <w:tcW w:w="4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51"/>
        <w:ind w:left="1134" w:right="0"/>
        <w:jc w:val="left"/>
      </w:pPr>
      <w:r>
        <w:rPr/>
        <w:t>公司前</w:t>
      </w:r>
      <w:r>
        <w:rPr>
          <w:spacing w:val="-46"/>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大客户资料</w:t>
      </w:r>
    </w:p>
    <w:p>
      <w:pPr>
        <w:spacing w:line="240" w:lineRule="auto" w:before="13"/>
        <w:rPr>
          <w:rFonts w:ascii="宋体" w:hAnsi="宋体" w:cs="宋体" w:eastAsia="宋体" w:hint="default"/>
          <w:sz w:val="6"/>
          <w:szCs w:val="6"/>
        </w:rPr>
      </w:pPr>
    </w:p>
    <w:tbl>
      <w:tblPr>
        <w:tblW w:w="0" w:type="auto"/>
        <w:jc w:val="left"/>
        <w:tblInd w:w="1129" w:type="dxa"/>
        <w:tblLayout w:type="fixed"/>
        <w:tblCellMar>
          <w:top w:w="0" w:type="dxa"/>
          <w:left w:w="0" w:type="dxa"/>
          <w:bottom w:w="0" w:type="dxa"/>
          <w:right w:w="0" w:type="dxa"/>
        </w:tblCellMar>
        <w:tblLook w:val="01E0"/>
      </w:tblPr>
      <w:tblGrid>
        <w:gridCol w:w="791"/>
        <w:gridCol w:w="3313"/>
        <w:gridCol w:w="2322"/>
        <w:gridCol w:w="3143"/>
      </w:tblGrid>
      <w:tr>
        <w:trPr>
          <w:trHeight w:val="401"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15"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3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23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15" w:right="0"/>
              <w:jc w:val="left"/>
              <w:rPr>
                <w:rFonts w:ascii="宋体" w:hAnsi="宋体" w:cs="宋体" w:eastAsia="宋体" w:hint="default"/>
                <w:sz w:val="18"/>
                <w:szCs w:val="18"/>
              </w:rPr>
            </w:pPr>
            <w:r>
              <w:rPr>
                <w:rFonts w:ascii="宋体" w:hAnsi="宋体" w:cs="宋体" w:eastAsia="宋体" w:hint="default"/>
                <w:sz w:val="18"/>
                <w:szCs w:val="18"/>
              </w:rPr>
              <w:t>销售额（元）</w:t>
            </w:r>
          </w:p>
        </w:tc>
        <w:tc>
          <w:tcPr>
            <w:tcW w:w="31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56" w:right="0"/>
              <w:jc w:val="left"/>
              <w:rPr>
                <w:rFonts w:ascii="宋体" w:hAnsi="宋体" w:cs="宋体" w:eastAsia="宋体" w:hint="default"/>
                <w:sz w:val="18"/>
                <w:szCs w:val="18"/>
              </w:rPr>
            </w:pPr>
            <w:r>
              <w:rPr>
                <w:rFonts w:ascii="宋体" w:hAnsi="宋体" w:cs="宋体" w:eastAsia="宋体" w:hint="default"/>
                <w:sz w:val="18"/>
                <w:szCs w:val="18"/>
              </w:rPr>
              <w:t>占年度销售总额比例</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1</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127,020,513.04</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12.18%</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2</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69,454,266.25</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6.66%</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3</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47,984,588.29</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4.60%</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4</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33,361,538.46</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3.20%</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5</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14,965,811.97</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1.44%</w:t>
            </w:r>
          </w:p>
        </w:tc>
      </w:tr>
      <w:tr>
        <w:trPr>
          <w:trHeight w:val="403"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3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2" w:right="0"/>
              <w:jc w:val="center"/>
              <w:rPr>
                <w:rFonts w:ascii="Times New Roman" w:hAnsi="Times New Roman" w:cs="Times New Roman" w:eastAsia="Times New Roman" w:hint="default"/>
                <w:sz w:val="18"/>
                <w:szCs w:val="18"/>
              </w:rPr>
            </w:pPr>
            <w:r>
              <w:rPr>
                <w:rFonts w:ascii="Times New Roman"/>
                <w:sz w:val="18"/>
              </w:rPr>
              <w:t>--</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292,786,718.01</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28.08%</w:t>
            </w:r>
          </w:p>
        </w:tc>
      </w:tr>
    </w:tbl>
    <w:p>
      <w:pPr>
        <w:pStyle w:val="BodyText"/>
        <w:spacing w:line="240" w:lineRule="auto" w:before="51"/>
        <w:ind w:left="1134" w:right="0"/>
        <w:jc w:val="left"/>
      </w:pPr>
      <w:r>
        <w:rPr/>
        <w:t>主要客户其他情况说明</w:t>
      </w:r>
    </w:p>
    <w:p>
      <w:pPr>
        <w:pStyle w:val="BodyText"/>
        <w:spacing w:line="340" w:lineRule="auto" w:before="116"/>
        <w:ind w:right="9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公司主要供应商情况</w:t>
      </w:r>
    </w:p>
    <w:p>
      <w:pPr>
        <w:spacing w:line="240" w:lineRule="auto" w:before="3"/>
        <w:rPr>
          <w:rFonts w:ascii="宋体" w:hAnsi="宋体" w:cs="宋体" w:eastAsia="宋体" w:hint="default"/>
          <w:sz w:val="2"/>
          <w:szCs w:val="2"/>
        </w:rPr>
      </w:pPr>
    </w:p>
    <w:tbl>
      <w:tblPr>
        <w:tblW w:w="0" w:type="auto"/>
        <w:jc w:val="left"/>
        <w:tblInd w:w="1129" w:type="dxa"/>
        <w:tblLayout w:type="fixed"/>
        <w:tblCellMar>
          <w:top w:w="0" w:type="dxa"/>
          <w:left w:w="0" w:type="dxa"/>
          <w:bottom w:w="0" w:type="dxa"/>
          <w:right w:w="0" w:type="dxa"/>
        </w:tblCellMar>
        <w:tblLook w:val="01E0"/>
      </w:tblPr>
      <w:tblGrid>
        <w:gridCol w:w="5104"/>
        <w:gridCol w:w="4465"/>
      </w:tblGrid>
      <w:tr>
        <w:trPr>
          <w:trHeight w:val="402" w:hRule="exact"/>
        </w:trPr>
        <w:tc>
          <w:tcPr>
            <w:tcW w:w="51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前五名供应商合计采购金额（元）</w:t>
            </w:r>
          </w:p>
        </w:tc>
        <w:tc>
          <w:tcPr>
            <w:tcW w:w="44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103,390,273.02</w:t>
            </w:r>
          </w:p>
        </w:tc>
      </w:tr>
      <w:tr>
        <w:trPr>
          <w:trHeight w:val="402" w:hRule="exact"/>
        </w:trPr>
        <w:tc>
          <w:tcPr>
            <w:tcW w:w="51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前五名供应商合计采购金额占年度采购总额比例</w:t>
            </w:r>
          </w:p>
        </w:tc>
        <w:tc>
          <w:tcPr>
            <w:tcW w:w="44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15.32%</w:t>
            </w:r>
          </w:p>
        </w:tc>
      </w:tr>
      <w:tr>
        <w:trPr>
          <w:trHeight w:val="402" w:hRule="exact"/>
        </w:trPr>
        <w:tc>
          <w:tcPr>
            <w:tcW w:w="51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前五名供应商采购额中关联方采购额占年度采购总额比例</w:t>
            </w:r>
          </w:p>
        </w:tc>
        <w:tc>
          <w:tcPr>
            <w:tcW w:w="44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51"/>
        <w:ind w:left="1134" w:right="0"/>
        <w:jc w:val="left"/>
      </w:pPr>
      <w:r>
        <w:rPr/>
        <w:t>公司前</w:t>
      </w:r>
      <w:r>
        <w:rPr>
          <w:spacing w:val="-46"/>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名供应商资料</w:t>
      </w:r>
    </w:p>
    <w:p>
      <w:pPr>
        <w:spacing w:line="240" w:lineRule="auto" w:before="0"/>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912"/>
        <w:gridCol w:w="3180"/>
        <w:gridCol w:w="2322"/>
        <w:gridCol w:w="3143"/>
      </w:tblGrid>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70"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 w:right="0"/>
              <w:jc w:val="center"/>
              <w:rPr>
                <w:rFonts w:ascii="宋体" w:hAnsi="宋体" w:cs="宋体" w:eastAsia="宋体" w:hint="default"/>
                <w:sz w:val="18"/>
                <w:szCs w:val="18"/>
              </w:rPr>
            </w:pPr>
            <w:r>
              <w:rPr>
                <w:rFonts w:ascii="宋体" w:hAnsi="宋体" w:cs="宋体" w:eastAsia="宋体" w:hint="default"/>
                <w:sz w:val="18"/>
                <w:szCs w:val="18"/>
              </w:rPr>
              <w:t>供应商名称</w:t>
            </w:r>
          </w:p>
        </w:tc>
        <w:tc>
          <w:tcPr>
            <w:tcW w:w="23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15" w:right="0"/>
              <w:jc w:val="left"/>
              <w:rPr>
                <w:rFonts w:ascii="宋体" w:hAnsi="宋体" w:cs="宋体" w:eastAsia="宋体" w:hint="default"/>
                <w:sz w:val="18"/>
                <w:szCs w:val="18"/>
              </w:rPr>
            </w:pPr>
            <w:r>
              <w:rPr>
                <w:rFonts w:ascii="宋体" w:hAnsi="宋体" w:cs="宋体" w:eastAsia="宋体" w:hint="default"/>
                <w:sz w:val="18"/>
                <w:szCs w:val="18"/>
              </w:rPr>
              <w:t>采购额（元）</w:t>
            </w:r>
          </w:p>
        </w:tc>
        <w:tc>
          <w:tcPr>
            <w:tcW w:w="31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56" w:right="0"/>
              <w:jc w:val="left"/>
              <w:rPr>
                <w:rFonts w:ascii="宋体" w:hAnsi="宋体" w:cs="宋体" w:eastAsia="宋体" w:hint="default"/>
                <w:sz w:val="18"/>
                <w:szCs w:val="18"/>
              </w:rPr>
            </w:pPr>
            <w:r>
              <w:rPr>
                <w:rFonts w:ascii="宋体" w:hAnsi="宋体" w:cs="宋体" w:eastAsia="宋体" w:hint="default"/>
                <w:sz w:val="18"/>
                <w:szCs w:val="18"/>
              </w:rPr>
              <w:t>占年度采购总额比例</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sz w:val="18"/>
              </w:rPr>
              <w:t>1</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34,217,782.05</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5.07%</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sz w:val="18"/>
              </w:rPr>
              <w:t>2</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31,406,260.07</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4.65%</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sz w:val="18"/>
              </w:rPr>
              <w:t>3</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13,777,424.87</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2.04%</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sz w:val="18"/>
              </w:rPr>
              <w:t>4</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12,611,396.05</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1.87%</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sz w:val="18"/>
              </w:rPr>
              <w:t>5</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11,377,409.98</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1.69%</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935"/>
        <w:gridCol w:w="3168"/>
        <w:gridCol w:w="2322"/>
        <w:gridCol w:w="3143"/>
      </w:tblGrid>
      <w:tr>
        <w:trPr>
          <w:trHeight w:val="402" w:hRule="exact"/>
        </w:trPr>
        <w:tc>
          <w:tcPr>
            <w:tcW w:w="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63" w:right="0"/>
              <w:jc w:val="left"/>
              <w:rPr>
                <w:rFonts w:ascii="Times New Roman" w:hAnsi="Times New Roman" w:cs="Times New Roman" w:eastAsia="Times New Roman" w:hint="default"/>
                <w:sz w:val="18"/>
                <w:szCs w:val="18"/>
              </w:rPr>
            </w:pPr>
            <w:r>
              <w:rPr>
                <w:rFonts w:ascii="Times New Roman"/>
                <w:sz w:val="18"/>
              </w:rPr>
              <w:t>103,390,273.02</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15.32%</w:t>
            </w:r>
          </w:p>
        </w:tc>
      </w:tr>
    </w:tbl>
    <w:p>
      <w:pPr>
        <w:pStyle w:val="BodyText"/>
        <w:spacing w:line="240" w:lineRule="auto" w:before="51"/>
        <w:ind w:left="1134" w:right="0"/>
        <w:jc w:val="left"/>
      </w:pPr>
      <w:r>
        <w:rPr/>
        <w:t>主要供应商其他情况说明</w:t>
      </w:r>
    </w:p>
    <w:p>
      <w:pPr>
        <w:pStyle w:val="BodyText"/>
        <w:spacing w:line="240" w:lineRule="auto" w:before="117"/>
        <w:ind w:left="113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3、费用" w:id="36"/>
      <w:bookmarkEnd w:id="36"/>
      <w:r>
        <w:rPr>
          <w:b w:val="0"/>
          <w:bCs w:val="0"/>
        </w:rPr>
      </w:r>
      <w:r>
        <w:rPr>
          <w:rFonts w:ascii="Times New Roman" w:hAnsi="Times New Roman" w:cs="Times New Roman" w:eastAsia="Times New Roman" w:hint="default"/>
        </w:rPr>
        <w:t>3</w:t>
      </w:r>
      <w:r>
        <w:rPr/>
        <w:t>、费用</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1892"/>
        <w:gridCol w:w="1649"/>
        <w:gridCol w:w="1637"/>
        <w:gridCol w:w="1462"/>
        <w:gridCol w:w="2918"/>
      </w:tblGrid>
      <w:tr>
        <w:trPr>
          <w:trHeight w:val="402"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6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3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64" w:right="0"/>
              <w:jc w:val="left"/>
              <w:rPr>
                <w:rFonts w:ascii="宋体" w:hAnsi="宋体" w:cs="宋体" w:eastAsia="宋体" w:hint="default"/>
                <w:sz w:val="18"/>
                <w:szCs w:val="18"/>
              </w:rPr>
            </w:pPr>
            <w:r>
              <w:rPr>
                <w:rFonts w:ascii="宋体" w:hAnsi="宋体" w:cs="宋体" w:eastAsia="宋体" w:hint="default"/>
                <w:sz w:val="18"/>
                <w:szCs w:val="18"/>
              </w:rPr>
              <w:t>同比增减</w:t>
            </w:r>
          </w:p>
        </w:tc>
        <w:tc>
          <w:tcPr>
            <w:tcW w:w="2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13"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402"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164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132,081,488.37</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103,570,032.12</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27.53%</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64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165,026,230.84</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148,283,924.86</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2"/>
                <w:sz w:val="18"/>
              </w:rPr>
              <w:t>11.29%</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64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-2,144,766.83</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-2,842,277.76</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-24.54%</w:t>
            </w:r>
          </w:p>
        </w:tc>
        <w:tc>
          <w:tcPr>
            <w:tcW w:w="2918"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left="1134" w:right="0"/>
        <w:jc w:val="left"/>
        <w:rPr>
          <w:b w:val="0"/>
          <w:bCs w:val="0"/>
        </w:rPr>
      </w:pPr>
      <w:bookmarkStart w:name="4、研发投入" w:id="37"/>
      <w:bookmarkEnd w:id="37"/>
      <w:r>
        <w:rPr>
          <w:b w:val="0"/>
          <w:bCs w:val="0"/>
        </w:rPr>
      </w:r>
      <w:r>
        <w:rPr>
          <w:rFonts w:ascii="Times New Roman" w:hAnsi="Times New Roman" w:cs="Times New Roman" w:eastAsia="Times New Roman" w:hint="default"/>
        </w:rPr>
        <w:t>4</w:t>
      </w:r>
      <w:r>
        <w:rPr/>
        <w:t>、研发投入</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13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6"/>
          <w:szCs w:val="6"/>
        </w:rPr>
      </w:pPr>
    </w:p>
    <w:tbl>
      <w:tblPr>
        <w:tblW w:w="0" w:type="auto"/>
        <w:jc w:val="left"/>
        <w:tblInd w:w="1126" w:type="dxa"/>
        <w:tblLayout w:type="fixed"/>
        <w:tblCellMar>
          <w:top w:w="0" w:type="dxa"/>
          <w:left w:w="0" w:type="dxa"/>
          <w:bottom w:w="0" w:type="dxa"/>
          <w:right w:w="0" w:type="dxa"/>
        </w:tblCellMar>
        <w:tblLook w:val="01E0"/>
      </w:tblPr>
      <w:tblGrid>
        <w:gridCol w:w="496"/>
        <w:gridCol w:w="1583"/>
        <w:gridCol w:w="2678"/>
        <w:gridCol w:w="924"/>
        <w:gridCol w:w="3202"/>
        <w:gridCol w:w="884"/>
      </w:tblGrid>
      <w:tr>
        <w:trPr>
          <w:trHeight w:val="347" w:hRule="exact"/>
        </w:trPr>
        <w:tc>
          <w:tcPr>
            <w:tcW w:w="4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 w:right="0"/>
              <w:jc w:val="center"/>
              <w:rPr>
                <w:rFonts w:ascii="宋体" w:hAnsi="宋体" w:cs="宋体" w:eastAsia="宋体" w:hint="default"/>
                <w:sz w:val="18"/>
                <w:szCs w:val="18"/>
              </w:rPr>
            </w:pPr>
            <w:r>
              <w:rPr>
                <w:rFonts w:ascii="宋体" w:hAnsi="宋体" w:cs="宋体" w:eastAsia="宋体" w:hint="default"/>
                <w:b/>
                <w:bCs/>
                <w:sz w:val="18"/>
                <w:szCs w:val="18"/>
              </w:rPr>
              <w:t>序号</w:t>
            </w:r>
            <w:r>
              <w:rPr>
                <w:rFonts w:ascii="宋体" w:hAnsi="宋体" w:cs="宋体" w:eastAsia="宋体" w:hint="default"/>
                <w:sz w:val="18"/>
                <w:szCs w:val="18"/>
              </w:rPr>
            </w:r>
          </w:p>
        </w:tc>
        <w:tc>
          <w:tcPr>
            <w:tcW w:w="15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52" w:right="0"/>
              <w:jc w:val="left"/>
              <w:rPr>
                <w:rFonts w:ascii="宋体" w:hAnsi="宋体" w:cs="宋体" w:eastAsia="宋体" w:hint="default"/>
                <w:sz w:val="18"/>
                <w:szCs w:val="18"/>
              </w:rPr>
            </w:pPr>
            <w:r>
              <w:rPr>
                <w:rFonts w:ascii="宋体" w:hAnsi="宋体" w:cs="宋体" w:eastAsia="宋体" w:hint="default"/>
                <w:b/>
                <w:bCs/>
                <w:sz w:val="18"/>
                <w:szCs w:val="18"/>
              </w:rPr>
              <w:t>正在研发的项目</w:t>
            </w:r>
            <w:r>
              <w:rPr>
                <w:rFonts w:ascii="宋体" w:hAnsi="宋体" w:cs="宋体" w:eastAsia="宋体" w:hint="default"/>
                <w:sz w:val="18"/>
                <w:szCs w:val="18"/>
              </w:rPr>
            </w:r>
          </w:p>
        </w:tc>
        <w:tc>
          <w:tcPr>
            <w:tcW w:w="26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b/>
                <w:bCs/>
                <w:sz w:val="18"/>
                <w:szCs w:val="18"/>
              </w:rPr>
              <w:t>用途</w:t>
            </w:r>
            <w:r>
              <w:rPr>
                <w:rFonts w:ascii="宋体" w:hAnsi="宋体" w:cs="宋体" w:eastAsia="宋体" w:hint="default"/>
                <w:sz w:val="18"/>
                <w:szCs w:val="18"/>
              </w:rPr>
            </w:r>
          </w:p>
        </w:tc>
        <w:tc>
          <w:tcPr>
            <w:tcW w:w="9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93" w:right="0"/>
              <w:jc w:val="left"/>
              <w:rPr>
                <w:rFonts w:ascii="宋体" w:hAnsi="宋体" w:cs="宋体" w:eastAsia="宋体" w:hint="default"/>
                <w:sz w:val="18"/>
                <w:szCs w:val="18"/>
              </w:rPr>
            </w:pPr>
            <w:r>
              <w:rPr>
                <w:rFonts w:ascii="宋体" w:hAnsi="宋体" w:cs="宋体" w:eastAsia="宋体" w:hint="default"/>
                <w:b/>
                <w:bCs/>
                <w:sz w:val="18"/>
                <w:szCs w:val="18"/>
              </w:rPr>
              <w:t>进展情况</w:t>
            </w:r>
            <w:r>
              <w:rPr>
                <w:rFonts w:ascii="宋体" w:hAnsi="宋体" w:cs="宋体" w:eastAsia="宋体" w:hint="default"/>
                <w:sz w:val="18"/>
                <w:szCs w:val="18"/>
              </w:rPr>
            </w:r>
          </w:p>
        </w:tc>
        <w:tc>
          <w:tcPr>
            <w:tcW w:w="32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center"/>
              <w:rPr>
                <w:rFonts w:ascii="宋体" w:hAnsi="宋体" w:cs="宋体" w:eastAsia="宋体" w:hint="default"/>
                <w:sz w:val="18"/>
                <w:szCs w:val="18"/>
              </w:rPr>
            </w:pPr>
            <w:r>
              <w:rPr>
                <w:rFonts w:ascii="宋体" w:hAnsi="宋体" w:cs="宋体" w:eastAsia="宋体" w:hint="default"/>
                <w:b/>
                <w:bCs/>
                <w:sz w:val="18"/>
                <w:szCs w:val="18"/>
              </w:rPr>
              <w:t>目标</w:t>
            </w:r>
            <w:r>
              <w:rPr>
                <w:rFonts w:ascii="宋体" w:hAnsi="宋体" w:cs="宋体" w:eastAsia="宋体" w:hint="default"/>
                <w:sz w:val="18"/>
                <w:szCs w:val="18"/>
              </w:rPr>
            </w:r>
          </w:p>
        </w:tc>
        <w:tc>
          <w:tcPr>
            <w:tcW w:w="8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73" w:right="0"/>
              <w:jc w:val="left"/>
              <w:rPr>
                <w:rFonts w:ascii="宋体" w:hAnsi="宋体" w:cs="宋体" w:eastAsia="宋体" w:hint="default"/>
                <w:sz w:val="18"/>
                <w:szCs w:val="18"/>
              </w:rPr>
            </w:pPr>
            <w:r>
              <w:rPr>
                <w:rFonts w:ascii="宋体" w:hAnsi="宋体" w:cs="宋体" w:eastAsia="宋体" w:hint="default"/>
                <w:b/>
                <w:bCs/>
                <w:sz w:val="18"/>
                <w:szCs w:val="18"/>
              </w:rPr>
              <w:t>项目来源</w:t>
            </w:r>
            <w:r>
              <w:rPr>
                <w:rFonts w:ascii="宋体" w:hAnsi="宋体" w:cs="宋体" w:eastAsia="宋体" w:hint="default"/>
                <w:sz w:val="18"/>
                <w:szCs w:val="18"/>
              </w:rPr>
            </w:r>
          </w:p>
        </w:tc>
      </w:tr>
      <w:tr>
        <w:trPr>
          <w:trHeight w:val="971" w:hRule="exact"/>
        </w:trPr>
        <w:tc>
          <w:tcPr>
            <w:tcW w:w="4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1</w:t>
            </w:r>
          </w:p>
        </w:tc>
        <w:tc>
          <w:tcPr>
            <w:tcW w:w="1583"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3" w:right="122"/>
              <w:jc w:val="both"/>
              <w:rPr>
                <w:rFonts w:ascii="宋体" w:hAnsi="宋体" w:cs="宋体" w:eastAsia="宋体" w:hint="default"/>
                <w:sz w:val="18"/>
                <w:szCs w:val="18"/>
              </w:rPr>
            </w:pPr>
            <w:r>
              <w:rPr>
                <w:rFonts w:ascii="宋体" w:hAnsi="宋体" w:cs="宋体" w:eastAsia="宋体" w:hint="default"/>
                <w:sz w:val="18"/>
                <w:szCs w:val="18"/>
              </w:rPr>
              <w:t>污水石油类污染紫 外荧光现场监测设 备</w:t>
            </w:r>
          </w:p>
        </w:tc>
        <w:tc>
          <w:tcPr>
            <w:tcW w:w="26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污染源石油类污染的在线监测</w:t>
            </w:r>
          </w:p>
        </w:tc>
        <w:tc>
          <w:tcPr>
            <w:tcW w:w="92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74" w:right="2" w:hanging="270"/>
              <w:jc w:val="left"/>
              <w:rPr>
                <w:rFonts w:ascii="宋体" w:hAnsi="宋体" w:cs="宋体" w:eastAsia="宋体" w:hint="default"/>
                <w:sz w:val="18"/>
                <w:szCs w:val="18"/>
              </w:rPr>
            </w:pPr>
            <w:r>
              <w:rPr>
                <w:rFonts w:ascii="宋体" w:hAnsi="宋体" w:cs="宋体" w:eastAsia="宋体" w:hint="default"/>
                <w:sz w:val="18"/>
                <w:szCs w:val="18"/>
              </w:rPr>
              <w:t>已完成国家 验收</w:t>
            </w:r>
          </w:p>
        </w:tc>
        <w:tc>
          <w:tcPr>
            <w:tcW w:w="3202"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3" w:right="0"/>
              <w:jc w:val="both"/>
              <w:rPr>
                <w:rFonts w:ascii="宋体" w:hAnsi="宋体" w:cs="宋体" w:eastAsia="宋体" w:hint="default"/>
                <w:sz w:val="18"/>
                <w:szCs w:val="18"/>
              </w:rPr>
            </w:pPr>
            <w:r>
              <w:rPr>
                <w:rFonts w:ascii="宋体" w:hAnsi="宋体" w:cs="宋体" w:eastAsia="宋体" w:hint="default"/>
                <w:spacing w:val="6"/>
                <w:sz w:val="18"/>
                <w:szCs w:val="18"/>
              </w:rPr>
              <w:t>开发具有先进水平的污水中石油类污染</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pacing w:val="-4"/>
                <w:sz w:val="18"/>
                <w:szCs w:val="18"/>
              </w:rPr>
              <w:t>物在线检测设备，完成样机示范运行和对</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比试验，实现产业化。</w:t>
            </w:r>
          </w:p>
        </w:tc>
        <w:tc>
          <w:tcPr>
            <w:tcW w:w="8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9"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国家</w:t>
            </w:r>
            <w:r>
              <w:rPr>
                <w:rFonts w:ascii="Times New Roman" w:hAnsi="Times New Roman" w:cs="Times New Roman" w:eastAsia="Times New Roman" w:hint="default"/>
                <w:sz w:val="18"/>
                <w:szCs w:val="18"/>
              </w:rPr>
              <w:t>“863”</w:t>
            </w:r>
          </w:p>
          <w:p>
            <w:pPr>
              <w:pStyle w:val="TableParagraph"/>
              <w:spacing w:line="240" w:lineRule="auto" w:before="63"/>
              <w:ind w:left="74" w:right="0"/>
              <w:jc w:val="left"/>
              <w:rPr>
                <w:rFonts w:ascii="宋体" w:hAnsi="宋体" w:cs="宋体" w:eastAsia="宋体" w:hint="default"/>
                <w:sz w:val="18"/>
                <w:szCs w:val="18"/>
              </w:rPr>
            </w:pPr>
            <w:r>
              <w:rPr>
                <w:rFonts w:ascii="宋体" w:hAnsi="宋体" w:cs="宋体" w:eastAsia="宋体" w:hint="default"/>
                <w:sz w:val="18"/>
                <w:szCs w:val="18"/>
              </w:rPr>
              <w:t>计划项目</w:t>
            </w:r>
          </w:p>
        </w:tc>
      </w:tr>
      <w:tr>
        <w:trPr>
          <w:trHeight w:val="1284" w:hRule="exact"/>
        </w:trPr>
        <w:tc>
          <w:tcPr>
            <w:tcW w:w="4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w:t>
            </w:r>
          </w:p>
        </w:tc>
        <w:tc>
          <w:tcPr>
            <w:tcW w:w="1583"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21"/>
              <w:ind w:left="3" w:right="122"/>
              <w:jc w:val="both"/>
              <w:rPr>
                <w:rFonts w:ascii="宋体" w:hAnsi="宋体" w:cs="宋体" w:eastAsia="宋体" w:hint="default"/>
                <w:sz w:val="18"/>
                <w:szCs w:val="18"/>
              </w:rPr>
            </w:pPr>
            <w:r>
              <w:rPr>
                <w:rFonts w:ascii="宋体" w:hAnsi="宋体" w:cs="宋体" w:eastAsia="宋体" w:hint="default"/>
                <w:sz w:val="18"/>
                <w:szCs w:val="18"/>
              </w:rPr>
              <w:t>免化学试剂在线水 质检测系统研发与 应用</w:t>
            </w:r>
          </w:p>
        </w:tc>
        <w:tc>
          <w:tcPr>
            <w:tcW w:w="2678"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21"/>
              <w:ind w:left="2" w:right="3"/>
              <w:jc w:val="left"/>
              <w:rPr>
                <w:rFonts w:ascii="宋体" w:hAnsi="宋体" w:cs="宋体" w:eastAsia="宋体" w:hint="default"/>
                <w:sz w:val="18"/>
                <w:szCs w:val="18"/>
              </w:rPr>
            </w:pPr>
            <w:r>
              <w:rPr>
                <w:rFonts w:ascii="宋体" w:hAnsi="宋体" w:cs="宋体" w:eastAsia="宋体" w:hint="default"/>
                <w:spacing w:val="9"/>
                <w:sz w:val="18"/>
                <w:szCs w:val="18"/>
              </w:rPr>
              <w:t>对饮用水源地及饮用水水质进行</w:t>
            </w:r>
            <w:r>
              <w:rPr>
                <w:rFonts w:ascii="宋体" w:hAnsi="宋体" w:cs="宋体" w:eastAsia="宋体" w:hint="default"/>
                <w:sz w:val="18"/>
                <w:szCs w:val="18"/>
              </w:rPr>
              <w:t> 在线分析和预警</w:t>
            </w:r>
          </w:p>
        </w:tc>
        <w:tc>
          <w:tcPr>
            <w:tcW w:w="924"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21"/>
              <w:ind w:left="274" w:right="2" w:hanging="270"/>
              <w:jc w:val="left"/>
              <w:rPr>
                <w:rFonts w:ascii="宋体" w:hAnsi="宋体" w:cs="宋体" w:eastAsia="宋体" w:hint="default"/>
                <w:sz w:val="18"/>
                <w:szCs w:val="18"/>
              </w:rPr>
            </w:pPr>
            <w:r>
              <w:rPr>
                <w:rFonts w:ascii="宋体" w:hAnsi="宋体" w:cs="宋体" w:eastAsia="宋体" w:hint="default"/>
                <w:sz w:val="18"/>
                <w:szCs w:val="18"/>
              </w:rPr>
              <w:t>已完成国家 验收</w:t>
            </w:r>
          </w:p>
        </w:tc>
        <w:tc>
          <w:tcPr>
            <w:tcW w:w="3202"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21"/>
              <w:ind w:left="3" w:right="0"/>
              <w:jc w:val="both"/>
              <w:rPr>
                <w:rFonts w:ascii="宋体" w:hAnsi="宋体" w:cs="宋体" w:eastAsia="宋体" w:hint="default"/>
                <w:sz w:val="18"/>
                <w:szCs w:val="18"/>
              </w:rPr>
            </w:pPr>
            <w:r>
              <w:rPr>
                <w:rFonts w:ascii="宋体" w:hAnsi="宋体" w:cs="宋体" w:eastAsia="宋体" w:hint="default"/>
                <w:spacing w:val="-4"/>
                <w:sz w:val="18"/>
                <w:szCs w:val="18"/>
              </w:rPr>
              <w:t>研发具有国际先进水平的、适合中国国情</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pacing w:val="-4"/>
                <w:sz w:val="18"/>
                <w:szCs w:val="18"/>
              </w:rPr>
              <w:t>的具有自主知识产权的集成式免试剂、易</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pacing w:val="6"/>
                <w:sz w:val="18"/>
                <w:szCs w:val="18"/>
              </w:rPr>
              <w:t>维护的饮用水质在线水质监测仪器及水</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质监测预警系统</w:t>
            </w:r>
          </w:p>
        </w:tc>
        <w:tc>
          <w:tcPr>
            <w:tcW w:w="884"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21"/>
              <w:ind w:left="74" w:right="73"/>
              <w:jc w:val="left"/>
              <w:rPr>
                <w:rFonts w:ascii="宋体" w:hAnsi="宋体" w:cs="宋体" w:eastAsia="宋体" w:hint="default"/>
                <w:sz w:val="18"/>
                <w:szCs w:val="18"/>
              </w:rPr>
            </w:pPr>
            <w:r>
              <w:rPr>
                <w:rFonts w:ascii="宋体" w:hAnsi="宋体" w:cs="宋体" w:eastAsia="宋体" w:hint="default"/>
                <w:sz w:val="18"/>
                <w:szCs w:val="18"/>
              </w:rPr>
              <w:t>国家建设 部水专项</w:t>
            </w:r>
          </w:p>
        </w:tc>
      </w:tr>
      <w:tr>
        <w:trPr>
          <w:trHeight w:val="1283" w:hRule="exact"/>
        </w:trPr>
        <w:tc>
          <w:tcPr>
            <w:tcW w:w="4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3</w:t>
            </w:r>
          </w:p>
        </w:tc>
        <w:tc>
          <w:tcPr>
            <w:tcW w:w="1583"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3" w:right="0"/>
              <w:jc w:val="left"/>
              <w:rPr>
                <w:rFonts w:ascii="宋体" w:hAnsi="宋体" w:cs="宋体" w:eastAsia="宋体" w:hint="default"/>
                <w:sz w:val="18"/>
                <w:szCs w:val="18"/>
              </w:rPr>
            </w:pPr>
            <w:r>
              <w:rPr>
                <w:rFonts w:ascii="宋体" w:hAnsi="宋体" w:cs="宋体" w:eastAsia="宋体" w:hint="default"/>
                <w:spacing w:val="-7"/>
                <w:sz w:val="18"/>
                <w:szCs w:val="18"/>
              </w:rPr>
              <w:t>水体中重金属、藻毒</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素有毒有机污染物 现场快速检测仪器 的研发</w:t>
            </w:r>
          </w:p>
        </w:tc>
        <w:tc>
          <w:tcPr>
            <w:tcW w:w="2678"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2" w:right="3"/>
              <w:jc w:val="left"/>
              <w:rPr>
                <w:rFonts w:ascii="宋体" w:hAnsi="宋体" w:cs="宋体" w:eastAsia="宋体" w:hint="default"/>
                <w:sz w:val="18"/>
                <w:szCs w:val="18"/>
              </w:rPr>
            </w:pPr>
            <w:r>
              <w:rPr>
                <w:rFonts w:ascii="宋体" w:hAnsi="宋体" w:cs="宋体" w:eastAsia="宋体" w:hint="default"/>
                <w:spacing w:val="9"/>
                <w:sz w:val="18"/>
                <w:szCs w:val="18"/>
              </w:rPr>
              <w:t>对水体中重金属及藻毒素实现快</w:t>
            </w:r>
            <w:r>
              <w:rPr>
                <w:rFonts w:ascii="宋体" w:hAnsi="宋体" w:cs="宋体" w:eastAsia="宋体" w:hint="default"/>
                <w:sz w:val="18"/>
                <w:szCs w:val="18"/>
              </w:rPr>
              <w:t> 速检测</w:t>
            </w:r>
          </w:p>
        </w:tc>
        <w:tc>
          <w:tcPr>
            <w:tcW w:w="92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274" w:right="2" w:hanging="270"/>
              <w:jc w:val="left"/>
              <w:rPr>
                <w:rFonts w:ascii="宋体" w:hAnsi="宋体" w:cs="宋体" w:eastAsia="宋体" w:hint="default"/>
                <w:sz w:val="18"/>
                <w:szCs w:val="18"/>
              </w:rPr>
            </w:pPr>
            <w:r>
              <w:rPr>
                <w:rFonts w:ascii="宋体" w:hAnsi="宋体" w:cs="宋体" w:eastAsia="宋体" w:hint="default"/>
                <w:sz w:val="18"/>
                <w:szCs w:val="18"/>
              </w:rPr>
              <w:t>已完成国家 验收</w:t>
            </w:r>
          </w:p>
        </w:tc>
        <w:tc>
          <w:tcPr>
            <w:tcW w:w="3202"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3" w:right="0"/>
              <w:jc w:val="both"/>
              <w:rPr>
                <w:rFonts w:ascii="宋体" w:hAnsi="宋体" w:cs="宋体" w:eastAsia="宋体" w:hint="default"/>
                <w:sz w:val="18"/>
                <w:szCs w:val="18"/>
              </w:rPr>
            </w:pPr>
            <w:r>
              <w:rPr>
                <w:rFonts w:ascii="宋体" w:hAnsi="宋体" w:cs="宋体" w:eastAsia="宋体" w:hint="default"/>
                <w:spacing w:val="-4"/>
                <w:sz w:val="18"/>
                <w:szCs w:val="18"/>
              </w:rPr>
              <w:t>研制出针对环境水体中重金属、藻毒素有</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pacing w:val="6"/>
                <w:sz w:val="18"/>
                <w:szCs w:val="18"/>
              </w:rPr>
              <w:t>毒有机污染物的现场快速检测仪器以及</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示范化</w:t>
            </w:r>
          </w:p>
        </w:tc>
        <w:tc>
          <w:tcPr>
            <w:tcW w:w="88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74" w:right="73"/>
              <w:jc w:val="left"/>
              <w:rPr>
                <w:rFonts w:ascii="宋体" w:hAnsi="宋体" w:cs="宋体" w:eastAsia="宋体" w:hint="default"/>
                <w:sz w:val="18"/>
                <w:szCs w:val="18"/>
              </w:rPr>
            </w:pPr>
            <w:r>
              <w:rPr>
                <w:rFonts w:ascii="宋体" w:hAnsi="宋体" w:cs="宋体" w:eastAsia="宋体" w:hint="default"/>
                <w:sz w:val="18"/>
                <w:szCs w:val="18"/>
              </w:rPr>
              <w:t>国家环保 部水专项</w:t>
            </w:r>
          </w:p>
        </w:tc>
      </w:tr>
      <w:tr>
        <w:trPr>
          <w:trHeight w:val="1283" w:hRule="exact"/>
        </w:trPr>
        <w:tc>
          <w:tcPr>
            <w:tcW w:w="4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4</w:t>
            </w:r>
          </w:p>
        </w:tc>
        <w:tc>
          <w:tcPr>
            <w:tcW w:w="1583" w:type="dxa"/>
            <w:tcBorders>
              <w:top w:val="single" w:sz="6" w:space="0" w:color="000000"/>
              <w:left w:val="single" w:sz="6" w:space="0" w:color="000000"/>
              <w:bottom w:val="single" w:sz="6" w:space="0" w:color="000000"/>
              <w:right w:val="single" w:sz="6" w:space="0" w:color="000000"/>
            </w:tcBorders>
          </w:tcPr>
          <w:p>
            <w:pPr>
              <w:pStyle w:val="TableParagraph"/>
              <w:spacing w:line="312" w:lineRule="auto" w:before="21"/>
              <w:ind w:left="3" w:right="62"/>
              <w:jc w:val="left"/>
              <w:rPr>
                <w:rFonts w:ascii="宋体" w:hAnsi="宋体" w:cs="宋体" w:eastAsia="宋体" w:hint="default"/>
                <w:sz w:val="18"/>
                <w:szCs w:val="18"/>
              </w:rPr>
            </w:pPr>
            <w:r>
              <w:rPr>
                <w:rFonts w:ascii="宋体" w:hAnsi="宋体" w:cs="宋体" w:eastAsia="宋体" w:hint="default"/>
                <w:sz w:val="18"/>
                <w:szCs w:val="18"/>
              </w:rPr>
              <w:t>基于脉冲紫外</w:t>
            </w:r>
            <w:r>
              <w:rPr>
                <w:rFonts w:ascii="Times New Roman" w:hAnsi="Times New Roman" w:cs="Times New Roman" w:eastAsia="Times New Roman" w:hint="default"/>
                <w:sz w:val="18"/>
                <w:szCs w:val="18"/>
              </w:rPr>
              <w:t>-</w:t>
            </w:r>
            <w:r>
              <w:rPr>
                <w:rFonts w:ascii="宋体" w:hAnsi="宋体" w:cs="宋体" w:eastAsia="宋体" w:hint="default"/>
                <w:sz w:val="18"/>
                <w:szCs w:val="18"/>
              </w:rPr>
              <w:t>可见 光谱技术的现场原 位水质分析仪研制 与产业化</w:t>
            </w:r>
          </w:p>
        </w:tc>
        <w:tc>
          <w:tcPr>
            <w:tcW w:w="2678"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3"/>
              <w:jc w:val="left"/>
              <w:rPr>
                <w:rFonts w:ascii="宋体" w:hAnsi="宋体" w:cs="宋体" w:eastAsia="宋体" w:hint="default"/>
                <w:sz w:val="18"/>
                <w:szCs w:val="18"/>
              </w:rPr>
            </w:pPr>
            <w:r>
              <w:rPr>
                <w:rFonts w:ascii="宋体" w:hAnsi="宋体" w:cs="宋体" w:eastAsia="宋体" w:hint="default"/>
                <w:spacing w:val="9"/>
                <w:sz w:val="18"/>
                <w:szCs w:val="18"/>
              </w:rPr>
              <w:t>实现针对不同水质及应用场合的</w:t>
            </w:r>
            <w:r>
              <w:rPr>
                <w:rFonts w:ascii="宋体" w:hAnsi="宋体" w:cs="宋体" w:eastAsia="宋体" w:hint="default"/>
                <w:sz w:val="18"/>
                <w:szCs w:val="18"/>
              </w:rPr>
              <w:t> 原位在线监测</w:t>
            </w:r>
          </w:p>
        </w:tc>
        <w:tc>
          <w:tcPr>
            <w:tcW w:w="92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94" w:right="2" w:hanging="90"/>
              <w:jc w:val="left"/>
              <w:rPr>
                <w:rFonts w:ascii="宋体" w:hAnsi="宋体" w:cs="宋体" w:eastAsia="宋体" w:hint="default"/>
                <w:sz w:val="18"/>
                <w:szCs w:val="18"/>
              </w:rPr>
            </w:pPr>
            <w:r>
              <w:rPr>
                <w:rFonts w:ascii="宋体" w:hAnsi="宋体" w:cs="宋体" w:eastAsia="宋体" w:hint="default"/>
                <w:sz w:val="18"/>
                <w:szCs w:val="18"/>
              </w:rPr>
              <w:t>产业化示范 运行阶段</w:t>
            </w:r>
          </w:p>
        </w:tc>
        <w:tc>
          <w:tcPr>
            <w:tcW w:w="3202"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3" w:right="0"/>
              <w:jc w:val="both"/>
              <w:rPr>
                <w:rFonts w:ascii="宋体" w:hAnsi="宋体" w:cs="宋体" w:eastAsia="宋体" w:hint="default"/>
                <w:sz w:val="18"/>
                <w:szCs w:val="18"/>
              </w:rPr>
            </w:pPr>
            <w:r>
              <w:rPr>
                <w:rFonts w:ascii="宋体" w:hAnsi="宋体" w:cs="宋体" w:eastAsia="宋体" w:hint="default"/>
                <w:spacing w:val="6"/>
                <w:sz w:val="18"/>
                <w:szCs w:val="18"/>
              </w:rPr>
              <w:t>研制开发基于脉冲紫外分析技术的水质</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pacing w:val="-4"/>
                <w:sz w:val="18"/>
                <w:szCs w:val="18"/>
              </w:rPr>
              <w:t>原位分析仪器，为水质环境检测提供稳定</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pacing w:val="6"/>
                <w:sz w:val="18"/>
                <w:szCs w:val="18"/>
              </w:rPr>
              <w:t>可靠的监测装备，并建立生产示范性基</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地。</w:t>
            </w:r>
          </w:p>
        </w:tc>
        <w:tc>
          <w:tcPr>
            <w:tcW w:w="88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74" w:right="73"/>
              <w:jc w:val="center"/>
              <w:rPr>
                <w:rFonts w:ascii="宋体" w:hAnsi="宋体" w:cs="宋体" w:eastAsia="宋体" w:hint="default"/>
                <w:sz w:val="18"/>
                <w:szCs w:val="18"/>
              </w:rPr>
            </w:pPr>
            <w:r>
              <w:rPr>
                <w:rFonts w:ascii="宋体" w:hAnsi="宋体" w:cs="宋体" w:eastAsia="宋体" w:hint="default"/>
                <w:sz w:val="18"/>
                <w:szCs w:val="18"/>
              </w:rPr>
              <w:t>国家重大 科学仪器 专项</w:t>
            </w:r>
          </w:p>
        </w:tc>
      </w:tr>
      <w:tr>
        <w:trPr>
          <w:trHeight w:val="1907" w:hRule="exact"/>
        </w:trPr>
        <w:tc>
          <w:tcPr>
            <w:tcW w:w="4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5</w:t>
            </w:r>
          </w:p>
        </w:tc>
        <w:tc>
          <w:tcPr>
            <w:tcW w:w="1583"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3" w:right="122"/>
              <w:jc w:val="both"/>
              <w:rPr>
                <w:rFonts w:ascii="宋体" w:hAnsi="宋体" w:cs="宋体" w:eastAsia="宋体" w:hint="default"/>
                <w:sz w:val="18"/>
                <w:szCs w:val="18"/>
              </w:rPr>
            </w:pPr>
            <w:r>
              <w:rPr>
                <w:rFonts w:ascii="宋体" w:hAnsi="宋体" w:cs="宋体" w:eastAsia="宋体" w:hint="default"/>
                <w:sz w:val="18"/>
                <w:szCs w:val="18"/>
              </w:rPr>
              <w:t>南水北调中线工程 水质传感网的多载 体检测与自适应网 技术研究与示范</w:t>
            </w:r>
          </w:p>
        </w:tc>
        <w:tc>
          <w:tcPr>
            <w:tcW w:w="2678"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0"/>
              <w:jc w:val="both"/>
              <w:rPr>
                <w:rFonts w:ascii="宋体" w:hAnsi="宋体" w:cs="宋体" w:eastAsia="宋体" w:hint="default"/>
                <w:sz w:val="18"/>
                <w:szCs w:val="18"/>
              </w:rPr>
            </w:pPr>
            <w:r>
              <w:rPr>
                <w:rFonts w:ascii="宋体" w:hAnsi="宋体" w:cs="宋体" w:eastAsia="宋体" w:hint="default"/>
                <w:spacing w:val="-3"/>
                <w:sz w:val="18"/>
                <w:szCs w:val="18"/>
              </w:rPr>
              <w:t>建立立体水质监测传感网络，实现</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9"/>
                <w:sz w:val="18"/>
                <w:szCs w:val="18"/>
              </w:rPr>
              <w:t>多载体水质监测有机融合及集成</w:t>
            </w:r>
            <w:r>
              <w:rPr>
                <w:rFonts w:ascii="宋体" w:hAnsi="宋体" w:cs="宋体" w:eastAsia="宋体" w:hint="default"/>
                <w:sz w:val="18"/>
                <w:szCs w:val="18"/>
              </w:rPr>
              <w:t> </w:t>
            </w:r>
            <w:r>
              <w:rPr>
                <w:rFonts w:ascii="宋体" w:hAnsi="宋体" w:cs="宋体" w:eastAsia="宋体" w:hint="default"/>
                <w:spacing w:val="-3"/>
                <w:sz w:val="18"/>
                <w:szCs w:val="18"/>
              </w:rPr>
              <w:t>创新，为南水北调中线工程水质监</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9"/>
                <w:sz w:val="18"/>
                <w:szCs w:val="18"/>
              </w:rPr>
              <w:t>测网构建提供关键技术支撑和业</w:t>
            </w:r>
            <w:r>
              <w:rPr>
                <w:rFonts w:ascii="宋体" w:hAnsi="宋体" w:cs="宋体" w:eastAsia="宋体" w:hint="default"/>
                <w:sz w:val="18"/>
                <w:szCs w:val="18"/>
              </w:rPr>
              <w:t> 务化示范。</w:t>
            </w:r>
          </w:p>
        </w:tc>
        <w:tc>
          <w:tcPr>
            <w:tcW w:w="92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74" w:right="2" w:hanging="270"/>
              <w:jc w:val="left"/>
              <w:rPr>
                <w:rFonts w:ascii="宋体" w:hAnsi="宋体" w:cs="宋体" w:eastAsia="宋体" w:hint="default"/>
                <w:sz w:val="18"/>
                <w:szCs w:val="18"/>
              </w:rPr>
            </w:pPr>
            <w:r>
              <w:rPr>
                <w:rFonts w:ascii="宋体" w:hAnsi="宋体" w:cs="宋体" w:eastAsia="宋体" w:hint="default"/>
                <w:sz w:val="18"/>
                <w:szCs w:val="18"/>
              </w:rPr>
              <w:t>已完成国家 验收</w:t>
            </w:r>
          </w:p>
        </w:tc>
        <w:tc>
          <w:tcPr>
            <w:tcW w:w="3202"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3" w:right="1"/>
              <w:jc w:val="both"/>
              <w:rPr>
                <w:rFonts w:ascii="宋体" w:hAnsi="宋体" w:cs="宋体" w:eastAsia="宋体" w:hint="default"/>
                <w:sz w:val="18"/>
                <w:szCs w:val="18"/>
              </w:rPr>
            </w:pPr>
            <w:r>
              <w:rPr>
                <w:rFonts w:ascii="宋体" w:hAnsi="宋体" w:cs="宋体" w:eastAsia="宋体" w:hint="default"/>
                <w:spacing w:val="-4"/>
                <w:sz w:val="18"/>
                <w:szCs w:val="18"/>
              </w:rPr>
              <w:t>研发和集成多载体水质监测传感器，发展</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pacing w:val="-4"/>
                <w:sz w:val="18"/>
                <w:szCs w:val="18"/>
              </w:rPr>
              <w:t>固定监测台站、生物毒性预警、浮标、智</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4"/>
                <w:sz w:val="18"/>
                <w:szCs w:val="18"/>
              </w:rPr>
              <w:t>能监测车（船）、水下仿生机器人、卫星</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pacing w:val="-4"/>
                <w:sz w:val="18"/>
                <w:szCs w:val="18"/>
              </w:rPr>
              <w:t>遥感等多目标、多尺度的水质智能感知节</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pacing w:val="-4"/>
                <w:sz w:val="18"/>
                <w:szCs w:val="18"/>
              </w:rPr>
              <w:t>点，优化和构建中线工程水质信息智能化</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感知系统。</w:t>
            </w:r>
          </w:p>
        </w:tc>
        <w:tc>
          <w:tcPr>
            <w:tcW w:w="88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74" w:right="73"/>
              <w:jc w:val="left"/>
              <w:rPr>
                <w:rFonts w:ascii="宋体" w:hAnsi="宋体" w:cs="宋体" w:eastAsia="宋体" w:hint="default"/>
                <w:sz w:val="18"/>
                <w:szCs w:val="18"/>
              </w:rPr>
            </w:pPr>
            <w:r>
              <w:rPr>
                <w:rFonts w:ascii="宋体" w:hAnsi="宋体" w:cs="宋体" w:eastAsia="宋体" w:hint="default"/>
                <w:sz w:val="18"/>
                <w:szCs w:val="18"/>
              </w:rPr>
              <w:t>国家科技 支撑计划</w:t>
            </w:r>
          </w:p>
        </w:tc>
      </w:tr>
      <w:tr>
        <w:trPr>
          <w:trHeight w:val="1284" w:hRule="exact"/>
        </w:trPr>
        <w:tc>
          <w:tcPr>
            <w:tcW w:w="4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6</w:t>
            </w:r>
          </w:p>
        </w:tc>
        <w:tc>
          <w:tcPr>
            <w:tcW w:w="1583"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3" w:right="122"/>
              <w:jc w:val="both"/>
              <w:rPr>
                <w:rFonts w:ascii="宋体" w:hAnsi="宋体" w:cs="宋体" w:eastAsia="宋体" w:hint="default"/>
                <w:sz w:val="18"/>
                <w:szCs w:val="18"/>
              </w:rPr>
            </w:pPr>
            <w:r>
              <w:rPr>
                <w:rFonts w:ascii="宋体" w:hAnsi="宋体" w:cs="宋体" w:eastAsia="宋体" w:hint="default"/>
                <w:sz w:val="18"/>
                <w:szCs w:val="18"/>
              </w:rPr>
              <w:t>大气复合污染高精 度自动监测仪及系 统集成联合研发</w:t>
            </w:r>
          </w:p>
        </w:tc>
        <w:tc>
          <w:tcPr>
            <w:tcW w:w="2678"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0"/>
              <w:jc w:val="both"/>
              <w:rPr>
                <w:rFonts w:ascii="宋体" w:hAnsi="宋体" w:cs="宋体" w:eastAsia="宋体" w:hint="default"/>
                <w:sz w:val="18"/>
                <w:szCs w:val="18"/>
              </w:rPr>
            </w:pPr>
            <w:r>
              <w:rPr>
                <w:rFonts w:ascii="宋体" w:hAnsi="宋体" w:cs="宋体" w:eastAsia="宋体" w:hint="default"/>
                <w:spacing w:val="9"/>
                <w:sz w:val="18"/>
                <w:szCs w:val="18"/>
              </w:rPr>
              <w:t>实现对以灰霾为主的区域大气复</w:t>
            </w:r>
            <w:r>
              <w:rPr>
                <w:rFonts w:ascii="宋体" w:hAnsi="宋体" w:cs="宋体" w:eastAsia="宋体" w:hint="default"/>
                <w:sz w:val="18"/>
                <w:szCs w:val="18"/>
              </w:rPr>
              <w:t> </w:t>
            </w:r>
            <w:r>
              <w:rPr>
                <w:rFonts w:ascii="宋体" w:hAnsi="宋体" w:cs="宋体" w:eastAsia="宋体" w:hint="default"/>
                <w:spacing w:val="-3"/>
                <w:sz w:val="18"/>
                <w:szCs w:val="18"/>
              </w:rPr>
              <w:t>合污染进行及时、准确的监测和预</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测预报。</w:t>
            </w:r>
          </w:p>
        </w:tc>
        <w:tc>
          <w:tcPr>
            <w:tcW w:w="92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74" w:right="2" w:hanging="270"/>
              <w:jc w:val="left"/>
              <w:rPr>
                <w:rFonts w:ascii="宋体" w:hAnsi="宋体" w:cs="宋体" w:eastAsia="宋体" w:hint="default"/>
                <w:sz w:val="18"/>
                <w:szCs w:val="18"/>
              </w:rPr>
            </w:pPr>
            <w:r>
              <w:rPr>
                <w:rFonts w:ascii="宋体" w:hAnsi="宋体" w:cs="宋体" w:eastAsia="宋体" w:hint="default"/>
                <w:sz w:val="18"/>
                <w:szCs w:val="18"/>
              </w:rPr>
              <w:t>已完成国家 验收</w:t>
            </w:r>
          </w:p>
        </w:tc>
        <w:tc>
          <w:tcPr>
            <w:tcW w:w="3202"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3" w:right="0"/>
              <w:jc w:val="both"/>
              <w:rPr>
                <w:rFonts w:ascii="宋体" w:hAnsi="宋体" w:cs="宋体" w:eastAsia="宋体" w:hint="default"/>
                <w:sz w:val="18"/>
                <w:szCs w:val="18"/>
              </w:rPr>
            </w:pPr>
            <w:r>
              <w:rPr>
                <w:rFonts w:ascii="宋体" w:hAnsi="宋体" w:cs="宋体" w:eastAsia="宋体" w:hint="default"/>
                <w:spacing w:val="6"/>
                <w:sz w:val="18"/>
                <w:szCs w:val="18"/>
              </w:rPr>
              <w:t>通过合作开发大气复合污染高精度自动</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pacing w:val="-4"/>
                <w:sz w:val="18"/>
                <w:szCs w:val="18"/>
              </w:rPr>
              <w:t>监测仪及系统，提高我国大气复合污染监</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pacing w:val="-4"/>
                <w:sz w:val="18"/>
                <w:szCs w:val="18"/>
              </w:rPr>
              <w:t>测技术、设备水平和大气环境行业的整体</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监测能力。</w:t>
            </w:r>
          </w:p>
        </w:tc>
        <w:tc>
          <w:tcPr>
            <w:tcW w:w="88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74" w:right="73"/>
              <w:jc w:val="center"/>
              <w:rPr>
                <w:rFonts w:ascii="宋体" w:hAnsi="宋体" w:cs="宋体" w:eastAsia="宋体" w:hint="default"/>
                <w:sz w:val="18"/>
                <w:szCs w:val="18"/>
              </w:rPr>
            </w:pPr>
            <w:r>
              <w:rPr>
                <w:rFonts w:ascii="宋体" w:hAnsi="宋体" w:cs="宋体" w:eastAsia="宋体" w:hint="default"/>
                <w:sz w:val="18"/>
                <w:szCs w:val="18"/>
              </w:rPr>
              <w:t>国家国际 科技合作 专项</w:t>
            </w:r>
          </w:p>
        </w:tc>
      </w:tr>
    </w:tbl>
    <w:p>
      <w:pPr>
        <w:spacing w:after="0" w:line="316" w:lineRule="auto"/>
        <w:jc w:val="center"/>
        <w:rPr>
          <w:rFonts w:ascii="宋体" w:hAnsi="宋体" w:cs="宋体" w:eastAsia="宋体" w:hint="default"/>
          <w:sz w:val="18"/>
          <w:szCs w:val="18"/>
        </w:rPr>
        <w:sectPr>
          <w:pgSz w:w="11910" w:h="16840"/>
          <w:pgMar w:header="747" w:footer="979" w:top="1060" w:bottom="1160" w:left="0" w:right="0"/>
        </w:sectPr>
      </w:pPr>
    </w:p>
    <w:p>
      <w:pPr>
        <w:spacing w:line="240" w:lineRule="auto" w:before="11"/>
        <w:rPr>
          <w:rFonts w:ascii="宋体" w:hAnsi="宋体" w:cs="宋体" w:eastAsia="宋体" w:hint="default"/>
          <w:sz w:val="27"/>
          <w:szCs w:val="27"/>
        </w:rPr>
      </w:pPr>
    </w:p>
    <w:p>
      <w:pPr>
        <w:pStyle w:val="BodyText"/>
        <w:tabs>
          <w:tab w:pos="1640" w:val="left" w:leader="none"/>
          <w:tab w:pos="5902" w:val="left" w:leader="none"/>
        </w:tabs>
        <w:spacing w:line="240" w:lineRule="auto" w:before="44"/>
        <w:ind w:left="1336" w:right="0"/>
        <w:jc w:val="left"/>
      </w:pPr>
      <w:r>
        <w:rPr>
          <w:rFonts w:ascii="Times New Roman" w:hAnsi="Times New Roman" w:cs="Times New Roman" w:eastAsia="Times New Roman" w:hint="default"/>
        </w:rPr>
        <w:t>7</w:t>
        <w:tab/>
      </w:r>
      <w:r>
        <w:rPr/>
        <w:t>地表水饮用水源地</w:t>
      </w:r>
      <w:r>
        <w:rPr>
          <w:spacing w:val="51"/>
        </w:rPr>
        <w:t> </w:t>
      </w:r>
      <w:r>
        <w:rPr/>
        <w:t>饮用水源水质安全监测和预警</w:t>
        <w:tab/>
        <w:t>已完成国家 </w:t>
      </w:r>
      <w:r>
        <w:rPr>
          <w:spacing w:val="-4"/>
        </w:rPr>
        <w:t>研究水质生物毒性、浊度、叶绿素等自动</w:t>
      </w:r>
      <w:r>
        <w:rPr>
          <w:spacing w:val="-56"/>
        </w:rPr>
        <w:t> </w:t>
      </w:r>
      <w:r>
        <w:rPr/>
        <w:t>河北省科</w:t>
      </w:r>
    </w:p>
    <w:p>
      <w:pPr>
        <w:spacing w:after="0" w:line="240" w:lineRule="auto"/>
        <w:jc w:val="left"/>
        <w:sectPr>
          <w:pgSz w:w="11910" w:h="16840"/>
          <w:pgMar w:header="747" w:footer="979" w:top="1060" w:bottom="1160" w:left="0" w:right="0"/>
        </w:sectPr>
      </w:pPr>
    </w:p>
    <w:p>
      <w:pPr>
        <w:pStyle w:val="BodyText"/>
        <w:spacing w:line="316" w:lineRule="auto" w:before="63"/>
        <w:ind w:left="1640" w:right="-20"/>
        <w:jc w:val="left"/>
      </w:pPr>
      <w:r>
        <w:rPr/>
        <w:t>水质安全监控预警 综合技术研究</w:t>
      </w:r>
    </w:p>
    <w:p>
      <w:pPr>
        <w:pStyle w:val="BodyText"/>
        <w:tabs>
          <w:tab w:pos="2293" w:val="left" w:leader="none"/>
        </w:tabs>
        <w:spacing w:line="240" w:lineRule="auto" w:before="63"/>
        <w:ind w:left="1640" w:right="-20"/>
        <w:jc w:val="left"/>
      </w:pPr>
      <w:r>
        <w:rPr/>
        <w:br w:type="column"/>
      </w:r>
      <w:r>
        <w:rPr/>
        <w:t>验收</w:t>
        <w:tab/>
        <w:t>监测仪器研制及预警技术</w:t>
      </w:r>
    </w:p>
    <w:p>
      <w:pPr>
        <w:pStyle w:val="BodyText"/>
        <w:spacing w:line="316" w:lineRule="auto" w:before="63"/>
        <w:ind w:left="1252" w:right="1086"/>
        <w:jc w:val="center"/>
      </w:pPr>
      <w:r>
        <w:rPr/>
        <w:br w:type="column"/>
      </w:r>
      <w:r>
        <w:rPr/>
        <w:t>技支撑计 划</w:t>
      </w:r>
    </w:p>
    <w:p>
      <w:pPr>
        <w:spacing w:after="0" w:line="316" w:lineRule="auto"/>
        <w:jc w:val="center"/>
        <w:sectPr>
          <w:type w:val="continuous"/>
          <w:pgSz w:w="11910" w:h="16840"/>
          <w:pgMar w:top="1060" w:bottom="1160" w:left="0" w:right="0"/>
          <w:cols w:num="3" w:equalWidth="0">
            <w:col w:w="3081" w:space="1450"/>
            <w:col w:w="4274" w:space="40"/>
            <w:col w:w="3065"/>
          </w:cols>
        </w:sectPr>
      </w:pPr>
    </w:p>
    <w:p>
      <w:pPr>
        <w:pStyle w:val="BodyText"/>
        <w:tabs>
          <w:tab w:pos="1640" w:val="left" w:leader="none"/>
        </w:tabs>
        <w:spacing w:line="240" w:lineRule="auto" w:before="53"/>
        <w:ind w:left="1336" w:right="-20"/>
        <w:jc w:val="left"/>
      </w:pPr>
      <w:r>
        <w:rPr>
          <w:rFonts w:ascii="Times New Roman" w:hAnsi="Times New Roman" w:cs="Times New Roman" w:eastAsia="Times New Roman" w:hint="default"/>
        </w:rPr>
        <w:t>8</w:t>
        <w:tab/>
      </w:r>
      <w:r>
        <w:rPr/>
        <w:t>单通道颗粒物自动</w:t>
      </w:r>
    </w:p>
    <w:p>
      <w:pPr>
        <w:pStyle w:val="BodyText"/>
        <w:spacing w:line="240" w:lineRule="auto" w:before="53"/>
        <w:ind w:left="101" w:right="-10"/>
        <w:jc w:val="left"/>
      </w:pPr>
      <w:r>
        <w:rPr>
          <w:spacing w:val="9"/>
        </w:rPr>
        <w:br w:type="column"/>
      </w:r>
      <w:r>
        <w:rPr>
          <w:spacing w:val="9"/>
        </w:rPr>
        <w:t>实现对大气中颗粒物浓度的准确</w:t>
      </w:r>
    </w:p>
    <w:p>
      <w:pPr>
        <w:pStyle w:val="BodyText"/>
        <w:spacing w:line="240" w:lineRule="auto" w:before="53"/>
        <w:ind w:left="74" w:right="0"/>
        <w:jc w:val="left"/>
      </w:pPr>
      <w:r>
        <w:rPr/>
        <w:br w:type="column"/>
      </w:r>
      <w:r>
        <w:rPr/>
        <w:t>批量生产</w:t>
      </w:r>
      <w:r>
        <w:rPr>
          <w:spacing w:val="22"/>
        </w:rPr>
        <w:t> </w:t>
      </w:r>
      <w:r>
        <w:rPr/>
        <w:t>研制出测量大气中</w:t>
      </w:r>
      <w:r>
        <w:rPr>
          <w:rFonts w:ascii="Times New Roman" w:hAnsi="Times New Roman" w:cs="Times New Roman" w:eastAsia="Times New Roman" w:hint="default"/>
          <w:w w:val="99"/>
        </w:rPr>
        <w:t>P</w:t>
      </w:r>
      <w:r>
        <w:rPr>
          <w:rFonts w:ascii="Times New Roman" w:hAnsi="Times New Roman" w:cs="Times New Roman" w:eastAsia="Times New Roman" w:hint="default"/>
          <w:spacing w:val="-1"/>
          <w:w w:val="99"/>
        </w:rPr>
        <w:t>M</w:t>
      </w:r>
      <w:r>
        <w:rPr>
          <w:rFonts w:ascii="Times New Roman" w:hAnsi="Times New Roman" w:cs="Times New Roman" w:eastAsia="Times New Roman" w:hint="default"/>
        </w:rPr>
        <w:t>10</w:t>
      </w:r>
      <w:r>
        <w:rPr>
          <w:spacing w:val="-84"/>
        </w:rPr>
        <w:t>、</w:t>
      </w:r>
      <w:r>
        <w:rPr>
          <w:rFonts w:ascii="Times New Roman" w:hAnsi="Times New Roman" w:cs="Times New Roman" w:eastAsia="Times New Roman" w:hint="default"/>
          <w:w w:val="99"/>
        </w:rPr>
        <w:t>PM2.</w:t>
      </w:r>
      <w:r>
        <w:rPr>
          <w:rFonts w:ascii="Times New Roman" w:hAnsi="Times New Roman" w:cs="Times New Roman" w:eastAsia="Times New Roman" w:hint="default"/>
        </w:rPr>
        <w:t>5</w:t>
      </w:r>
      <w:r>
        <w:rPr/>
        <w:t>颗粒物浓</w:t>
      </w:r>
      <w:r>
        <w:rPr>
          <w:spacing w:val="1"/>
        </w:rPr>
        <w:t> </w:t>
      </w:r>
      <w:r>
        <w:rPr/>
        <w:t>国家重大</w:t>
      </w:r>
    </w:p>
    <w:p>
      <w:pPr>
        <w:spacing w:after="0" w:line="240" w:lineRule="auto"/>
        <w:jc w:val="left"/>
        <w:sectPr>
          <w:type w:val="continuous"/>
          <w:pgSz w:w="11910" w:h="16840"/>
          <w:pgMar w:top="1060" w:bottom="1160" w:left="0" w:right="0"/>
          <w:cols w:num="3" w:equalWidth="0">
            <w:col w:w="3081" w:space="40"/>
            <w:col w:w="2758" w:space="40"/>
            <w:col w:w="5991"/>
          </w:cols>
        </w:sectPr>
      </w:pPr>
    </w:p>
    <w:p>
      <w:pPr>
        <w:pStyle w:val="BodyText"/>
        <w:tabs>
          <w:tab w:pos="3222" w:val="left" w:leader="none"/>
        </w:tabs>
        <w:spacing w:line="240" w:lineRule="auto" w:before="63"/>
        <w:ind w:left="1640" w:right="-20"/>
        <w:jc w:val="left"/>
      </w:pPr>
      <w:r>
        <w:rPr/>
        <w:t>监测仪</w:t>
        <w:tab/>
        <w:t>监测</w:t>
      </w:r>
    </w:p>
    <w:p>
      <w:pPr>
        <w:pStyle w:val="BodyText"/>
        <w:spacing w:line="240" w:lineRule="auto" w:before="63"/>
        <w:ind w:left="1640" w:right="-20"/>
        <w:jc w:val="left"/>
      </w:pPr>
      <w:r>
        <w:rPr/>
        <w:br w:type="column"/>
      </w:r>
      <w:r>
        <w:rPr/>
        <w:t>度的监测仪</w:t>
      </w:r>
    </w:p>
    <w:p>
      <w:pPr>
        <w:pStyle w:val="BodyText"/>
        <w:spacing w:line="240" w:lineRule="auto" w:before="63"/>
        <w:ind w:left="1640" w:right="0"/>
        <w:jc w:val="left"/>
      </w:pPr>
      <w:r>
        <w:rPr/>
        <w:br w:type="column"/>
      </w:r>
      <w:r>
        <w:rPr/>
        <w:t>科学仪器</w:t>
      </w:r>
    </w:p>
    <w:p>
      <w:pPr>
        <w:spacing w:after="0" w:line="240" w:lineRule="auto"/>
        <w:jc w:val="left"/>
        <w:sectPr>
          <w:type w:val="continuous"/>
          <w:pgSz w:w="11910" w:h="16840"/>
          <w:pgMar w:top="1060" w:bottom="1160" w:left="0" w:right="0"/>
          <w:cols w:num="3" w:equalWidth="0">
            <w:col w:w="3583" w:space="1601"/>
            <w:col w:w="2541" w:space="731"/>
            <w:col w:w="3454"/>
          </w:cols>
        </w:sectPr>
      </w:pPr>
    </w:p>
    <w:p>
      <w:pPr>
        <w:pStyle w:val="BodyText"/>
        <w:tabs>
          <w:tab w:pos="1640" w:val="left" w:leader="none"/>
        </w:tabs>
        <w:spacing w:line="240" w:lineRule="auto" w:before="111"/>
        <w:ind w:left="1336" w:right="-20"/>
        <w:jc w:val="left"/>
      </w:pPr>
      <w:r>
        <w:rPr>
          <w:rFonts w:ascii="Times New Roman" w:hAnsi="Times New Roman" w:cs="Times New Roman" w:eastAsia="Times New Roman" w:hint="default"/>
        </w:rPr>
        <w:t>9</w:t>
        <w:tab/>
      </w:r>
      <w:r>
        <w:rPr/>
        <w:t>双通道颗粒物自动</w:t>
      </w:r>
    </w:p>
    <w:p>
      <w:pPr>
        <w:pStyle w:val="BodyText"/>
        <w:spacing w:line="240" w:lineRule="auto" w:before="111"/>
        <w:ind w:left="101" w:right="-15"/>
        <w:jc w:val="left"/>
      </w:pPr>
      <w:r>
        <w:rPr/>
        <w:br w:type="column"/>
      </w:r>
      <w:r>
        <w:rPr/>
        <w:t>实现对大气中颗粒物</w:t>
      </w:r>
      <w:r>
        <w:rPr>
          <w:rFonts w:ascii="Times New Roman" w:hAnsi="Times New Roman" w:cs="Times New Roman" w:eastAsia="Times New Roman" w:hint="default"/>
          <w:w w:val="99"/>
        </w:rPr>
        <w:t>P</w:t>
      </w:r>
      <w:r>
        <w:rPr>
          <w:rFonts w:ascii="Times New Roman" w:hAnsi="Times New Roman" w:cs="Times New Roman" w:eastAsia="Times New Roman" w:hint="default"/>
          <w:spacing w:val="-1"/>
          <w:w w:val="99"/>
        </w:rPr>
        <w:t>M</w:t>
      </w:r>
      <w:r>
        <w:rPr>
          <w:rFonts w:ascii="Times New Roman" w:hAnsi="Times New Roman" w:cs="Times New Roman" w:eastAsia="Times New Roman" w:hint="default"/>
        </w:rPr>
        <w:t>10</w:t>
      </w:r>
      <w:r>
        <w:rPr>
          <w:spacing w:val="-68"/>
        </w:rPr>
        <w:t>、</w:t>
      </w:r>
      <w:r>
        <w:rPr>
          <w:rFonts w:ascii="Times New Roman" w:hAnsi="Times New Roman" w:cs="Times New Roman" w:eastAsia="Times New Roman" w:hint="default"/>
          <w:w w:val="99"/>
        </w:rPr>
        <w:t>P</w:t>
      </w:r>
      <w:r>
        <w:rPr>
          <w:rFonts w:ascii="Times New Roman" w:hAnsi="Times New Roman" w:cs="Times New Roman" w:eastAsia="Times New Roman" w:hint="default"/>
          <w:w w:val="99"/>
        </w:rPr>
        <w:t>M2.5</w:t>
      </w:r>
      <w:r>
        <w:rPr>
          <w:rFonts w:ascii="Times New Roman" w:hAnsi="Times New Roman" w:cs="Times New Roman" w:eastAsia="Times New Roman" w:hint="default"/>
          <w:spacing w:val="-24"/>
          <w:w w:val="99"/>
        </w:rPr>
        <w:t> </w:t>
      </w:r>
      <w:r>
        <w:rPr>
          <w:w w:val="99"/>
        </w:rPr>
        <w:t>产业化示范</w:t>
      </w:r>
      <w:r>
        <w:rPr>
          <w:spacing w:val="-68"/>
          <w:w w:val="99"/>
        </w:rPr>
        <w:t> </w:t>
      </w:r>
      <w:r>
        <w:rPr>
          <w:w w:val="99"/>
        </w:rPr>
        <w:t>研制出同时测量大气中</w:t>
      </w:r>
      <w:r>
        <w:rPr>
          <w:rFonts w:ascii="Times New Roman" w:hAnsi="Times New Roman" w:cs="Times New Roman" w:eastAsia="Times New Roman" w:hint="default"/>
          <w:w w:val="99"/>
        </w:rPr>
        <w:t>P</w:t>
      </w:r>
      <w:r>
        <w:rPr>
          <w:rFonts w:ascii="Times New Roman" w:hAnsi="Times New Roman" w:cs="Times New Roman" w:eastAsia="Times New Roman" w:hint="default"/>
          <w:spacing w:val="-1"/>
          <w:w w:val="99"/>
        </w:rPr>
        <w:t>M</w:t>
      </w:r>
      <w:r>
        <w:rPr>
          <w:rFonts w:ascii="Times New Roman" w:hAnsi="Times New Roman" w:cs="Times New Roman" w:eastAsia="Times New Roman" w:hint="default"/>
        </w:rPr>
        <w:t>1</w:t>
      </w:r>
      <w:r>
        <w:rPr>
          <w:rFonts w:ascii="Times New Roman" w:hAnsi="Times New Roman" w:cs="Times New Roman" w:eastAsia="Times New Roman" w:hint="default"/>
          <w:spacing w:val="1"/>
        </w:rPr>
        <w:t>0</w:t>
      </w:r>
      <w:r>
        <w:rPr>
          <w:spacing w:val="-84"/>
        </w:rPr>
        <w:t>、</w:t>
      </w:r>
      <w:r>
        <w:rPr>
          <w:rFonts w:ascii="Times New Roman" w:hAnsi="Times New Roman" w:cs="Times New Roman" w:eastAsia="Times New Roman" w:hint="default"/>
          <w:w w:val="99"/>
        </w:rPr>
        <w:t>P</w:t>
      </w:r>
      <w:r>
        <w:rPr>
          <w:rFonts w:ascii="Times New Roman" w:hAnsi="Times New Roman" w:cs="Times New Roman" w:eastAsia="Times New Roman" w:hint="default"/>
          <w:spacing w:val="-1"/>
          <w:w w:val="99"/>
        </w:rPr>
        <w:t>M</w:t>
      </w:r>
      <w:r>
        <w:rPr>
          <w:rFonts w:ascii="Times New Roman" w:hAnsi="Times New Roman" w:cs="Times New Roman" w:eastAsia="Times New Roman" w:hint="default"/>
        </w:rPr>
        <w:t>2.5</w:t>
      </w:r>
      <w:r>
        <w:rPr/>
        <w:t>颗粒</w:t>
      </w:r>
    </w:p>
    <w:p>
      <w:pPr>
        <w:spacing w:before="76"/>
        <w:ind w:left="201" w:right="0" w:firstLine="0"/>
        <w:jc w:val="left"/>
        <w:rPr>
          <w:rFonts w:ascii="Times New Roman" w:hAnsi="Times New Roman" w:cs="Times New Roman" w:eastAsia="Times New Roman" w:hint="default"/>
          <w:sz w:val="18"/>
          <w:szCs w:val="18"/>
        </w:rPr>
      </w:pPr>
      <w:r>
        <w:rPr/>
        <w:br w:type="column"/>
      </w:r>
      <w:r>
        <w:rPr>
          <w:rFonts w:ascii="宋体" w:hAnsi="宋体" w:cs="宋体" w:eastAsia="宋体" w:hint="default"/>
          <w:sz w:val="18"/>
          <w:szCs w:val="18"/>
        </w:rPr>
        <w:t>专项</w:t>
      </w:r>
      <w:r>
        <w:rPr>
          <w:rFonts w:ascii="Times New Roman" w:hAnsi="Times New Roman" w:cs="Times New Roman" w:eastAsia="Times New Roman" w:hint="default"/>
          <w:sz w:val="18"/>
          <w:szCs w:val="18"/>
        </w:rPr>
        <w:t>-</w:t>
      </w:r>
    </w:p>
    <w:p>
      <w:pPr>
        <w:spacing w:after="0"/>
        <w:jc w:val="left"/>
        <w:rPr>
          <w:rFonts w:ascii="Times New Roman" w:hAnsi="Times New Roman" w:cs="Times New Roman" w:eastAsia="Times New Roman" w:hint="default"/>
          <w:sz w:val="18"/>
          <w:szCs w:val="18"/>
        </w:rPr>
        <w:sectPr>
          <w:type w:val="continuous"/>
          <w:pgSz w:w="11910" w:h="16840"/>
          <w:pgMar w:top="1060" w:bottom="1160" w:left="0" w:right="0"/>
          <w:cols w:num="3" w:equalWidth="0">
            <w:col w:w="3081" w:space="40"/>
            <w:col w:w="6886" w:space="40"/>
            <w:col w:w="1863"/>
          </w:cols>
        </w:sectPr>
      </w:pPr>
    </w:p>
    <w:p>
      <w:pPr>
        <w:pStyle w:val="BodyText"/>
        <w:spacing w:line="240" w:lineRule="auto" w:before="63"/>
        <w:ind w:left="0" w:right="0"/>
        <w:jc w:val="right"/>
      </w:pPr>
      <w:r>
        <w:rPr/>
        <w:t>监测仪</w:t>
      </w:r>
    </w:p>
    <w:p>
      <w:pPr>
        <w:pStyle w:val="BodyText"/>
        <w:spacing w:line="240" w:lineRule="auto" w:before="63"/>
        <w:ind w:left="1001" w:right="-20"/>
        <w:jc w:val="left"/>
      </w:pPr>
      <w:r>
        <w:rPr/>
        <w:br w:type="column"/>
      </w:r>
      <w:r>
        <w:rPr/>
        <w:t>浓度同时监测</w:t>
      </w:r>
    </w:p>
    <w:p>
      <w:pPr>
        <w:pStyle w:val="BodyText"/>
        <w:spacing w:line="240" w:lineRule="auto" w:before="63"/>
        <w:ind w:left="0" w:right="0"/>
        <w:jc w:val="right"/>
      </w:pPr>
      <w:r>
        <w:rPr/>
        <w:br w:type="column"/>
      </w:r>
      <w:r>
        <w:rPr/>
        <w:t>运行阶段</w:t>
      </w:r>
    </w:p>
    <w:p>
      <w:pPr>
        <w:pStyle w:val="BodyText"/>
        <w:spacing w:line="240" w:lineRule="auto" w:before="63"/>
        <w:ind w:left="72" w:right="-20"/>
        <w:jc w:val="left"/>
      </w:pPr>
      <w:r>
        <w:rPr/>
        <w:br w:type="column"/>
      </w:r>
      <w:r>
        <w:rPr/>
        <w:t>物浓度的监测仪</w:t>
      </w:r>
    </w:p>
    <w:p>
      <w:pPr>
        <w:spacing w:before="28"/>
        <w:ind w:left="1640" w:right="0" w:firstLine="0"/>
        <w:jc w:val="left"/>
        <w:rPr>
          <w:rFonts w:ascii="宋体" w:hAnsi="宋体" w:cs="宋体" w:eastAsia="宋体" w:hint="default"/>
          <w:sz w:val="18"/>
          <w:szCs w:val="18"/>
        </w:rPr>
      </w:pPr>
      <w:r>
        <w:rPr/>
        <w:br w:type="column"/>
      </w:r>
      <w:r>
        <w:rPr>
          <w:rFonts w:ascii="Times New Roman" w:hAnsi="Times New Roman" w:cs="Times New Roman" w:eastAsia="Times New Roman" w:hint="default"/>
          <w:sz w:val="18"/>
          <w:szCs w:val="18"/>
        </w:rPr>
        <w:t>PM</w:t>
      </w:r>
      <w:r>
        <w:rPr>
          <w:rFonts w:ascii="Times New Roman" w:hAnsi="Times New Roman" w:cs="Times New Roman" w:eastAsia="Times New Roman" w:hint="default"/>
          <w:position w:val="-2"/>
          <w:sz w:val="12"/>
          <w:szCs w:val="12"/>
        </w:rPr>
        <w:t>2.5</w:t>
      </w:r>
      <w:r>
        <w:rPr>
          <w:rFonts w:ascii="宋体" w:hAnsi="宋体" w:cs="宋体" w:eastAsia="宋体" w:hint="default"/>
          <w:sz w:val="18"/>
          <w:szCs w:val="18"/>
        </w:rPr>
        <w:t>监测</w:t>
      </w:r>
    </w:p>
    <w:p>
      <w:pPr>
        <w:spacing w:after="0"/>
        <w:jc w:val="left"/>
        <w:rPr>
          <w:rFonts w:ascii="宋体" w:hAnsi="宋体" w:cs="宋体" w:eastAsia="宋体" w:hint="default"/>
          <w:sz w:val="18"/>
          <w:szCs w:val="18"/>
        </w:rPr>
        <w:sectPr>
          <w:type w:val="continuous"/>
          <w:pgSz w:w="11910" w:h="16840"/>
          <w:pgMar w:top="1060" w:bottom="1160" w:left="0" w:right="0"/>
          <w:cols w:num="5" w:equalWidth="0">
            <w:col w:w="2181" w:space="40"/>
            <w:col w:w="2082" w:space="49"/>
            <w:col w:w="2361" w:space="40"/>
            <w:col w:w="1333" w:space="346"/>
            <w:col w:w="3478"/>
          </w:cols>
        </w:sectPr>
      </w:pPr>
    </w:p>
    <w:p>
      <w:pPr>
        <w:pStyle w:val="BodyText"/>
        <w:spacing w:line="240" w:lineRule="auto" w:before="111"/>
        <w:ind w:left="1291" w:right="-20"/>
        <w:jc w:val="left"/>
      </w:pPr>
      <w:r>
        <w:rPr>
          <w:rFonts w:ascii="Times New Roman" w:hAnsi="Times New Roman" w:cs="Times New Roman" w:eastAsia="Times New Roman" w:hint="default"/>
        </w:rPr>
        <w:t>10  </w:t>
      </w:r>
      <w:r>
        <w:rPr>
          <w:rFonts w:ascii="Times New Roman" w:hAnsi="Times New Roman" w:cs="Times New Roman" w:eastAsia="Times New Roman" w:hint="default"/>
          <w:spacing w:val="34"/>
        </w:rPr>
        <w:t> </w:t>
      </w:r>
      <w:r>
        <w:rPr/>
        <w:t>光散射融合型颗粒</w:t>
      </w:r>
    </w:p>
    <w:p>
      <w:pPr>
        <w:pStyle w:val="BodyText"/>
        <w:spacing w:line="240" w:lineRule="auto" w:before="41"/>
        <w:ind w:left="101" w:right="0"/>
        <w:jc w:val="left"/>
      </w:pPr>
      <w:r>
        <w:rPr/>
        <w:br w:type="column"/>
      </w:r>
      <w:r>
        <w:rPr>
          <w:spacing w:val="10"/>
        </w:rPr>
        <w:t>实现对大气</w:t>
      </w:r>
      <w:r>
        <w:rPr>
          <w:spacing w:val="9"/>
        </w:rPr>
        <w:t>中</w:t>
      </w:r>
      <w:r>
        <w:rPr>
          <w:spacing w:val="10"/>
        </w:rPr>
        <w:t>颗粒物浓度</w:t>
      </w:r>
      <w:r>
        <w:rPr>
          <w:spacing w:val="9"/>
        </w:rPr>
        <w:t>的</w:t>
      </w:r>
      <w:r>
        <w:rPr>
          <w:spacing w:val="10"/>
        </w:rPr>
        <w:t>准</w:t>
      </w:r>
      <w:r>
        <w:rPr/>
        <w:t>确</w:t>
      </w:r>
      <w:r>
        <w:rPr>
          <w:spacing w:val="-66"/>
        </w:rPr>
        <w:t> </w:t>
      </w:r>
      <w:r>
        <w:rPr/>
        <w:t>产业化示范</w:t>
      </w:r>
      <w:r>
        <w:rPr>
          <w:spacing w:val="-68"/>
        </w:rPr>
        <w:t> </w:t>
      </w:r>
      <w:r>
        <w:rPr/>
        <w:t>研制出测量大气中</w:t>
      </w:r>
      <w:r>
        <w:rPr>
          <w:rFonts w:ascii="Times New Roman" w:hAnsi="Times New Roman" w:cs="Times New Roman" w:eastAsia="Times New Roman" w:hint="default"/>
          <w:w w:val="99"/>
        </w:rPr>
        <w:t>P</w:t>
      </w:r>
      <w:r>
        <w:rPr>
          <w:rFonts w:ascii="Times New Roman" w:hAnsi="Times New Roman" w:cs="Times New Roman" w:eastAsia="Times New Roman" w:hint="default"/>
          <w:spacing w:val="-1"/>
          <w:w w:val="99"/>
        </w:rPr>
        <w:t>M</w:t>
      </w:r>
      <w:r>
        <w:rPr>
          <w:rFonts w:ascii="Times New Roman" w:hAnsi="Times New Roman" w:cs="Times New Roman" w:eastAsia="Times New Roman" w:hint="default"/>
        </w:rPr>
        <w:t>10</w:t>
      </w:r>
      <w:r>
        <w:rPr>
          <w:spacing w:val="-84"/>
        </w:rPr>
        <w:t>、</w:t>
      </w:r>
      <w:r>
        <w:rPr>
          <w:rFonts w:ascii="Times New Roman" w:hAnsi="Times New Roman" w:cs="Times New Roman" w:eastAsia="Times New Roman" w:hint="default"/>
          <w:w w:val="99"/>
        </w:rPr>
        <w:t>PM2.</w:t>
      </w:r>
      <w:r>
        <w:rPr>
          <w:rFonts w:ascii="Times New Roman" w:hAnsi="Times New Roman" w:cs="Times New Roman" w:eastAsia="Times New Roman" w:hint="default"/>
        </w:rPr>
        <w:t>5</w:t>
      </w:r>
      <w:r>
        <w:rPr/>
        <w:t>颗粒物浓</w:t>
      </w:r>
      <w:r>
        <w:rPr>
          <w:spacing w:val="1"/>
        </w:rPr>
        <w:t> </w:t>
      </w:r>
      <w:r>
        <w:rPr>
          <w:position w:val="7"/>
        </w:rPr>
        <w:t>设备开发</w:t>
      </w:r>
      <w:r>
        <w:rPr/>
      </w:r>
    </w:p>
    <w:p>
      <w:pPr>
        <w:spacing w:after="0" w:line="240" w:lineRule="auto"/>
        <w:jc w:val="left"/>
        <w:sectPr>
          <w:type w:val="continuous"/>
          <w:pgSz w:w="11910" w:h="16840"/>
          <w:pgMar w:top="1060" w:bottom="1160" w:left="0" w:right="0"/>
          <w:cols w:num="2" w:equalWidth="0">
            <w:col w:w="3081" w:space="40"/>
            <w:col w:w="8789"/>
          </w:cols>
        </w:sectPr>
      </w:pPr>
    </w:p>
    <w:p>
      <w:pPr>
        <w:pStyle w:val="BodyText"/>
        <w:tabs>
          <w:tab w:pos="3222" w:val="left" w:leader="none"/>
        </w:tabs>
        <w:spacing w:line="240" w:lineRule="auto" w:before="63"/>
        <w:ind w:left="1640" w:right="-20"/>
        <w:jc w:val="left"/>
      </w:pPr>
      <w:r>
        <w:rPr/>
        <w:t>物自动监测仪</w:t>
        <w:tab/>
        <w:t>监测</w:t>
      </w:r>
    </w:p>
    <w:p>
      <w:pPr>
        <w:pStyle w:val="BodyText"/>
        <w:spacing w:line="240" w:lineRule="auto" w:before="63"/>
        <w:ind w:left="0" w:right="0"/>
        <w:jc w:val="right"/>
      </w:pPr>
      <w:r>
        <w:rPr/>
        <w:br w:type="column"/>
      </w:r>
      <w:r>
        <w:rPr/>
        <w:t>运行阶段</w:t>
      </w:r>
    </w:p>
    <w:p>
      <w:pPr>
        <w:pStyle w:val="BodyText"/>
        <w:spacing w:line="240" w:lineRule="auto" w:before="63"/>
        <w:ind w:left="72" w:right="-20"/>
        <w:jc w:val="left"/>
      </w:pPr>
      <w:r>
        <w:rPr/>
        <w:br w:type="column"/>
      </w:r>
      <w:r>
        <w:rPr/>
        <w:t>度的光散射方法的自动监测仪</w:t>
      </w:r>
    </w:p>
    <w:p>
      <w:pPr>
        <w:spacing w:line="229" w:lineRule="exact" w:before="0"/>
        <w:ind w:left="964" w:right="1157" w:firstLine="0"/>
        <w:jc w:val="center"/>
        <w:rPr>
          <w:rFonts w:ascii="宋体" w:hAnsi="宋体" w:cs="宋体" w:eastAsia="宋体" w:hint="default"/>
          <w:sz w:val="18"/>
          <w:szCs w:val="18"/>
        </w:rPr>
      </w:pPr>
      <w:r>
        <w:rPr/>
        <w:br w:type="column"/>
      </w:r>
      <w:r>
        <w:rPr>
          <w:rFonts w:ascii="宋体" w:hAnsi="宋体" w:cs="宋体" w:eastAsia="宋体" w:hint="default"/>
          <w:sz w:val="18"/>
          <w:szCs w:val="18"/>
        </w:rPr>
        <w:t>与应用</w:t>
      </w:r>
    </w:p>
    <w:p>
      <w:pPr>
        <w:spacing w:after="0" w:line="229" w:lineRule="exact"/>
        <w:jc w:val="center"/>
        <w:rPr>
          <w:rFonts w:ascii="宋体" w:hAnsi="宋体" w:cs="宋体" w:eastAsia="宋体" w:hint="default"/>
          <w:sz w:val="18"/>
          <w:szCs w:val="18"/>
        </w:rPr>
        <w:sectPr>
          <w:type w:val="continuous"/>
          <w:pgSz w:w="11910" w:h="16840"/>
          <w:pgMar w:top="1060" w:bottom="1160" w:left="0" w:right="0"/>
          <w:cols w:num="4" w:equalWidth="0">
            <w:col w:w="3583" w:space="769"/>
            <w:col w:w="2361" w:space="40"/>
            <w:col w:w="2413" w:space="40"/>
            <w:col w:w="2704"/>
          </w:cols>
        </w:sectPr>
      </w:pPr>
    </w:p>
    <w:p>
      <w:pPr>
        <w:pStyle w:val="BodyText"/>
        <w:spacing w:line="240" w:lineRule="auto" w:before="111"/>
        <w:ind w:left="1291" w:right="0"/>
        <w:jc w:val="left"/>
      </w:pPr>
      <w:r>
        <w:rPr>
          <w:rFonts w:ascii="Times New Roman" w:hAnsi="Times New Roman" w:cs="Times New Roman" w:eastAsia="Times New Roman" w:hint="default"/>
        </w:rPr>
        <w:t>11    </w:t>
      </w:r>
      <w:r>
        <w:rPr/>
        <w:t>大气细颗粒物硫酸 实现大气细颗粒物化学成分监测  产业化示范 </w:t>
      </w:r>
      <w:r>
        <w:rPr>
          <w:spacing w:val="3"/>
        </w:rPr>
        <w:t>研制出硫酸盐</w:t>
      </w:r>
      <w:r>
        <w:rPr>
          <w:rFonts w:ascii="Times New Roman" w:hAnsi="Times New Roman" w:cs="Times New Roman" w:eastAsia="Times New Roman" w:hint="default"/>
          <w:spacing w:val="3"/>
        </w:rPr>
        <w:t>/</w:t>
      </w:r>
      <w:r>
        <w:rPr>
          <w:spacing w:val="3"/>
        </w:rPr>
        <w:t>硝酸盐颗粒物连续自动监</w:t>
      </w:r>
      <w:r>
        <w:rPr>
          <w:spacing w:val="-39"/>
        </w:rPr>
        <w:t> </w:t>
      </w:r>
      <w:r>
        <w:rPr/>
        <w:t>国家重大</w:t>
      </w:r>
    </w:p>
    <w:p>
      <w:pPr>
        <w:spacing w:after="0" w:line="240" w:lineRule="auto"/>
        <w:jc w:val="left"/>
        <w:sectPr>
          <w:type w:val="continuous"/>
          <w:pgSz w:w="11910" w:h="16840"/>
          <w:pgMar w:top="1060" w:bottom="1160" w:left="0" w:right="0"/>
        </w:sectPr>
      </w:pPr>
    </w:p>
    <w:p>
      <w:pPr>
        <w:pStyle w:val="BodyText"/>
        <w:spacing w:line="240" w:lineRule="auto" w:before="63"/>
        <w:ind w:left="1640" w:right="-20"/>
        <w:jc w:val="left"/>
      </w:pPr>
      <w:r>
        <w:rPr/>
        <w:t>盐硝酸盐在线监测</w:t>
      </w:r>
    </w:p>
    <w:p>
      <w:pPr>
        <w:pStyle w:val="BodyText"/>
        <w:spacing w:line="240" w:lineRule="auto" w:before="63"/>
        <w:ind w:left="0" w:right="0"/>
        <w:jc w:val="right"/>
      </w:pPr>
      <w:r>
        <w:rPr/>
        <w:br w:type="column"/>
      </w:r>
      <w:r>
        <w:rPr/>
        <w:t>运行阶段</w:t>
      </w:r>
    </w:p>
    <w:p>
      <w:pPr>
        <w:pStyle w:val="BodyText"/>
        <w:spacing w:line="240" w:lineRule="auto" w:before="63"/>
        <w:ind w:left="72" w:right="0"/>
        <w:jc w:val="left"/>
      </w:pPr>
      <w:r>
        <w:rPr>
          <w:spacing w:val="-3"/>
        </w:rPr>
        <w:br w:type="column"/>
      </w:r>
      <w:r>
        <w:rPr>
          <w:spacing w:val="-3"/>
        </w:rPr>
        <w:t>测仪，实现</w:t>
      </w:r>
      <w:r>
        <w:rPr>
          <w:rFonts w:ascii="Times New Roman" w:hAnsi="Times New Roman" w:cs="Times New Roman" w:eastAsia="Times New Roman" w:hint="default"/>
          <w:spacing w:val="-3"/>
        </w:rPr>
        <w:t>PM2.5</w:t>
      </w:r>
      <w:r>
        <w:rPr>
          <w:spacing w:val="-3"/>
        </w:rPr>
        <w:t>中硫酸盐</w:t>
      </w:r>
      <w:r>
        <w:rPr>
          <w:rFonts w:ascii="Times New Roman" w:hAnsi="Times New Roman" w:cs="Times New Roman" w:eastAsia="Times New Roman" w:hint="default"/>
          <w:spacing w:val="-3"/>
        </w:rPr>
        <w:t>/</w:t>
      </w:r>
      <w:r>
        <w:rPr>
          <w:spacing w:val="-3"/>
        </w:rPr>
        <w:t>硝酸盐质量浓</w:t>
      </w:r>
      <w:r>
        <w:rPr>
          <w:spacing w:val="7"/>
        </w:rPr>
        <w:t> </w:t>
      </w:r>
      <w:r>
        <w:rPr/>
        <w:t>科学仪器</w:t>
      </w:r>
    </w:p>
    <w:p>
      <w:pPr>
        <w:spacing w:after="0" w:line="240" w:lineRule="auto"/>
        <w:jc w:val="left"/>
        <w:sectPr>
          <w:type w:val="continuous"/>
          <w:pgSz w:w="11910" w:h="16840"/>
          <w:pgMar w:top="1060" w:bottom="1160" w:left="0" w:right="0"/>
          <w:cols w:num="3" w:equalWidth="0">
            <w:col w:w="3081" w:space="1270"/>
            <w:col w:w="2361" w:space="40"/>
            <w:col w:w="5158"/>
          </w:cols>
        </w:sectPr>
      </w:pPr>
    </w:p>
    <w:p>
      <w:pPr>
        <w:pStyle w:val="BodyText"/>
        <w:spacing w:line="316" w:lineRule="auto" w:before="63"/>
        <w:ind w:left="1640" w:right="2777"/>
        <w:jc w:val="left"/>
      </w:pPr>
      <w:r>
        <w:rPr/>
        <w:t>仪器设备研制开发 与产业化</w:t>
      </w:r>
    </w:p>
    <w:p>
      <w:pPr>
        <w:pStyle w:val="BodyText"/>
        <w:tabs>
          <w:tab w:pos="3222" w:val="left" w:leader="none"/>
        </w:tabs>
        <w:spacing w:line="300" w:lineRule="auto" w:before="55"/>
        <w:ind w:left="3222" w:right="0" w:hanging="1932"/>
        <w:jc w:val="left"/>
      </w:pPr>
      <w:r>
        <w:rPr>
          <w:rFonts w:ascii="Times New Roman" w:hAnsi="Times New Roman" w:cs="Times New Roman" w:eastAsia="Times New Roman" w:hint="default"/>
        </w:rPr>
        <w:t>12  </w:t>
      </w:r>
      <w:r>
        <w:rPr>
          <w:rFonts w:ascii="Times New Roman" w:hAnsi="Times New Roman" w:cs="Times New Roman" w:eastAsia="Times New Roman" w:hint="default"/>
          <w:spacing w:val="34"/>
        </w:rPr>
        <w:t> </w:t>
      </w:r>
      <w:r>
        <w:rPr/>
        <w:t>能见度拍照系统</w:t>
        <w:tab/>
      </w:r>
      <w:r>
        <w:rPr>
          <w:spacing w:val="9"/>
        </w:rPr>
        <w:t>实现对大气污染能见度实时监测</w:t>
      </w:r>
      <w:r>
        <w:rPr/>
        <w:t> 和数据采集</w:t>
      </w:r>
    </w:p>
    <w:p>
      <w:pPr>
        <w:pStyle w:val="BodyText"/>
        <w:tabs>
          <w:tab w:pos="4359" w:val="left" w:leader="none"/>
        </w:tabs>
        <w:spacing w:line="240" w:lineRule="auto" w:before="63"/>
        <w:ind w:left="907" w:right="0"/>
        <w:jc w:val="left"/>
      </w:pPr>
      <w:r>
        <w:rPr/>
        <w:br w:type="column"/>
      </w:r>
      <w:r>
        <w:rPr/>
        <w:t>度的自动监测</w:t>
        <w:tab/>
        <w:t>专项</w:t>
      </w: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14"/>
          <w:szCs w:val="14"/>
        </w:rPr>
      </w:pPr>
    </w:p>
    <w:p>
      <w:pPr>
        <w:pStyle w:val="BodyText"/>
        <w:tabs>
          <w:tab w:pos="4359" w:val="left" w:leader="none"/>
        </w:tabs>
        <w:spacing w:line="316" w:lineRule="auto"/>
        <w:ind w:left="907" w:right="1266" w:hanging="833"/>
        <w:jc w:val="left"/>
      </w:pPr>
      <w:r>
        <w:rPr/>
        <w:t>批量生产</w:t>
      </w:r>
      <w:r>
        <w:rPr>
          <w:spacing w:val="35"/>
        </w:rPr>
        <w:t> </w:t>
      </w:r>
      <w:r>
        <w:rPr>
          <w:spacing w:val="-4"/>
        </w:rPr>
        <w:t>研制出能见度拍照系统，为空气监测扩充</w:t>
        <w:tab/>
      </w:r>
      <w:r>
        <w:rPr/>
        <w:t>自立</w:t>
      </w:r>
      <w:r>
        <w:rPr/>
        <w:t> 能见度监测参数提供仪器</w:t>
      </w:r>
    </w:p>
    <w:p>
      <w:pPr>
        <w:spacing w:after="0" w:line="316" w:lineRule="auto"/>
        <w:jc w:val="left"/>
        <w:sectPr>
          <w:type w:val="continuous"/>
          <w:pgSz w:w="11910" w:h="16840"/>
          <w:pgMar w:top="1060" w:bottom="1160" w:left="0" w:right="0"/>
          <w:cols w:num="2" w:equalWidth="0">
            <w:col w:w="5878" w:space="40"/>
            <w:col w:w="5992"/>
          </w:cols>
        </w:sectPr>
      </w:pPr>
    </w:p>
    <w:p>
      <w:pPr>
        <w:pStyle w:val="BodyText"/>
        <w:tabs>
          <w:tab w:pos="10277" w:val="left" w:leader="none"/>
        </w:tabs>
        <w:spacing w:line="240" w:lineRule="auto" w:before="53"/>
        <w:ind w:left="1291" w:right="0"/>
        <w:jc w:val="left"/>
      </w:pPr>
      <w:r>
        <w:rPr>
          <w:rFonts w:ascii="Times New Roman" w:hAnsi="Times New Roman" w:cs="Times New Roman" w:eastAsia="Times New Roman" w:hint="default"/>
        </w:rPr>
        <w:t>13   </w:t>
      </w:r>
      <w:r>
        <w:rPr/>
        <w:t>温室气体在线监测 实现对空气中</w:t>
      </w:r>
      <w:r>
        <w:rPr>
          <w:rFonts w:ascii="Times New Roman" w:hAnsi="Times New Roman" w:cs="Times New Roman" w:eastAsia="Times New Roman" w:hint="default"/>
        </w:rPr>
        <w:t>CH4</w:t>
      </w:r>
      <w:r>
        <w:rPr/>
        <w:t>、</w:t>
      </w:r>
      <w:r>
        <w:rPr>
          <w:rFonts w:ascii="Times New Roman" w:hAnsi="Times New Roman" w:cs="Times New Roman" w:eastAsia="Times New Roman" w:hint="default"/>
        </w:rPr>
        <w:t>CO2</w:t>
      </w:r>
      <w:r>
        <w:rPr/>
        <w:t>、</w:t>
      </w:r>
      <w:r>
        <w:rPr>
          <w:rFonts w:ascii="Times New Roman" w:hAnsi="Times New Roman" w:cs="Times New Roman" w:eastAsia="Times New Roman" w:hint="default"/>
        </w:rPr>
        <w:t>N2O</w:t>
      </w:r>
      <w:r>
        <w:rPr/>
        <w:t>、 系统集成，</w:t>
      </w:r>
      <w:r>
        <w:rPr>
          <w:spacing w:val="-49"/>
        </w:rPr>
        <w:t> </w:t>
      </w:r>
      <w:r>
        <w:rPr/>
        <w:t>研制出监测空气中温室气体的整套系统，</w:t>
        <w:tab/>
        <w:t>自立</w:t>
      </w:r>
    </w:p>
    <w:p>
      <w:pPr>
        <w:pStyle w:val="BodyText"/>
        <w:tabs>
          <w:tab w:pos="3222" w:val="left" w:leader="none"/>
          <w:tab w:pos="5902" w:val="left" w:leader="none"/>
        </w:tabs>
        <w:spacing w:line="240" w:lineRule="auto" w:before="63"/>
        <w:ind w:left="1640" w:right="0"/>
        <w:jc w:val="left"/>
      </w:pPr>
      <w:r>
        <w:rPr/>
        <w:t>项目</w:t>
        <w:tab/>
      </w:r>
      <w:r>
        <w:rPr>
          <w:rFonts w:ascii="Times New Roman" w:hAnsi="Times New Roman" w:cs="Times New Roman" w:eastAsia="Times New Roman" w:hint="default"/>
          <w:spacing w:val="-1"/>
        </w:rPr>
        <w:t>H2O</w:t>
      </w:r>
      <w:r>
        <w:rPr>
          <w:spacing w:val="-1"/>
        </w:rPr>
        <w:t>和</w:t>
      </w:r>
      <w:r>
        <w:rPr>
          <w:rFonts w:ascii="Times New Roman" w:hAnsi="Times New Roman" w:cs="Times New Roman" w:eastAsia="Times New Roman" w:hint="default"/>
          <w:spacing w:val="-1"/>
        </w:rPr>
        <w:t>O3</w:t>
      </w:r>
      <w:r>
        <w:rPr>
          <w:spacing w:val="-1"/>
        </w:rPr>
        <w:t>的监测。</w:t>
        <w:tab/>
      </w:r>
      <w:r>
        <w:rPr/>
        <w:t>已批量生产</w:t>
      </w:r>
      <w:r>
        <w:rPr>
          <w:spacing w:val="-68"/>
        </w:rPr>
        <w:t> </w:t>
      </w:r>
      <w:r>
        <w:rPr/>
        <w:t>并实现数据采集和管理</w:t>
      </w:r>
    </w:p>
    <w:p>
      <w:pPr>
        <w:pStyle w:val="BodyText"/>
        <w:spacing w:line="240" w:lineRule="auto" w:before="97"/>
        <w:ind w:left="1291" w:right="0"/>
        <w:jc w:val="left"/>
      </w:pPr>
      <w:r>
        <w:rPr>
          <w:rFonts w:ascii="Times New Roman" w:hAnsi="Times New Roman" w:cs="Times New Roman" w:eastAsia="Times New Roman" w:hint="default"/>
        </w:rPr>
        <w:t>14    </w:t>
      </w:r>
      <w:r>
        <w:rPr/>
        <w:t>大气</w:t>
      </w:r>
      <w:r>
        <w:rPr>
          <w:rFonts w:ascii="Times New Roman" w:hAnsi="Times New Roman" w:cs="Times New Roman" w:eastAsia="Times New Roman" w:hint="default"/>
        </w:rPr>
        <w:t>VOC</w:t>
      </w:r>
      <w:r>
        <w:rPr/>
        <w:t>在线监测 </w:t>
      </w:r>
      <w:r>
        <w:rPr>
          <w:spacing w:val="7"/>
        </w:rPr>
        <w:t>实现对空气中</w:t>
      </w:r>
      <w:r>
        <w:rPr>
          <w:rFonts w:ascii="Times New Roman" w:hAnsi="Times New Roman" w:cs="Times New Roman" w:eastAsia="Times New Roman" w:hint="default"/>
          <w:spacing w:val="7"/>
        </w:rPr>
        <w:t>VOC</w:t>
      </w:r>
      <w:r>
        <w:rPr>
          <w:spacing w:val="7"/>
        </w:rPr>
        <w:t>的在线监测和 </w:t>
      </w:r>
      <w:r>
        <w:rPr/>
        <w:t>系统集成， 研制出监测空气中</w:t>
      </w:r>
      <w:r>
        <w:rPr>
          <w:rFonts w:ascii="Times New Roman" w:hAnsi="Times New Roman" w:cs="Times New Roman" w:eastAsia="Times New Roman" w:hint="default"/>
        </w:rPr>
        <w:t>VOC</w:t>
      </w:r>
      <w:r>
        <w:rPr/>
        <w:t>气体的整套系统，</w:t>
      </w:r>
      <w:r>
        <w:rPr>
          <w:spacing w:val="-21"/>
        </w:rPr>
        <w:t> </w:t>
      </w:r>
      <w:r>
        <w:rPr/>
        <w:t>自立</w:t>
      </w:r>
    </w:p>
    <w:p>
      <w:pPr>
        <w:pStyle w:val="BodyText"/>
        <w:tabs>
          <w:tab w:pos="3222" w:val="left" w:leader="none"/>
          <w:tab w:pos="5902" w:val="left" w:leader="none"/>
        </w:tabs>
        <w:spacing w:line="240" w:lineRule="auto" w:before="63"/>
        <w:ind w:left="1640" w:right="0"/>
        <w:jc w:val="left"/>
      </w:pPr>
      <w:r>
        <w:rPr/>
        <w:t>项目</w:t>
        <w:tab/>
        <w:t>数据采集</w:t>
        <w:tab/>
        <w:t>已全面推广</w:t>
      </w:r>
      <w:r>
        <w:rPr>
          <w:spacing w:val="-68"/>
        </w:rPr>
        <w:t> </w:t>
      </w:r>
      <w:r>
        <w:rPr/>
        <w:t>并实现数据采集和管理</w:t>
      </w:r>
    </w:p>
    <w:p>
      <w:pPr>
        <w:spacing w:after="0" w:line="240" w:lineRule="auto"/>
        <w:jc w:val="left"/>
        <w:sectPr>
          <w:type w:val="continuous"/>
          <w:pgSz w:w="11910" w:h="16840"/>
          <w:pgMar w:top="1060" w:bottom="1160" w:left="0" w:right="0"/>
        </w:sectPr>
      </w:pPr>
    </w:p>
    <w:p>
      <w:pPr>
        <w:pStyle w:val="BodyText"/>
        <w:tabs>
          <w:tab w:pos="3222" w:val="left" w:leader="none"/>
        </w:tabs>
        <w:spacing w:line="300" w:lineRule="auto" w:before="111"/>
        <w:ind w:left="1640" w:right="0" w:hanging="350"/>
        <w:jc w:val="left"/>
      </w:pPr>
      <w:r>
        <w:rPr>
          <w:rFonts w:ascii="Times New Roman" w:hAnsi="Times New Roman" w:cs="Times New Roman" w:eastAsia="Times New Roman" w:hint="default"/>
        </w:rPr>
        <w:t>15 CO</w:t>
      </w:r>
      <w:r>
        <w:rPr/>
        <w:t>、</w:t>
      </w:r>
      <w:r>
        <w:rPr>
          <w:rFonts w:ascii="Times New Roman" w:hAnsi="Times New Roman" w:cs="Times New Roman" w:eastAsia="Times New Roman" w:hint="default"/>
        </w:rPr>
        <w:t>O3</w:t>
      </w:r>
      <w:r>
        <w:rPr/>
        <w:t>自动监测仪</w:t>
      </w:r>
      <w:r>
        <w:rPr>
          <w:spacing w:val="-48"/>
        </w:rPr>
        <w:t> </w:t>
      </w:r>
      <w:r>
        <w:rPr/>
        <w:t>实现对大气扩充参数</w:t>
      </w:r>
      <w:r>
        <w:rPr>
          <w:rFonts w:ascii="Times New Roman" w:hAnsi="Times New Roman" w:cs="Times New Roman" w:eastAsia="Times New Roman" w:hint="default"/>
        </w:rPr>
        <w:t>CO</w:t>
      </w:r>
      <w:r>
        <w:rPr/>
        <w:t>和</w:t>
      </w:r>
      <w:r>
        <w:rPr>
          <w:rFonts w:ascii="Times New Roman" w:hAnsi="Times New Roman" w:cs="Times New Roman" w:eastAsia="Times New Roman" w:hint="default"/>
        </w:rPr>
        <w:t>O3</w:t>
      </w:r>
      <w:r>
        <w:rPr/>
        <w:t>浓度</w:t>
      </w:r>
      <w:r>
        <w:rPr>
          <w:spacing w:val="2"/>
        </w:rPr>
        <w:t> </w:t>
      </w:r>
      <w:r>
        <w:rPr/>
        <w:t>项目</w:t>
        <w:tab/>
        <w:t>的监测</w:t>
      </w:r>
    </w:p>
    <w:p>
      <w:pPr>
        <w:pStyle w:val="BodyText"/>
        <w:tabs>
          <w:tab w:pos="4354" w:val="left" w:leader="none"/>
        </w:tabs>
        <w:spacing w:line="300" w:lineRule="auto" w:before="111"/>
        <w:ind w:left="901" w:right="1266" w:hanging="833"/>
        <w:jc w:val="left"/>
      </w:pPr>
      <w:r>
        <w:rPr/>
        <w:br w:type="column"/>
      </w:r>
      <w:r>
        <w:rPr/>
        <w:t>批量生产</w:t>
      </w:r>
      <w:r>
        <w:rPr>
          <w:spacing w:val="29"/>
        </w:rPr>
        <w:t> </w:t>
      </w:r>
      <w:r>
        <w:rPr/>
        <w:t>研制出</w:t>
      </w:r>
      <w:r>
        <w:rPr>
          <w:rFonts w:ascii="Times New Roman" w:hAnsi="Times New Roman" w:cs="Times New Roman" w:eastAsia="Times New Roman" w:hint="default"/>
        </w:rPr>
        <w:t>CO</w:t>
      </w:r>
      <w:r>
        <w:rPr/>
        <w:t>自动监测仪和</w:t>
      </w:r>
      <w:r>
        <w:rPr>
          <w:rFonts w:ascii="Times New Roman" w:hAnsi="Times New Roman" w:cs="Times New Roman" w:eastAsia="Times New Roman" w:hint="default"/>
        </w:rPr>
        <w:t>O3</w:t>
      </w:r>
      <w:r>
        <w:rPr/>
        <w:t>自动监测仪，</w:t>
        <w:tab/>
        <w:t>自立 为空气监测参数扩充提供仪器</w:t>
      </w:r>
    </w:p>
    <w:p>
      <w:pPr>
        <w:spacing w:after="0" w:line="300" w:lineRule="auto"/>
        <w:jc w:val="left"/>
        <w:sectPr>
          <w:type w:val="continuous"/>
          <w:pgSz w:w="11910" w:h="16840"/>
          <w:pgMar w:top="1060" w:bottom="1160" w:left="0" w:right="0"/>
          <w:cols w:num="2" w:equalWidth="0">
            <w:col w:w="5884" w:space="40"/>
            <w:col w:w="5986"/>
          </w:cols>
        </w:sectPr>
      </w:pPr>
    </w:p>
    <w:p>
      <w:pPr>
        <w:pStyle w:val="BodyText"/>
        <w:tabs>
          <w:tab w:pos="3222" w:val="left" w:leader="none"/>
        </w:tabs>
        <w:spacing w:line="300" w:lineRule="auto" w:before="66"/>
        <w:ind w:left="3222" w:right="0" w:hanging="1932"/>
        <w:jc w:val="left"/>
      </w:pPr>
      <w:r>
        <w:rPr>
          <w:rFonts w:ascii="Times New Roman" w:hAnsi="Times New Roman" w:cs="Times New Roman" w:eastAsia="Times New Roman" w:hint="default"/>
        </w:rPr>
        <w:t>16  </w:t>
      </w:r>
      <w:r>
        <w:rPr>
          <w:rFonts w:ascii="Times New Roman" w:hAnsi="Times New Roman" w:cs="Times New Roman" w:eastAsia="Times New Roman" w:hint="default"/>
          <w:spacing w:val="34"/>
        </w:rPr>
        <w:t> </w:t>
      </w:r>
      <w:r>
        <w:rPr/>
        <w:t>地下水监测系统</w:t>
        <w:tab/>
      </w:r>
      <w:r>
        <w:rPr>
          <w:spacing w:val="9"/>
        </w:rPr>
        <w:t>配合南水北调项目提供地下水监</w:t>
      </w:r>
      <w:r>
        <w:rPr/>
        <w:t> 测系统</w:t>
      </w:r>
    </w:p>
    <w:p>
      <w:pPr>
        <w:pStyle w:val="BodyText"/>
        <w:tabs>
          <w:tab w:pos="4359" w:val="left" w:leader="none"/>
        </w:tabs>
        <w:spacing w:line="316" w:lineRule="auto" w:before="66"/>
        <w:ind w:left="907" w:right="1266" w:hanging="833"/>
        <w:jc w:val="left"/>
      </w:pPr>
      <w:r>
        <w:rPr/>
        <w:br w:type="column"/>
      </w:r>
      <w:r>
        <w:rPr/>
        <w:t>批量生产</w:t>
      </w:r>
      <w:r>
        <w:rPr>
          <w:spacing w:val="35"/>
        </w:rPr>
        <w:t> </w:t>
      </w:r>
      <w:r>
        <w:rPr>
          <w:spacing w:val="6"/>
        </w:rPr>
        <w:t>研制出地下水监测的各参数仪器以及配</w:t>
        <w:tab/>
      </w:r>
      <w:r>
        <w:rPr/>
        <w:t>自立</w:t>
      </w:r>
      <w:r>
        <w:rPr/>
        <w:t> 套系统的开发</w:t>
      </w:r>
    </w:p>
    <w:p>
      <w:pPr>
        <w:spacing w:after="0" w:line="316" w:lineRule="auto"/>
        <w:jc w:val="left"/>
        <w:sectPr>
          <w:type w:val="continuous"/>
          <w:pgSz w:w="11910" w:h="16840"/>
          <w:pgMar w:top="1060" w:bottom="1160" w:left="0" w:right="0"/>
          <w:cols w:num="2" w:equalWidth="0">
            <w:col w:w="5878" w:space="40"/>
            <w:col w:w="5992"/>
          </w:cols>
        </w:sectPr>
      </w:pPr>
    </w:p>
    <w:p>
      <w:pPr>
        <w:pStyle w:val="BodyText"/>
        <w:tabs>
          <w:tab w:pos="10277" w:val="left" w:leader="none"/>
        </w:tabs>
        <w:spacing w:line="240" w:lineRule="auto" w:before="53"/>
        <w:ind w:left="1291" w:right="0"/>
        <w:jc w:val="left"/>
      </w:pPr>
      <w:r>
        <w:rPr>
          <w:rFonts w:ascii="Times New Roman" w:hAnsi="Times New Roman" w:cs="Times New Roman" w:eastAsia="Times New Roman" w:hint="default"/>
        </w:rPr>
        <w:t>17   </w:t>
      </w:r>
      <w:r>
        <w:rPr/>
        <w:t>中石油环境应急监 </w:t>
      </w:r>
      <w:r>
        <w:rPr>
          <w:spacing w:val="9"/>
        </w:rPr>
        <w:t>为中石油提供一套大气和水质环 </w:t>
      </w:r>
      <w:r>
        <w:rPr/>
        <w:t>已完成验收</w:t>
      </w:r>
      <w:r>
        <w:rPr>
          <w:spacing w:val="-42"/>
        </w:rPr>
        <w:t> </w:t>
      </w:r>
      <w:r>
        <w:rPr>
          <w:spacing w:val="6"/>
        </w:rPr>
        <w:t>研制一套大气和水质环境应急监测的综</w:t>
        <w:tab/>
      </w:r>
      <w:r>
        <w:rPr/>
        <w:t>自立</w:t>
      </w:r>
    </w:p>
    <w:p>
      <w:pPr>
        <w:spacing w:after="0" w:line="240" w:lineRule="auto"/>
        <w:jc w:val="left"/>
        <w:sectPr>
          <w:type w:val="continuous"/>
          <w:pgSz w:w="11910" w:h="16840"/>
          <w:pgMar w:top="1060" w:bottom="1160" w:left="0" w:right="0"/>
        </w:sectPr>
      </w:pPr>
    </w:p>
    <w:p>
      <w:pPr>
        <w:pStyle w:val="BodyText"/>
        <w:spacing w:line="240" w:lineRule="auto" w:before="63"/>
        <w:ind w:left="1640" w:right="-20"/>
        <w:jc w:val="left"/>
      </w:pPr>
      <w:r>
        <w:rPr/>
        <w:t>测管理软件</w:t>
      </w:r>
    </w:p>
    <w:p>
      <w:pPr>
        <w:pStyle w:val="BodyText"/>
        <w:spacing w:line="240" w:lineRule="auto" w:before="63"/>
        <w:ind w:left="641" w:right="-20"/>
        <w:jc w:val="left"/>
      </w:pPr>
      <w:r>
        <w:rPr/>
        <w:br w:type="column"/>
      </w:r>
      <w:r>
        <w:rPr/>
        <w:t>境应急监测的综合管理平台</w:t>
      </w:r>
    </w:p>
    <w:p>
      <w:pPr>
        <w:pStyle w:val="BodyText"/>
        <w:spacing w:line="316" w:lineRule="auto" w:before="63"/>
        <w:ind w:left="1402" w:right="1894"/>
        <w:jc w:val="left"/>
      </w:pPr>
      <w:r>
        <w:rPr>
          <w:spacing w:val="-4"/>
        </w:rPr>
        <w:br w:type="column"/>
      </w:r>
      <w:r>
        <w:rPr>
          <w:spacing w:val="-4"/>
        </w:rPr>
        <w:t>合管理平台软件，为中石油提供环境应急</w:t>
      </w:r>
      <w:r>
        <w:rPr>
          <w:spacing w:val="-77"/>
        </w:rPr>
        <w:t> </w:t>
      </w:r>
      <w:r>
        <w:rPr>
          <w:spacing w:val="-77"/>
        </w:rPr>
      </w:r>
      <w:r>
        <w:rPr/>
        <w:t>管理解决方案。</w:t>
      </w:r>
    </w:p>
    <w:p>
      <w:pPr>
        <w:spacing w:after="0" w:line="316" w:lineRule="auto"/>
        <w:jc w:val="left"/>
        <w:sectPr>
          <w:type w:val="continuous"/>
          <w:pgSz w:w="11910" w:h="16840"/>
          <w:pgMar w:top="1060" w:bottom="1160" w:left="0" w:right="0"/>
          <w:cols w:num="3" w:equalWidth="0">
            <w:col w:w="2541" w:space="40"/>
            <w:col w:w="2802" w:space="40"/>
            <w:col w:w="6487"/>
          </w:cols>
        </w:sectPr>
      </w:pPr>
    </w:p>
    <w:p>
      <w:pPr>
        <w:pStyle w:val="BodyText"/>
        <w:tabs>
          <w:tab w:pos="10277" w:val="left" w:leader="none"/>
        </w:tabs>
        <w:spacing w:line="240" w:lineRule="auto" w:before="55"/>
        <w:ind w:left="1291" w:right="0"/>
        <w:jc w:val="left"/>
      </w:pPr>
      <w:r>
        <w:rPr>
          <w:rFonts w:ascii="Times New Roman" w:hAnsi="Times New Roman" w:cs="Times New Roman" w:eastAsia="Times New Roman" w:hint="default"/>
        </w:rPr>
        <w:t>18   </w:t>
      </w:r>
      <w:r>
        <w:rPr/>
        <w:t>大气环境自动监测 </w:t>
      </w:r>
      <w:r>
        <w:rPr>
          <w:spacing w:val="9"/>
        </w:rPr>
        <w:t>为大气复合污染以及区域联防联 </w:t>
      </w:r>
      <w:r>
        <w:rPr/>
        <w:t>已完成验收</w:t>
      </w:r>
      <w:r>
        <w:rPr>
          <w:spacing w:val="-56"/>
        </w:rPr>
        <w:t> </w:t>
      </w:r>
      <w:r>
        <w:rPr/>
        <w:t>研制一套大气复合污染的管理平台软件，</w:t>
        <w:tab/>
        <w:t>自立</w:t>
      </w:r>
    </w:p>
    <w:p>
      <w:pPr>
        <w:spacing w:after="0" w:line="240" w:lineRule="auto"/>
        <w:jc w:val="left"/>
        <w:sectPr>
          <w:type w:val="continuous"/>
          <w:pgSz w:w="11910" w:h="16840"/>
          <w:pgMar w:top="1060" w:bottom="1160" w:left="0" w:right="0"/>
        </w:sectPr>
      </w:pPr>
    </w:p>
    <w:p>
      <w:pPr>
        <w:pStyle w:val="BodyText"/>
        <w:spacing w:line="316" w:lineRule="auto" w:before="63"/>
        <w:ind w:left="1640" w:right="-18"/>
        <w:jc w:val="left"/>
      </w:pPr>
      <w:r>
        <w:rPr>
          <w:spacing w:val="-7"/>
        </w:rPr>
        <w:t>信息综合管理、预报</w:t>
      </w:r>
      <w:r>
        <w:rPr>
          <w:spacing w:val="-67"/>
        </w:rPr>
        <w:t> </w:t>
      </w:r>
      <w:r>
        <w:rPr/>
        <w:t>控提供一套管理软件平台</w:t>
      </w:r>
      <w:r>
        <w:rPr/>
        <w:t> 预警及决策支持系</w:t>
      </w:r>
    </w:p>
    <w:p>
      <w:pPr>
        <w:pStyle w:val="BodyText"/>
        <w:spacing w:line="240" w:lineRule="auto" w:before="19"/>
        <w:ind w:left="1640" w:right="-18"/>
        <w:jc w:val="left"/>
      </w:pPr>
      <w:r>
        <w:rPr/>
        <w:t>统管理软件</w:t>
      </w:r>
    </w:p>
    <w:p>
      <w:pPr>
        <w:pStyle w:val="BodyText"/>
        <w:spacing w:line="316" w:lineRule="auto" w:before="63"/>
        <w:ind w:left="1582" w:right="1894"/>
        <w:jc w:val="left"/>
      </w:pPr>
      <w:r>
        <w:rPr>
          <w:spacing w:val="-4"/>
        </w:rPr>
        <w:br w:type="column"/>
      </w:r>
      <w:r>
        <w:rPr>
          <w:spacing w:val="-4"/>
        </w:rPr>
        <w:t>包括污染扩散模型、预警预报和决策支持</w:t>
      </w:r>
      <w:r>
        <w:rPr>
          <w:spacing w:val="-77"/>
        </w:rPr>
        <w:t> </w:t>
      </w:r>
      <w:r>
        <w:rPr>
          <w:spacing w:val="-77"/>
        </w:rPr>
      </w:r>
      <w:r>
        <w:rPr/>
        <w:t>等功能。</w:t>
      </w:r>
    </w:p>
    <w:p>
      <w:pPr>
        <w:spacing w:after="0" w:line="316" w:lineRule="auto"/>
        <w:jc w:val="left"/>
        <w:sectPr>
          <w:type w:val="continuous"/>
          <w:pgSz w:w="11910" w:h="16840"/>
          <w:pgMar w:top="1060" w:bottom="1160" w:left="0" w:right="0"/>
          <w:cols w:num="2" w:equalWidth="0">
            <w:col w:w="5203" w:space="40"/>
            <w:col w:w="6667"/>
          </w:cols>
        </w:sectPr>
      </w:pPr>
    </w:p>
    <w:p>
      <w:pPr>
        <w:pStyle w:val="BodyText"/>
        <w:spacing w:line="240" w:lineRule="auto" w:before="111"/>
        <w:ind w:left="1291" w:right="-20"/>
        <w:jc w:val="left"/>
      </w:pPr>
      <w:r>
        <w:rPr>
          <w:rFonts w:ascii="Times New Roman" w:hAnsi="Times New Roman" w:cs="Times New Roman" w:eastAsia="Times New Roman" w:hint="default"/>
        </w:rPr>
        <w:t>19  </w:t>
      </w:r>
      <w:r>
        <w:rPr>
          <w:rFonts w:ascii="Times New Roman" w:hAnsi="Times New Roman" w:cs="Times New Roman" w:eastAsia="Times New Roman" w:hint="default"/>
          <w:spacing w:val="34"/>
        </w:rPr>
        <w:t> </w:t>
      </w:r>
      <w:r>
        <w:rPr/>
        <w:t>水环境自动监测信</w:t>
      </w:r>
    </w:p>
    <w:p>
      <w:pPr>
        <w:pStyle w:val="BodyText"/>
        <w:spacing w:line="240" w:lineRule="auto" w:before="111"/>
        <w:ind w:left="101" w:right="-10"/>
        <w:jc w:val="left"/>
      </w:pPr>
      <w:r>
        <w:rPr>
          <w:spacing w:val="9"/>
        </w:rPr>
        <w:br w:type="column"/>
      </w:r>
      <w:r>
        <w:rPr>
          <w:spacing w:val="9"/>
        </w:rPr>
        <w:t>为水质污染监测提供一套综合管</w:t>
      </w:r>
    </w:p>
    <w:p>
      <w:pPr>
        <w:pStyle w:val="BodyText"/>
        <w:tabs>
          <w:tab w:pos="4359" w:val="left" w:leader="none"/>
        </w:tabs>
        <w:spacing w:line="240" w:lineRule="auto" w:before="111"/>
        <w:ind w:left="74" w:right="0"/>
        <w:jc w:val="left"/>
      </w:pPr>
      <w:r>
        <w:rPr/>
        <w:br w:type="column"/>
      </w:r>
      <w:r>
        <w:rPr/>
        <w:t>研制阶段</w:t>
      </w:r>
      <w:r>
        <w:rPr>
          <w:spacing w:val="22"/>
        </w:rPr>
        <w:t> </w:t>
      </w:r>
      <w:r>
        <w:rPr/>
        <w:t>研制一套水质综合污染的管理平台软件，</w:t>
        <w:tab/>
        <w:t>自立</w:t>
      </w:r>
    </w:p>
    <w:p>
      <w:pPr>
        <w:spacing w:after="0" w:line="240" w:lineRule="auto"/>
        <w:jc w:val="left"/>
        <w:sectPr>
          <w:type w:val="continuous"/>
          <w:pgSz w:w="11910" w:h="16840"/>
          <w:pgMar w:top="1060" w:bottom="1160" w:left="0" w:right="0"/>
          <w:cols w:num="3" w:equalWidth="0">
            <w:col w:w="3081" w:space="40"/>
            <w:col w:w="2758" w:space="40"/>
            <w:col w:w="5991"/>
          </w:cols>
        </w:sectPr>
      </w:pPr>
    </w:p>
    <w:p>
      <w:pPr>
        <w:pStyle w:val="BodyText"/>
        <w:spacing w:line="316" w:lineRule="auto" w:before="63"/>
        <w:ind w:left="1640" w:right="-18"/>
        <w:jc w:val="left"/>
      </w:pPr>
      <w:r>
        <w:rPr>
          <w:spacing w:val="-7"/>
        </w:rPr>
        <w:t>息综合管理、预报预</w:t>
      </w:r>
      <w:r>
        <w:rPr>
          <w:spacing w:val="-67"/>
        </w:rPr>
        <w:t> </w:t>
      </w:r>
      <w:r>
        <w:rPr/>
        <w:t>理软件平台</w:t>
      </w:r>
      <w:r>
        <w:rPr/>
        <w:t> 警及决策支持系统</w:t>
      </w:r>
    </w:p>
    <w:p>
      <w:pPr>
        <w:pStyle w:val="BodyText"/>
        <w:spacing w:line="240" w:lineRule="auto" w:before="19"/>
        <w:ind w:left="1622" w:right="1740"/>
        <w:jc w:val="center"/>
      </w:pPr>
      <w:r>
        <w:rPr/>
        <w:t>管理软件</w:t>
      </w:r>
    </w:p>
    <w:p>
      <w:pPr>
        <w:pStyle w:val="BodyText"/>
        <w:spacing w:line="316" w:lineRule="auto" w:before="63"/>
        <w:ind w:left="1640" w:right="1822"/>
        <w:jc w:val="left"/>
      </w:pPr>
      <w:r>
        <w:rPr>
          <w:spacing w:val="-4"/>
        </w:rPr>
        <w:br w:type="column"/>
      </w:r>
      <w:r>
        <w:rPr>
          <w:spacing w:val="-4"/>
        </w:rPr>
        <w:t>包括污染扩散模型、预警预报和决策支持</w:t>
      </w:r>
      <w:r>
        <w:rPr>
          <w:spacing w:val="-77"/>
        </w:rPr>
        <w:t> </w:t>
      </w:r>
      <w:r>
        <w:rPr>
          <w:spacing w:val="-77"/>
        </w:rPr>
      </w:r>
      <w:r>
        <w:rPr/>
        <w:t>等功能。业务范围包括地下水、饮用水、 地表水等监测管理。</w:t>
      </w:r>
    </w:p>
    <w:p>
      <w:pPr>
        <w:spacing w:after="0" w:line="316" w:lineRule="auto"/>
        <w:jc w:val="left"/>
        <w:sectPr>
          <w:type w:val="continuous"/>
          <w:pgSz w:w="11910" w:h="16840"/>
          <w:pgMar w:top="1060" w:bottom="1160" w:left="0" w:right="0"/>
          <w:cols w:num="2" w:equalWidth="0">
            <w:col w:w="4123" w:space="1061"/>
            <w:col w:w="6726"/>
          </w:cols>
        </w:sectPr>
      </w:pPr>
    </w:p>
    <w:p>
      <w:pPr>
        <w:pStyle w:val="BodyText"/>
        <w:spacing w:line="300" w:lineRule="auto" w:before="53"/>
        <w:ind w:left="1640" w:right="-20" w:hanging="350"/>
        <w:jc w:val="left"/>
      </w:pPr>
      <w:r>
        <w:rPr>
          <w:rFonts w:ascii="Times New Roman" w:hAnsi="Times New Roman" w:cs="Times New Roman" w:eastAsia="Times New Roman" w:hint="default"/>
        </w:rPr>
        <w:t>20</w:t>
      </w:r>
      <w:r>
        <w:rPr>
          <w:rFonts w:ascii="Times New Roman" w:hAnsi="Times New Roman" w:cs="Times New Roman" w:eastAsia="Times New Roman" w:hint="default"/>
          <w:spacing w:val="34"/>
        </w:rPr>
        <w:t> </w:t>
      </w:r>
      <w:r>
        <w:rPr/>
        <w:t>省环境监测仪器工 程实验室建设项目</w:t>
      </w:r>
    </w:p>
    <w:p>
      <w:pPr>
        <w:pStyle w:val="BodyText"/>
        <w:spacing w:line="316" w:lineRule="auto" w:before="53"/>
        <w:ind w:left="101" w:right="0"/>
        <w:jc w:val="both"/>
      </w:pPr>
      <w:r>
        <w:rPr>
          <w:spacing w:val="-3"/>
        </w:rPr>
        <w:br w:type="column"/>
      </w:r>
      <w:r>
        <w:rPr>
          <w:spacing w:val="-3"/>
        </w:rPr>
        <w:t>建设以水环境、大气环境为主的环</w:t>
      </w:r>
      <w:r>
        <w:rPr>
          <w:spacing w:val="-87"/>
        </w:rPr>
        <w:t> </w:t>
      </w:r>
      <w:r>
        <w:rPr>
          <w:spacing w:val="-87"/>
        </w:rPr>
      </w:r>
      <w:r>
        <w:rPr/>
        <w:t>境监测技术与仪器研发实验平台， </w:t>
      </w:r>
      <w:r>
        <w:rPr>
          <w:spacing w:val="9"/>
        </w:rPr>
        <w:t>提高我国环境污染监测装备的技</w:t>
      </w:r>
      <w:r>
        <w:rPr/>
        <w:t> 术水平和监测能力</w:t>
      </w:r>
    </w:p>
    <w:p>
      <w:pPr>
        <w:pStyle w:val="BodyText"/>
        <w:tabs>
          <w:tab w:pos="4315" w:val="left" w:leader="none"/>
        </w:tabs>
        <w:spacing w:line="316" w:lineRule="auto" w:before="53"/>
        <w:ind w:left="862" w:right="1086" w:hanging="833"/>
        <w:jc w:val="left"/>
      </w:pPr>
      <w:r>
        <w:rPr/>
        <w:br w:type="column"/>
      </w:r>
      <w:r>
        <w:rPr/>
        <w:t>完成建设 </w:t>
      </w:r>
      <w:r>
        <w:rPr>
          <w:spacing w:val="6"/>
        </w:rPr>
        <w:t>打造国际一流的环境监测仪器研发试验</w:t>
      </w:r>
      <w:r>
        <w:rPr>
          <w:spacing w:val="40"/>
        </w:rPr>
        <w:t> </w:t>
      </w:r>
      <w:r>
        <w:rPr/>
        <w:t>河北省发</w:t>
      </w:r>
      <w:r>
        <w:rPr/>
        <w:t> </w:t>
      </w:r>
      <w:r>
        <w:rPr>
          <w:spacing w:val="-4"/>
        </w:rPr>
        <w:t>平台。重点进行研发平台建设和试验平台</w:t>
        <w:tab/>
      </w:r>
      <w:r>
        <w:rPr/>
        <w:t>改委</w:t>
      </w:r>
      <w:r>
        <w:rPr/>
        <w:t> 建设。购置必要仪器设备，加强新技术、 </w:t>
      </w:r>
      <w:r>
        <w:rPr>
          <w:spacing w:val="-4"/>
        </w:rPr>
        <w:t>新产品的原理试验、关键部件试验、中间</w:t>
      </w:r>
      <w:r>
        <w:rPr/>
        <w:t> </w:t>
      </w:r>
      <w:r>
        <w:rPr>
          <w:spacing w:val="6"/>
        </w:rPr>
        <w:t>试验和小批量试制的体系建设和能力建</w:t>
      </w:r>
      <w:r>
        <w:rPr/>
        <w:t> </w:t>
      </w:r>
      <w:r>
        <w:rPr>
          <w:spacing w:val="-4"/>
        </w:rPr>
        <w:t>设。提高工艺设计试验、电气试验、光学</w:t>
      </w:r>
      <w:r>
        <w:rPr/>
        <w:t> 试验、化学试验、环境试验的能力。</w:t>
      </w:r>
    </w:p>
    <w:p>
      <w:pPr>
        <w:spacing w:after="0" w:line="316" w:lineRule="auto"/>
        <w:jc w:val="left"/>
        <w:sectPr>
          <w:type w:val="continuous"/>
          <w:pgSz w:w="11910" w:h="16840"/>
          <w:pgMar w:top="1060" w:bottom="1160" w:left="0" w:right="0"/>
          <w:cols w:num="3" w:equalWidth="0">
            <w:col w:w="3081" w:space="40"/>
            <w:col w:w="2802" w:space="40"/>
            <w:col w:w="5947"/>
          </w:cols>
        </w:sectPr>
      </w:pPr>
    </w:p>
    <w:p>
      <w:pPr>
        <w:pStyle w:val="BodyText"/>
        <w:spacing w:line="300" w:lineRule="auto" w:before="53"/>
        <w:ind w:left="1640" w:right="-20" w:hanging="350"/>
        <w:jc w:val="left"/>
      </w:pPr>
      <w:r>
        <w:rPr/>
        <w:pict>
          <v:group style="position:absolute;margin-left:56.34pt;margin-top:71.629982pt;width:489.1pt;height:698.6pt;mso-position-horizontal-relative:page;mso-position-vertical-relative:page;z-index:-985936" coordorigin="1127,1433" coordsize="9782,13972">
            <v:group style="position:absolute;left:1141;top:1447;width:482;height:2" coordorigin="1141,1447" coordsize="482,2">
              <v:shape style="position:absolute;left:1141;top:1447;width:482;height:2" coordorigin="1141,1447" coordsize="482,0" path="m1141,1447l1622,1447e" filled="false" stroked="true" strokeweight=".72pt" strokecolor="#000000">
                <v:path arrowok="t"/>
              </v:shape>
            </v:group>
            <v:group style="position:absolute;left:1637;top:1447;width:1569;height:2" coordorigin="1637,1447" coordsize="1569,2">
              <v:shape style="position:absolute;left:1637;top:1447;width:1569;height:2" coordorigin="1637,1447" coordsize="1569,0" path="m1637,1447l3206,1447e" filled="false" stroked="true" strokeweight=".72pt" strokecolor="#000000">
                <v:path arrowok="t"/>
              </v:shape>
            </v:group>
            <v:group style="position:absolute;left:3220;top:1447;width:2664;height:2" coordorigin="3220,1447" coordsize="2664,2">
              <v:shape style="position:absolute;left:3220;top:1447;width:2664;height:2" coordorigin="3220,1447" coordsize="2664,0" path="m3220,1447l5883,1447e" filled="false" stroked="true" strokeweight=".72pt" strokecolor="#000000">
                <v:path arrowok="t"/>
              </v:shape>
            </v:group>
            <v:group style="position:absolute;left:5898;top:1447;width:910;height:2" coordorigin="5898,1447" coordsize="910,2">
              <v:shape style="position:absolute;left:5898;top:1447;width:910;height:2" coordorigin="5898,1447" coordsize="910,0" path="m5898,1447l6807,1447e" filled="false" stroked="true" strokeweight=".72pt" strokecolor="#000000">
                <v:path arrowok="t"/>
              </v:shape>
            </v:group>
            <v:group style="position:absolute;left:6822;top:1447;width:3188;height:2" coordorigin="6822,1447" coordsize="3188,2">
              <v:shape style="position:absolute;left:6822;top:1447;width:3188;height:2" coordorigin="6822,1447" coordsize="3188,0" path="m6822,1447l10009,1447e" filled="false" stroked="true" strokeweight=".72pt" strokecolor="#000000">
                <v:path arrowok="t"/>
              </v:shape>
            </v:group>
            <v:group style="position:absolute;left:10024;top:1447;width:870;height:2" coordorigin="10024,1447" coordsize="870,2">
              <v:shape style="position:absolute;left:10024;top:1447;width:870;height:2" coordorigin="10024,1447" coordsize="870,0" path="m10024,1447l10894,1447e" filled="false" stroked="true" strokeweight=".72pt" strokecolor="#000000">
                <v:path arrowok="t"/>
              </v:shape>
            </v:group>
            <v:group style="position:absolute;left:1141;top:2418;width:482;height:2" coordorigin="1141,2418" coordsize="482,2">
              <v:shape style="position:absolute;left:1141;top:2418;width:482;height:2" coordorigin="1141,2418" coordsize="482,0" path="m1141,2418l1622,2418e" filled="false" stroked="true" strokeweight=".72pt" strokecolor="#000000">
                <v:path arrowok="t"/>
              </v:shape>
            </v:group>
            <v:group style="position:absolute;left:1637;top:2418;width:1569;height:2" coordorigin="1637,2418" coordsize="1569,2">
              <v:shape style="position:absolute;left:1637;top:2418;width:1569;height:2" coordorigin="1637,2418" coordsize="1569,0" path="m1637,2418l3206,2418e" filled="false" stroked="true" strokeweight=".72pt" strokecolor="#000000">
                <v:path arrowok="t"/>
              </v:shape>
            </v:group>
            <v:group style="position:absolute;left:3220;top:2418;width:2664;height:2" coordorigin="3220,2418" coordsize="2664,2">
              <v:shape style="position:absolute;left:3220;top:2418;width:2664;height:2" coordorigin="3220,2418" coordsize="2664,0" path="m3220,2418l5883,2418e" filled="false" stroked="true" strokeweight=".72pt" strokecolor="#000000">
                <v:path arrowok="t"/>
              </v:shape>
            </v:group>
            <v:group style="position:absolute;left:5898;top:2418;width:910;height:2" coordorigin="5898,2418" coordsize="910,2">
              <v:shape style="position:absolute;left:5898;top:2418;width:910;height:2" coordorigin="5898,2418" coordsize="910,0" path="m5898,2418l6807,2418e" filled="false" stroked="true" strokeweight=".72pt" strokecolor="#000000">
                <v:path arrowok="t"/>
              </v:shape>
            </v:group>
            <v:group style="position:absolute;left:6822;top:2418;width:3188;height:2" coordorigin="6822,2418" coordsize="3188,2">
              <v:shape style="position:absolute;left:6822;top:2418;width:3188;height:2" coordorigin="6822,2418" coordsize="3188,0" path="m6822,2418l10009,2418e" filled="false" stroked="true" strokeweight=".72pt" strokecolor="#000000">
                <v:path arrowok="t"/>
              </v:shape>
            </v:group>
            <v:group style="position:absolute;left:10024;top:2418;width:870;height:2" coordorigin="10024,2418" coordsize="870,2">
              <v:shape style="position:absolute;left:10024;top:2418;width:870;height:2" coordorigin="10024,2418" coordsize="870,0" path="m10024,2418l10894,2418e" filled="false" stroked="true" strokeweight=".72pt" strokecolor="#000000">
                <v:path arrowok="t"/>
              </v:shape>
            </v:group>
            <v:group style="position:absolute;left:1141;top:3077;width:482;height:2" coordorigin="1141,3077" coordsize="482,2">
              <v:shape style="position:absolute;left:1141;top:3077;width:482;height:2" coordorigin="1141,3077" coordsize="482,0" path="m1141,3077l1622,3077e" filled="false" stroked="true" strokeweight=".72pt" strokecolor="#000000">
                <v:path arrowok="t"/>
              </v:shape>
            </v:group>
            <v:group style="position:absolute;left:1637;top:3077;width:1569;height:2" coordorigin="1637,3077" coordsize="1569,2">
              <v:shape style="position:absolute;left:1637;top:3077;width:1569;height:2" coordorigin="1637,3077" coordsize="1569,0" path="m1637,3077l3206,3077e" filled="false" stroked="true" strokeweight=".72pt" strokecolor="#000000">
                <v:path arrowok="t"/>
              </v:shape>
            </v:group>
            <v:group style="position:absolute;left:3220;top:3077;width:2664;height:2" coordorigin="3220,3077" coordsize="2664,2">
              <v:shape style="position:absolute;left:3220;top:3077;width:2664;height:2" coordorigin="3220,3077" coordsize="2664,0" path="m3220,3077l5883,3077e" filled="false" stroked="true" strokeweight=".72pt" strokecolor="#000000">
                <v:path arrowok="t"/>
              </v:shape>
            </v:group>
            <v:group style="position:absolute;left:5898;top:3077;width:910;height:2" coordorigin="5898,3077" coordsize="910,2">
              <v:shape style="position:absolute;left:5898;top:3077;width:910;height:2" coordorigin="5898,3077" coordsize="910,0" path="m5898,3077l6807,3077e" filled="false" stroked="true" strokeweight=".72pt" strokecolor="#000000">
                <v:path arrowok="t"/>
              </v:shape>
            </v:group>
            <v:group style="position:absolute;left:6822;top:3077;width:3188;height:2" coordorigin="6822,3077" coordsize="3188,2">
              <v:shape style="position:absolute;left:6822;top:3077;width:3188;height:2" coordorigin="6822,3077" coordsize="3188,0" path="m6822,3077l10009,3077e" filled="false" stroked="true" strokeweight=".72pt" strokecolor="#000000">
                <v:path arrowok="t"/>
              </v:shape>
            </v:group>
            <v:group style="position:absolute;left:1141;top:3736;width:482;height:2" coordorigin="1141,3736" coordsize="482,2">
              <v:shape style="position:absolute;left:1141;top:3736;width:482;height:2" coordorigin="1141,3736" coordsize="482,0" path="m1141,3736l1622,3736e" filled="false" stroked="true" strokeweight=".72pt" strokecolor="#000000">
                <v:path arrowok="t"/>
              </v:shape>
            </v:group>
            <v:group style="position:absolute;left:1637;top:3736;width:1569;height:2" coordorigin="1637,3736" coordsize="1569,2">
              <v:shape style="position:absolute;left:1637;top:3736;width:1569;height:2" coordorigin="1637,3736" coordsize="1569,0" path="m1637,3736l3206,3736e" filled="false" stroked="true" strokeweight=".72pt" strokecolor="#000000">
                <v:path arrowok="t"/>
              </v:shape>
            </v:group>
            <v:group style="position:absolute;left:3220;top:3736;width:2664;height:2" coordorigin="3220,3736" coordsize="2664,2">
              <v:shape style="position:absolute;left:3220;top:3736;width:2664;height:2" coordorigin="3220,3736" coordsize="2664,0" path="m3220,3736l5883,3736e" filled="false" stroked="true" strokeweight=".72pt" strokecolor="#000000">
                <v:path arrowok="t"/>
              </v:shape>
            </v:group>
            <v:group style="position:absolute;left:5898;top:3736;width:910;height:2" coordorigin="5898,3736" coordsize="910,2">
              <v:shape style="position:absolute;left:5898;top:3736;width:910;height:2" coordorigin="5898,3736" coordsize="910,0" path="m5898,3736l6807,3736e" filled="false" stroked="true" strokeweight=".72pt" strokecolor="#000000">
                <v:path arrowok="t"/>
              </v:shape>
            </v:group>
            <v:group style="position:absolute;left:6822;top:3736;width:3188;height:2" coordorigin="6822,3736" coordsize="3188,2">
              <v:shape style="position:absolute;left:6822;top:3736;width:3188;height:2" coordorigin="6822,3736" coordsize="3188,0" path="m6822,3736l10009,3736e" filled="false" stroked="true" strokeweight=".72pt" strokecolor="#000000">
                <v:path arrowok="t"/>
              </v:shape>
            </v:group>
            <v:group style="position:absolute;left:1141;top:4396;width:482;height:2" coordorigin="1141,4396" coordsize="482,2">
              <v:shape style="position:absolute;left:1141;top:4396;width:482;height:2" coordorigin="1141,4396" coordsize="482,0" path="m1141,4396l1622,4396e" filled="false" stroked="true" strokeweight=".72pt" strokecolor="#000000">
                <v:path arrowok="t"/>
              </v:shape>
            </v:group>
            <v:group style="position:absolute;left:1637;top:4396;width:1569;height:2" coordorigin="1637,4396" coordsize="1569,2">
              <v:shape style="position:absolute;left:1637;top:4396;width:1569;height:2" coordorigin="1637,4396" coordsize="1569,0" path="m1637,4396l3206,4396e" filled="false" stroked="true" strokeweight=".72pt" strokecolor="#000000">
                <v:path arrowok="t"/>
              </v:shape>
            </v:group>
            <v:group style="position:absolute;left:3220;top:4396;width:2664;height:2" coordorigin="3220,4396" coordsize="2664,2">
              <v:shape style="position:absolute;left:3220;top:4396;width:2664;height:2" coordorigin="3220,4396" coordsize="2664,0" path="m3220,4396l5883,4396e" filled="false" stroked="true" strokeweight=".72pt" strokecolor="#000000">
                <v:path arrowok="t"/>
              </v:shape>
            </v:group>
            <v:group style="position:absolute;left:5898;top:4396;width:910;height:2" coordorigin="5898,4396" coordsize="910,2">
              <v:shape style="position:absolute;left:5898;top:4396;width:910;height:2" coordorigin="5898,4396" coordsize="910,0" path="m5898,4396l6807,4396e" filled="false" stroked="true" strokeweight=".72pt" strokecolor="#000000">
                <v:path arrowok="t"/>
              </v:shape>
            </v:group>
            <v:group style="position:absolute;left:6822;top:4396;width:3188;height:2" coordorigin="6822,4396" coordsize="3188,2">
              <v:shape style="position:absolute;left:6822;top:4396;width:3188;height:2" coordorigin="6822,4396" coordsize="3188,0" path="m6822,4396l10009,4396e" filled="false" stroked="true" strokeweight=".72pt" strokecolor="#000000">
                <v:path arrowok="t"/>
              </v:shape>
            </v:group>
            <v:group style="position:absolute;left:10024;top:4396;width:870;height:2" coordorigin="10024,4396" coordsize="870,2">
              <v:shape style="position:absolute;left:10024;top:4396;width:870;height:2" coordorigin="10024,4396" coordsize="870,0" path="m10024,4396l10894,4396e" filled="false" stroked="true" strokeweight=".72pt" strokecolor="#000000">
                <v:path arrowok="t"/>
              </v:shape>
            </v:group>
            <v:group style="position:absolute;left:1141;top:5679;width:482;height:2" coordorigin="1141,5679" coordsize="482,2">
              <v:shape style="position:absolute;left:1141;top:5679;width:482;height:2" coordorigin="1141,5679" coordsize="482,0" path="m1141,5679l1622,5679e" filled="false" stroked="true" strokeweight=".72pt" strokecolor="#000000">
                <v:path arrowok="t"/>
              </v:shape>
            </v:group>
            <v:group style="position:absolute;left:1637;top:5679;width:1569;height:2" coordorigin="1637,5679" coordsize="1569,2">
              <v:shape style="position:absolute;left:1637;top:5679;width:1569;height:2" coordorigin="1637,5679" coordsize="1569,0" path="m1637,5679l3206,5679e" filled="false" stroked="true" strokeweight=".72pt" strokecolor="#000000">
                <v:path arrowok="t"/>
              </v:shape>
            </v:group>
            <v:group style="position:absolute;left:3220;top:5679;width:2664;height:2" coordorigin="3220,5679" coordsize="2664,2">
              <v:shape style="position:absolute;left:3220;top:5679;width:2664;height:2" coordorigin="3220,5679" coordsize="2664,0" path="m3220,5679l5883,5679e" filled="false" stroked="true" strokeweight=".72pt" strokecolor="#000000">
                <v:path arrowok="t"/>
              </v:shape>
            </v:group>
            <v:group style="position:absolute;left:5898;top:5679;width:910;height:2" coordorigin="5898,5679" coordsize="910,2">
              <v:shape style="position:absolute;left:5898;top:5679;width:910;height:2" coordorigin="5898,5679" coordsize="910,0" path="m5898,5679l6807,5679e" filled="false" stroked="true" strokeweight=".72pt" strokecolor="#000000">
                <v:path arrowok="t"/>
              </v:shape>
            </v:group>
            <v:group style="position:absolute;left:6822;top:5679;width:3188;height:2" coordorigin="6822,5679" coordsize="3188,2">
              <v:shape style="position:absolute;left:6822;top:5679;width:3188;height:2" coordorigin="6822,5679" coordsize="3188,0" path="m6822,5679l10009,5679e" filled="false" stroked="true" strokeweight=".72pt" strokecolor="#000000">
                <v:path arrowok="t"/>
              </v:shape>
            </v:group>
            <v:group style="position:absolute;left:10024;top:5679;width:870;height:2" coordorigin="10024,5679" coordsize="870,2">
              <v:shape style="position:absolute;left:10024;top:5679;width:870;height:2" coordorigin="10024,5679" coordsize="870,0" path="m10024,5679l10894,5679e" filled="false" stroked="true" strokeweight=".72pt" strokecolor="#000000">
                <v:path arrowok="t"/>
              </v:shape>
            </v:group>
            <v:group style="position:absolute;left:1141;top:6338;width:482;height:2" coordorigin="1141,6338" coordsize="482,2">
              <v:shape style="position:absolute;left:1141;top:6338;width:482;height:2" coordorigin="1141,6338" coordsize="482,0" path="m1141,6338l1622,6338e" filled="false" stroked="true" strokeweight=".72pt" strokecolor="#000000">
                <v:path arrowok="t"/>
              </v:shape>
            </v:group>
            <v:group style="position:absolute;left:1637;top:6338;width:1569;height:2" coordorigin="1637,6338" coordsize="1569,2">
              <v:shape style="position:absolute;left:1637;top:6338;width:1569;height:2" coordorigin="1637,6338" coordsize="1569,0" path="m1637,6338l3206,6338e" filled="false" stroked="true" strokeweight=".72pt" strokecolor="#000000">
                <v:path arrowok="t"/>
              </v:shape>
            </v:group>
            <v:group style="position:absolute;left:3220;top:6338;width:2664;height:2" coordorigin="3220,6338" coordsize="2664,2">
              <v:shape style="position:absolute;left:3220;top:6338;width:2664;height:2" coordorigin="3220,6338" coordsize="2664,0" path="m3220,6338l5883,6338e" filled="false" stroked="true" strokeweight=".72pt" strokecolor="#000000">
                <v:path arrowok="t"/>
              </v:shape>
            </v:group>
            <v:group style="position:absolute;left:5898;top:6338;width:910;height:2" coordorigin="5898,6338" coordsize="910,2">
              <v:shape style="position:absolute;left:5898;top:6338;width:910;height:2" coordorigin="5898,6338" coordsize="910,0" path="m5898,6338l6807,6338e" filled="false" stroked="true" strokeweight=".72pt" strokecolor="#000000">
                <v:path arrowok="t"/>
              </v:shape>
            </v:group>
            <v:group style="position:absolute;left:6822;top:6338;width:3188;height:2" coordorigin="6822,6338" coordsize="3188,2">
              <v:shape style="position:absolute;left:6822;top:6338;width:3188;height:2" coordorigin="6822,6338" coordsize="3188,0" path="m6822,6338l10009,6338e" filled="false" stroked="true" strokeweight=".72pt" strokecolor="#000000">
                <v:path arrowok="t"/>
              </v:shape>
            </v:group>
            <v:group style="position:absolute;left:10024;top:6338;width:870;height:2" coordorigin="10024,6338" coordsize="870,2">
              <v:shape style="position:absolute;left:10024;top:6338;width:870;height:2" coordorigin="10024,6338" coordsize="870,0" path="m10024,6338l10894,6338e" filled="false" stroked="true" strokeweight=".72pt" strokecolor="#000000">
                <v:path arrowok="t"/>
              </v:shape>
            </v:group>
            <v:group style="position:absolute;left:1141;top:6996;width:482;height:2" coordorigin="1141,6996" coordsize="482,2">
              <v:shape style="position:absolute;left:1141;top:6996;width:482;height:2" coordorigin="1141,6996" coordsize="482,0" path="m1141,6996l1622,6996e" filled="false" stroked="true" strokeweight=".72pt" strokecolor="#000000">
                <v:path arrowok="t"/>
              </v:shape>
            </v:group>
            <v:group style="position:absolute;left:1637;top:6996;width:1569;height:2" coordorigin="1637,6996" coordsize="1569,2">
              <v:shape style="position:absolute;left:1637;top:6996;width:1569;height:2" coordorigin="1637,6996" coordsize="1569,0" path="m1637,6996l3206,6996e" filled="false" stroked="true" strokeweight=".72pt" strokecolor="#000000">
                <v:path arrowok="t"/>
              </v:shape>
            </v:group>
            <v:group style="position:absolute;left:3220;top:6996;width:2664;height:2" coordorigin="3220,6996" coordsize="2664,2">
              <v:shape style="position:absolute;left:3220;top:6996;width:2664;height:2" coordorigin="3220,6996" coordsize="2664,0" path="m3220,6996l5883,6996e" filled="false" stroked="true" strokeweight=".72pt" strokecolor="#000000">
                <v:path arrowok="t"/>
              </v:shape>
            </v:group>
            <v:group style="position:absolute;left:5898;top:6996;width:910;height:2" coordorigin="5898,6996" coordsize="910,2">
              <v:shape style="position:absolute;left:5898;top:6996;width:910;height:2" coordorigin="5898,6996" coordsize="910,0" path="m5898,6996l6807,6996e" filled="false" stroked="true" strokeweight=".72pt" strokecolor="#000000">
                <v:path arrowok="t"/>
              </v:shape>
            </v:group>
            <v:group style="position:absolute;left:6822;top:6996;width:3188;height:2" coordorigin="6822,6996" coordsize="3188,2">
              <v:shape style="position:absolute;left:6822;top:6996;width:3188;height:2" coordorigin="6822,6996" coordsize="3188,0" path="m6822,6996l10009,6996e" filled="false" stroked="true" strokeweight=".72pt" strokecolor="#000000">
                <v:path arrowok="t"/>
              </v:shape>
            </v:group>
            <v:group style="position:absolute;left:10024;top:6996;width:870;height:2" coordorigin="10024,6996" coordsize="870,2">
              <v:shape style="position:absolute;left:10024;top:6996;width:870;height:2" coordorigin="10024,6996" coordsize="870,0" path="m10024,6996l10894,6996e" filled="false" stroked="true" strokeweight=".72pt" strokecolor="#000000">
                <v:path arrowok="t"/>
              </v:shape>
            </v:group>
            <v:group style="position:absolute;left:1141;top:7655;width:482;height:2" coordorigin="1141,7655" coordsize="482,2">
              <v:shape style="position:absolute;left:1141;top:7655;width:482;height:2" coordorigin="1141,7655" coordsize="482,0" path="m1141,7655l1622,7655e" filled="false" stroked="true" strokeweight=".72pt" strokecolor="#000000">
                <v:path arrowok="t"/>
              </v:shape>
            </v:group>
            <v:group style="position:absolute;left:1637;top:7655;width:1569;height:2" coordorigin="1637,7655" coordsize="1569,2">
              <v:shape style="position:absolute;left:1637;top:7655;width:1569;height:2" coordorigin="1637,7655" coordsize="1569,0" path="m1637,7655l3206,7655e" filled="false" stroked="true" strokeweight=".72pt" strokecolor="#000000">
                <v:path arrowok="t"/>
              </v:shape>
            </v:group>
            <v:group style="position:absolute;left:3220;top:7655;width:2664;height:2" coordorigin="3220,7655" coordsize="2664,2">
              <v:shape style="position:absolute;left:3220;top:7655;width:2664;height:2" coordorigin="3220,7655" coordsize="2664,0" path="m3220,7655l5883,7655e" filled="false" stroked="true" strokeweight=".72pt" strokecolor="#000000">
                <v:path arrowok="t"/>
              </v:shape>
            </v:group>
            <v:group style="position:absolute;left:5898;top:7655;width:910;height:2" coordorigin="5898,7655" coordsize="910,2">
              <v:shape style="position:absolute;left:5898;top:7655;width:910;height:2" coordorigin="5898,7655" coordsize="910,0" path="m5898,7655l6807,7655e" filled="false" stroked="true" strokeweight=".72pt" strokecolor="#000000">
                <v:path arrowok="t"/>
              </v:shape>
            </v:group>
            <v:group style="position:absolute;left:6822;top:7655;width:3188;height:2" coordorigin="6822,7655" coordsize="3188,2">
              <v:shape style="position:absolute;left:6822;top:7655;width:3188;height:2" coordorigin="6822,7655" coordsize="3188,0" path="m6822,7655l10009,7655e" filled="false" stroked="true" strokeweight=".72pt" strokecolor="#000000">
                <v:path arrowok="t"/>
              </v:shape>
            </v:group>
            <v:group style="position:absolute;left:10024;top:7655;width:870;height:2" coordorigin="10024,7655" coordsize="870,2">
              <v:shape style="position:absolute;left:10024;top:7655;width:870;height:2" coordorigin="10024,7655" coordsize="870,0" path="m10024,7655l10894,7655e" filled="false" stroked="true" strokeweight=".72pt" strokecolor="#000000">
                <v:path arrowok="t"/>
              </v:shape>
            </v:group>
            <v:group style="position:absolute;left:1141;top:8314;width:482;height:2" coordorigin="1141,8314" coordsize="482,2">
              <v:shape style="position:absolute;left:1141;top:8314;width:482;height:2" coordorigin="1141,8314" coordsize="482,0" path="m1141,8314l1622,8314e" filled="false" stroked="true" strokeweight=".72pt" strokecolor="#000000">
                <v:path arrowok="t"/>
              </v:shape>
            </v:group>
            <v:group style="position:absolute;left:1637;top:8314;width:1569;height:2" coordorigin="1637,8314" coordsize="1569,2">
              <v:shape style="position:absolute;left:1637;top:8314;width:1569;height:2" coordorigin="1637,8314" coordsize="1569,0" path="m1637,8314l3206,8314e" filled="false" stroked="true" strokeweight=".72pt" strokecolor="#000000">
                <v:path arrowok="t"/>
              </v:shape>
            </v:group>
            <v:group style="position:absolute;left:3220;top:8314;width:2664;height:2" coordorigin="3220,8314" coordsize="2664,2">
              <v:shape style="position:absolute;left:3220;top:8314;width:2664;height:2" coordorigin="3220,8314" coordsize="2664,0" path="m3220,8314l5883,8314e" filled="false" stroked="true" strokeweight=".72pt" strokecolor="#000000">
                <v:path arrowok="t"/>
              </v:shape>
            </v:group>
            <v:group style="position:absolute;left:5898;top:8314;width:910;height:2" coordorigin="5898,8314" coordsize="910,2">
              <v:shape style="position:absolute;left:5898;top:8314;width:910;height:2" coordorigin="5898,8314" coordsize="910,0" path="m5898,8314l6807,8314e" filled="false" stroked="true" strokeweight=".72pt" strokecolor="#000000">
                <v:path arrowok="t"/>
              </v:shape>
            </v:group>
            <v:group style="position:absolute;left:6822;top:8314;width:3188;height:2" coordorigin="6822,8314" coordsize="3188,2">
              <v:shape style="position:absolute;left:6822;top:8314;width:3188;height:2" coordorigin="6822,8314" coordsize="3188,0" path="m6822,8314l10009,8314e" filled="false" stroked="true" strokeweight=".72pt" strokecolor="#000000">
                <v:path arrowok="t"/>
              </v:shape>
            </v:group>
            <v:group style="position:absolute;left:10024;top:8314;width:870;height:2" coordorigin="10024,8314" coordsize="870,2">
              <v:shape style="position:absolute;left:10024;top:8314;width:870;height:2" coordorigin="10024,8314" coordsize="870,0" path="m10024,8314l10894,8314e" filled="false" stroked="true" strokeweight=".72pt" strokecolor="#000000">
                <v:path arrowok="t"/>
              </v:shape>
            </v:group>
            <v:group style="position:absolute;left:1141;top:8974;width:482;height:2" coordorigin="1141,8974" coordsize="482,2">
              <v:shape style="position:absolute;left:1141;top:8974;width:482;height:2" coordorigin="1141,8974" coordsize="482,0" path="m1141,8974l1622,8974e" filled="false" stroked="true" strokeweight=".72pt" strokecolor="#000000">
                <v:path arrowok="t"/>
              </v:shape>
            </v:group>
            <v:group style="position:absolute;left:1637;top:8974;width:1569;height:2" coordorigin="1637,8974" coordsize="1569,2">
              <v:shape style="position:absolute;left:1637;top:8974;width:1569;height:2" coordorigin="1637,8974" coordsize="1569,0" path="m1637,8974l3206,8974e" filled="false" stroked="true" strokeweight=".72pt" strokecolor="#000000">
                <v:path arrowok="t"/>
              </v:shape>
            </v:group>
            <v:group style="position:absolute;left:3220;top:8974;width:2664;height:2" coordorigin="3220,8974" coordsize="2664,2">
              <v:shape style="position:absolute;left:3220;top:8974;width:2664;height:2" coordorigin="3220,8974" coordsize="2664,0" path="m3220,8974l5883,8974e" filled="false" stroked="true" strokeweight=".72pt" strokecolor="#000000">
                <v:path arrowok="t"/>
              </v:shape>
            </v:group>
            <v:group style="position:absolute;left:5898;top:8974;width:910;height:2" coordorigin="5898,8974" coordsize="910,2">
              <v:shape style="position:absolute;left:5898;top:8974;width:910;height:2" coordorigin="5898,8974" coordsize="910,0" path="m5898,8974l6807,8974e" filled="false" stroked="true" strokeweight=".72pt" strokecolor="#000000">
                <v:path arrowok="t"/>
              </v:shape>
            </v:group>
            <v:group style="position:absolute;left:6822;top:8974;width:3188;height:2" coordorigin="6822,8974" coordsize="3188,2">
              <v:shape style="position:absolute;left:6822;top:8974;width:3188;height:2" coordorigin="6822,8974" coordsize="3188,0" path="m6822,8974l10009,8974e" filled="false" stroked="true" strokeweight=".72pt" strokecolor="#000000">
                <v:path arrowok="t"/>
              </v:shape>
            </v:group>
            <v:group style="position:absolute;left:10024;top:8974;width:870;height:2" coordorigin="10024,8974" coordsize="870,2">
              <v:shape style="position:absolute;left:10024;top:8974;width:870;height:2" coordorigin="10024,8974" coordsize="870,0" path="m10024,8974l10894,8974e" filled="false" stroked="true" strokeweight=".72pt" strokecolor="#000000">
                <v:path arrowok="t"/>
              </v:shape>
            </v:group>
            <v:group style="position:absolute;left:1141;top:9945;width:482;height:2" coordorigin="1141,9945" coordsize="482,2">
              <v:shape style="position:absolute;left:1141;top:9945;width:482;height:2" coordorigin="1141,9945" coordsize="482,0" path="m1141,9945l1622,9945e" filled="false" stroked="true" strokeweight=".72pt" strokecolor="#000000">
                <v:path arrowok="t"/>
              </v:shape>
            </v:group>
            <v:group style="position:absolute;left:1637;top:9945;width:1569;height:2" coordorigin="1637,9945" coordsize="1569,2">
              <v:shape style="position:absolute;left:1637;top:9945;width:1569;height:2" coordorigin="1637,9945" coordsize="1569,0" path="m1637,9945l3206,9945e" filled="false" stroked="true" strokeweight=".72pt" strokecolor="#000000">
                <v:path arrowok="t"/>
              </v:shape>
            </v:group>
            <v:group style="position:absolute;left:3220;top:9945;width:2664;height:2" coordorigin="3220,9945" coordsize="2664,2">
              <v:shape style="position:absolute;left:3220;top:9945;width:2664;height:2" coordorigin="3220,9945" coordsize="2664,0" path="m3220,9945l5883,9945e" filled="false" stroked="true" strokeweight=".72pt" strokecolor="#000000">
                <v:path arrowok="t"/>
              </v:shape>
            </v:group>
            <v:group style="position:absolute;left:5898;top:9945;width:910;height:2" coordorigin="5898,9945" coordsize="910,2">
              <v:shape style="position:absolute;left:5898;top:9945;width:910;height:2" coordorigin="5898,9945" coordsize="910,0" path="m5898,9945l6807,9945e" filled="false" stroked="true" strokeweight=".72pt" strokecolor="#000000">
                <v:path arrowok="t"/>
              </v:shape>
            </v:group>
            <v:group style="position:absolute;left:6822;top:9945;width:3188;height:2" coordorigin="6822,9945" coordsize="3188,2">
              <v:shape style="position:absolute;left:6822;top:9945;width:3188;height:2" coordorigin="6822,9945" coordsize="3188,0" path="m6822,9945l10009,9945e" filled="false" stroked="true" strokeweight=".72pt" strokecolor="#000000">
                <v:path arrowok="t"/>
              </v:shape>
            </v:group>
            <v:group style="position:absolute;left:10024;top:9945;width:870;height:2" coordorigin="10024,9945" coordsize="870,2">
              <v:shape style="position:absolute;left:10024;top:9945;width:870;height:2" coordorigin="10024,9945" coordsize="870,0" path="m10024,9945l10894,9945e" filled="false" stroked="true" strokeweight=".72pt" strokecolor="#000000">
                <v:path arrowok="t"/>
              </v:shape>
            </v:group>
            <v:group style="position:absolute;left:1141;top:11228;width:482;height:2" coordorigin="1141,11228" coordsize="482,2">
              <v:shape style="position:absolute;left:1141;top:11228;width:482;height:2" coordorigin="1141,11228" coordsize="482,0" path="m1141,11228l1622,11228e" filled="false" stroked="true" strokeweight=".72pt" strokecolor="#000000">
                <v:path arrowok="t"/>
              </v:shape>
            </v:group>
            <v:group style="position:absolute;left:1637;top:11228;width:1569;height:2" coordorigin="1637,11228" coordsize="1569,2">
              <v:shape style="position:absolute;left:1637;top:11228;width:1569;height:2" coordorigin="1637,11228" coordsize="1569,0" path="m1637,11228l3206,11228e" filled="false" stroked="true" strokeweight=".72pt" strokecolor="#000000">
                <v:path arrowok="t"/>
              </v:shape>
            </v:group>
            <v:group style="position:absolute;left:3220;top:11228;width:2664;height:2" coordorigin="3220,11228" coordsize="2664,2">
              <v:shape style="position:absolute;left:3220;top:11228;width:2664;height:2" coordorigin="3220,11228" coordsize="2664,0" path="m3220,11228l5883,11228e" filled="false" stroked="true" strokeweight=".72pt" strokecolor="#000000">
                <v:path arrowok="t"/>
              </v:shape>
            </v:group>
            <v:group style="position:absolute;left:5898;top:11228;width:910;height:2" coordorigin="5898,11228" coordsize="910,2">
              <v:shape style="position:absolute;left:5898;top:11228;width:910;height:2" coordorigin="5898,11228" coordsize="910,0" path="m5898,11228l6807,11228e" filled="false" stroked="true" strokeweight=".72pt" strokecolor="#000000">
                <v:path arrowok="t"/>
              </v:shape>
            </v:group>
            <v:group style="position:absolute;left:6822;top:11228;width:3188;height:2" coordorigin="6822,11228" coordsize="3188,2">
              <v:shape style="position:absolute;left:6822;top:11228;width:3188;height:2" coordorigin="6822,11228" coordsize="3188,0" path="m6822,11228l10009,11228e" filled="false" stroked="true" strokeweight=".72pt" strokecolor="#000000">
                <v:path arrowok="t"/>
              </v:shape>
            </v:group>
            <v:group style="position:absolute;left:10024;top:11228;width:870;height:2" coordorigin="10024,11228" coordsize="870,2">
              <v:shape style="position:absolute;left:10024;top:11228;width:870;height:2" coordorigin="10024,11228" coordsize="870,0" path="m10024,11228l10894,11228e" filled="false" stroked="true" strokeweight=".72pt" strokecolor="#000000">
                <v:path arrowok="t"/>
              </v:shape>
            </v:group>
            <v:group style="position:absolute;left:1141;top:12511;width:482;height:2" coordorigin="1141,12511" coordsize="482,2">
              <v:shape style="position:absolute;left:1141;top:12511;width:482;height:2" coordorigin="1141,12511" coordsize="482,0" path="m1141,12511l1622,12511e" filled="false" stroked="true" strokeweight=".72pt" strokecolor="#000000">
                <v:path arrowok="t"/>
              </v:shape>
            </v:group>
            <v:group style="position:absolute;left:1637;top:12511;width:1569;height:2" coordorigin="1637,12511" coordsize="1569,2">
              <v:shape style="position:absolute;left:1637;top:12511;width:1569;height:2" coordorigin="1637,12511" coordsize="1569,0" path="m1637,12511l3206,12511e" filled="false" stroked="true" strokeweight=".72pt" strokecolor="#000000">
                <v:path arrowok="t"/>
              </v:shape>
            </v:group>
            <v:group style="position:absolute;left:3220;top:12511;width:2664;height:2" coordorigin="3220,12511" coordsize="2664,2">
              <v:shape style="position:absolute;left:3220;top:12511;width:2664;height:2" coordorigin="3220,12511" coordsize="2664,0" path="m3220,12511l5883,12511e" filled="false" stroked="true" strokeweight=".72pt" strokecolor="#000000">
                <v:path arrowok="t"/>
              </v:shape>
            </v:group>
            <v:group style="position:absolute;left:5898;top:12511;width:910;height:2" coordorigin="5898,12511" coordsize="910,2">
              <v:shape style="position:absolute;left:5898;top:12511;width:910;height:2" coordorigin="5898,12511" coordsize="910,0" path="m5898,12511l6807,12511e" filled="false" stroked="true" strokeweight=".72pt" strokecolor="#000000">
                <v:path arrowok="t"/>
              </v:shape>
            </v:group>
            <v:group style="position:absolute;left:6822;top:12511;width:3188;height:2" coordorigin="6822,12511" coordsize="3188,2">
              <v:shape style="position:absolute;left:6822;top:12511;width:3188;height:2" coordorigin="6822,12511" coordsize="3188,0" path="m6822,12511l10009,12511e" filled="false" stroked="true" strokeweight=".72pt" strokecolor="#000000">
                <v:path arrowok="t"/>
              </v:shape>
            </v:group>
            <v:group style="position:absolute;left:10024;top:12511;width:870;height:2" coordorigin="10024,12511" coordsize="870,2">
              <v:shape style="position:absolute;left:10024;top:12511;width:870;height:2" coordorigin="10024,12511" coordsize="870,0" path="m10024,12511l10894,12511e" filled="false" stroked="true" strokeweight=".72pt" strokecolor="#000000">
                <v:path arrowok="t"/>
              </v:shape>
            </v:group>
            <v:group style="position:absolute;left:1141;top:14730;width:482;height:2" coordorigin="1141,14730" coordsize="482,2">
              <v:shape style="position:absolute;left:1141;top:14730;width:482;height:2" coordorigin="1141,14730" coordsize="482,0" path="m1141,14730l1622,14730e" filled="false" stroked="true" strokeweight=".72pt" strokecolor="#000000">
                <v:path arrowok="t"/>
              </v:shape>
            </v:group>
            <v:group style="position:absolute;left:1637;top:14730;width:1569;height:2" coordorigin="1637,14730" coordsize="1569,2">
              <v:shape style="position:absolute;left:1637;top:14730;width:1569;height:2" coordorigin="1637,14730" coordsize="1569,0" path="m1637,14730l3206,14730e" filled="false" stroked="true" strokeweight=".72pt" strokecolor="#000000">
                <v:path arrowok="t"/>
              </v:shape>
            </v:group>
            <v:group style="position:absolute;left:3220;top:14730;width:2664;height:2" coordorigin="3220,14730" coordsize="2664,2">
              <v:shape style="position:absolute;left:3220;top:14730;width:2664;height:2" coordorigin="3220,14730" coordsize="2664,0" path="m3220,14730l5883,14730e" filled="false" stroked="true" strokeweight=".72pt" strokecolor="#000000">
                <v:path arrowok="t"/>
              </v:shape>
            </v:group>
            <v:group style="position:absolute;left:5898;top:14730;width:910;height:2" coordorigin="5898,14730" coordsize="910,2">
              <v:shape style="position:absolute;left:5898;top:14730;width:910;height:2" coordorigin="5898,14730" coordsize="910,0" path="m5898,14730l6807,14730e" filled="false" stroked="true" strokeweight=".72pt" strokecolor="#000000">
                <v:path arrowok="t"/>
              </v:shape>
            </v:group>
            <v:group style="position:absolute;left:6822;top:14730;width:3188;height:2" coordorigin="6822,14730" coordsize="3188,2">
              <v:shape style="position:absolute;left:6822;top:14730;width:3188;height:2" coordorigin="6822,14730" coordsize="3188,0" path="m6822,14730l10009,14730e" filled="false" stroked="true" strokeweight=".72pt" strokecolor="#000000">
                <v:path arrowok="t"/>
              </v:shape>
            </v:group>
            <v:group style="position:absolute;left:10024;top:14730;width:870;height:2" coordorigin="10024,14730" coordsize="870,2">
              <v:shape style="position:absolute;left:10024;top:14730;width:870;height:2" coordorigin="10024,14730" coordsize="870,0" path="m10024,14730l10894,14730e" filled="false" stroked="true" strokeweight=".72pt" strokecolor="#000000">
                <v:path arrowok="t"/>
              </v:shape>
            </v:group>
            <v:group style="position:absolute;left:1134;top:1440;width:2;height:13958" coordorigin="1134,1440" coordsize="2,13958">
              <v:shape style="position:absolute;left:1134;top:1440;width:2;height:13958" coordorigin="1134,1440" coordsize="0,13958" path="m1134,1440l1134,15397e" filled="false" stroked="true" strokeweight=".72pt" strokecolor="#000000">
                <v:path arrowok="t"/>
              </v:shape>
            </v:group>
            <v:group style="position:absolute;left:1141;top:15390;width:482;height:2" coordorigin="1141,15390" coordsize="482,2">
              <v:shape style="position:absolute;left:1141;top:15390;width:482;height:2" coordorigin="1141,15390" coordsize="482,0" path="m1141,15390l1622,15390e" filled="false" stroked="true" strokeweight=".72pt" strokecolor="#000000">
                <v:path arrowok="t"/>
              </v:shape>
            </v:group>
            <v:group style="position:absolute;left:1630;top:1440;width:2;height:13958" coordorigin="1630,1440" coordsize="2,13958">
              <v:shape style="position:absolute;left:1630;top:1440;width:2;height:13958" coordorigin="1630,1440" coordsize="0,13958" path="m1630,1440l1630,15397e" filled="false" stroked="true" strokeweight=".74pt" strokecolor="#000000">
                <v:path arrowok="t"/>
              </v:shape>
            </v:group>
            <v:group style="position:absolute;left:1637;top:15390;width:1569;height:2" coordorigin="1637,15390" coordsize="1569,2">
              <v:shape style="position:absolute;left:1637;top:15390;width:1569;height:2" coordorigin="1637,15390" coordsize="1569,0" path="m1637,15390l3206,15390e" filled="false" stroked="true" strokeweight=".72pt" strokecolor="#000000">
                <v:path arrowok="t"/>
              </v:shape>
            </v:group>
            <v:group style="position:absolute;left:3213;top:1440;width:2;height:13958" coordorigin="3213,1440" coordsize="2,13958">
              <v:shape style="position:absolute;left:3213;top:1440;width:2;height:13958" coordorigin="3213,1440" coordsize="0,13958" path="m3213,1440l3213,15397e" filled="false" stroked="true" strokeweight=".72pt" strokecolor="#000000">
                <v:path arrowok="t"/>
              </v:shape>
            </v:group>
            <v:group style="position:absolute;left:3220;top:15390;width:2664;height:2" coordorigin="3220,15390" coordsize="2664,2">
              <v:shape style="position:absolute;left:3220;top:15390;width:2664;height:2" coordorigin="3220,15390" coordsize="2664,0" path="m3220,15390l5883,15390e" filled="false" stroked="true" strokeweight=".72pt" strokecolor="#000000">
                <v:path arrowok="t"/>
              </v:shape>
            </v:group>
            <v:group style="position:absolute;left:5890;top:1440;width:2;height:13958" coordorigin="5890,1440" coordsize="2,13958">
              <v:shape style="position:absolute;left:5890;top:1440;width:2;height:13958" coordorigin="5890,1440" coordsize="0,13958" path="m5890,1440l5890,15397e" filled="false" stroked="true" strokeweight=".72pt" strokecolor="#000000">
                <v:path arrowok="t"/>
              </v:shape>
            </v:group>
            <v:group style="position:absolute;left:5898;top:15390;width:910;height:2" coordorigin="5898,15390" coordsize="910,2">
              <v:shape style="position:absolute;left:5898;top:15390;width:910;height:2" coordorigin="5898,15390" coordsize="910,0" path="m5898,15390l6807,15390e" filled="false" stroked="true" strokeweight=".72pt" strokecolor="#000000">
                <v:path arrowok="t"/>
              </v:shape>
            </v:group>
            <v:group style="position:absolute;left:6814;top:1440;width:2;height:13958" coordorigin="6814,1440" coordsize="2,13958">
              <v:shape style="position:absolute;left:6814;top:1440;width:2;height:13958" coordorigin="6814,1440" coordsize="0,13958" path="m6814,1440l6814,15397e" filled="false" stroked="true" strokeweight=".72pt" strokecolor="#000000">
                <v:path arrowok="t"/>
              </v:shape>
            </v:group>
            <v:group style="position:absolute;left:6822;top:15390;width:3188;height:2" coordorigin="6822,15390" coordsize="3188,2">
              <v:shape style="position:absolute;left:6822;top:15390;width:3188;height:2" coordorigin="6822,15390" coordsize="3188,0" path="m6822,15390l10009,15390e" filled="false" stroked="true" strokeweight=".72pt" strokecolor="#000000">
                <v:path arrowok="t"/>
              </v:shape>
            </v:group>
            <v:group style="position:absolute;left:10016;top:1440;width:2;height:13958" coordorigin="10016,1440" coordsize="2,13958">
              <v:shape style="position:absolute;left:10016;top:1440;width:2;height:13958" coordorigin="10016,1440" coordsize="0,13958" path="m10016,1440l10016,15397e" filled="false" stroked="true" strokeweight=".72pt" strokecolor="#000000">
                <v:path arrowok="t"/>
              </v:shape>
            </v:group>
            <v:group style="position:absolute;left:10024;top:15390;width:870;height:2" coordorigin="10024,15390" coordsize="870,2">
              <v:shape style="position:absolute;left:10024;top:15390;width:870;height:2" coordorigin="10024,15390" coordsize="870,0" path="m10024,15390l10894,15390e" filled="false" stroked="true" strokeweight=".72pt" strokecolor="#000000">
                <v:path arrowok="t"/>
              </v:shape>
            </v:group>
            <v:group style="position:absolute;left:10901;top:1440;width:2;height:13958" coordorigin="10901,1440" coordsize="2,13958">
              <v:shape style="position:absolute;left:10901;top:1440;width:2;height:13958" coordorigin="10901,1440" coordsize="0,13958" path="m10901,1440l10901,15397e" filled="false" stroked="true" strokeweight=".72pt" strokecolor="#000000">
                <v:path arrowok="t"/>
              </v:shape>
            </v:group>
            <w10:wrap type="none"/>
          </v:group>
        </w:pict>
      </w:r>
      <w:r>
        <w:rPr>
          <w:rFonts w:ascii="Times New Roman" w:hAnsi="Times New Roman" w:cs="Times New Roman" w:eastAsia="Times New Roman" w:hint="default"/>
        </w:rPr>
        <w:t>21</w:t>
      </w:r>
      <w:r>
        <w:rPr>
          <w:rFonts w:ascii="Times New Roman" w:hAnsi="Times New Roman" w:cs="Times New Roman" w:eastAsia="Times New Roman" w:hint="default"/>
          <w:spacing w:val="34"/>
        </w:rPr>
        <w:t> </w:t>
      </w:r>
      <w:r>
        <w:rPr/>
        <w:t>浮标系统与饮用水 系统定型示范及推</w:t>
      </w:r>
    </w:p>
    <w:p>
      <w:pPr>
        <w:pStyle w:val="BodyText"/>
        <w:tabs>
          <w:tab w:pos="2871" w:val="left" w:leader="none"/>
          <w:tab w:pos="7157" w:val="left" w:leader="none"/>
        </w:tabs>
        <w:spacing w:line="240" w:lineRule="auto" w:before="53"/>
        <w:ind w:left="101" w:right="0"/>
        <w:jc w:val="left"/>
      </w:pPr>
      <w:r>
        <w:rPr/>
        <w:br w:type="column"/>
      </w:r>
      <w:r>
        <w:rPr/>
        <w:t>地表水水质环境监测</w:t>
        <w:tab/>
        <w:t>批量生产</w:t>
      </w:r>
      <w:r>
        <w:rPr>
          <w:spacing w:val="35"/>
        </w:rPr>
        <w:t> </w:t>
      </w:r>
      <w:r>
        <w:rPr>
          <w:spacing w:val="6"/>
        </w:rPr>
        <w:t>研制出适合大面积江河湖泊等水体中有</w:t>
        <w:tab/>
      </w:r>
      <w:r>
        <w:rPr/>
        <w:t>自立</w:t>
      </w:r>
    </w:p>
    <w:p>
      <w:pPr>
        <w:pStyle w:val="BodyText"/>
        <w:spacing w:line="240" w:lineRule="auto" w:before="76"/>
        <w:ind w:left="3704" w:right="0"/>
        <w:jc w:val="left"/>
      </w:pPr>
      <w:r>
        <w:rPr>
          <w:spacing w:val="-4"/>
        </w:rPr>
        <w:t>机物、硝酸盐、叶绿素、水中油、化学需</w:t>
      </w:r>
    </w:p>
    <w:p>
      <w:pPr>
        <w:spacing w:after="0" w:line="240" w:lineRule="auto"/>
        <w:jc w:val="left"/>
        <w:sectPr>
          <w:type w:val="continuous"/>
          <w:pgSz w:w="11910" w:h="16840"/>
          <w:pgMar w:top="1060" w:bottom="1160" w:left="0" w:right="0"/>
          <w:cols w:num="2" w:equalWidth="0">
            <w:col w:w="3081" w:space="40"/>
            <w:col w:w="8789"/>
          </w:cols>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6" w:type="dxa"/>
        <w:tblLayout w:type="fixed"/>
        <w:tblCellMar>
          <w:top w:w="0" w:type="dxa"/>
          <w:left w:w="0" w:type="dxa"/>
          <w:bottom w:w="0" w:type="dxa"/>
          <w:right w:w="0" w:type="dxa"/>
        </w:tblCellMar>
        <w:tblLook w:val="01E0"/>
      </w:tblPr>
      <w:tblGrid>
        <w:gridCol w:w="496"/>
        <w:gridCol w:w="1583"/>
        <w:gridCol w:w="2678"/>
        <w:gridCol w:w="924"/>
        <w:gridCol w:w="3202"/>
        <w:gridCol w:w="884"/>
      </w:tblGrid>
      <w:tr>
        <w:trPr>
          <w:trHeight w:val="659" w:hRule="exact"/>
        </w:trPr>
        <w:tc>
          <w:tcPr>
            <w:tcW w:w="496" w:type="dxa"/>
            <w:tcBorders>
              <w:top w:val="single" w:sz="6" w:space="0" w:color="000000"/>
              <w:left w:val="single" w:sz="6" w:space="0" w:color="000000"/>
              <w:bottom w:val="single" w:sz="6" w:space="0" w:color="000000"/>
              <w:right w:val="single" w:sz="6" w:space="0" w:color="000000"/>
            </w:tcBorders>
          </w:tcPr>
          <w:p>
            <w:pPr/>
          </w:p>
        </w:tc>
        <w:tc>
          <w:tcPr>
            <w:tcW w:w="15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广项目</w:t>
            </w:r>
          </w:p>
        </w:tc>
        <w:tc>
          <w:tcPr>
            <w:tcW w:w="2678" w:type="dxa"/>
            <w:tcBorders>
              <w:top w:val="single" w:sz="6" w:space="0" w:color="000000"/>
              <w:left w:val="single" w:sz="6" w:space="0" w:color="000000"/>
              <w:bottom w:val="single" w:sz="6" w:space="0" w:color="000000"/>
              <w:right w:val="single" w:sz="6" w:space="0" w:color="000000"/>
            </w:tcBorders>
          </w:tcPr>
          <w:p>
            <w:pPr/>
          </w:p>
        </w:tc>
        <w:tc>
          <w:tcPr>
            <w:tcW w:w="924" w:type="dxa"/>
            <w:tcBorders>
              <w:top w:val="single" w:sz="6" w:space="0" w:color="000000"/>
              <w:left w:val="single" w:sz="6" w:space="0" w:color="000000"/>
              <w:bottom w:val="single" w:sz="6" w:space="0" w:color="000000"/>
              <w:right w:val="single" w:sz="6" w:space="0" w:color="000000"/>
            </w:tcBorders>
          </w:tcPr>
          <w:p>
            <w:pPr/>
          </w:p>
        </w:tc>
        <w:tc>
          <w:tcPr>
            <w:tcW w:w="3202"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3" w:right="0"/>
              <w:jc w:val="left"/>
              <w:rPr>
                <w:rFonts w:ascii="宋体" w:hAnsi="宋体" w:cs="宋体" w:eastAsia="宋体" w:hint="default"/>
                <w:sz w:val="18"/>
                <w:szCs w:val="18"/>
              </w:rPr>
            </w:pPr>
            <w:r>
              <w:rPr>
                <w:rFonts w:ascii="宋体" w:hAnsi="宋体" w:cs="宋体" w:eastAsia="宋体" w:hint="default"/>
                <w:spacing w:val="-4"/>
                <w:sz w:val="18"/>
                <w:szCs w:val="18"/>
              </w:rPr>
              <w:t>氧量、溶解氧、生化需氧量等污染参数的</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布点监测和长距离巡航实时监测。</w:t>
            </w:r>
          </w:p>
        </w:tc>
        <w:tc>
          <w:tcPr>
            <w:tcW w:w="884" w:type="dxa"/>
            <w:tcBorders>
              <w:top w:val="single" w:sz="6" w:space="0" w:color="000000"/>
              <w:left w:val="single" w:sz="6" w:space="0" w:color="000000"/>
              <w:bottom w:val="single" w:sz="6" w:space="0" w:color="000000"/>
              <w:right w:val="single" w:sz="6" w:space="0" w:color="000000"/>
            </w:tcBorders>
          </w:tcPr>
          <w:p>
            <w:pPr/>
          </w:p>
        </w:tc>
      </w:tr>
      <w:tr>
        <w:trPr>
          <w:trHeight w:val="1907" w:hRule="exact"/>
        </w:trPr>
        <w:tc>
          <w:tcPr>
            <w:tcW w:w="4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22</w:t>
            </w:r>
          </w:p>
        </w:tc>
        <w:tc>
          <w:tcPr>
            <w:tcW w:w="1583" w:type="dxa"/>
            <w:tcBorders>
              <w:top w:val="single" w:sz="6" w:space="0" w:color="000000"/>
              <w:left w:val="single" w:sz="6" w:space="0" w:color="000000"/>
              <w:bottom w:val="single" w:sz="6" w:space="0" w:color="000000"/>
              <w:right w:val="single" w:sz="6" w:space="0" w:color="000000"/>
            </w:tcBorders>
          </w:tcPr>
          <w:p>
            <w:pPr>
              <w:pStyle w:val="TableParagraph"/>
              <w:spacing w:line="312" w:lineRule="auto" w:before="21"/>
              <w:ind w:left="3" w:right="62"/>
              <w:jc w:val="left"/>
              <w:rPr>
                <w:rFonts w:ascii="宋体" w:hAnsi="宋体" w:cs="宋体" w:eastAsia="宋体" w:hint="default"/>
                <w:sz w:val="18"/>
                <w:szCs w:val="18"/>
              </w:rPr>
            </w:pPr>
            <w:r>
              <w:rPr>
                <w:rFonts w:ascii="宋体" w:hAnsi="宋体" w:cs="宋体" w:eastAsia="宋体" w:hint="default"/>
                <w:sz w:val="18"/>
                <w:szCs w:val="18"/>
              </w:rPr>
              <w:t>基于紫外</w:t>
            </w:r>
            <w:r>
              <w:rPr>
                <w:rFonts w:ascii="Times New Roman" w:hAnsi="Times New Roman" w:cs="Times New Roman" w:eastAsia="Times New Roman" w:hint="default"/>
                <w:sz w:val="18"/>
                <w:szCs w:val="18"/>
              </w:rPr>
              <w:t>-</w:t>
            </w:r>
            <w:r>
              <w:rPr>
                <w:rFonts w:ascii="宋体" w:hAnsi="宋体" w:cs="宋体" w:eastAsia="宋体" w:hint="default"/>
                <w:sz w:val="18"/>
                <w:szCs w:val="18"/>
              </w:rPr>
              <w:t>可见光谱 的阀上实验室及其 水质微分析系统研 制与产业化示范</w:t>
            </w:r>
          </w:p>
        </w:tc>
        <w:tc>
          <w:tcPr>
            <w:tcW w:w="2678" w:type="dxa"/>
            <w:tcBorders>
              <w:top w:val="single" w:sz="6" w:space="0" w:color="000000"/>
              <w:left w:val="single" w:sz="6" w:space="0" w:color="000000"/>
              <w:bottom w:val="single" w:sz="6" w:space="0" w:color="000000"/>
              <w:right w:val="single" w:sz="6" w:space="0" w:color="000000"/>
            </w:tcBorders>
          </w:tcPr>
          <w:p>
            <w:pPr>
              <w:pStyle w:val="TableParagraph"/>
              <w:spacing w:line="309" w:lineRule="auto" w:before="21"/>
              <w:ind w:left="2" w:right="-8"/>
              <w:jc w:val="both"/>
              <w:rPr>
                <w:rFonts w:ascii="宋体" w:hAnsi="宋体" w:cs="宋体" w:eastAsia="宋体" w:hint="default"/>
                <w:sz w:val="18"/>
                <w:szCs w:val="18"/>
              </w:rPr>
            </w:pPr>
            <w:r>
              <w:rPr>
                <w:rFonts w:ascii="宋体" w:hAnsi="宋体" w:cs="宋体" w:eastAsia="宋体" w:hint="default"/>
                <w:spacing w:val="9"/>
                <w:sz w:val="18"/>
                <w:szCs w:val="18"/>
              </w:rPr>
              <w:t>建立规模化的产品生产线，实现</w:t>
            </w:r>
            <w:r>
              <w:rPr>
                <w:rFonts w:ascii="宋体" w:hAnsi="宋体" w:cs="宋体" w:eastAsia="宋体" w:hint="default"/>
                <w:sz w:val="18"/>
                <w:szCs w:val="18"/>
              </w:rPr>
              <w:t> </w:t>
            </w:r>
            <w:r>
              <w:rPr>
                <w:rFonts w:ascii="Times New Roman" w:hAnsi="Times New Roman" w:cs="Times New Roman" w:eastAsia="Times New Roman" w:hint="default"/>
                <w:spacing w:val="8"/>
                <w:sz w:val="18"/>
                <w:szCs w:val="18"/>
              </w:rPr>
              <w:t>LOV</w:t>
            </w:r>
            <w:r>
              <w:rPr>
                <w:rFonts w:ascii="宋体" w:hAnsi="宋体" w:cs="宋体" w:eastAsia="宋体" w:hint="default"/>
                <w:spacing w:val="8"/>
                <w:sz w:val="18"/>
                <w:szCs w:val="18"/>
              </w:rPr>
              <w:t>技术在水质监测仪器中的推</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广应用。</w:t>
            </w:r>
          </w:p>
        </w:tc>
        <w:tc>
          <w:tcPr>
            <w:tcW w:w="92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74" w:right="2" w:hanging="270"/>
              <w:jc w:val="left"/>
              <w:rPr>
                <w:rFonts w:ascii="宋体" w:hAnsi="宋体" w:cs="宋体" w:eastAsia="宋体" w:hint="default"/>
                <w:sz w:val="18"/>
                <w:szCs w:val="18"/>
              </w:rPr>
            </w:pPr>
            <w:r>
              <w:rPr>
                <w:rFonts w:ascii="宋体" w:hAnsi="宋体" w:cs="宋体" w:eastAsia="宋体" w:hint="default"/>
                <w:sz w:val="18"/>
                <w:szCs w:val="18"/>
              </w:rPr>
              <w:t>已完成国家 验收</w:t>
            </w:r>
          </w:p>
        </w:tc>
        <w:tc>
          <w:tcPr>
            <w:tcW w:w="3202" w:type="dxa"/>
            <w:tcBorders>
              <w:top w:val="single" w:sz="6" w:space="0" w:color="000000"/>
              <w:left w:val="single" w:sz="6" w:space="0" w:color="000000"/>
              <w:bottom w:val="single" w:sz="6" w:space="0" w:color="000000"/>
              <w:right w:val="single" w:sz="6" w:space="0" w:color="000000"/>
            </w:tcBorders>
          </w:tcPr>
          <w:p>
            <w:pPr>
              <w:pStyle w:val="TableParagraph"/>
              <w:spacing w:line="312" w:lineRule="auto" w:before="21"/>
              <w:ind w:left="3" w:right="1"/>
              <w:jc w:val="left"/>
              <w:rPr>
                <w:rFonts w:ascii="宋体" w:hAnsi="宋体" w:cs="宋体" w:eastAsia="宋体" w:hint="default"/>
                <w:sz w:val="18"/>
                <w:szCs w:val="18"/>
              </w:rPr>
            </w:pPr>
            <w:r>
              <w:rPr>
                <w:rFonts w:ascii="宋体" w:hAnsi="宋体" w:cs="宋体" w:eastAsia="宋体" w:hint="default"/>
                <w:spacing w:val="-4"/>
                <w:sz w:val="18"/>
                <w:szCs w:val="18"/>
              </w:rPr>
              <w:t>研发具有国际先进水平的、适合中国国情</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的具有自主知识产权的集成化、微型化 </w:t>
            </w:r>
            <w:r>
              <w:rPr>
                <w:rFonts w:ascii="宋体" w:hAnsi="宋体" w:cs="宋体" w:eastAsia="宋体" w:hint="default"/>
                <w:spacing w:val="-4"/>
                <w:sz w:val="18"/>
                <w:szCs w:val="18"/>
              </w:rPr>
              <w:t>易维护的</w:t>
            </w:r>
            <w:r>
              <w:rPr>
                <w:rFonts w:ascii="Times New Roman" w:hAnsi="Times New Roman" w:cs="Times New Roman" w:eastAsia="Times New Roman" w:hint="default"/>
                <w:spacing w:val="-4"/>
                <w:sz w:val="18"/>
                <w:szCs w:val="18"/>
              </w:rPr>
              <w:t>LOV</w:t>
            </w:r>
            <w:r>
              <w:rPr>
                <w:rFonts w:ascii="宋体" w:hAnsi="宋体" w:cs="宋体" w:eastAsia="宋体" w:hint="default"/>
                <w:spacing w:val="-4"/>
                <w:sz w:val="18"/>
                <w:szCs w:val="18"/>
              </w:rPr>
              <w:t>系统，并充分利用该系统的</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2"/>
                <w:sz w:val="18"/>
                <w:szCs w:val="18"/>
              </w:rPr>
              <w:t>优势，将</w:t>
            </w:r>
            <w:r>
              <w:rPr>
                <w:rFonts w:ascii="Times New Roman" w:hAnsi="Times New Roman" w:cs="Times New Roman" w:eastAsia="Times New Roman" w:hint="default"/>
                <w:spacing w:val="2"/>
                <w:sz w:val="18"/>
                <w:szCs w:val="18"/>
              </w:rPr>
              <w:t>LOV</w:t>
            </w:r>
            <w:r>
              <w:rPr>
                <w:rFonts w:ascii="宋体" w:hAnsi="宋体" w:cs="宋体" w:eastAsia="宋体" w:hint="default"/>
                <w:spacing w:val="2"/>
                <w:sz w:val="18"/>
                <w:szCs w:val="18"/>
              </w:rPr>
              <w:t>与紫外</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可见光谱联用，实</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4"/>
                <w:sz w:val="18"/>
                <w:szCs w:val="18"/>
              </w:rPr>
              <w:t>现水质微分析系统的研制，并进行示范运</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行</w:t>
            </w:r>
          </w:p>
        </w:tc>
        <w:tc>
          <w:tcPr>
            <w:tcW w:w="8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74" w:right="0"/>
              <w:jc w:val="left"/>
              <w:rPr>
                <w:rFonts w:ascii="宋体" w:hAnsi="宋体" w:cs="宋体" w:eastAsia="宋体" w:hint="default"/>
                <w:sz w:val="18"/>
                <w:szCs w:val="18"/>
              </w:rPr>
            </w:pPr>
            <w:r>
              <w:rPr>
                <w:rFonts w:ascii="宋体" w:hAnsi="宋体" w:cs="宋体" w:eastAsia="宋体" w:hint="default"/>
                <w:sz w:val="18"/>
                <w:szCs w:val="18"/>
              </w:rPr>
              <w:t>国家科技</w:t>
            </w:r>
          </w:p>
          <w:p>
            <w:pPr>
              <w:pStyle w:val="TableParagraph"/>
              <w:spacing w:line="240" w:lineRule="auto" w:before="76"/>
              <w:ind w:left="-139"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pacing w:val="-58"/>
                <w:sz w:val="18"/>
                <w:szCs w:val="18"/>
              </w:rPr>
              <w:t> </w:t>
            </w:r>
            <w:r>
              <w:rPr>
                <w:rFonts w:ascii="宋体" w:hAnsi="宋体" w:cs="宋体" w:eastAsia="宋体" w:hint="default"/>
                <w:sz w:val="18"/>
                <w:szCs w:val="18"/>
              </w:rPr>
              <w:t>支撑计划</w:t>
            </w:r>
          </w:p>
        </w:tc>
      </w:tr>
      <w:tr>
        <w:trPr>
          <w:trHeight w:val="1283" w:hRule="exact"/>
        </w:trPr>
        <w:tc>
          <w:tcPr>
            <w:tcW w:w="4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23</w:t>
            </w:r>
          </w:p>
        </w:tc>
        <w:tc>
          <w:tcPr>
            <w:tcW w:w="1583" w:type="dxa"/>
            <w:tcBorders>
              <w:top w:val="single" w:sz="6" w:space="0" w:color="000000"/>
              <w:left w:val="single" w:sz="6" w:space="0" w:color="000000"/>
              <w:bottom w:val="single" w:sz="6" w:space="0" w:color="000000"/>
              <w:right w:val="single" w:sz="6" w:space="0" w:color="000000"/>
            </w:tcBorders>
          </w:tcPr>
          <w:p>
            <w:pPr>
              <w:pStyle w:val="TableParagraph"/>
              <w:spacing w:line="309" w:lineRule="auto" w:before="21"/>
              <w:ind w:left="3" w:right="122"/>
              <w:jc w:val="both"/>
              <w:rPr>
                <w:rFonts w:ascii="宋体" w:hAnsi="宋体" w:cs="宋体" w:eastAsia="宋体" w:hint="default"/>
                <w:sz w:val="18"/>
                <w:szCs w:val="18"/>
              </w:rPr>
            </w:pPr>
            <w:r>
              <w:rPr>
                <w:rFonts w:ascii="宋体" w:hAnsi="宋体" w:cs="宋体" w:eastAsia="宋体" w:hint="default"/>
                <w:sz w:val="18"/>
                <w:szCs w:val="18"/>
              </w:rPr>
              <w:t>环境大气</w:t>
            </w:r>
            <w:r>
              <w:rPr>
                <w:rFonts w:ascii="Times New Roman" w:hAnsi="Times New Roman" w:cs="Times New Roman" w:eastAsia="Times New Roman" w:hint="default"/>
                <w:sz w:val="18"/>
                <w:szCs w:val="18"/>
              </w:rPr>
              <w:t>PM2.5</w:t>
            </w:r>
            <w:r>
              <w:rPr>
                <w:rFonts w:ascii="宋体" w:hAnsi="宋体" w:cs="宋体" w:eastAsia="宋体" w:hint="default"/>
                <w:sz w:val="18"/>
                <w:szCs w:val="18"/>
              </w:rPr>
              <w:t>成 套监测设备产业化 开发</w:t>
            </w:r>
          </w:p>
        </w:tc>
        <w:tc>
          <w:tcPr>
            <w:tcW w:w="2678"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21"/>
              <w:ind w:left="2" w:right="1"/>
              <w:jc w:val="left"/>
              <w:rPr>
                <w:rFonts w:ascii="宋体" w:hAnsi="宋体" w:cs="宋体" w:eastAsia="宋体" w:hint="default"/>
                <w:sz w:val="18"/>
                <w:szCs w:val="18"/>
              </w:rPr>
            </w:pPr>
            <w:r>
              <w:rPr>
                <w:rFonts w:ascii="宋体" w:hAnsi="宋体" w:cs="宋体" w:eastAsia="宋体" w:hint="default"/>
                <w:sz w:val="18"/>
                <w:szCs w:val="18"/>
              </w:rPr>
              <w:t>实现环境空气中</w:t>
            </w:r>
            <w:r>
              <w:rPr>
                <w:rFonts w:ascii="Times New Roman" w:hAnsi="Times New Roman" w:cs="Times New Roman" w:eastAsia="Times New Roman" w:hint="default"/>
                <w:sz w:val="18"/>
                <w:szCs w:val="18"/>
              </w:rPr>
              <w:t>PM2.5</w:t>
            </w:r>
            <w:r>
              <w:rPr>
                <w:rFonts w:ascii="宋体" w:hAnsi="宋体" w:cs="宋体" w:eastAsia="宋体" w:hint="default"/>
                <w:sz w:val="18"/>
                <w:szCs w:val="18"/>
              </w:rPr>
              <w:t>成套监测设</w:t>
            </w:r>
            <w:r>
              <w:rPr>
                <w:rFonts w:ascii="宋体" w:hAnsi="宋体" w:cs="宋体" w:eastAsia="宋体" w:hint="default"/>
                <w:spacing w:val="-80"/>
                <w:sz w:val="18"/>
                <w:szCs w:val="18"/>
              </w:rPr>
              <w:t> </w:t>
            </w:r>
            <w:r>
              <w:rPr>
                <w:rFonts w:ascii="宋体" w:hAnsi="宋体" w:cs="宋体" w:eastAsia="宋体" w:hint="default"/>
                <w:sz w:val="18"/>
                <w:szCs w:val="18"/>
              </w:rPr>
              <w:t>备产业化开发。</w:t>
            </w:r>
          </w:p>
        </w:tc>
        <w:tc>
          <w:tcPr>
            <w:tcW w:w="92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74" w:right="2" w:hanging="270"/>
              <w:jc w:val="left"/>
              <w:rPr>
                <w:rFonts w:ascii="宋体" w:hAnsi="宋体" w:cs="宋体" w:eastAsia="宋体" w:hint="default"/>
                <w:sz w:val="18"/>
                <w:szCs w:val="18"/>
              </w:rPr>
            </w:pPr>
            <w:r>
              <w:rPr>
                <w:rFonts w:ascii="宋体" w:hAnsi="宋体" w:cs="宋体" w:eastAsia="宋体" w:hint="default"/>
                <w:sz w:val="18"/>
                <w:szCs w:val="18"/>
              </w:rPr>
              <w:t>已完成国家 验收</w:t>
            </w:r>
          </w:p>
        </w:tc>
        <w:tc>
          <w:tcPr>
            <w:tcW w:w="3202" w:type="dxa"/>
            <w:tcBorders>
              <w:top w:val="single" w:sz="6" w:space="0" w:color="000000"/>
              <w:left w:val="single" w:sz="6" w:space="0" w:color="000000"/>
              <w:bottom w:val="single" w:sz="6" w:space="0" w:color="000000"/>
              <w:right w:val="single" w:sz="6" w:space="0" w:color="000000"/>
            </w:tcBorders>
          </w:tcPr>
          <w:p>
            <w:pPr>
              <w:pStyle w:val="TableParagraph"/>
              <w:spacing w:line="307" w:lineRule="auto" w:before="21"/>
              <w:ind w:left="3" w:right="0"/>
              <w:jc w:val="both"/>
              <w:rPr>
                <w:rFonts w:ascii="宋体" w:hAnsi="宋体" w:cs="宋体" w:eastAsia="宋体" w:hint="default"/>
                <w:sz w:val="18"/>
                <w:szCs w:val="18"/>
              </w:rPr>
            </w:pPr>
            <w:r>
              <w:rPr>
                <w:rFonts w:ascii="宋体" w:hAnsi="宋体" w:cs="宋体" w:eastAsia="宋体" w:hint="default"/>
                <w:sz w:val="18"/>
                <w:szCs w:val="18"/>
              </w:rPr>
              <w:t>在</w:t>
            </w:r>
            <w:r>
              <w:rPr>
                <w:rFonts w:ascii="宋体" w:hAnsi="宋体" w:cs="宋体" w:eastAsia="宋体" w:hint="default"/>
                <w:spacing w:val="-13"/>
                <w:sz w:val="18"/>
                <w:szCs w:val="18"/>
              </w:rPr>
              <w:t> </w:t>
            </w:r>
            <w:r>
              <w:rPr>
                <w:rFonts w:ascii="宋体" w:hAnsi="宋体" w:cs="宋体" w:eastAsia="宋体" w:hint="default"/>
                <w:sz w:val="18"/>
                <w:szCs w:val="18"/>
              </w:rPr>
              <w:t>完</w:t>
            </w:r>
            <w:r>
              <w:rPr>
                <w:rFonts w:ascii="宋体" w:hAnsi="宋体" w:cs="宋体" w:eastAsia="宋体" w:hint="default"/>
                <w:spacing w:val="-13"/>
                <w:sz w:val="18"/>
                <w:szCs w:val="18"/>
              </w:rPr>
              <w:t> </w:t>
            </w:r>
            <w:r>
              <w:rPr>
                <w:rFonts w:ascii="宋体" w:hAnsi="宋体" w:cs="宋体" w:eastAsia="宋体" w:hint="default"/>
                <w:sz w:val="18"/>
                <w:szCs w:val="18"/>
              </w:rPr>
              <w:t>善</w:t>
            </w:r>
            <w:r>
              <w:rPr>
                <w:rFonts w:ascii="宋体" w:hAnsi="宋体" w:cs="宋体" w:eastAsia="宋体" w:hint="default"/>
                <w:spacing w:val="-14"/>
                <w:sz w:val="18"/>
                <w:szCs w:val="18"/>
              </w:rPr>
              <w:t> </w:t>
            </w:r>
            <w:r>
              <w:rPr>
                <w:rFonts w:ascii="宋体" w:hAnsi="宋体" w:cs="宋体" w:eastAsia="宋体" w:hint="default"/>
                <w:sz w:val="18"/>
                <w:szCs w:val="18"/>
              </w:rPr>
              <w:t>本</w:t>
            </w:r>
            <w:r>
              <w:rPr>
                <w:rFonts w:ascii="宋体" w:hAnsi="宋体" w:cs="宋体" w:eastAsia="宋体" w:hint="default"/>
                <w:spacing w:val="-14"/>
                <w:sz w:val="18"/>
                <w:szCs w:val="18"/>
              </w:rPr>
              <w:t> </w:t>
            </w:r>
            <w:r>
              <w:rPr>
                <w:rFonts w:ascii="宋体" w:hAnsi="宋体" w:cs="宋体" w:eastAsia="宋体" w:hint="default"/>
                <w:sz w:val="18"/>
                <w:szCs w:val="18"/>
              </w:rPr>
              <w:t>公</w:t>
            </w:r>
            <w:r>
              <w:rPr>
                <w:rFonts w:ascii="宋体" w:hAnsi="宋体" w:cs="宋体" w:eastAsia="宋体" w:hint="default"/>
                <w:spacing w:val="-13"/>
                <w:sz w:val="18"/>
                <w:szCs w:val="18"/>
              </w:rPr>
              <w:t> </w:t>
            </w:r>
            <w:r>
              <w:rPr>
                <w:rFonts w:ascii="宋体" w:hAnsi="宋体" w:cs="宋体" w:eastAsia="宋体" w:hint="default"/>
                <w:sz w:val="18"/>
                <w:szCs w:val="18"/>
              </w:rPr>
              <w:t>司</w:t>
            </w:r>
            <w:r>
              <w:rPr>
                <w:rFonts w:ascii="宋体" w:hAnsi="宋体" w:cs="宋体" w:eastAsia="宋体" w:hint="default"/>
                <w:spacing w:val="-13"/>
                <w:sz w:val="18"/>
                <w:szCs w:val="18"/>
              </w:rPr>
              <w:t> </w:t>
            </w:r>
            <w:r>
              <w:rPr>
                <w:rFonts w:ascii="宋体" w:hAnsi="宋体" w:cs="宋体" w:eastAsia="宋体" w:hint="default"/>
                <w:sz w:val="18"/>
                <w:szCs w:val="18"/>
              </w:rPr>
              <w:t>研</w:t>
            </w:r>
            <w:r>
              <w:rPr>
                <w:rFonts w:ascii="宋体" w:hAnsi="宋体" w:cs="宋体" w:eastAsia="宋体" w:hint="default"/>
                <w:spacing w:val="-14"/>
                <w:sz w:val="18"/>
                <w:szCs w:val="18"/>
              </w:rPr>
              <w:t> </w:t>
            </w:r>
            <w:r>
              <w:rPr>
                <w:rFonts w:ascii="宋体" w:hAnsi="宋体" w:cs="宋体" w:eastAsia="宋体" w:hint="default"/>
                <w:sz w:val="18"/>
                <w:szCs w:val="18"/>
              </w:rPr>
              <w:t>制</w:t>
            </w:r>
            <w:r>
              <w:rPr>
                <w:rFonts w:ascii="宋体" w:hAnsi="宋体" w:cs="宋体" w:eastAsia="宋体" w:hint="default"/>
                <w:spacing w:val="-14"/>
                <w:sz w:val="18"/>
                <w:szCs w:val="18"/>
              </w:rPr>
              <w:t> </w:t>
            </w:r>
            <w:r>
              <w:rPr>
                <w:rFonts w:ascii="宋体" w:hAnsi="宋体" w:cs="宋体" w:eastAsia="宋体" w:hint="default"/>
                <w:sz w:val="18"/>
                <w:szCs w:val="18"/>
              </w:rPr>
              <w:t>的</w:t>
            </w:r>
            <w:r>
              <w:rPr>
                <w:rFonts w:ascii="宋体" w:hAnsi="宋体" w:cs="宋体" w:eastAsia="宋体" w:hint="default"/>
                <w:spacing w:val="-11"/>
                <w:sz w:val="18"/>
                <w:szCs w:val="18"/>
              </w:rPr>
              <w:t> </w:t>
            </w:r>
            <w:r>
              <w:rPr>
                <w:rFonts w:ascii="Times New Roman" w:hAnsi="Times New Roman" w:cs="Times New Roman" w:eastAsia="Times New Roman" w:hint="default"/>
                <w:sz w:val="18"/>
                <w:szCs w:val="18"/>
              </w:rPr>
              <w:t>β</w:t>
            </w:r>
            <w:r>
              <w:rPr>
                <w:rFonts w:ascii="Times New Roman" w:hAnsi="Times New Roman" w:cs="Times New Roman" w:eastAsia="Times New Roman" w:hint="default"/>
                <w:spacing w:val="32"/>
                <w:sz w:val="18"/>
                <w:szCs w:val="18"/>
              </w:rPr>
              <w:t> </w:t>
            </w:r>
            <w:r>
              <w:rPr>
                <w:rFonts w:ascii="宋体" w:hAnsi="宋体" w:cs="宋体" w:eastAsia="宋体" w:hint="default"/>
                <w:sz w:val="18"/>
                <w:szCs w:val="18"/>
              </w:rPr>
              <w:t>射</w:t>
            </w:r>
            <w:r>
              <w:rPr>
                <w:rFonts w:ascii="宋体" w:hAnsi="宋体" w:cs="宋体" w:eastAsia="宋体" w:hint="default"/>
                <w:spacing w:val="-14"/>
                <w:sz w:val="18"/>
                <w:szCs w:val="18"/>
              </w:rPr>
              <w:t> </w:t>
            </w:r>
            <w:r>
              <w:rPr>
                <w:rFonts w:ascii="宋体" w:hAnsi="宋体" w:cs="宋体" w:eastAsia="宋体" w:hint="default"/>
                <w:sz w:val="18"/>
                <w:szCs w:val="18"/>
              </w:rPr>
              <w:t>线</w:t>
            </w:r>
            <w:r>
              <w:rPr>
                <w:rFonts w:ascii="宋体" w:hAnsi="宋体" w:cs="宋体" w:eastAsia="宋体" w:hint="default"/>
                <w:spacing w:val="-13"/>
                <w:sz w:val="18"/>
                <w:szCs w:val="18"/>
              </w:rPr>
              <w:t> </w:t>
            </w:r>
            <w:r>
              <w:rPr>
                <w:rFonts w:ascii="宋体" w:hAnsi="宋体" w:cs="宋体" w:eastAsia="宋体" w:hint="default"/>
                <w:sz w:val="18"/>
                <w:szCs w:val="18"/>
              </w:rPr>
              <w:t>法</w:t>
            </w:r>
            <w:r>
              <w:rPr>
                <w:rFonts w:ascii="宋体" w:hAnsi="宋体" w:cs="宋体" w:eastAsia="宋体" w:hint="default"/>
                <w:sz w:val="18"/>
                <w:szCs w:val="18"/>
              </w:rPr>
              <w:t> </w:t>
            </w:r>
            <w:r>
              <w:rPr>
                <w:rFonts w:ascii="Times New Roman" w:hAnsi="Times New Roman" w:cs="Times New Roman" w:eastAsia="Times New Roman" w:hint="default"/>
                <w:spacing w:val="3"/>
                <w:sz w:val="18"/>
                <w:szCs w:val="18"/>
              </w:rPr>
              <w:t>XHPM2000E</w:t>
            </w:r>
            <w:r>
              <w:rPr>
                <w:rFonts w:ascii="宋体" w:hAnsi="宋体" w:cs="宋体" w:eastAsia="宋体" w:hint="default"/>
                <w:spacing w:val="3"/>
                <w:sz w:val="18"/>
                <w:szCs w:val="18"/>
              </w:rPr>
              <w:t>型大气</w:t>
            </w:r>
            <w:r>
              <w:rPr>
                <w:rFonts w:ascii="Times New Roman" w:hAnsi="Times New Roman" w:cs="Times New Roman" w:eastAsia="Times New Roman" w:hint="default"/>
                <w:spacing w:val="3"/>
                <w:sz w:val="18"/>
                <w:szCs w:val="18"/>
              </w:rPr>
              <w:t>PM2.5</w:t>
            </w:r>
            <w:r>
              <w:rPr>
                <w:rFonts w:ascii="宋体" w:hAnsi="宋体" w:cs="宋体" w:eastAsia="宋体" w:hint="default"/>
                <w:spacing w:val="3"/>
                <w:sz w:val="18"/>
                <w:szCs w:val="18"/>
              </w:rPr>
              <w:t>连续自动监测</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pacing w:val="-4"/>
                <w:sz w:val="18"/>
                <w:szCs w:val="18"/>
              </w:rPr>
              <w:t>仪基础上，确定产业化开发技术路线，形</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成产业化示范。</w:t>
            </w:r>
          </w:p>
        </w:tc>
        <w:tc>
          <w:tcPr>
            <w:tcW w:w="88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74" w:right="73"/>
              <w:jc w:val="both"/>
              <w:rPr>
                <w:rFonts w:ascii="宋体" w:hAnsi="宋体" w:cs="宋体" w:eastAsia="宋体" w:hint="default"/>
                <w:sz w:val="18"/>
                <w:szCs w:val="18"/>
              </w:rPr>
            </w:pPr>
            <w:r>
              <w:rPr>
                <w:rFonts w:ascii="宋体" w:hAnsi="宋体" w:cs="宋体" w:eastAsia="宋体" w:hint="default"/>
                <w:sz w:val="18"/>
                <w:szCs w:val="18"/>
              </w:rPr>
              <w:t>河北省重 大科技成 果转化</w:t>
            </w:r>
          </w:p>
        </w:tc>
      </w:tr>
      <w:tr>
        <w:trPr>
          <w:trHeight w:val="2844" w:hRule="exact"/>
        </w:trPr>
        <w:tc>
          <w:tcPr>
            <w:tcW w:w="4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24</w:t>
            </w:r>
          </w:p>
        </w:tc>
        <w:tc>
          <w:tcPr>
            <w:tcW w:w="1583"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3" w:right="122"/>
              <w:jc w:val="both"/>
              <w:rPr>
                <w:rFonts w:ascii="宋体" w:hAnsi="宋体" w:cs="宋体" w:eastAsia="宋体" w:hint="default"/>
                <w:sz w:val="18"/>
                <w:szCs w:val="18"/>
              </w:rPr>
            </w:pPr>
            <w:r>
              <w:rPr>
                <w:rFonts w:ascii="宋体" w:hAnsi="宋体" w:cs="宋体" w:eastAsia="宋体" w:hint="default"/>
                <w:sz w:val="18"/>
                <w:szCs w:val="18"/>
              </w:rPr>
              <w:t>藻及营养参数在线 检测仪研制与在线 监测装备社会化服 务应用示范</w:t>
            </w:r>
          </w:p>
        </w:tc>
        <w:tc>
          <w:tcPr>
            <w:tcW w:w="2678"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0"/>
              <w:jc w:val="both"/>
              <w:rPr>
                <w:rFonts w:ascii="宋体" w:hAnsi="宋体" w:cs="宋体" w:eastAsia="宋体" w:hint="default"/>
                <w:sz w:val="18"/>
                <w:szCs w:val="18"/>
              </w:rPr>
            </w:pPr>
            <w:r>
              <w:rPr>
                <w:rFonts w:ascii="宋体" w:hAnsi="宋体" w:cs="宋体" w:eastAsia="宋体" w:hint="default"/>
                <w:spacing w:val="-3"/>
                <w:sz w:val="18"/>
                <w:szCs w:val="18"/>
              </w:rPr>
              <w:t>通过监测仪器的研发与产业化，进</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3"/>
                <w:sz w:val="18"/>
                <w:szCs w:val="18"/>
              </w:rPr>
              <w:t>一步丰富水质在线监测参数，优化</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9"/>
                <w:sz w:val="18"/>
                <w:szCs w:val="18"/>
              </w:rPr>
              <w:t>质量控制体系和管理运行规范体</w:t>
            </w:r>
            <w:r>
              <w:rPr>
                <w:rFonts w:ascii="宋体" w:hAnsi="宋体" w:cs="宋体" w:eastAsia="宋体" w:hint="default"/>
                <w:sz w:val="18"/>
                <w:szCs w:val="18"/>
              </w:rPr>
              <w:t> </w:t>
            </w:r>
            <w:r>
              <w:rPr>
                <w:rFonts w:ascii="宋体" w:hAnsi="宋体" w:cs="宋体" w:eastAsia="宋体" w:hint="default"/>
                <w:spacing w:val="-3"/>
                <w:sz w:val="18"/>
                <w:szCs w:val="18"/>
              </w:rPr>
              <w:t>系，提升我国现有在线监测装备的</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整体智能化运行水平。</w:t>
            </w:r>
          </w:p>
        </w:tc>
        <w:tc>
          <w:tcPr>
            <w:tcW w:w="92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94" w:right="2" w:hanging="90"/>
              <w:jc w:val="left"/>
              <w:rPr>
                <w:rFonts w:ascii="宋体" w:hAnsi="宋体" w:cs="宋体" w:eastAsia="宋体" w:hint="default"/>
                <w:sz w:val="18"/>
                <w:szCs w:val="18"/>
              </w:rPr>
            </w:pPr>
            <w:r>
              <w:rPr>
                <w:rFonts w:ascii="宋体" w:hAnsi="宋体" w:cs="宋体" w:eastAsia="宋体" w:hint="default"/>
                <w:sz w:val="18"/>
                <w:szCs w:val="18"/>
              </w:rPr>
              <w:t>产业化示范 运行阶段</w:t>
            </w:r>
          </w:p>
        </w:tc>
        <w:tc>
          <w:tcPr>
            <w:tcW w:w="3202"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3" w:right="0"/>
              <w:jc w:val="both"/>
              <w:rPr>
                <w:rFonts w:ascii="宋体" w:hAnsi="宋体" w:cs="宋体" w:eastAsia="宋体" w:hint="default"/>
                <w:sz w:val="18"/>
                <w:szCs w:val="18"/>
              </w:rPr>
            </w:pPr>
            <w:r>
              <w:rPr>
                <w:rFonts w:ascii="宋体" w:hAnsi="宋体" w:cs="宋体" w:eastAsia="宋体" w:hint="default"/>
                <w:spacing w:val="6"/>
                <w:sz w:val="18"/>
                <w:szCs w:val="18"/>
              </w:rPr>
              <w:t>针对藻分类及其生长营养参数的在线监</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pacing w:val="-4"/>
                <w:sz w:val="18"/>
                <w:szCs w:val="18"/>
              </w:rPr>
              <w:t>测需求，研制并产业化小型、灵敏的藻类</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pacing w:val="6"/>
                <w:sz w:val="18"/>
                <w:szCs w:val="18"/>
              </w:rPr>
              <w:t>分类及其生长营养参数在线监测成套装</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pacing w:val="-4"/>
                <w:sz w:val="18"/>
                <w:szCs w:val="18"/>
              </w:rPr>
              <w:t>备，实现蓝藻、绿藻、褐藻等藻类现场快</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pacing w:val="-4"/>
                <w:sz w:val="18"/>
                <w:szCs w:val="18"/>
              </w:rPr>
              <w:t>速分类监测，以及氮、磷、硅等生长营养</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pacing w:val="-4"/>
                <w:sz w:val="18"/>
                <w:szCs w:val="18"/>
              </w:rPr>
              <w:t>参数的原位在线监测，并面向一定规模数</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pacing w:val="6"/>
                <w:sz w:val="18"/>
                <w:szCs w:val="18"/>
              </w:rPr>
              <w:t>量的水污染源在线监测和环境水在线监</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pacing w:val="-4"/>
                <w:sz w:val="18"/>
                <w:szCs w:val="18"/>
              </w:rPr>
              <w:t>测站点的需要，在太湖和辽河流域开展水</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质在线监测社会化服务管理体系示范。</w:t>
            </w:r>
          </w:p>
        </w:tc>
        <w:tc>
          <w:tcPr>
            <w:tcW w:w="88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74" w:right="73"/>
              <w:jc w:val="left"/>
              <w:rPr>
                <w:rFonts w:ascii="宋体" w:hAnsi="宋体" w:cs="宋体" w:eastAsia="宋体" w:hint="default"/>
                <w:sz w:val="18"/>
                <w:szCs w:val="18"/>
              </w:rPr>
            </w:pPr>
            <w:r>
              <w:rPr>
                <w:rFonts w:ascii="宋体" w:hAnsi="宋体" w:cs="宋体" w:eastAsia="宋体" w:hint="default"/>
                <w:sz w:val="18"/>
                <w:szCs w:val="18"/>
              </w:rPr>
              <w:t>国家科技 部水专项</w:t>
            </w:r>
          </w:p>
        </w:tc>
      </w:tr>
      <w:tr>
        <w:trPr>
          <w:trHeight w:val="1907" w:hRule="exact"/>
        </w:trPr>
        <w:tc>
          <w:tcPr>
            <w:tcW w:w="4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center"/>
              <w:rPr>
                <w:rFonts w:ascii="Times New Roman" w:hAnsi="Times New Roman" w:cs="Times New Roman" w:eastAsia="Times New Roman" w:hint="default"/>
                <w:sz w:val="18"/>
                <w:szCs w:val="18"/>
              </w:rPr>
            </w:pPr>
            <w:r>
              <w:rPr>
                <w:rFonts w:ascii="Times New Roman"/>
                <w:sz w:val="18"/>
              </w:rPr>
              <w:t>25</w:t>
            </w:r>
          </w:p>
        </w:tc>
        <w:tc>
          <w:tcPr>
            <w:tcW w:w="1583"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20"/>
              <w:ind w:left="3" w:right="122"/>
              <w:jc w:val="left"/>
              <w:rPr>
                <w:rFonts w:ascii="宋体" w:hAnsi="宋体" w:cs="宋体" w:eastAsia="宋体" w:hint="default"/>
                <w:sz w:val="18"/>
                <w:szCs w:val="18"/>
              </w:rPr>
            </w:pPr>
            <w:r>
              <w:rPr>
                <w:rFonts w:ascii="宋体" w:hAnsi="宋体" w:cs="宋体" w:eastAsia="宋体" w:hint="default"/>
                <w:sz w:val="18"/>
                <w:szCs w:val="18"/>
              </w:rPr>
              <w:t>河北省环境空气污 染预警预报系统</w:t>
            </w:r>
          </w:p>
        </w:tc>
        <w:tc>
          <w:tcPr>
            <w:tcW w:w="2678"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20"/>
              <w:ind w:left="2" w:right="0"/>
              <w:jc w:val="both"/>
              <w:rPr>
                <w:rFonts w:ascii="宋体" w:hAnsi="宋体" w:cs="宋体" w:eastAsia="宋体" w:hint="default"/>
                <w:sz w:val="18"/>
                <w:szCs w:val="18"/>
              </w:rPr>
            </w:pPr>
            <w:r>
              <w:rPr>
                <w:rFonts w:ascii="宋体" w:hAnsi="宋体" w:cs="宋体" w:eastAsia="宋体" w:hint="default"/>
                <w:spacing w:val="9"/>
                <w:sz w:val="18"/>
                <w:szCs w:val="18"/>
              </w:rPr>
              <w:t>基于多源卫星数据建立雾霾遥感</w:t>
            </w:r>
            <w:r>
              <w:rPr>
                <w:rFonts w:ascii="宋体" w:hAnsi="宋体" w:cs="宋体" w:eastAsia="宋体" w:hint="default"/>
                <w:sz w:val="18"/>
                <w:szCs w:val="18"/>
              </w:rPr>
              <w:t> </w:t>
            </w:r>
            <w:r>
              <w:rPr>
                <w:rFonts w:ascii="宋体" w:hAnsi="宋体" w:cs="宋体" w:eastAsia="宋体" w:hint="default"/>
                <w:spacing w:val="-3"/>
                <w:sz w:val="18"/>
                <w:szCs w:val="18"/>
              </w:rPr>
              <w:t>监测业务平台，实现京津冀区域的</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3"/>
                <w:sz w:val="18"/>
                <w:szCs w:val="18"/>
              </w:rPr>
              <w:t>雾霾动态监测，为京津冀区域大气</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9"/>
                <w:sz w:val="18"/>
                <w:szCs w:val="18"/>
              </w:rPr>
              <w:t>污染联防联控和综合治理提供科</w:t>
            </w:r>
            <w:r>
              <w:rPr>
                <w:rFonts w:ascii="宋体" w:hAnsi="宋体" w:cs="宋体" w:eastAsia="宋体" w:hint="default"/>
                <w:sz w:val="18"/>
                <w:szCs w:val="18"/>
              </w:rPr>
              <w:t> 学依据。</w:t>
            </w:r>
          </w:p>
        </w:tc>
        <w:tc>
          <w:tcPr>
            <w:tcW w:w="924"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20"/>
              <w:ind w:left="274" w:right="2" w:hanging="270"/>
              <w:jc w:val="left"/>
              <w:rPr>
                <w:rFonts w:ascii="宋体" w:hAnsi="宋体" w:cs="宋体" w:eastAsia="宋体" w:hint="default"/>
                <w:sz w:val="18"/>
                <w:szCs w:val="18"/>
              </w:rPr>
            </w:pPr>
            <w:r>
              <w:rPr>
                <w:rFonts w:ascii="宋体" w:hAnsi="宋体" w:cs="宋体" w:eastAsia="宋体" w:hint="default"/>
                <w:sz w:val="18"/>
                <w:szCs w:val="18"/>
              </w:rPr>
              <w:t>已完成国家 验收</w:t>
            </w:r>
          </w:p>
        </w:tc>
        <w:tc>
          <w:tcPr>
            <w:tcW w:w="3202" w:type="dxa"/>
            <w:tcBorders>
              <w:top w:val="single" w:sz="6" w:space="0" w:color="000000"/>
              <w:left w:val="single" w:sz="6" w:space="0" w:color="000000"/>
              <w:bottom w:val="single" w:sz="6" w:space="0" w:color="000000"/>
              <w:right w:val="single" w:sz="6" w:space="0" w:color="000000"/>
            </w:tcBorders>
          </w:tcPr>
          <w:p>
            <w:pPr>
              <w:pStyle w:val="TableParagraph"/>
              <w:spacing w:line="312" w:lineRule="auto" w:before="20"/>
              <w:ind w:left="3" w:right="0"/>
              <w:jc w:val="both"/>
              <w:rPr>
                <w:rFonts w:ascii="宋体" w:hAnsi="宋体" w:cs="宋体" w:eastAsia="宋体" w:hint="default"/>
                <w:sz w:val="18"/>
                <w:szCs w:val="18"/>
              </w:rPr>
            </w:pPr>
            <w:r>
              <w:rPr>
                <w:rFonts w:ascii="宋体" w:hAnsi="宋体" w:cs="宋体" w:eastAsia="宋体" w:hint="default"/>
                <w:spacing w:val="2"/>
                <w:sz w:val="18"/>
                <w:szCs w:val="18"/>
              </w:rPr>
              <w:t>建立</w:t>
            </w:r>
            <w:r>
              <w:rPr>
                <w:rFonts w:ascii="Times New Roman" w:hAnsi="Times New Roman" w:cs="Times New Roman" w:eastAsia="Times New Roman" w:hint="default"/>
                <w:spacing w:val="2"/>
                <w:sz w:val="18"/>
                <w:szCs w:val="18"/>
              </w:rPr>
              <w:t>EOS/MODIS</w:t>
            </w:r>
            <w:r>
              <w:rPr>
                <w:rFonts w:ascii="宋体" w:hAnsi="宋体" w:cs="宋体" w:eastAsia="宋体" w:hint="default"/>
                <w:spacing w:val="2"/>
                <w:sz w:val="18"/>
                <w:szCs w:val="18"/>
              </w:rPr>
              <w:t>、风云三号系列卫星、</w:t>
            </w:r>
            <w:r>
              <w:rPr>
                <w:rFonts w:ascii="宋体" w:hAnsi="宋体" w:cs="宋体" w:eastAsia="宋体" w:hint="default"/>
                <w:sz w:val="18"/>
                <w:szCs w:val="18"/>
              </w:rPr>
              <w:t> </w:t>
            </w:r>
            <w:r>
              <w:rPr>
                <w:rFonts w:ascii="宋体" w:hAnsi="宋体" w:cs="宋体" w:eastAsia="宋体" w:hint="default"/>
                <w:spacing w:val="-2"/>
                <w:sz w:val="18"/>
                <w:szCs w:val="18"/>
              </w:rPr>
              <w:t>美国</w:t>
            </w:r>
            <w:r>
              <w:rPr>
                <w:rFonts w:ascii="Times New Roman" w:hAnsi="Times New Roman" w:cs="Times New Roman" w:eastAsia="Times New Roman" w:hint="default"/>
                <w:spacing w:val="-2"/>
                <w:sz w:val="18"/>
                <w:szCs w:val="18"/>
              </w:rPr>
              <w:t>NPP</w:t>
            </w:r>
            <w:r>
              <w:rPr>
                <w:rFonts w:ascii="宋体" w:hAnsi="宋体" w:cs="宋体" w:eastAsia="宋体" w:hint="default"/>
                <w:spacing w:val="-2"/>
                <w:sz w:val="18"/>
                <w:szCs w:val="18"/>
              </w:rPr>
              <w:t>卫星的气溶胶反演、多波段阈值</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4"/>
                <w:sz w:val="18"/>
                <w:szCs w:val="18"/>
              </w:rPr>
              <w:t>法的雾霾监测技术方法和指标。分析雾霾</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pacing w:val="-4"/>
                <w:sz w:val="18"/>
                <w:szCs w:val="18"/>
              </w:rPr>
              <w:t>发生区域及变化特征，结合天气过程，基</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pacing w:val="-4"/>
                <w:sz w:val="18"/>
                <w:szCs w:val="18"/>
              </w:rPr>
              <w:t>于高分辨率卫星数据，分析确定京津冀范</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围内主要排放源位置。</w:t>
            </w:r>
          </w:p>
        </w:tc>
        <w:tc>
          <w:tcPr>
            <w:tcW w:w="884"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20"/>
              <w:ind w:left="74" w:right="73"/>
              <w:jc w:val="left"/>
              <w:rPr>
                <w:rFonts w:ascii="宋体" w:hAnsi="宋体" w:cs="宋体" w:eastAsia="宋体" w:hint="default"/>
                <w:sz w:val="18"/>
                <w:szCs w:val="18"/>
              </w:rPr>
            </w:pPr>
            <w:r>
              <w:rPr>
                <w:rFonts w:ascii="宋体" w:hAnsi="宋体" w:cs="宋体" w:eastAsia="宋体" w:hint="default"/>
                <w:sz w:val="18"/>
                <w:szCs w:val="18"/>
              </w:rPr>
              <w:t>河北科技 计划项目</w:t>
            </w:r>
          </w:p>
        </w:tc>
      </w:tr>
      <w:tr>
        <w:trPr>
          <w:trHeight w:val="971" w:hRule="exact"/>
        </w:trPr>
        <w:tc>
          <w:tcPr>
            <w:tcW w:w="4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26</w:t>
            </w:r>
          </w:p>
        </w:tc>
        <w:tc>
          <w:tcPr>
            <w:tcW w:w="1583"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3" w:right="122"/>
              <w:jc w:val="left"/>
              <w:rPr>
                <w:rFonts w:ascii="宋体" w:hAnsi="宋体" w:cs="宋体" w:eastAsia="宋体" w:hint="default"/>
                <w:sz w:val="18"/>
                <w:szCs w:val="18"/>
              </w:rPr>
            </w:pPr>
            <w:r>
              <w:rPr>
                <w:rFonts w:ascii="宋体" w:hAnsi="宋体" w:cs="宋体" w:eastAsia="宋体" w:hint="default"/>
                <w:sz w:val="18"/>
                <w:szCs w:val="18"/>
              </w:rPr>
              <w:t>小型水质分析仪产 品开发</w:t>
            </w:r>
          </w:p>
        </w:tc>
        <w:tc>
          <w:tcPr>
            <w:tcW w:w="2678"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40"/>
              <w:jc w:val="both"/>
              <w:rPr>
                <w:rFonts w:ascii="宋体" w:hAnsi="宋体" w:cs="宋体" w:eastAsia="宋体" w:hint="default"/>
                <w:sz w:val="18"/>
                <w:szCs w:val="18"/>
              </w:rPr>
            </w:pPr>
            <w:r>
              <w:rPr>
                <w:rFonts w:ascii="宋体" w:hAnsi="宋体" w:cs="宋体" w:eastAsia="宋体" w:hint="default"/>
                <w:sz w:val="18"/>
                <w:szCs w:val="18"/>
              </w:rPr>
              <w:t>应用集成、模块化思路，微功耗， </w:t>
            </w:r>
            <w:r>
              <w:rPr>
                <w:rFonts w:ascii="宋体" w:hAnsi="宋体" w:cs="宋体" w:eastAsia="宋体" w:hint="default"/>
                <w:spacing w:val="-3"/>
                <w:sz w:val="18"/>
                <w:szCs w:val="18"/>
              </w:rPr>
              <w:t>高计量精度，微量试剂消耗，体积</w:t>
            </w:r>
            <w:r>
              <w:rPr>
                <w:rFonts w:ascii="宋体" w:hAnsi="宋体" w:cs="宋体" w:eastAsia="宋体" w:hint="default"/>
                <w:sz w:val="18"/>
                <w:szCs w:val="18"/>
              </w:rPr>
              <w:t> </w:t>
            </w:r>
            <w:r>
              <w:rPr>
                <w:rFonts w:ascii="宋体" w:hAnsi="宋体" w:cs="宋体" w:eastAsia="宋体" w:hint="default"/>
                <w:spacing w:val="-3"/>
                <w:sz w:val="18"/>
                <w:szCs w:val="18"/>
              </w:rPr>
              <w:t>小布局紧凑，能直接投放待测水体</w:t>
            </w:r>
          </w:p>
        </w:tc>
        <w:tc>
          <w:tcPr>
            <w:tcW w:w="9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批量生产</w:t>
            </w:r>
          </w:p>
        </w:tc>
        <w:tc>
          <w:tcPr>
            <w:tcW w:w="3202"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3" w:right="123"/>
              <w:jc w:val="left"/>
              <w:rPr>
                <w:rFonts w:ascii="宋体" w:hAnsi="宋体" w:cs="宋体" w:eastAsia="宋体" w:hint="default"/>
                <w:sz w:val="18"/>
                <w:szCs w:val="18"/>
              </w:rPr>
            </w:pPr>
            <w:r>
              <w:rPr>
                <w:rFonts w:ascii="宋体" w:hAnsi="宋体" w:cs="宋体" w:eastAsia="宋体" w:hint="default"/>
                <w:sz w:val="18"/>
                <w:szCs w:val="18"/>
              </w:rPr>
              <w:t>基于顺序注射平台的比色法投入式总氮 氨氮自动分析仪样机开发及中试生产。</w:t>
            </w:r>
          </w:p>
        </w:tc>
        <w:tc>
          <w:tcPr>
            <w:tcW w:w="884" w:type="dxa"/>
            <w:tcBorders>
              <w:top w:val="single" w:sz="6" w:space="0" w:color="000000"/>
              <w:left w:val="single" w:sz="6" w:space="0" w:color="000000"/>
              <w:bottom w:val="single" w:sz="6" w:space="0" w:color="000000"/>
              <w:right w:val="single" w:sz="6" w:space="0" w:color="000000"/>
            </w:tcBorders>
          </w:tcPr>
          <w:p>
            <w:pPr>
              <w:pStyle w:val="TableParagraph"/>
              <w:tabs>
                <w:tab w:pos="254" w:val="left" w:leader="none"/>
              </w:tabs>
              <w:spacing w:line="240" w:lineRule="auto" w:before="21"/>
              <w:ind w:left="-139" w:right="253"/>
              <w:jc w:val="right"/>
              <w:rPr>
                <w:rFonts w:ascii="宋体" w:hAnsi="宋体" w:cs="宋体" w:eastAsia="宋体" w:hint="default"/>
                <w:sz w:val="18"/>
                <w:szCs w:val="18"/>
              </w:rPr>
            </w:pPr>
            <w:r>
              <w:rPr>
                <w:rFonts w:ascii="宋体" w:hAnsi="宋体" w:cs="宋体" w:eastAsia="宋体" w:hint="default"/>
                <w:sz w:val="18"/>
                <w:szCs w:val="18"/>
              </w:rPr>
              <w:t>、</w:t>
              <w:tab/>
              <w:t>自立</w:t>
            </w:r>
          </w:p>
        </w:tc>
      </w:tr>
      <w:tr>
        <w:trPr>
          <w:trHeight w:val="971" w:hRule="exact"/>
        </w:trPr>
        <w:tc>
          <w:tcPr>
            <w:tcW w:w="4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27</w:t>
            </w:r>
          </w:p>
        </w:tc>
        <w:tc>
          <w:tcPr>
            <w:tcW w:w="1583"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3" w:right="122"/>
              <w:jc w:val="left"/>
              <w:rPr>
                <w:rFonts w:ascii="宋体" w:hAnsi="宋体" w:cs="宋体" w:eastAsia="宋体" w:hint="default"/>
                <w:sz w:val="18"/>
                <w:szCs w:val="18"/>
              </w:rPr>
            </w:pPr>
            <w:r>
              <w:rPr>
                <w:rFonts w:ascii="宋体" w:hAnsi="宋体" w:cs="宋体" w:eastAsia="宋体" w:hint="default"/>
                <w:sz w:val="18"/>
                <w:szCs w:val="18"/>
              </w:rPr>
              <w:t>小型化空气监测系 统</w:t>
            </w:r>
          </w:p>
        </w:tc>
        <w:tc>
          <w:tcPr>
            <w:tcW w:w="2678" w:type="dxa"/>
            <w:tcBorders>
              <w:top w:val="single" w:sz="6" w:space="0" w:color="000000"/>
              <w:left w:val="single" w:sz="6" w:space="0" w:color="000000"/>
              <w:bottom w:val="single" w:sz="6" w:space="0" w:color="000000"/>
              <w:right w:val="single" w:sz="6" w:space="0" w:color="000000"/>
            </w:tcBorders>
          </w:tcPr>
          <w:p>
            <w:pPr>
              <w:pStyle w:val="TableParagraph"/>
              <w:spacing w:line="280" w:lineRule="auto" w:before="21"/>
              <w:ind w:left="2" w:right="0"/>
              <w:jc w:val="left"/>
              <w:rPr>
                <w:rFonts w:ascii="宋体" w:hAnsi="宋体" w:cs="宋体" w:eastAsia="宋体" w:hint="default"/>
                <w:sz w:val="18"/>
                <w:szCs w:val="18"/>
              </w:rPr>
            </w:pPr>
            <w:r>
              <w:rPr>
                <w:rFonts w:ascii="宋体" w:hAnsi="宋体" w:cs="宋体" w:eastAsia="宋体" w:hint="default"/>
                <w:spacing w:val="-3"/>
                <w:sz w:val="18"/>
                <w:szCs w:val="18"/>
              </w:rPr>
              <w:t>监测</w:t>
            </w:r>
            <w:r>
              <w:rPr>
                <w:rFonts w:ascii="Times New Roman" w:hAnsi="Times New Roman" w:cs="Times New Roman" w:eastAsia="Times New Roman" w:hint="default"/>
                <w:spacing w:val="-3"/>
                <w:sz w:val="18"/>
                <w:szCs w:val="18"/>
              </w:rPr>
              <w:t>SO</w:t>
            </w:r>
            <w:r>
              <w:rPr>
                <w:rFonts w:ascii="Times New Roman" w:hAnsi="Times New Roman" w:cs="Times New Roman" w:eastAsia="Times New Roman" w:hint="default"/>
                <w:spacing w:val="-3"/>
                <w:position w:val="-2"/>
                <w:sz w:val="12"/>
                <w:szCs w:val="12"/>
              </w:rPr>
              <w:t>2</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NOx</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CO</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O</w:t>
            </w:r>
            <w:r>
              <w:rPr>
                <w:rFonts w:ascii="Times New Roman" w:hAnsi="Times New Roman" w:cs="Times New Roman" w:eastAsia="Times New Roman" w:hint="default"/>
                <w:spacing w:val="-3"/>
                <w:position w:val="-2"/>
                <w:sz w:val="12"/>
                <w:szCs w:val="12"/>
              </w:rPr>
              <w:t>3</w:t>
            </w:r>
            <w:r>
              <w:rPr>
                <w:rFonts w:ascii="宋体" w:hAnsi="宋体" w:cs="宋体" w:eastAsia="宋体" w:hint="default"/>
                <w:spacing w:val="-3"/>
                <w:sz w:val="18"/>
                <w:szCs w:val="18"/>
              </w:rPr>
              <w:t>，颗粒物</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等空气五参数。</w:t>
            </w:r>
          </w:p>
        </w:tc>
        <w:tc>
          <w:tcPr>
            <w:tcW w:w="9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批量生产</w:t>
            </w:r>
          </w:p>
        </w:tc>
        <w:tc>
          <w:tcPr>
            <w:tcW w:w="3202"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21"/>
              <w:ind w:left="3" w:right="0"/>
              <w:jc w:val="both"/>
              <w:rPr>
                <w:rFonts w:ascii="宋体" w:hAnsi="宋体" w:cs="宋体" w:eastAsia="宋体" w:hint="default"/>
                <w:sz w:val="18"/>
                <w:szCs w:val="18"/>
              </w:rPr>
            </w:pPr>
            <w:r>
              <w:rPr>
                <w:rFonts w:ascii="宋体" w:hAnsi="宋体" w:cs="宋体" w:eastAsia="宋体" w:hint="default"/>
                <w:spacing w:val="-4"/>
                <w:sz w:val="18"/>
                <w:szCs w:val="18"/>
              </w:rPr>
              <w:t>小型化空气监测系统，可分别或集成监测</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Times New Roman" w:hAnsi="Times New Roman" w:cs="Times New Roman" w:eastAsia="Times New Roman" w:hint="default"/>
                <w:spacing w:val="-3"/>
                <w:sz w:val="18"/>
                <w:szCs w:val="18"/>
              </w:rPr>
              <w:t>SO</w:t>
            </w:r>
            <w:r>
              <w:rPr>
                <w:rFonts w:ascii="Times New Roman" w:hAnsi="Times New Roman" w:cs="Times New Roman" w:eastAsia="Times New Roman" w:hint="default"/>
                <w:spacing w:val="-3"/>
                <w:position w:val="-2"/>
                <w:sz w:val="12"/>
                <w:szCs w:val="12"/>
              </w:rPr>
              <w:t>2</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NOx</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CO</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O</w:t>
            </w:r>
            <w:r>
              <w:rPr>
                <w:rFonts w:ascii="Times New Roman" w:hAnsi="Times New Roman" w:cs="Times New Roman" w:eastAsia="Times New Roman" w:hint="default"/>
                <w:spacing w:val="-3"/>
                <w:position w:val="-2"/>
                <w:sz w:val="12"/>
                <w:szCs w:val="12"/>
              </w:rPr>
              <w:t>3</w:t>
            </w:r>
            <w:r>
              <w:rPr>
                <w:rFonts w:ascii="宋体" w:hAnsi="宋体" w:cs="宋体" w:eastAsia="宋体" w:hint="default"/>
                <w:spacing w:val="-3"/>
                <w:sz w:val="18"/>
                <w:szCs w:val="18"/>
              </w:rPr>
              <w:t>，颗粒物等空气五参</w:t>
            </w:r>
            <w:r>
              <w:rPr>
                <w:rFonts w:ascii="宋体" w:hAnsi="宋体" w:cs="宋体" w:eastAsia="宋体" w:hint="default"/>
                <w:sz w:val="18"/>
                <w:szCs w:val="18"/>
              </w:rPr>
              <w:t> 数，样机设计开发及中试生产。</w:t>
            </w:r>
          </w:p>
        </w:tc>
        <w:tc>
          <w:tcPr>
            <w:tcW w:w="8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253"/>
              <w:jc w:val="right"/>
              <w:rPr>
                <w:rFonts w:ascii="宋体" w:hAnsi="宋体" w:cs="宋体" w:eastAsia="宋体" w:hint="default"/>
                <w:sz w:val="18"/>
                <w:szCs w:val="18"/>
              </w:rPr>
            </w:pPr>
            <w:r>
              <w:rPr>
                <w:rFonts w:ascii="宋体" w:hAnsi="宋体" w:cs="宋体" w:eastAsia="宋体" w:hint="default"/>
                <w:sz w:val="18"/>
                <w:szCs w:val="18"/>
              </w:rPr>
              <w:t>自立</w:t>
            </w:r>
          </w:p>
        </w:tc>
      </w:tr>
      <w:tr>
        <w:trPr>
          <w:trHeight w:val="1283" w:hRule="exact"/>
        </w:trPr>
        <w:tc>
          <w:tcPr>
            <w:tcW w:w="4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28</w:t>
            </w:r>
          </w:p>
        </w:tc>
        <w:tc>
          <w:tcPr>
            <w:tcW w:w="1583"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21"/>
              <w:ind w:left="3" w:right="122"/>
              <w:jc w:val="left"/>
              <w:rPr>
                <w:rFonts w:ascii="宋体" w:hAnsi="宋体" w:cs="宋体" w:eastAsia="宋体" w:hint="default"/>
                <w:sz w:val="18"/>
                <w:szCs w:val="18"/>
              </w:rPr>
            </w:pPr>
            <w:r>
              <w:rPr>
                <w:rFonts w:ascii="Times New Roman" w:hAnsi="Times New Roman" w:cs="Times New Roman" w:eastAsia="Times New Roman" w:hint="default"/>
                <w:sz w:val="18"/>
                <w:szCs w:val="18"/>
              </w:rPr>
              <w:t>CES</w:t>
            </w:r>
            <w:r>
              <w:rPr>
                <w:rFonts w:ascii="宋体" w:hAnsi="宋体" w:cs="宋体" w:eastAsia="宋体" w:hint="default"/>
                <w:sz w:val="18"/>
                <w:szCs w:val="18"/>
              </w:rPr>
              <w:t>大气重金属在</w:t>
            </w:r>
            <w:r>
              <w:rPr>
                <w:rFonts w:ascii="宋体" w:hAnsi="宋体" w:cs="宋体" w:eastAsia="宋体" w:hint="default"/>
                <w:w w:val="99"/>
                <w:sz w:val="18"/>
                <w:szCs w:val="18"/>
              </w:rPr>
              <w:t> </w:t>
            </w:r>
            <w:r>
              <w:rPr>
                <w:rFonts w:ascii="宋体" w:hAnsi="宋体" w:cs="宋体" w:eastAsia="宋体" w:hint="default"/>
                <w:sz w:val="18"/>
                <w:szCs w:val="18"/>
              </w:rPr>
              <w:t>线监测仪技术引进</w:t>
            </w:r>
          </w:p>
        </w:tc>
        <w:tc>
          <w:tcPr>
            <w:tcW w:w="2678"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3"/>
              <w:jc w:val="left"/>
              <w:rPr>
                <w:rFonts w:ascii="宋体" w:hAnsi="宋体" w:cs="宋体" w:eastAsia="宋体" w:hint="default"/>
                <w:sz w:val="18"/>
                <w:szCs w:val="18"/>
              </w:rPr>
            </w:pPr>
            <w:r>
              <w:rPr>
                <w:rFonts w:ascii="宋体" w:hAnsi="宋体" w:cs="宋体" w:eastAsia="宋体" w:hint="default"/>
                <w:spacing w:val="9"/>
                <w:sz w:val="18"/>
                <w:szCs w:val="18"/>
              </w:rPr>
              <w:t>连续监测并分析大气中多种重金</w:t>
            </w:r>
            <w:r>
              <w:rPr>
                <w:rFonts w:ascii="宋体" w:hAnsi="宋体" w:cs="宋体" w:eastAsia="宋体" w:hint="default"/>
                <w:sz w:val="18"/>
                <w:szCs w:val="18"/>
              </w:rPr>
              <w:t> 属颗粒物的种类及浓度。</w:t>
            </w:r>
          </w:p>
        </w:tc>
        <w:tc>
          <w:tcPr>
            <w:tcW w:w="9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批量生产</w:t>
            </w:r>
          </w:p>
        </w:tc>
        <w:tc>
          <w:tcPr>
            <w:tcW w:w="3202"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3" w:right="0"/>
              <w:jc w:val="both"/>
              <w:rPr>
                <w:rFonts w:ascii="宋体" w:hAnsi="宋体" w:cs="宋体" w:eastAsia="宋体" w:hint="default"/>
                <w:sz w:val="18"/>
                <w:szCs w:val="18"/>
              </w:rPr>
            </w:pPr>
            <w:r>
              <w:rPr>
                <w:rFonts w:ascii="宋体" w:hAnsi="宋体" w:cs="宋体" w:eastAsia="宋体" w:hint="default"/>
                <w:spacing w:val="6"/>
                <w:sz w:val="18"/>
                <w:szCs w:val="18"/>
              </w:rPr>
              <w:t>大气重金属在线监测系统设计图纸国产</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pacing w:val="-4"/>
                <w:sz w:val="18"/>
                <w:szCs w:val="18"/>
              </w:rPr>
              <w:t>化；仪器控制及分析软件汉化；仪器装调</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pacing w:val="-4"/>
                <w:sz w:val="18"/>
                <w:szCs w:val="18"/>
              </w:rPr>
              <w:t>所需工装的搭建；仪器部件加工及采购渠</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道国产化。</w:t>
            </w:r>
          </w:p>
        </w:tc>
        <w:tc>
          <w:tcPr>
            <w:tcW w:w="8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253"/>
              <w:jc w:val="right"/>
              <w:rPr>
                <w:rFonts w:ascii="宋体" w:hAnsi="宋体" w:cs="宋体" w:eastAsia="宋体" w:hint="default"/>
                <w:sz w:val="18"/>
                <w:szCs w:val="18"/>
              </w:rPr>
            </w:pPr>
            <w:r>
              <w:rPr>
                <w:rFonts w:ascii="宋体" w:hAnsi="宋体" w:cs="宋体" w:eastAsia="宋体" w:hint="default"/>
                <w:sz w:val="18"/>
                <w:szCs w:val="18"/>
              </w:rPr>
              <w:t>自立</w:t>
            </w:r>
          </w:p>
        </w:tc>
      </w:tr>
      <w:tr>
        <w:trPr>
          <w:trHeight w:val="659" w:hRule="exact"/>
        </w:trPr>
        <w:tc>
          <w:tcPr>
            <w:tcW w:w="4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29</w:t>
            </w:r>
          </w:p>
        </w:tc>
        <w:tc>
          <w:tcPr>
            <w:tcW w:w="15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建筑施工在线监测</w:t>
            </w:r>
          </w:p>
        </w:tc>
        <w:tc>
          <w:tcPr>
            <w:tcW w:w="2678"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3"/>
              <w:jc w:val="left"/>
              <w:rPr>
                <w:rFonts w:ascii="宋体" w:hAnsi="宋体" w:cs="宋体" w:eastAsia="宋体" w:hint="default"/>
                <w:sz w:val="18"/>
                <w:szCs w:val="18"/>
              </w:rPr>
            </w:pPr>
            <w:r>
              <w:rPr>
                <w:rFonts w:ascii="宋体" w:hAnsi="宋体" w:cs="宋体" w:eastAsia="宋体" w:hint="default"/>
                <w:spacing w:val="9"/>
                <w:sz w:val="18"/>
                <w:szCs w:val="18"/>
              </w:rPr>
              <w:t>用于监测施工扬尘中颗粒物排放</w:t>
            </w:r>
            <w:r>
              <w:rPr>
                <w:rFonts w:ascii="宋体" w:hAnsi="宋体" w:cs="宋体" w:eastAsia="宋体" w:hint="default"/>
                <w:sz w:val="18"/>
                <w:szCs w:val="18"/>
              </w:rPr>
              <w:t> 浓度</w:t>
            </w:r>
          </w:p>
        </w:tc>
        <w:tc>
          <w:tcPr>
            <w:tcW w:w="9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批量生产</w:t>
            </w:r>
          </w:p>
        </w:tc>
        <w:tc>
          <w:tcPr>
            <w:tcW w:w="32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扬尘在线监测系统的开发及中试。</w:t>
            </w:r>
          </w:p>
        </w:tc>
        <w:tc>
          <w:tcPr>
            <w:tcW w:w="8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253"/>
              <w:jc w:val="right"/>
              <w:rPr>
                <w:rFonts w:ascii="宋体" w:hAnsi="宋体" w:cs="宋体" w:eastAsia="宋体" w:hint="default"/>
                <w:sz w:val="18"/>
                <w:szCs w:val="18"/>
              </w:rPr>
            </w:pPr>
            <w:r>
              <w:rPr>
                <w:rFonts w:ascii="宋体" w:hAnsi="宋体" w:cs="宋体" w:eastAsia="宋体" w:hint="default"/>
                <w:sz w:val="18"/>
                <w:szCs w:val="18"/>
              </w:rPr>
              <w:t>自立</w:t>
            </w:r>
          </w:p>
        </w:tc>
      </w:tr>
      <w:tr>
        <w:trPr>
          <w:trHeight w:val="660" w:hRule="exact"/>
        </w:trPr>
        <w:tc>
          <w:tcPr>
            <w:tcW w:w="4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30</w:t>
            </w:r>
          </w:p>
        </w:tc>
        <w:tc>
          <w:tcPr>
            <w:tcW w:w="1583"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21"/>
              <w:ind w:left="3" w:right="179"/>
              <w:jc w:val="left"/>
              <w:rPr>
                <w:rFonts w:ascii="宋体" w:hAnsi="宋体" w:cs="宋体" w:eastAsia="宋体" w:hint="default"/>
                <w:sz w:val="18"/>
                <w:szCs w:val="18"/>
              </w:rPr>
            </w:pPr>
            <w:r>
              <w:rPr>
                <w:rFonts w:ascii="宋体" w:hAnsi="宋体" w:cs="宋体" w:eastAsia="宋体" w:hint="default"/>
                <w:sz w:val="18"/>
                <w:szCs w:val="18"/>
              </w:rPr>
              <w:t>便携式</w:t>
            </w:r>
            <w:r>
              <w:rPr>
                <w:rFonts w:ascii="Times New Roman" w:hAnsi="Times New Roman" w:cs="Times New Roman" w:eastAsia="Times New Roman" w:hint="default"/>
                <w:sz w:val="18"/>
                <w:szCs w:val="18"/>
              </w:rPr>
              <w:t>PM2.5</w:t>
            </w:r>
            <w:r>
              <w:rPr>
                <w:rFonts w:ascii="宋体" w:hAnsi="宋体" w:cs="宋体" w:eastAsia="宋体" w:hint="default"/>
                <w:sz w:val="18"/>
                <w:szCs w:val="18"/>
              </w:rPr>
              <w:t>颗粒 物检测仪</w:t>
            </w:r>
          </w:p>
        </w:tc>
        <w:tc>
          <w:tcPr>
            <w:tcW w:w="26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23"/>
              <w:jc w:val="left"/>
              <w:rPr>
                <w:rFonts w:ascii="宋体" w:hAnsi="宋体" w:cs="宋体" w:eastAsia="宋体" w:hint="default"/>
                <w:sz w:val="18"/>
                <w:szCs w:val="18"/>
              </w:rPr>
            </w:pPr>
            <w:r>
              <w:rPr>
                <w:rFonts w:ascii="宋体" w:hAnsi="宋体" w:cs="宋体" w:eastAsia="宋体" w:hint="default"/>
                <w:spacing w:val="24"/>
                <w:sz w:val="18"/>
                <w:szCs w:val="18"/>
              </w:rPr>
              <w:t>用于快速检测空气中细颗粒物</w:t>
            </w:r>
            <w:r>
              <w:rPr>
                <w:rFonts w:ascii="宋体" w:hAnsi="宋体" w:cs="宋体" w:eastAsia="宋体" w:hint="default"/>
                <w:spacing w:val="-64"/>
                <w:sz w:val="18"/>
                <w:szCs w:val="18"/>
              </w:rPr>
              <w:t> </w:t>
            </w:r>
            <w:r>
              <w:rPr>
                <w:rFonts w:ascii="宋体" w:hAnsi="宋体" w:cs="宋体" w:eastAsia="宋体" w:hint="default"/>
                <w:sz w:val="18"/>
                <w:szCs w:val="18"/>
              </w:rPr>
            </w:r>
          </w:p>
          <w:p>
            <w:pPr>
              <w:pStyle w:val="TableParagraph"/>
              <w:spacing w:line="240" w:lineRule="auto" w:before="76"/>
              <w:ind w:left="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PM</w:t>
            </w:r>
            <w:r>
              <w:rPr>
                <w:rFonts w:ascii="Times New Roman" w:hAnsi="Times New Roman" w:cs="Times New Roman" w:eastAsia="Times New Roman" w:hint="default"/>
                <w:position w:val="-2"/>
                <w:sz w:val="12"/>
                <w:szCs w:val="12"/>
              </w:rPr>
              <w:t>2.5</w:t>
            </w:r>
            <w:r>
              <w:rPr>
                <w:rFonts w:ascii="宋体" w:hAnsi="宋体" w:cs="宋体" w:eastAsia="宋体" w:hint="default"/>
                <w:sz w:val="18"/>
                <w:szCs w:val="18"/>
              </w:rPr>
              <w:t>）含量</w:t>
            </w:r>
          </w:p>
        </w:tc>
        <w:tc>
          <w:tcPr>
            <w:tcW w:w="9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批量生产</w:t>
            </w:r>
          </w:p>
        </w:tc>
        <w:tc>
          <w:tcPr>
            <w:tcW w:w="32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便携式颗粒物检测仪的开发及中试。</w:t>
            </w:r>
          </w:p>
        </w:tc>
        <w:tc>
          <w:tcPr>
            <w:tcW w:w="8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253"/>
              <w:jc w:val="right"/>
              <w:rPr>
                <w:rFonts w:ascii="宋体" w:hAnsi="宋体" w:cs="宋体" w:eastAsia="宋体" w:hint="default"/>
                <w:sz w:val="18"/>
                <w:szCs w:val="18"/>
              </w:rPr>
            </w:pPr>
            <w:r>
              <w:rPr>
                <w:rFonts w:ascii="宋体" w:hAnsi="宋体" w:cs="宋体" w:eastAsia="宋体" w:hint="default"/>
                <w:sz w:val="18"/>
                <w:szCs w:val="18"/>
              </w:rPr>
              <w:t>自立</w:t>
            </w:r>
          </w:p>
        </w:tc>
      </w:tr>
      <w:tr>
        <w:trPr>
          <w:trHeight w:val="659" w:hRule="exact"/>
        </w:trPr>
        <w:tc>
          <w:tcPr>
            <w:tcW w:w="4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center"/>
              <w:rPr>
                <w:rFonts w:ascii="Times New Roman" w:hAnsi="Times New Roman" w:cs="Times New Roman" w:eastAsia="Times New Roman" w:hint="default"/>
                <w:sz w:val="18"/>
                <w:szCs w:val="18"/>
              </w:rPr>
            </w:pPr>
            <w:r>
              <w:rPr>
                <w:rFonts w:ascii="Times New Roman"/>
                <w:sz w:val="18"/>
              </w:rPr>
              <w:t>31</w:t>
            </w:r>
          </w:p>
        </w:tc>
        <w:tc>
          <w:tcPr>
            <w:tcW w:w="1583"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20"/>
              <w:ind w:left="3" w:right="122"/>
              <w:jc w:val="left"/>
              <w:rPr>
                <w:rFonts w:ascii="宋体" w:hAnsi="宋体" w:cs="宋体" w:eastAsia="宋体" w:hint="default"/>
                <w:sz w:val="18"/>
                <w:szCs w:val="18"/>
              </w:rPr>
            </w:pPr>
            <w:r>
              <w:rPr>
                <w:rFonts w:ascii="宋体" w:hAnsi="宋体" w:cs="宋体" w:eastAsia="宋体" w:hint="default"/>
                <w:sz w:val="18"/>
                <w:szCs w:val="18"/>
              </w:rPr>
              <w:t>基于</w:t>
            </w:r>
            <w:r>
              <w:rPr>
                <w:rFonts w:ascii="Times New Roman" w:hAnsi="Times New Roman" w:cs="Times New Roman" w:eastAsia="Times New Roman" w:hint="default"/>
                <w:sz w:val="18"/>
                <w:szCs w:val="18"/>
              </w:rPr>
              <w:t>PM2.5</w:t>
            </w:r>
            <w:r>
              <w:rPr>
                <w:rFonts w:ascii="宋体" w:hAnsi="宋体" w:cs="宋体" w:eastAsia="宋体" w:hint="default"/>
                <w:sz w:val="18"/>
                <w:szCs w:val="18"/>
              </w:rPr>
              <w:t>成分在 线分析的快速源解</w:t>
            </w:r>
          </w:p>
        </w:tc>
        <w:tc>
          <w:tcPr>
            <w:tcW w:w="2678"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2" w:right="3"/>
              <w:jc w:val="left"/>
              <w:rPr>
                <w:rFonts w:ascii="宋体" w:hAnsi="宋体" w:cs="宋体" w:eastAsia="宋体" w:hint="default"/>
                <w:sz w:val="18"/>
                <w:szCs w:val="18"/>
              </w:rPr>
            </w:pPr>
            <w:r>
              <w:rPr>
                <w:rFonts w:ascii="宋体" w:hAnsi="宋体" w:cs="宋体" w:eastAsia="宋体" w:hint="default"/>
                <w:spacing w:val="-3"/>
                <w:sz w:val="18"/>
                <w:szCs w:val="18"/>
              </w:rPr>
              <w:t>实现在线源解析、源谱库管理、受</w:t>
            </w:r>
            <w:r>
              <w:rPr>
                <w:rFonts w:ascii="宋体" w:hAnsi="宋体" w:cs="宋体" w:eastAsia="宋体" w:hint="default"/>
                <w:sz w:val="18"/>
                <w:szCs w:val="18"/>
              </w:rPr>
              <w:t> </w:t>
            </w:r>
            <w:r>
              <w:rPr>
                <w:rFonts w:ascii="宋体" w:hAnsi="宋体" w:cs="宋体" w:eastAsia="宋体" w:hint="default"/>
                <w:spacing w:val="9"/>
                <w:sz w:val="18"/>
                <w:szCs w:val="18"/>
              </w:rPr>
              <w:t>体模型污染源解析并自动生成源</w:t>
            </w:r>
          </w:p>
        </w:tc>
        <w:tc>
          <w:tcPr>
            <w:tcW w:w="92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94" w:right="2" w:hanging="90"/>
              <w:jc w:val="left"/>
              <w:rPr>
                <w:rFonts w:ascii="宋体" w:hAnsi="宋体" w:cs="宋体" w:eastAsia="宋体" w:hint="default"/>
                <w:sz w:val="18"/>
                <w:szCs w:val="18"/>
              </w:rPr>
            </w:pPr>
            <w:r>
              <w:rPr>
                <w:rFonts w:ascii="宋体" w:hAnsi="宋体" w:cs="宋体" w:eastAsia="宋体" w:hint="default"/>
                <w:sz w:val="18"/>
                <w:szCs w:val="18"/>
              </w:rPr>
              <w:t>产业化示范 运行阶段</w:t>
            </w:r>
          </w:p>
        </w:tc>
        <w:tc>
          <w:tcPr>
            <w:tcW w:w="3202"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20"/>
              <w:ind w:left="3" w:right="0"/>
              <w:jc w:val="left"/>
              <w:rPr>
                <w:rFonts w:ascii="宋体" w:hAnsi="宋体" w:cs="宋体" w:eastAsia="宋体" w:hint="default"/>
                <w:sz w:val="18"/>
                <w:szCs w:val="18"/>
              </w:rPr>
            </w:pPr>
            <w:r>
              <w:rPr>
                <w:rFonts w:ascii="宋体" w:hAnsi="宋体" w:cs="宋体" w:eastAsia="宋体" w:hint="default"/>
                <w:spacing w:val="8"/>
                <w:sz w:val="18"/>
                <w:szCs w:val="18"/>
              </w:rPr>
              <w:t>完成基于</w:t>
            </w:r>
            <w:r>
              <w:rPr>
                <w:rFonts w:ascii="Times New Roman" w:hAnsi="Times New Roman" w:cs="Times New Roman" w:eastAsia="Times New Roman" w:hint="default"/>
                <w:spacing w:val="8"/>
                <w:sz w:val="18"/>
                <w:szCs w:val="18"/>
              </w:rPr>
              <w:t>PM2.5</w:t>
            </w:r>
            <w:r>
              <w:rPr>
                <w:rFonts w:ascii="宋体" w:hAnsi="宋体" w:cs="宋体" w:eastAsia="宋体" w:hint="default"/>
                <w:spacing w:val="8"/>
                <w:sz w:val="18"/>
                <w:szCs w:val="18"/>
              </w:rPr>
              <w:t>成分在线分析的快速源</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4"/>
                <w:sz w:val="18"/>
                <w:szCs w:val="18"/>
              </w:rPr>
              <w:t>解析系统开发，并在武汉市环境监测站试</w:t>
            </w:r>
          </w:p>
        </w:tc>
        <w:tc>
          <w:tcPr>
            <w:tcW w:w="8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253"/>
              <w:jc w:val="right"/>
              <w:rPr>
                <w:rFonts w:ascii="宋体" w:hAnsi="宋体" w:cs="宋体" w:eastAsia="宋体" w:hint="default"/>
                <w:sz w:val="18"/>
                <w:szCs w:val="18"/>
              </w:rPr>
            </w:pPr>
            <w:r>
              <w:rPr>
                <w:rFonts w:ascii="宋体" w:hAnsi="宋体" w:cs="宋体" w:eastAsia="宋体" w:hint="default"/>
                <w:sz w:val="18"/>
                <w:szCs w:val="18"/>
              </w:rPr>
              <w:t>自立</w:t>
            </w:r>
          </w:p>
        </w:tc>
      </w:tr>
    </w:tbl>
    <w:p>
      <w:pPr>
        <w:spacing w:after="0" w:line="240" w:lineRule="auto"/>
        <w:jc w:val="right"/>
        <w:rPr>
          <w:rFonts w:ascii="宋体" w:hAnsi="宋体" w:cs="宋体" w:eastAsia="宋体" w:hint="default"/>
          <w:sz w:val="18"/>
          <w:szCs w:val="18"/>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after="0" w:line="240" w:lineRule="auto"/>
        <w:rPr>
          <w:rFonts w:ascii="Times New Roman" w:hAnsi="Times New Roman" w:cs="Times New Roman" w:eastAsia="Times New Roman" w:hint="default"/>
          <w:sz w:val="20"/>
          <w:szCs w:val="20"/>
        </w:rPr>
        <w:sectPr>
          <w:pgSz w:w="11910" w:h="16840"/>
          <w:pgMar w:header="747" w:footer="979" w:top="1060" w:bottom="1160" w:left="0" w:right="0"/>
        </w:sectPr>
      </w:pPr>
    </w:p>
    <w:p>
      <w:pPr>
        <w:spacing w:line="240" w:lineRule="auto" w:before="6"/>
        <w:rPr>
          <w:rFonts w:ascii="Times New Roman" w:hAnsi="Times New Roman" w:cs="Times New Roman" w:eastAsia="Times New Roman" w:hint="default"/>
          <w:sz w:val="15"/>
          <w:szCs w:val="15"/>
        </w:rPr>
      </w:pPr>
    </w:p>
    <w:p>
      <w:pPr>
        <w:pStyle w:val="BodyText"/>
        <w:tabs>
          <w:tab w:pos="3222" w:val="left" w:leader="none"/>
        </w:tabs>
        <w:spacing w:line="316" w:lineRule="auto"/>
        <w:ind w:left="3222" w:right="0" w:hanging="1582"/>
        <w:jc w:val="both"/>
      </w:pPr>
      <w:r>
        <w:rPr/>
        <w:t>析系统</w:t>
        <w:tab/>
      </w:r>
      <w:r>
        <w:rPr>
          <w:spacing w:val="-3"/>
        </w:rPr>
        <w:t>解析报告等功能，在突发重污染事</w:t>
      </w:r>
      <w:r>
        <w:rPr>
          <w:spacing w:val="-87"/>
        </w:rPr>
        <w:t> </w:t>
      </w:r>
      <w:r>
        <w:rPr>
          <w:spacing w:val="-87"/>
        </w:rPr>
      </w:r>
      <w:r>
        <w:rPr>
          <w:spacing w:val="-3"/>
        </w:rPr>
        <w:t>件下能够自动识别污染来源，实现</w:t>
      </w:r>
      <w:r>
        <w:rPr/>
        <w:t> 应急指挥。</w:t>
      </w:r>
    </w:p>
    <w:p>
      <w:pPr>
        <w:spacing w:line="240" w:lineRule="auto" w:before="9"/>
        <w:rPr>
          <w:rFonts w:ascii="宋体" w:hAnsi="宋体" w:cs="宋体" w:eastAsia="宋体" w:hint="default"/>
          <w:sz w:val="13"/>
          <w:szCs w:val="13"/>
        </w:rPr>
      </w:pPr>
      <w:r>
        <w:rPr/>
        <w:br w:type="column"/>
      </w:r>
      <w:r>
        <w:rPr>
          <w:rFonts w:ascii="宋体"/>
          <w:sz w:val="13"/>
        </w:rPr>
      </w:r>
    </w:p>
    <w:p>
      <w:pPr>
        <w:pStyle w:val="BodyText"/>
        <w:spacing w:line="240" w:lineRule="auto"/>
        <w:ind w:left="904" w:right="0"/>
        <w:jc w:val="left"/>
      </w:pPr>
      <w:r>
        <w:rPr/>
        <w:t>点运行。</w:t>
      </w:r>
    </w:p>
    <w:p>
      <w:pPr>
        <w:spacing w:after="0" w:line="240" w:lineRule="auto"/>
        <w:jc w:val="left"/>
        <w:sectPr>
          <w:type w:val="continuous"/>
          <w:pgSz w:w="11910" w:h="16840"/>
          <w:pgMar w:top="1060" w:bottom="1160" w:left="0" w:right="0"/>
          <w:cols w:num="2" w:equalWidth="0">
            <w:col w:w="5881" w:space="40"/>
            <w:col w:w="5989"/>
          </w:cols>
        </w:sectPr>
      </w:pPr>
    </w:p>
    <w:p>
      <w:pPr>
        <w:pStyle w:val="BodyText"/>
        <w:spacing w:line="300" w:lineRule="auto" w:before="53"/>
        <w:ind w:left="1640" w:right="-20" w:hanging="350"/>
        <w:jc w:val="left"/>
      </w:pPr>
      <w:r>
        <w:rPr>
          <w:rFonts w:ascii="Times New Roman" w:hAnsi="Times New Roman" w:cs="Times New Roman" w:eastAsia="Times New Roman" w:hint="default"/>
        </w:rPr>
        <w:t>32</w:t>
      </w:r>
      <w:r>
        <w:rPr>
          <w:rFonts w:ascii="Times New Roman" w:hAnsi="Times New Roman" w:cs="Times New Roman" w:eastAsia="Times New Roman" w:hint="default"/>
          <w:spacing w:val="34"/>
        </w:rPr>
        <w:t> </w:t>
      </w:r>
      <w:r>
        <w:rPr/>
        <w:t>网格化智能大气监 测系统</w:t>
      </w:r>
    </w:p>
    <w:p>
      <w:pPr>
        <w:pStyle w:val="BodyText"/>
        <w:spacing w:line="319" w:lineRule="auto" w:before="53"/>
        <w:ind w:left="101" w:right="0"/>
        <w:jc w:val="both"/>
      </w:pPr>
      <w:r>
        <w:rPr>
          <w:spacing w:val="-3"/>
        </w:rPr>
        <w:br w:type="column"/>
      </w:r>
      <w:r>
        <w:rPr>
          <w:spacing w:val="-3"/>
        </w:rPr>
        <w:t>以颗粒物传感器、气体传感器为重</w:t>
      </w:r>
      <w:r>
        <w:rPr>
          <w:spacing w:val="-87"/>
        </w:rPr>
        <w:t> </w:t>
      </w:r>
      <w:r>
        <w:rPr>
          <w:spacing w:val="-87"/>
        </w:rPr>
      </w:r>
      <w:r>
        <w:rPr/>
        <w:t>点，实现可密集布点、成本低廉、 </w:t>
      </w:r>
      <w:r>
        <w:rPr>
          <w:spacing w:val="9"/>
        </w:rPr>
        <w:t>数据可靠的大气监测系统及网络</w:t>
      </w:r>
      <w:r>
        <w:rPr>
          <w:spacing w:val="-86"/>
        </w:rPr>
        <w:t> </w:t>
      </w:r>
      <w:r>
        <w:rPr>
          <w:spacing w:val="-86"/>
        </w:rPr>
      </w:r>
      <w:r>
        <w:rPr/>
        <w:t>管理平台。</w:t>
      </w:r>
    </w:p>
    <w:p>
      <w:pPr>
        <w:pStyle w:val="BodyText"/>
        <w:tabs>
          <w:tab w:pos="4315" w:val="left" w:leader="none"/>
        </w:tabs>
        <w:spacing w:line="300" w:lineRule="auto" w:before="53"/>
        <w:ind w:left="862" w:right="1266" w:hanging="833"/>
        <w:jc w:val="left"/>
      </w:pPr>
      <w:r>
        <w:rPr/>
        <w:br w:type="column"/>
      </w:r>
      <w:r>
        <w:rPr/>
        <w:t>批量生产</w:t>
      </w:r>
      <w:r>
        <w:rPr>
          <w:spacing w:val="24"/>
        </w:rPr>
        <w:t> </w:t>
      </w:r>
      <w:r>
        <w:rPr>
          <w:rFonts w:ascii="Times New Roman" w:hAnsi="Times New Roman" w:cs="Times New Roman" w:eastAsia="Times New Roman" w:hint="default"/>
          <w:spacing w:val="6"/>
        </w:rPr>
        <w:t>2015</w:t>
      </w:r>
      <w:r>
        <w:rPr>
          <w:spacing w:val="6"/>
        </w:rPr>
        <w:t>年研制并中试完成室外全参数监测</w:t>
        <w:tab/>
      </w:r>
      <w:r>
        <w:rPr/>
        <w:t>自立</w:t>
      </w:r>
      <w:r>
        <w:rPr/>
        <w:t> 仪</w:t>
      </w:r>
      <w:r>
        <w:rPr>
          <w:rFonts w:ascii="Times New Roman" w:hAnsi="Times New Roman" w:cs="Times New Roman" w:eastAsia="Times New Roman" w:hint="default"/>
        </w:rPr>
        <w:t>(PM</w:t>
      </w:r>
      <w:r>
        <w:rPr>
          <w:rFonts w:ascii="Times New Roman" w:hAnsi="Times New Roman" w:cs="Times New Roman" w:eastAsia="Times New Roman" w:hint="default"/>
          <w:position w:val="-2"/>
          <w:sz w:val="12"/>
          <w:szCs w:val="12"/>
        </w:rPr>
        <w:t>10</w:t>
      </w:r>
      <w:r>
        <w:rPr/>
        <w:t>、</w:t>
      </w:r>
      <w:r>
        <w:rPr>
          <w:rFonts w:ascii="Times New Roman" w:hAnsi="Times New Roman" w:cs="Times New Roman" w:eastAsia="Times New Roman" w:hint="default"/>
        </w:rPr>
        <w:t>PM</w:t>
      </w:r>
      <w:r>
        <w:rPr>
          <w:rFonts w:ascii="Times New Roman" w:hAnsi="Times New Roman" w:cs="Times New Roman" w:eastAsia="Times New Roman" w:hint="default"/>
          <w:position w:val="-2"/>
          <w:sz w:val="12"/>
          <w:szCs w:val="12"/>
        </w:rPr>
        <w:t>2.5</w:t>
      </w:r>
      <w:r>
        <w:rPr/>
        <w:t>、</w:t>
      </w:r>
      <w:r>
        <w:rPr>
          <w:rFonts w:ascii="Times New Roman" w:hAnsi="Times New Roman" w:cs="Times New Roman" w:eastAsia="Times New Roman" w:hint="default"/>
        </w:rPr>
        <w:t>SO</w:t>
      </w:r>
      <w:r>
        <w:rPr>
          <w:rFonts w:ascii="Times New Roman" w:hAnsi="Times New Roman" w:cs="Times New Roman" w:eastAsia="Times New Roman" w:hint="default"/>
          <w:position w:val="-2"/>
          <w:sz w:val="12"/>
          <w:szCs w:val="12"/>
        </w:rPr>
        <w:t>2</w:t>
      </w:r>
      <w:r>
        <w:rPr/>
        <w:t>、</w:t>
      </w:r>
      <w:r>
        <w:rPr>
          <w:rFonts w:ascii="Times New Roman" w:hAnsi="Times New Roman" w:cs="Times New Roman" w:eastAsia="Times New Roman" w:hint="default"/>
        </w:rPr>
        <w:t>NO</w:t>
      </w:r>
      <w:r>
        <w:rPr>
          <w:rFonts w:ascii="Times New Roman" w:hAnsi="Times New Roman" w:cs="Times New Roman" w:eastAsia="Times New Roman" w:hint="default"/>
          <w:position w:val="-2"/>
          <w:sz w:val="12"/>
          <w:szCs w:val="12"/>
        </w:rPr>
        <w:t>2</w:t>
      </w:r>
      <w:r>
        <w:rPr/>
        <w:t>、</w:t>
      </w:r>
      <w:r>
        <w:rPr>
          <w:rFonts w:ascii="Times New Roman" w:hAnsi="Times New Roman" w:cs="Times New Roman" w:eastAsia="Times New Roman" w:hint="default"/>
        </w:rPr>
        <w:t>CO</w:t>
      </w:r>
      <w:r>
        <w:rPr/>
        <w:t>、</w:t>
      </w:r>
      <w:r>
        <w:rPr>
          <w:rFonts w:ascii="Times New Roman" w:hAnsi="Times New Roman" w:cs="Times New Roman" w:eastAsia="Times New Roman" w:hint="default"/>
        </w:rPr>
        <w:t>O</w:t>
      </w:r>
      <w:r>
        <w:rPr>
          <w:rFonts w:ascii="Times New Roman" w:hAnsi="Times New Roman" w:cs="Times New Roman" w:eastAsia="Times New Roman" w:hint="default"/>
          <w:position w:val="-2"/>
          <w:sz w:val="12"/>
          <w:szCs w:val="12"/>
        </w:rPr>
        <w:t>3</w:t>
      </w:r>
      <w:r>
        <w:rPr>
          <w:rFonts w:ascii="Times New Roman" w:hAnsi="Times New Roman" w:cs="Times New Roman" w:eastAsia="Times New Roman" w:hint="default"/>
        </w:rPr>
        <w:t>)</w:t>
      </w:r>
      <w:r>
        <w:rPr/>
        <w:t>、</w:t>
      </w:r>
    </w:p>
    <w:p>
      <w:pPr>
        <w:pStyle w:val="BodyText"/>
        <w:spacing w:line="300" w:lineRule="auto"/>
        <w:ind w:left="862" w:right="1898"/>
        <w:jc w:val="both"/>
      </w:pPr>
      <w:r>
        <w:rPr>
          <w:spacing w:val="-7"/>
        </w:rPr>
        <w:t>室外颗粒物监测仪（</w:t>
      </w:r>
      <w:r>
        <w:rPr>
          <w:rFonts w:ascii="Times New Roman" w:hAnsi="Times New Roman" w:cs="Times New Roman" w:eastAsia="Times New Roman" w:hint="default"/>
          <w:spacing w:val="-7"/>
        </w:rPr>
        <w:t>PM</w:t>
      </w:r>
      <w:r>
        <w:rPr>
          <w:rFonts w:ascii="Times New Roman" w:hAnsi="Times New Roman" w:cs="Times New Roman" w:eastAsia="Times New Roman" w:hint="default"/>
          <w:spacing w:val="-7"/>
          <w:position w:val="-2"/>
          <w:sz w:val="12"/>
          <w:szCs w:val="12"/>
        </w:rPr>
        <w:t>10</w:t>
      </w:r>
      <w:r>
        <w:rPr>
          <w:spacing w:val="-7"/>
        </w:rPr>
        <w:t>、</w:t>
      </w:r>
      <w:r>
        <w:rPr>
          <w:rFonts w:ascii="Times New Roman" w:hAnsi="Times New Roman" w:cs="Times New Roman" w:eastAsia="Times New Roman" w:hint="default"/>
          <w:spacing w:val="-7"/>
        </w:rPr>
        <w:t>PM</w:t>
      </w:r>
      <w:r>
        <w:rPr>
          <w:rFonts w:ascii="Times New Roman" w:hAnsi="Times New Roman" w:cs="Times New Roman" w:eastAsia="Times New Roman" w:hint="default"/>
          <w:spacing w:val="-7"/>
          <w:position w:val="-2"/>
          <w:sz w:val="12"/>
          <w:szCs w:val="12"/>
        </w:rPr>
        <w:t>2.5</w:t>
      </w:r>
      <w:r>
        <w:rPr>
          <w:spacing w:val="-7"/>
        </w:rPr>
        <w:t>）、</w:t>
      </w:r>
      <w:r>
        <w:rPr>
          <w:rFonts w:ascii="Times New Roman" w:hAnsi="Times New Roman" w:cs="Times New Roman" w:eastAsia="Times New Roman" w:hint="default"/>
          <w:spacing w:val="-7"/>
        </w:rPr>
        <w:t>VOC</w:t>
      </w:r>
      <w:r>
        <w:rPr>
          <w:rFonts w:ascii="Times New Roman" w:hAnsi="Times New Roman" w:cs="Times New Roman" w:eastAsia="Times New Roman" w:hint="default"/>
          <w:spacing w:val="-36"/>
        </w:rPr>
        <w:t> </w:t>
      </w:r>
      <w:r>
        <w:rPr>
          <w:spacing w:val="-4"/>
        </w:rPr>
        <w:t>监测仪及网络管理平台，并进行了多个试</w:t>
      </w:r>
      <w:r>
        <w:rPr>
          <w:spacing w:val="-77"/>
        </w:rPr>
        <w:t> </w:t>
      </w:r>
      <w:r>
        <w:rPr>
          <w:spacing w:val="-77"/>
        </w:rPr>
      </w:r>
      <w:r>
        <w:rPr/>
        <w:t>点的安装及推广。</w:t>
      </w:r>
    </w:p>
    <w:p>
      <w:pPr>
        <w:spacing w:after="0" w:line="300" w:lineRule="auto"/>
        <w:jc w:val="both"/>
        <w:sectPr>
          <w:type w:val="continuous"/>
          <w:pgSz w:w="11910" w:h="16840"/>
          <w:pgMar w:top="1060" w:bottom="1160" w:left="0" w:right="0"/>
          <w:cols w:num="3" w:equalWidth="0">
            <w:col w:w="3081" w:space="40"/>
            <w:col w:w="2802" w:space="40"/>
            <w:col w:w="5947"/>
          </w:cols>
        </w:sectPr>
      </w:pPr>
    </w:p>
    <w:p>
      <w:pPr>
        <w:pStyle w:val="BodyText"/>
        <w:tabs>
          <w:tab w:pos="10277" w:val="left" w:leader="none"/>
        </w:tabs>
        <w:spacing w:line="240" w:lineRule="auto" w:before="66"/>
        <w:ind w:left="1291" w:right="0"/>
        <w:jc w:val="left"/>
      </w:pPr>
      <w:r>
        <w:rPr>
          <w:rFonts w:ascii="Times New Roman" w:hAnsi="Times New Roman" w:cs="Times New Roman" w:eastAsia="Times New Roman" w:hint="default"/>
        </w:rPr>
        <w:t>33    </w:t>
      </w:r>
      <w:r>
        <w:rPr/>
        <w:t>手工自动换膜采样  作为颗粒物手工测量类硬件产品， 批量生产</w:t>
      </w:r>
      <w:r>
        <w:rPr>
          <w:spacing w:val="-48"/>
        </w:rPr>
        <w:t> </w:t>
      </w:r>
      <w:r>
        <w:rPr/>
        <w:t>具备自动换膜功能的颗粒物手工采样器，</w:t>
        <w:tab/>
        <w:t>自立</w:t>
      </w:r>
    </w:p>
    <w:p>
      <w:pPr>
        <w:spacing w:after="0" w:line="240" w:lineRule="auto"/>
        <w:jc w:val="left"/>
        <w:sectPr>
          <w:type w:val="continuous"/>
          <w:pgSz w:w="11910" w:h="16840"/>
          <w:pgMar w:top="1060" w:bottom="1160" w:left="0" w:right="0"/>
        </w:sectPr>
      </w:pPr>
    </w:p>
    <w:p>
      <w:pPr>
        <w:pStyle w:val="BodyText"/>
        <w:tabs>
          <w:tab w:pos="3222" w:val="left" w:leader="none"/>
        </w:tabs>
        <w:spacing w:line="240" w:lineRule="auto" w:before="63"/>
        <w:ind w:left="1640" w:right="-20"/>
        <w:jc w:val="left"/>
      </w:pPr>
      <w:r>
        <w:rPr/>
        <w:t>器</w:t>
        <w:tab/>
        <w:t>定位于颗粒物手工比对监测。</w:t>
      </w:r>
    </w:p>
    <w:p>
      <w:pPr>
        <w:pStyle w:val="BodyText"/>
        <w:spacing w:line="316" w:lineRule="auto" w:before="63"/>
        <w:ind w:left="1222" w:right="1822"/>
        <w:jc w:val="left"/>
      </w:pPr>
      <w:r>
        <w:rPr/>
        <w:br w:type="column"/>
      </w:r>
      <w:r>
        <w:rPr/>
        <w:t>可实现无人值守状态定时启动采样程序， 自动更换滤膜。</w:t>
      </w:r>
    </w:p>
    <w:p>
      <w:pPr>
        <w:spacing w:after="0" w:line="316" w:lineRule="auto"/>
        <w:jc w:val="left"/>
        <w:sectPr>
          <w:type w:val="continuous"/>
          <w:pgSz w:w="11910" w:h="16840"/>
          <w:pgMar w:top="1060" w:bottom="1160" w:left="0" w:right="0"/>
          <w:cols w:num="2" w:equalWidth="0">
            <w:col w:w="5563" w:space="40"/>
            <w:col w:w="6307"/>
          </w:cols>
        </w:sectPr>
      </w:pPr>
    </w:p>
    <w:p>
      <w:pPr>
        <w:pStyle w:val="BodyText"/>
        <w:spacing w:line="300" w:lineRule="auto" w:before="53"/>
        <w:ind w:left="1640" w:right="-20" w:hanging="350"/>
        <w:jc w:val="left"/>
      </w:pPr>
      <w:r>
        <w:rPr>
          <w:rFonts w:ascii="Times New Roman" w:hAnsi="Times New Roman" w:cs="Times New Roman" w:eastAsia="Times New Roman" w:hint="default"/>
        </w:rPr>
        <w:t>34</w:t>
      </w:r>
      <w:r>
        <w:rPr>
          <w:rFonts w:ascii="Times New Roman" w:hAnsi="Times New Roman" w:cs="Times New Roman" w:eastAsia="Times New Roman" w:hint="default"/>
          <w:spacing w:val="34"/>
        </w:rPr>
        <w:t> </w:t>
      </w:r>
      <w:r>
        <w:rPr/>
        <w:t>民用手持式颗粒物 监测仪开发项目</w:t>
      </w:r>
    </w:p>
    <w:p>
      <w:pPr>
        <w:pStyle w:val="BodyText"/>
        <w:tabs>
          <w:tab w:pos="2871" w:val="left" w:leader="none"/>
          <w:tab w:pos="7157" w:val="left" w:leader="none"/>
        </w:tabs>
        <w:spacing w:line="240" w:lineRule="auto" w:before="53"/>
        <w:ind w:left="101" w:right="0"/>
        <w:jc w:val="left"/>
      </w:pPr>
      <w:r>
        <w:rPr/>
        <w:br w:type="column"/>
      </w:r>
      <w:r>
        <w:rPr/>
        <w:t>开发手持式颗粒物监测仪</w:t>
        <w:tab/>
        <w:t>批量生产</w:t>
      </w:r>
      <w:r>
        <w:rPr>
          <w:spacing w:val="15"/>
        </w:rPr>
        <w:t> </w:t>
      </w:r>
      <w:r>
        <w:rPr/>
        <w:t>开发手持式</w:t>
      </w:r>
      <w:r>
        <w:rPr>
          <w:rFonts w:ascii="Times New Roman" w:hAnsi="Times New Roman" w:cs="Times New Roman" w:eastAsia="Times New Roman" w:hint="default"/>
        </w:rPr>
        <w:t>PM2.5</w:t>
      </w:r>
      <w:r>
        <w:rPr/>
        <w:t>颗粒物检测仪，三参数</w:t>
        <w:tab/>
        <w:t>自立</w:t>
      </w:r>
    </w:p>
    <w:p>
      <w:pPr>
        <w:pStyle w:val="BodyText"/>
        <w:spacing w:line="240" w:lineRule="auto" w:before="63"/>
        <w:ind w:left="3704" w:right="0"/>
        <w:jc w:val="left"/>
      </w:pPr>
      <w:r>
        <w:rPr/>
        <w:t>（甲醛，</w:t>
      </w:r>
      <w:r>
        <w:rPr>
          <w:rFonts w:ascii="Times New Roman" w:hAnsi="Times New Roman" w:cs="Times New Roman" w:eastAsia="Times New Roman" w:hint="default"/>
        </w:rPr>
        <w:t>VOC</w:t>
      </w:r>
      <w:r>
        <w:rPr/>
        <w:t>，</w:t>
      </w:r>
      <w:r>
        <w:rPr>
          <w:rFonts w:ascii="Times New Roman" w:hAnsi="Times New Roman" w:cs="Times New Roman" w:eastAsia="Times New Roman" w:hint="default"/>
        </w:rPr>
        <w:t>PM2.5</w:t>
      </w:r>
      <w:r>
        <w:rPr/>
        <w:t>）检测仪。</w:t>
      </w:r>
    </w:p>
    <w:p>
      <w:pPr>
        <w:spacing w:after="0" w:line="240" w:lineRule="auto"/>
        <w:jc w:val="left"/>
        <w:sectPr>
          <w:type w:val="continuous"/>
          <w:pgSz w:w="11910" w:h="16840"/>
          <w:pgMar w:top="1060" w:bottom="1160" w:left="0" w:right="0"/>
          <w:cols w:num="2" w:equalWidth="0">
            <w:col w:w="3081" w:space="40"/>
            <w:col w:w="8789"/>
          </w:cols>
        </w:sectPr>
      </w:pPr>
    </w:p>
    <w:p>
      <w:pPr>
        <w:pStyle w:val="BodyText"/>
        <w:spacing w:line="300" w:lineRule="auto" w:before="66"/>
        <w:ind w:left="1640" w:right="0" w:hanging="350"/>
        <w:jc w:val="left"/>
      </w:pPr>
      <w:r>
        <w:rPr>
          <w:rFonts w:ascii="Times New Roman" w:hAnsi="Times New Roman" w:cs="Times New Roman" w:eastAsia="Times New Roman" w:hint="default"/>
        </w:rPr>
        <w:t>35</w:t>
      </w:r>
      <w:r>
        <w:rPr>
          <w:rFonts w:ascii="Times New Roman" w:hAnsi="Times New Roman" w:cs="Times New Roman" w:eastAsia="Times New Roman" w:hint="default"/>
          <w:spacing w:val="32"/>
        </w:rPr>
        <w:t> </w:t>
      </w:r>
      <w:r>
        <w:rPr/>
        <w:t>水中</w:t>
      </w:r>
      <w:r>
        <w:rPr>
          <w:rFonts w:ascii="Times New Roman" w:hAnsi="Times New Roman" w:cs="Times New Roman" w:eastAsia="Times New Roman" w:hint="default"/>
        </w:rPr>
        <w:t>VOC</w:t>
      </w:r>
      <w:r>
        <w:rPr/>
        <w:t>自动监测 仪</w:t>
      </w:r>
    </w:p>
    <w:p>
      <w:pPr>
        <w:pStyle w:val="BodyText"/>
        <w:spacing w:line="316" w:lineRule="auto" w:before="66"/>
        <w:ind w:left="81" w:right="-11"/>
        <w:jc w:val="left"/>
      </w:pPr>
      <w:r>
        <w:rPr>
          <w:spacing w:val="9"/>
        </w:rPr>
        <w:br w:type="column"/>
      </w:r>
      <w:r>
        <w:rPr>
          <w:spacing w:val="9"/>
        </w:rPr>
        <w:t>用于水中挥发性有机化合物的监</w:t>
      </w:r>
      <w:r>
        <w:rPr/>
        <w:t> 测。</w:t>
      </w:r>
    </w:p>
    <w:p>
      <w:pPr>
        <w:pStyle w:val="BodyText"/>
        <w:tabs>
          <w:tab w:pos="4359" w:val="left" w:leader="none"/>
        </w:tabs>
        <w:spacing w:line="316" w:lineRule="auto" w:before="66"/>
        <w:ind w:left="907" w:right="1266" w:hanging="833"/>
        <w:jc w:val="left"/>
      </w:pPr>
      <w:r>
        <w:rPr/>
        <w:br w:type="column"/>
      </w:r>
      <w:r>
        <w:rPr/>
        <w:t>批量生产</w:t>
      </w:r>
      <w:r>
        <w:rPr>
          <w:spacing w:val="32"/>
        </w:rPr>
        <w:t> </w:t>
      </w:r>
      <w:r>
        <w:rPr>
          <w:spacing w:val="-4"/>
        </w:rPr>
        <w:t>设计配套前处理装置，配套通讯方式，仪</w:t>
        <w:tab/>
      </w:r>
      <w:r>
        <w:rPr/>
        <w:t>自立</w:t>
      </w:r>
      <w:r>
        <w:rPr/>
        <w:t> </w:t>
      </w:r>
      <w:r>
        <w:rPr>
          <w:spacing w:val="-4"/>
        </w:rPr>
        <w:t>器结构设计和外观设计，对于用户需求配</w:t>
      </w:r>
      <w:r>
        <w:rPr/>
        <w:t> </w:t>
      </w:r>
      <w:r>
        <w:rPr>
          <w:spacing w:val="-4"/>
        </w:rPr>
        <w:t>合更改和功能完善，以及对于仪器的整体</w:t>
      </w:r>
      <w:r>
        <w:rPr/>
        <w:t> 调试和现场对比分析。</w:t>
      </w:r>
    </w:p>
    <w:p>
      <w:pPr>
        <w:spacing w:after="0" w:line="316" w:lineRule="auto"/>
        <w:jc w:val="left"/>
        <w:sectPr>
          <w:type w:val="continuous"/>
          <w:pgSz w:w="11910" w:h="16840"/>
          <w:pgMar w:top="1060" w:bottom="1160" w:left="0" w:right="0"/>
          <w:cols w:num="3" w:equalWidth="0">
            <w:col w:w="3102" w:space="40"/>
            <w:col w:w="2737" w:space="40"/>
            <w:col w:w="5991"/>
          </w:cols>
        </w:sectPr>
      </w:pPr>
    </w:p>
    <w:p>
      <w:pPr>
        <w:pStyle w:val="BodyText"/>
        <w:tabs>
          <w:tab w:pos="10277" w:val="left" w:leader="none"/>
        </w:tabs>
        <w:spacing w:line="240" w:lineRule="auto" w:before="55"/>
        <w:ind w:left="1291" w:right="0"/>
        <w:jc w:val="left"/>
      </w:pPr>
      <w:r>
        <w:rPr>
          <w:rFonts w:ascii="Times New Roman" w:hAnsi="Times New Roman" w:cs="Times New Roman" w:eastAsia="Times New Roman" w:hint="default"/>
        </w:rPr>
        <w:t>36    </w:t>
      </w:r>
      <w:r>
        <w:rPr>
          <w:spacing w:val="-7"/>
        </w:rPr>
        <w:t>重金属（水质）原位 </w:t>
      </w:r>
      <w:r>
        <w:rPr>
          <w:spacing w:val="9"/>
        </w:rPr>
        <w:t>本项目投入式重金属在线分析监 </w:t>
      </w:r>
      <w:r>
        <w:rPr/>
        <w:t>中试阶段</w:t>
      </w:r>
      <w:r>
        <w:rPr>
          <w:spacing w:val="-31"/>
        </w:rPr>
        <w:t> </w:t>
      </w:r>
      <w:r>
        <w:rPr/>
        <w:t>设计制作五种重金属（六价铬、镉、铅、</w:t>
        <w:tab/>
        <w:t>自立</w:t>
      </w:r>
    </w:p>
    <w:p>
      <w:pPr>
        <w:spacing w:after="0" w:line="240" w:lineRule="auto"/>
        <w:jc w:val="left"/>
        <w:sectPr>
          <w:type w:val="continuous"/>
          <w:pgSz w:w="11910" w:h="16840"/>
          <w:pgMar w:top="1060" w:bottom="1160" w:left="0" w:right="0"/>
        </w:sectPr>
      </w:pPr>
    </w:p>
    <w:p>
      <w:pPr>
        <w:pStyle w:val="BodyText"/>
        <w:spacing w:line="240" w:lineRule="auto" w:before="63"/>
        <w:ind w:left="1640" w:right="-20"/>
        <w:jc w:val="left"/>
      </w:pPr>
      <w:r>
        <w:rPr/>
        <w:t>分析仪</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2"/>
        <w:rPr>
          <w:rFonts w:ascii="宋体" w:hAnsi="宋体" w:cs="宋体" w:eastAsia="宋体" w:hint="default"/>
          <w:sz w:val="13"/>
          <w:szCs w:val="13"/>
        </w:rPr>
      </w:pPr>
    </w:p>
    <w:p>
      <w:pPr>
        <w:pStyle w:val="BodyText"/>
        <w:spacing w:line="300" w:lineRule="auto"/>
        <w:ind w:left="1640" w:right="-20" w:hanging="350"/>
        <w:jc w:val="left"/>
      </w:pPr>
      <w:r>
        <w:rPr>
          <w:rFonts w:ascii="Times New Roman" w:hAnsi="Times New Roman" w:cs="Times New Roman" w:eastAsia="Times New Roman" w:hint="default"/>
        </w:rPr>
        <w:t>37</w:t>
      </w:r>
      <w:r>
        <w:rPr>
          <w:rFonts w:ascii="Times New Roman" w:hAnsi="Times New Roman" w:cs="Times New Roman" w:eastAsia="Times New Roman" w:hint="default"/>
          <w:spacing w:val="34"/>
        </w:rPr>
        <w:t> </w:t>
      </w:r>
      <w:r>
        <w:rPr/>
        <w:t>交通运输环境监测 信息平台</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16"/>
          <w:szCs w:val="16"/>
        </w:rPr>
      </w:pPr>
    </w:p>
    <w:p>
      <w:pPr>
        <w:pStyle w:val="BodyText"/>
        <w:spacing w:line="300" w:lineRule="auto"/>
        <w:ind w:left="1640" w:right="-20" w:hanging="350"/>
        <w:jc w:val="left"/>
      </w:pPr>
      <w:r>
        <w:rPr>
          <w:rFonts w:ascii="Times New Roman" w:hAnsi="Times New Roman" w:cs="Times New Roman" w:eastAsia="Times New Roman" w:hint="default"/>
        </w:rPr>
        <w:t>38</w:t>
      </w:r>
      <w:r>
        <w:rPr>
          <w:rFonts w:ascii="Times New Roman" w:hAnsi="Times New Roman" w:cs="Times New Roman" w:eastAsia="Times New Roman" w:hint="default"/>
          <w:spacing w:val="34"/>
        </w:rPr>
        <w:t> </w:t>
      </w:r>
      <w:r>
        <w:rPr/>
        <w:t>小型化水质监测仪 器开发及中试</w:t>
      </w:r>
    </w:p>
    <w:p>
      <w:pPr>
        <w:pStyle w:val="BodyText"/>
        <w:spacing w:line="319" w:lineRule="auto" w:before="63"/>
        <w:ind w:left="101" w:right="87"/>
        <w:jc w:val="both"/>
      </w:pPr>
      <w:r>
        <w:rPr>
          <w:spacing w:val="9"/>
        </w:rPr>
        <w:br w:type="column"/>
      </w:r>
      <w:r>
        <w:rPr>
          <w:spacing w:val="9"/>
        </w:rPr>
        <w:t>测仪的研制，主要用于监测地表</w:t>
      </w:r>
      <w:r>
        <w:rPr/>
        <w:t> </w:t>
      </w:r>
      <w:r>
        <w:rPr>
          <w:spacing w:val="-3"/>
        </w:rPr>
        <w:t>水、饮用水体中重金属的存在及变</w:t>
      </w:r>
      <w:r>
        <w:rPr>
          <w:spacing w:val="-87"/>
        </w:rPr>
        <w:t> </w:t>
      </w:r>
      <w:r>
        <w:rPr>
          <w:spacing w:val="-87"/>
        </w:rPr>
      </w:r>
      <w:r>
        <w:rPr>
          <w:spacing w:val="-3"/>
        </w:rPr>
        <w:t>化情况，实现地表水体中重金属的</w:t>
      </w:r>
      <w:r>
        <w:rPr>
          <w:spacing w:val="-87"/>
        </w:rPr>
        <w:t> </w:t>
      </w:r>
      <w:r>
        <w:rPr>
          <w:spacing w:val="-87"/>
        </w:rPr>
      </w:r>
      <w:r>
        <w:rPr/>
        <w:t>在线监测及预警。</w:t>
      </w:r>
    </w:p>
    <w:p>
      <w:pPr>
        <w:spacing w:line="240" w:lineRule="auto" w:before="0"/>
        <w:rPr>
          <w:rFonts w:ascii="宋体" w:hAnsi="宋体" w:cs="宋体" w:eastAsia="宋体" w:hint="default"/>
          <w:sz w:val="18"/>
          <w:szCs w:val="18"/>
        </w:rPr>
      </w:pPr>
    </w:p>
    <w:p>
      <w:pPr>
        <w:pStyle w:val="BodyText"/>
        <w:spacing w:line="314" w:lineRule="auto" w:before="128"/>
        <w:ind w:left="101" w:right="82"/>
        <w:jc w:val="both"/>
      </w:pPr>
      <w:r>
        <w:rPr>
          <w:spacing w:val="9"/>
        </w:rPr>
        <w:t>监测交通运输行业环境污染排放</w:t>
      </w:r>
      <w:r>
        <w:rPr/>
        <w:t> </w:t>
      </w:r>
      <w:r>
        <w:rPr>
          <w:spacing w:val="9"/>
        </w:rPr>
        <w:t>量的数据可以反映出环境质量现</w:t>
      </w:r>
      <w:r>
        <w:rPr/>
        <w:t> </w:t>
      </w:r>
      <w:r>
        <w:rPr>
          <w:spacing w:val="5"/>
        </w:rPr>
        <w:t>状及其变化趋势，监测公路</w:t>
      </w:r>
      <w:r>
        <w:rPr>
          <w:rFonts w:ascii="Times New Roman" w:hAnsi="Times New Roman" w:cs="Times New Roman" w:eastAsia="Times New Roman" w:hint="default"/>
          <w:spacing w:val="5"/>
        </w:rPr>
        <w:t>/</w:t>
      </w:r>
      <w:r>
        <w:rPr>
          <w:spacing w:val="5"/>
        </w:rPr>
        <w:t>港口</w:t>
      </w:r>
      <w:r>
        <w:rPr>
          <w:spacing w:val="-82"/>
        </w:rPr>
        <w:t> </w:t>
      </w:r>
      <w:r>
        <w:rPr>
          <w:spacing w:val="9"/>
        </w:rPr>
        <w:t>周边的环境质量状况可以说清污</w:t>
      </w:r>
      <w:r>
        <w:rPr/>
        <w:t> </w:t>
      </w:r>
      <w:r>
        <w:rPr>
          <w:spacing w:val="-3"/>
        </w:rPr>
        <w:t>染状况，评估交通运输污染对环境</w:t>
      </w:r>
      <w:r>
        <w:rPr>
          <w:spacing w:val="-87"/>
        </w:rPr>
        <w:t> </w:t>
      </w:r>
      <w:r>
        <w:rPr>
          <w:spacing w:val="-87"/>
        </w:rPr>
      </w:r>
      <w:r>
        <w:rPr/>
        <w:t>质量的影响能预测潜在的风险。</w:t>
      </w:r>
    </w:p>
    <w:p>
      <w:pPr>
        <w:spacing w:line="240" w:lineRule="auto" w:before="0"/>
        <w:rPr>
          <w:rFonts w:ascii="宋体" w:hAnsi="宋体" w:cs="宋体" w:eastAsia="宋体" w:hint="default"/>
          <w:sz w:val="18"/>
          <w:szCs w:val="18"/>
        </w:rPr>
      </w:pPr>
    </w:p>
    <w:p>
      <w:pPr>
        <w:pStyle w:val="BodyText"/>
        <w:spacing w:line="316" w:lineRule="auto" w:before="132"/>
        <w:ind w:left="101" w:right="-8"/>
        <w:jc w:val="left"/>
      </w:pPr>
      <w:r>
        <w:rPr>
          <w:spacing w:val="-3"/>
        </w:rPr>
        <w:t>可实现常规五参数、氨氮、高锰酸</w:t>
      </w:r>
      <w:r>
        <w:rPr>
          <w:spacing w:val="-88"/>
        </w:rPr>
        <w:t> </w:t>
      </w:r>
      <w:r>
        <w:rPr>
          <w:spacing w:val="-88"/>
        </w:rPr>
      </w:r>
      <w:r>
        <w:rPr>
          <w:spacing w:val="-9"/>
        </w:rPr>
        <w:t>盐、总磷、总氮等参数的自动监测，</w:t>
      </w:r>
      <w:r>
        <w:rPr>
          <w:spacing w:val="-80"/>
        </w:rPr>
        <w:t> </w:t>
      </w:r>
      <w:r>
        <w:rPr>
          <w:spacing w:val="-80"/>
        </w:rPr>
      </w:r>
      <w:r>
        <w:rPr>
          <w:spacing w:val="9"/>
        </w:rPr>
        <w:t>以及配套的采配水和数据传输等</w:t>
      </w:r>
      <w:r>
        <w:rPr/>
        <w:t> 功能。</w:t>
      </w:r>
    </w:p>
    <w:p>
      <w:pPr>
        <w:pStyle w:val="BodyText"/>
        <w:spacing w:line="319" w:lineRule="auto" w:before="63"/>
        <w:ind w:left="814" w:right="1896"/>
        <w:jc w:val="both"/>
      </w:pPr>
      <w:r>
        <w:rPr>
          <w:spacing w:val="-4"/>
        </w:rPr>
        <w:br w:type="column"/>
      </w:r>
      <w:r>
        <w:rPr>
          <w:spacing w:val="-4"/>
        </w:rPr>
        <w:t>锌、铜）投入式在线监测分析仪，实现重</w:t>
      </w:r>
      <w:r>
        <w:rPr>
          <w:spacing w:val="-80"/>
        </w:rPr>
        <w:t> </w:t>
      </w:r>
      <w:r>
        <w:rPr>
          <w:spacing w:val="-80"/>
        </w:rPr>
      </w:r>
      <w:r>
        <w:rPr>
          <w:spacing w:val="-4"/>
        </w:rPr>
        <w:t>金属的快速、实时、在线分析监测，为含</w:t>
      </w:r>
      <w:r>
        <w:rPr>
          <w:spacing w:val="-78"/>
        </w:rPr>
        <w:t> </w:t>
      </w:r>
      <w:r>
        <w:rPr>
          <w:spacing w:val="-78"/>
        </w:rPr>
      </w:r>
      <w:r>
        <w:rPr>
          <w:spacing w:val="-4"/>
        </w:rPr>
        <w:t>重金属废水排放的监管、河流和湖泊等地</w:t>
      </w:r>
      <w:r>
        <w:rPr>
          <w:spacing w:val="-77"/>
        </w:rPr>
        <w:t> </w:t>
      </w:r>
      <w:r>
        <w:rPr>
          <w:spacing w:val="-77"/>
        </w:rPr>
      </w:r>
      <w:r>
        <w:rPr>
          <w:spacing w:val="6"/>
        </w:rPr>
        <w:t>表水水质重金属的监测等提供先进的在</w:t>
      </w:r>
      <w:r>
        <w:rPr>
          <w:spacing w:val="-77"/>
        </w:rPr>
        <w:t> </w:t>
      </w:r>
      <w:r>
        <w:rPr>
          <w:spacing w:val="-77"/>
        </w:rPr>
      </w:r>
      <w:r>
        <w:rPr/>
        <w:t>线监测仪器。</w:t>
      </w:r>
    </w:p>
    <w:p>
      <w:pPr>
        <w:pStyle w:val="BodyText"/>
        <w:tabs>
          <w:tab w:pos="4267" w:val="left" w:leader="none"/>
        </w:tabs>
        <w:spacing w:line="316" w:lineRule="auto" w:before="52"/>
        <w:ind w:left="814" w:right="1266" w:hanging="833"/>
        <w:jc w:val="left"/>
      </w:pPr>
      <w:r>
        <w:rPr/>
        <w:t>实施阶段</w:t>
      </w:r>
      <w:r>
        <w:rPr>
          <w:spacing w:val="22"/>
        </w:rPr>
        <w:t> </w:t>
      </w:r>
      <w:r>
        <w:rPr/>
        <w:t>实现并能满足水质监测，空气质量监测，</w:t>
        <w:tab/>
        <w:t>自立</w:t>
      </w:r>
      <w:r>
        <w:rPr/>
        <w:t> </w:t>
      </w:r>
      <w:r>
        <w:rPr>
          <w:spacing w:val="-4"/>
        </w:rPr>
        <w:t>噪声监测的自动采集、安全、一致、有效</w:t>
      </w:r>
      <w:r>
        <w:rPr/>
        <w:t> </w:t>
      </w:r>
      <w:r>
        <w:rPr>
          <w:spacing w:val="-4"/>
        </w:rPr>
        <w:t>性传输；实现对环境监测和评价、环境统</w:t>
      </w:r>
      <w:r>
        <w:rPr/>
        <w:t> 计、应急监测等业务数据的获取、存储、 </w:t>
      </w:r>
      <w:r>
        <w:rPr>
          <w:spacing w:val="-4"/>
        </w:rPr>
        <w:t>分析、处理及可视化展示，满足交通环境</w:t>
      </w:r>
      <w:r>
        <w:rPr/>
        <w:t> </w:t>
      </w:r>
      <w:r>
        <w:rPr>
          <w:spacing w:val="-4"/>
        </w:rPr>
        <w:t>管理智能化、网格化、可视化的需求，实</w:t>
      </w:r>
      <w:r>
        <w:rPr/>
        <w:t> 现交通环境保护业务</w:t>
      </w:r>
      <w:r>
        <w:rPr>
          <w:rFonts w:ascii="Times New Roman" w:hAnsi="Times New Roman" w:cs="Times New Roman" w:eastAsia="Times New Roman" w:hint="default"/>
        </w:rPr>
        <w:t>“</w:t>
      </w:r>
      <w:r>
        <w:rPr/>
        <w:t>一张图</w:t>
      </w:r>
      <w:r>
        <w:rPr>
          <w:rFonts w:ascii="Times New Roman" w:hAnsi="Times New Roman" w:cs="Times New Roman" w:eastAsia="Times New Roman" w:hint="default"/>
        </w:rPr>
        <w:t>”</w:t>
      </w:r>
      <w:r>
        <w:rPr/>
        <w:t>。</w:t>
      </w:r>
    </w:p>
    <w:p>
      <w:pPr>
        <w:pStyle w:val="BodyText"/>
        <w:tabs>
          <w:tab w:pos="4267" w:val="left" w:leader="none"/>
        </w:tabs>
        <w:spacing w:line="316" w:lineRule="auto" w:before="34"/>
        <w:ind w:left="814" w:right="1266" w:hanging="833"/>
        <w:jc w:val="left"/>
      </w:pPr>
      <w:r>
        <w:rPr/>
        <w:t>批量生产</w:t>
      </w:r>
      <w:r>
        <w:rPr>
          <w:spacing w:val="35"/>
        </w:rPr>
        <w:t> </w:t>
      </w:r>
      <w:r>
        <w:rPr>
          <w:spacing w:val="6"/>
        </w:rPr>
        <w:t>基于现有柜式自动监测仪的原理研发及</w:t>
        <w:tab/>
      </w:r>
      <w:r>
        <w:rPr/>
        <w:t>自立</w:t>
      </w:r>
      <w:r>
        <w:rPr/>
        <w:t> </w:t>
      </w:r>
      <w:r>
        <w:rPr>
          <w:spacing w:val="-4"/>
        </w:rPr>
        <w:t>中试生产适用于岸边、野外的小型化水质</w:t>
      </w:r>
      <w:r>
        <w:rPr/>
        <w:t> 自动监测站。</w:t>
      </w:r>
    </w:p>
    <w:p>
      <w:pPr>
        <w:spacing w:after="0" w:line="316" w:lineRule="auto"/>
        <w:jc w:val="left"/>
        <w:sectPr>
          <w:type w:val="continuous"/>
          <w:pgSz w:w="11910" w:h="16840"/>
          <w:pgMar w:top="1060" w:bottom="1160" w:left="0" w:right="0"/>
          <w:cols w:num="3" w:equalWidth="0">
            <w:col w:w="3081" w:space="40"/>
            <w:col w:w="2850" w:space="40"/>
            <w:col w:w="5899"/>
          </w:cols>
        </w:sectPr>
      </w:pPr>
    </w:p>
    <w:p>
      <w:pPr>
        <w:pStyle w:val="BodyText"/>
        <w:spacing w:line="240" w:lineRule="auto" w:before="53"/>
        <w:ind w:left="1291" w:right="0"/>
        <w:jc w:val="left"/>
      </w:pPr>
      <w:r>
        <w:rPr>
          <w:rFonts w:ascii="Times New Roman" w:hAnsi="Times New Roman" w:cs="Times New Roman" w:eastAsia="Times New Roman" w:hint="default"/>
        </w:rPr>
        <w:t>39   </w:t>
      </w:r>
      <w:r>
        <w:rPr/>
        <w:t>基于多参数空气质 </w:t>
      </w:r>
      <w:r>
        <w:rPr>
          <w:spacing w:val="9"/>
        </w:rPr>
        <w:t>以多参数空气质量原位监测仪为 </w:t>
      </w:r>
      <w:r>
        <w:rPr/>
        <w:t>产业化示范 </w:t>
      </w:r>
      <w:r>
        <w:rPr>
          <w:spacing w:val="-4"/>
        </w:rPr>
        <w:t>以传感器应用、物联网、云计算、空间地</w:t>
      </w:r>
      <w:r>
        <w:rPr>
          <w:spacing w:val="-45"/>
        </w:rPr>
        <w:t> </w:t>
      </w:r>
      <w:r>
        <w:rPr/>
        <w:t>河北省科</w:t>
      </w:r>
    </w:p>
    <w:p>
      <w:pPr>
        <w:spacing w:after="0" w:line="240" w:lineRule="auto"/>
        <w:jc w:val="left"/>
        <w:sectPr>
          <w:type w:val="continuous"/>
          <w:pgSz w:w="11910" w:h="16840"/>
          <w:pgMar w:top="1060" w:bottom="1160" w:left="0" w:right="0"/>
        </w:sectPr>
      </w:pPr>
    </w:p>
    <w:p>
      <w:pPr>
        <w:pStyle w:val="BodyText"/>
        <w:spacing w:line="316" w:lineRule="auto" w:before="63"/>
        <w:ind w:left="1640" w:right="0"/>
        <w:jc w:val="both"/>
      </w:pPr>
      <w:r>
        <w:rPr/>
        <w:t>量原位监测仪的大 气质量数据管理平 台的开发与应用</w:t>
      </w:r>
    </w:p>
    <w:p>
      <w:pPr>
        <w:pStyle w:val="BodyText"/>
        <w:spacing w:line="316" w:lineRule="auto" w:before="63"/>
        <w:ind w:left="101" w:right="-16"/>
        <w:jc w:val="left"/>
      </w:pPr>
      <w:r>
        <w:rPr>
          <w:spacing w:val="-9"/>
        </w:rPr>
        <w:br w:type="column"/>
      </w:r>
      <w:r>
        <w:rPr>
          <w:spacing w:val="-9"/>
        </w:rPr>
        <w:t>重点，实现可密集布点、成本低廉、</w:t>
      </w:r>
      <w:r>
        <w:rPr>
          <w:spacing w:val="-60"/>
        </w:rPr>
        <w:t> </w:t>
      </w:r>
      <w:r>
        <w:rPr/>
        <w:t>运行阶段</w:t>
      </w:r>
      <w:r>
        <w:rPr/>
        <w:t> </w:t>
      </w:r>
      <w:r>
        <w:rPr>
          <w:spacing w:val="-3"/>
        </w:rPr>
        <w:t>数据可靠的大气监测系统，满足环</w:t>
      </w:r>
      <w:r>
        <w:rPr>
          <w:spacing w:val="-87"/>
        </w:rPr>
        <w:t> </w:t>
      </w:r>
      <w:r>
        <w:rPr>
          <w:spacing w:val="-87"/>
        </w:rPr>
      </w:r>
      <w:r>
        <w:rPr>
          <w:spacing w:val="9"/>
        </w:rPr>
        <w:t>保部门监督检查以及监测范围全</w:t>
      </w:r>
      <w:r>
        <w:rPr>
          <w:spacing w:val="-87"/>
        </w:rPr>
        <w:t> </w:t>
      </w:r>
      <w:r>
        <w:rPr>
          <w:spacing w:val="-87"/>
        </w:rPr>
      </w:r>
      <w:r>
        <w:rPr/>
        <w:t>面覆盖的要求。</w:t>
      </w:r>
    </w:p>
    <w:p>
      <w:pPr>
        <w:pStyle w:val="BodyText"/>
        <w:spacing w:line="316" w:lineRule="auto" w:before="63"/>
        <w:ind w:left="72" w:right="0"/>
        <w:jc w:val="both"/>
      </w:pPr>
      <w:r>
        <w:rPr>
          <w:spacing w:val="-4"/>
        </w:rPr>
        <w:br w:type="column"/>
      </w:r>
      <w:r>
        <w:rPr>
          <w:spacing w:val="-4"/>
        </w:rPr>
        <w:t>理信息集成等技术为基础，整合物联网与</w:t>
      </w:r>
      <w:r>
        <w:rPr>
          <w:spacing w:val="-77"/>
        </w:rPr>
        <w:t> </w:t>
      </w:r>
      <w:r>
        <w:rPr>
          <w:spacing w:val="-77"/>
        </w:rPr>
      </w:r>
      <w:r>
        <w:rPr>
          <w:spacing w:val="-4"/>
        </w:rPr>
        <w:t>传感器的技术优势，推出基于室外空气质</w:t>
      </w:r>
      <w:r>
        <w:rPr>
          <w:spacing w:val="-77"/>
        </w:rPr>
        <w:t> </w:t>
      </w:r>
      <w:r>
        <w:rPr>
          <w:spacing w:val="-77"/>
        </w:rPr>
      </w:r>
      <w:r>
        <w:rPr/>
        <w:t>量检测的端到端一体化应用解决方案。</w:t>
      </w:r>
    </w:p>
    <w:p>
      <w:pPr>
        <w:spacing w:before="63"/>
        <w:ind w:left="141" w:right="0" w:firstLine="0"/>
        <w:jc w:val="left"/>
        <w:rPr>
          <w:rFonts w:ascii="宋体" w:hAnsi="宋体" w:cs="宋体" w:eastAsia="宋体" w:hint="default"/>
          <w:sz w:val="18"/>
          <w:szCs w:val="18"/>
        </w:rPr>
      </w:pPr>
      <w:r>
        <w:rPr/>
        <w:br w:type="column"/>
      </w:r>
      <w:r>
        <w:rPr>
          <w:rFonts w:ascii="宋体" w:hAnsi="宋体" w:cs="宋体" w:eastAsia="宋体" w:hint="default"/>
          <w:sz w:val="18"/>
          <w:szCs w:val="18"/>
        </w:rPr>
        <w:t>技计划</w:t>
      </w:r>
    </w:p>
    <w:p>
      <w:pPr>
        <w:spacing w:after="0"/>
        <w:jc w:val="left"/>
        <w:rPr>
          <w:rFonts w:ascii="宋体" w:hAnsi="宋体" w:cs="宋体" w:eastAsia="宋体" w:hint="default"/>
          <w:sz w:val="18"/>
          <w:szCs w:val="18"/>
        </w:rPr>
        <w:sectPr>
          <w:type w:val="continuous"/>
          <w:pgSz w:w="11910" w:h="16840"/>
          <w:pgMar w:top="1060" w:bottom="1160" w:left="0" w:right="0"/>
          <w:cols w:num="4" w:equalWidth="0">
            <w:col w:w="3081" w:space="40"/>
            <w:col w:w="3592" w:space="40"/>
            <w:col w:w="3254" w:space="40"/>
            <w:col w:w="1863"/>
          </w:cols>
        </w:sectPr>
      </w:pPr>
    </w:p>
    <w:p>
      <w:pPr>
        <w:pStyle w:val="BodyText"/>
        <w:tabs>
          <w:tab w:pos="3222" w:val="left" w:leader="none"/>
        </w:tabs>
        <w:spacing w:line="240" w:lineRule="auto" w:before="54"/>
        <w:ind w:left="1291" w:right="0"/>
        <w:jc w:val="left"/>
      </w:pPr>
      <w:r>
        <w:rPr>
          <w:rFonts w:ascii="Times New Roman" w:hAnsi="Times New Roman" w:cs="Times New Roman" w:eastAsia="Times New Roman" w:hint="default"/>
        </w:rPr>
        <w:t>40  </w:t>
      </w:r>
      <w:r>
        <w:rPr>
          <w:rFonts w:ascii="Times New Roman" w:hAnsi="Times New Roman" w:cs="Times New Roman" w:eastAsia="Times New Roman" w:hint="default"/>
          <w:spacing w:val="34"/>
        </w:rPr>
        <w:t> </w:t>
      </w:r>
      <w:r>
        <w:rPr/>
        <w:t>挥发性有机物</w:t>
        <w:tab/>
        <w:t>回收处理再利用挥发性有机溶剂 已完成国家 </w:t>
      </w:r>
      <w:r>
        <w:rPr>
          <w:spacing w:val="6"/>
        </w:rPr>
        <w:t>使用自主研发的疏水型分子筛作为吸附</w:t>
      </w:r>
      <w:r>
        <w:rPr>
          <w:spacing w:val="20"/>
        </w:rPr>
        <w:t> </w:t>
      </w:r>
      <w:r>
        <w:rPr/>
        <w:t>河北省科</w:t>
      </w:r>
    </w:p>
    <w:p>
      <w:pPr>
        <w:spacing w:after="0" w:line="240" w:lineRule="auto"/>
        <w:jc w:val="left"/>
        <w:sectPr>
          <w:type w:val="continuous"/>
          <w:pgSz w:w="11910" w:h="16840"/>
          <w:pgMar w:top="1060" w:bottom="1160" w:left="0" w:right="0"/>
        </w:sectPr>
      </w:pPr>
    </w:p>
    <w:p>
      <w:pPr>
        <w:pStyle w:val="BodyText"/>
        <w:spacing w:line="309" w:lineRule="auto" w:before="63"/>
        <w:ind w:left="1640" w:right="-20"/>
        <w:jc w:val="left"/>
      </w:pPr>
      <w:r>
        <w:rPr/>
        <w:pict>
          <v:group style="position:absolute;margin-left:56.34pt;margin-top:71.629982pt;width:489.1pt;height:689.85pt;mso-position-horizontal-relative:page;mso-position-vertical-relative:page;z-index:-985912" coordorigin="1127,1433" coordsize="9782,13797">
            <v:group style="position:absolute;left:1141;top:1447;width:482;height:2" coordorigin="1141,1447" coordsize="482,2">
              <v:shape style="position:absolute;left:1141;top:1447;width:482;height:2" coordorigin="1141,1447" coordsize="482,0" path="m1141,1447l1622,1447e" filled="false" stroked="true" strokeweight=".72pt" strokecolor="#000000">
                <v:path arrowok="t"/>
              </v:shape>
            </v:group>
            <v:group style="position:absolute;left:1637;top:1447;width:1569;height:2" coordorigin="1637,1447" coordsize="1569,2">
              <v:shape style="position:absolute;left:1637;top:1447;width:1569;height:2" coordorigin="1637,1447" coordsize="1569,0" path="m1637,1447l3206,1447e" filled="false" stroked="true" strokeweight=".72pt" strokecolor="#000000">
                <v:path arrowok="t"/>
              </v:shape>
            </v:group>
            <v:group style="position:absolute;left:3220;top:1447;width:2664;height:2" coordorigin="3220,1447" coordsize="2664,2">
              <v:shape style="position:absolute;left:3220;top:1447;width:2664;height:2" coordorigin="3220,1447" coordsize="2664,0" path="m3220,1447l5883,1447e" filled="false" stroked="true" strokeweight=".72pt" strokecolor="#000000">
                <v:path arrowok="t"/>
              </v:shape>
            </v:group>
            <v:group style="position:absolute;left:5898;top:1447;width:910;height:2" coordorigin="5898,1447" coordsize="910,2">
              <v:shape style="position:absolute;left:5898;top:1447;width:910;height:2" coordorigin="5898,1447" coordsize="910,0" path="m5898,1447l6807,1447e" filled="false" stroked="true" strokeweight=".72pt" strokecolor="#000000">
                <v:path arrowok="t"/>
              </v:shape>
            </v:group>
            <v:group style="position:absolute;left:6822;top:1447;width:3188;height:2" coordorigin="6822,1447" coordsize="3188,2">
              <v:shape style="position:absolute;left:6822;top:1447;width:3188;height:2" coordorigin="6822,1447" coordsize="3188,0" path="m6822,1447l10009,1447e" filled="false" stroked="true" strokeweight=".72pt" strokecolor="#000000">
                <v:path arrowok="t"/>
              </v:shape>
            </v:group>
            <v:group style="position:absolute;left:10024;top:1447;width:870;height:2" coordorigin="10024,1447" coordsize="870,2">
              <v:shape style="position:absolute;left:10024;top:1447;width:870;height:2" coordorigin="10024,1447" coordsize="870,0" path="m10024,1447l10894,1447e" filled="false" stroked="true" strokeweight=".72pt" strokecolor="#000000">
                <v:path arrowok="t"/>
              </v:shape>
            </v:group>
            <v:group style="position:absolute;left:1141;top:2418;width:482;height:2" coordorigin="1141,2418" coordsize="482,2">
              <v:shape style="position:absolute;left:1141;top:2418;width:482;height:2" coordorigin="1141,2418" coordsize="482,0" path="m1141,2418l1622,2418e" filled="false" stroked="true" strokeweight=".72pt" strokecolor="#000000">
                <v:path arrowok="t"/>
              </v:shape>
            </v:group>
            <v:group style="position:absolute;left:1637;top:2418;width:1569;height:2" coordorigin="1637,2418" coordsize="1569,2">
              <v:shape style="position:absolute;left:1637;top:2418;width:1569;height:2" coordorigin="1637,2418" coordsize="1569,0" path="m1637,2418l3206,2418e" filled="false" stroked="true" strokeweight=".72pt" strokecolor="#000000">
                <v:path arrowok="t"/>
              </v:shape>
            </v:group>
            <v:group style="position:absolute;left:3220;top:2418;width:2664;height:2" coordorigin="3220,2418" coordsize="2664,2">
              <v:shape style="position:absolute;left:3220;top:2418;width:2664;height:2" coordorigin="3220,2418" coordsize="2664,0" path="m3220,2418l5883,2418e" filled="false" stroked="true" strokeweight=".72pt" strokecolor="#000000">
                <v:path arrowok="t"/>
              </v:shape>
            </v:group>
            <v:group style="position:absolute;left:5898;top:2418;width:910;height:2" coordorigin="5898,2418" coordsize="910,2">
              <v:shape style="position:absolute;left:5898;top:2418;width:910;height:2" coordorigin="5898,2418" coordsize="910,0" path="m5898,2418l6807,2418e" filled="false" stroked="true" strokeweight=".72pt" strokecolor="#000000">
                <v:path arrowok="t"/>
              </v:shape>
            </v:group>
            <v:group style="position:absolute;left:6822;top:2418;width:3188;height:2" coordorigin="6822,2418" coordsize="3188,2">
              <v:shape style="position:absolute;left:6822;top:2418;width:3188;height:2" coordorigin="6822,2418" coordsize="3188,0" path="m6822,2418l10009,2418e" filled="false" stroked="true" strokeweight=".72pt" strokecolor="#000000">
                <v:path arrowok="t"/>
              </v:shape>
            </v:group>
            <v:group style="position:absolute;left:10024;top:2418;width:870;height:2" coordorigin="10024,2418" coordsize="870,2">
              <v:shape style="position:absolute;left:10024;top:2418;width:870;height:2" coordorigin="10024,2418" coordsize="870,0" path="m10024,2418l10894,2418e" filled="false" stroked="true" strokeweight=".72pt" strokecolor="#000000">
                <v:path arrowok="t"/>
              </v:shape>
            </v:group>
            <v:group style="position:absolute;left:1141;top:4013;width:482;height:2" coordorigin="1141,4013" coordsize="482,2">
              <v:shape style="position:absolute;left:1141;top:4013;width:482;height:2" coordorigin="1141,4013" coordsize="482,0" path="m1141,4013l1622,4013e" filled="false" stroked="true" strokeweight=".72pt" strokecolor="#000000">
                <v:path arrowok="t"/>
              </v:shape>
            </v:group>
            <v:group style="position:absolute;left:1637;top:4013;width:1569;height:2" coordorigin="1637,4013" coordsize="1569,2">
              <v:shape style="position:absolute;left:1637;top:4013;width:1569;height:2" coordorigin="1637,4013" coordsize="1569,0" path="m1637,4013l3206,4013e" filled="false" stroked="true" strokeweight=".72pt" strokecolor="#000000">
                <v:path arrowok="t"/>
              </v:shape>
            </v:group>
            <v:group style="position:absolute;left:3220;top:4013;width:2664;height:2" coordorigin="3220,4013" coordsize="2664,2">
              <v:shape style="position:absolute;left:3220;top:4013;width:2664;height:2" coordorigin="3220,4013" coordsize="2664,0" path="m3220,4013l5883,4013e" filled="false" stroked="true" strokeweight=".72pt" strokecolor="#000000">
                <v:path arrowok="t"/>
              </v:shape>
            </v:group>
            <v:group style="position:absolute;left:5898;top:4013;width:910;height:2" coordorigin="5898,4013" coordsize="910,2">
              <v:shape style="position:absolute;left:5898;top:4013;width:910;height:2" coordorigin="5898,4013" coordsize="910,0" path="m5898,4013l6807,4013e" filled="false" stroked="true" strokeweight=".72pt" strokecolor="#000000">
                <v:path arrowok="t"/>
              </v:shape>
            </v:group>
            <v:group style="position:absolute;left:6822;top:4013;width:3188;height:2" coordorigin="6822,4013" coordsize="3188,2">
              <v:shape style="position:absolute;left:6822;top:4013;width:3188;height:2" coordorigin="6822,4013" coordsize="3188,0" path="m6822,4013l10009,4013e" filled="false" stroked="true" strokeweight=".72pt" strokecolor="#000000">
                <v:path arrowok="t"/>
              </v:shape>
            </v:group>
            <v:group style="position:absolute;left:10024;top:4013;width:870;height:2" coordorigin="10024,4013" coordsize="870,2">
              <v:shape style="position:absolute;left:10024;top:4013;width:870;height:2" coordorigin="10024,4013" coordsize="870,0" path="m10024,4013l10894,4013e" filled="false" stroked="true" strokeweight=".72pt" strokecolor="#000000">
                <v:path arrowok="t"/>
              </v:shape>
            </v:group>
            <v:group style="position:absolute;left:1141;top:4984;width:482;height:2" coordorigin="1141,4984" coordsize="482,2">
              <v:shape style="position:absolute;left:1141;top:4984;width:482;height:2" coordorigin="1141,4984" coordsize="482,0" path="m1141,4984l1622,4984e" filled="false" stroked="true" strokeweight=".72pt" strokecolor="#000000">
                <v:path arrowok="t"/>
              </v:shape>
            </v:group>
            <v:group style="position:absolute;left:1637;top:4984;width:1569;height:2" coordorigin="1637,4984" coordsize="1569,2">
              <v:shape style="position:absolute;left:1637;top:4984;width:1569;height:2" coordorigin="1637,4984" coordsize="1569,0" path="m1637,4984l3206,4984e" filled="false" stroked="true" strokeweight=".72pt" strokecolor="#000000">
                <v:path arrowok="t"/>
              </v:shape>
            </v:group>
            <v:group style="position:absolute;left:3220;top:4984;width:2664;height:2" coordorigin="3220,4984" coordsize="2664,2">
              <v:shape style="position:absolute;left:3220;top:4984;width:2664;height:2" coordorigin="3220,4984" coordsize="2664,0" path="m3220,4984l5883,4984e" filled="false" stroked="true" strokeweight=".72pt" strokecolor="#000000">
                <v:path arrowok="t"/>
              </v:shape>
            </v:group>
            <v:group style="position:absolute;left:5898;top:4984;width:910;height:2" coordorigin="5898,4984" coordsize="910,2">
              <v:shape style="position:absolute;left:5898;top:4984;width:910;height:2" coordorigin="5898,4984" coordsize="910,0" path="m5898,4984l6807,4984e" filled="false" stroked="true" strokeweight=".72pt" strokecolor="#000000">
                <v:path arrowok="t"/>
              </v:shape>
            </v:group>
            <v:group style="position:absolute;left:6822;top:4984;width:3188;height:2" coordorigin="6822,4984" coordsize="3188,2">
              <v:shape style="position:absolute;left:6822;top:4984;width:3188;height:2" coordorigin="6822,4984" coordsize="3188,0" path="m6822,4984l10009,4984e" filled="false" stroked="true" strokeweight=".72pt" strokecolor="#000000">
                <v:path arrowok="t"/>
              </v:shape>
            </v:group>
            <v:group style="position:absolute;left:10024;top:4984;width:870;height:2" coordorigin="10024,4984" coordsize="870,2">
              <v:shape style="position:absolute;left:10024;top:4984;width:870;height:2" coordorigin="10024,4984" coordsize="870,0" path="m10024,4984l10894,4984e" filled="false" stroked="true" strokeweight=".72pt" strokecolor="#000000">
                <v:path arrowok="t"/>
              </v:shape>
            </v:group>
            <v:group style="position:absolute;left:1141;top:5644;width:482;height:2" coordorigin="1141,5644" coordsize="482,2">
              <v:shape style="position:absolute;left:1141;top:5644;width:482;height:2" coordorigin="1141,5644" coordsize="482,0" path="m1141,5644l1622,5644e" filled="false" stroked="true" strokeweight=".72pt" strokecolor="#000000">
                <v:path arrowok="t"/>
              </v:shape>
            </v:group>
            <v:group style="position:absolute;left:1637;top:5644;width:1569;height:2" coordorigin="1637,5644" coordsize="1569,2">
              <v:shape style="position:absolute;left:1637;top:5644;width:1569;height:2" coordorigin="1637,5644" coordsize="1569,0" path="m1637,5644l3206,5644e" filled="false" stroked="true" strokeweight=".72pt" strokecolor="#000000">
                <v:path arrowok="t"/>
              </v:shape>
            </v:group>
            <v:group style="position:absolute;left:3220;top:5644;width:2664;height:2" coordorigin="3220,5644" coordsize="2664,2">
              <v:shape style="position:absolute;left:3220;top:5644;width:2664;height:2" coordorigin="3220,5644" coordsize="2664,0" path="m3220,5644l5883,5644e" filled="false" stroked="true" strokeweight=".72pt" strokecolor="#000000">
                <v:path arrowok="t"/>
              </v:shape>
            </v:group>
            <v:group style="position:absolute;left:5898;top:5644;width:910;height:2" coordorigin="5898,5644" coordsize="910,2">
              <v:shape style="position:absolute;left:5898;top:5644;width:910;height:2" coordorigin="5898,5644" coordsize="910,0" path="m5898,5644l6807,5644e" filled="false" stroked="true" strokeweight=".72pt" strokecolor="#000000">
                <v:path arrowok="t"/>
              </v:shape>
            </v:group>
            <v:group style="position:absolute;left:6822;top:5644;width:3188;height:2" coordorigin="6822,5644" coordsize="3188,2">
              <v:shape style="position:absolute;left:6822;top:5644;width:3188;height:2" coordorigin="6822,5644" coordsize="3188,0" path="m6822,5644l10009,5644e" filled="false" stroked="true" strokeweight=".72pt" strokecolor="#000000">
                <v:path arrowok="t"/>
              </v:shape>
            </v:group>
            <v:group style="position:absolute;left:10024;top:5644;width:870;height:2" coordorigin="10024,5644" coordsize="870,2">
              <v:shape style="position:absolute;left:10024;top:5644;width:870;height:2" coordorigin="10024,5644" coordsize="870,0" path="m10024,5644l10894,5644e" filled="false" stroked="true" strokeweight=".72pt" strokecolor="#000000">
                <v:path arrowok="t"/>
              </v:shape>
            </v:group>
            <v:group style="position:absolute;left:1141;top:6927;width:482;height:2" coordorigin="1141,6927" coordsize="482,2">
              <v:shape style="position:absolute;left:1141;top:6927;width:482;height:2" coordorigin="1141,6927" coordsize="482,0" path="m1141,6927l1622,6927e" filled="false" stroked="true" strokeweight=".72pt" strokecolor="#000000">
                <v:path arrowok="t"/>
              </v:shape>
            </v:group>
            <v:group style="position:absolute;left:1637;top:6927;width:1569;height:2" coordorigin="1637,6927" coordsize="1569,2">
              <v:shape style="position:absolute;left:1637;top:6927;width:1569;height:2" coordorigin="1637,6927" coordsize="1569,0" path="m1637,6927l3206,6927e" filled="false" stroked="true" strokeweight=".72pt" strokecolor="#000000">
                <v:path arrowok="t"/>
              </v:shape>
            </v:group>
            <v:group style="position:absolute;left:3220;top:6927;width:2664;height:2" coordorigin="3220,6927" coordsize="2664,2">
              <v:shape style="position:absolute;left:3220;top:6927;width:2664;height:2" coordorigin="3220,6927" coordsize="2664,0" path="m3220,6927l5883,6927e" filled="false" stroked="true" strokeweight=".72pt" strokecolor="#000000">
                <v:path arrowok="t"/>
              </v:shape>
            </v:group>
            <v:group style="position:absolute;left:5898;top:6927;width:910;height:2" coordorigin="5898,6927" coordsize="910,2">
              <v:shape style="position:absolute;left:5898;top:6927;width:910;height:2" coordorigin="5898,6927" coordsize="910,0" path="m5898,6927l6807,6927e" filled="false" stroked="true" strokeweight=".72pt" strokecolor="#000000">
                <v:path arrowok="t"/>
              </v:shape>
            </v:group>
            <v:group style="position:absolute;left:6822;top:6927;width:3188;height:2" coordorigin="6822,6927" coordsize="3188,2">
              <v:shape style="position:absolute;left:6822;top:6927;width:3188;height:2" coordorigin="6822,6927" coordsize="3188,0" path="m6822,6927l10009,6927e" filled="false" stroked="true" strokeweight=".72pt" strokecolor="#000000">
                <v:path arrowok="t"/>
              </v:shape>
            </v:group>
            <v:group style="position:absolute;left:10024;top:6927;width:870;height:2" coordorigin="10024,6927" coordsize="870,2">
              <v:shape style="position:absolute;left:10024;top:6927;width:870;height:2" coordorigin="10024,6927" coordsize="870,0" path="m10024,6927l10894,6927e" filled="false" stroked="true" strokeweight=".72pt" strokecolor="#000000">
                <v:path arrowok="t"/>
              </v:shape>
            </v:group>
            <v:group style="position:absolute;left:1141;top:8834;width:482;height:2" coordorigin="1141,8834" coordsize="482,2">
              <v:shape style="position:absolute;left:1141;top:8834;width:482;height:2" coordorigin="1141,8834" coordsize="482,0" path="m1141,8834l1622,8834e" filled="false" stroked="true" strokeweight=".72pt" strokecolor="#000000">
                <v:path arrowok="t"/>
              </v:shape>
            </v:group>
            <v:group style="position:absolute;left:1637;top:8834;width:1569;height:2" coordorigin="1637,8834" coordsize="1569,2">
              <v:shape style="position:absolute;left:1637;top:8834;width:1569;height:2" coordorigin="1637,8834" coordsize="1569,0" path="m1637,8834l3206,8834e" filled="false" stroked="true" strokeweight=".72pt" strokecolor="#000000">
                <v:path arrowok="t"/>
              </v:shape>
            </v:group>
            <v:group style="position:absolute;left:3220;top:8834;width:2664;height:2" coordorigin="3220,8834" coordsize="2664,2">
              <v:shape style="position:absolute;left:3220;top:8834;width:2664;height:2" coordorigin="3220,8834" coordsize="2664,0" path="m3220,8834l5883,8834e" filled="false" stroked="true" strokeweight=".72pt" strokecolor="#000000">
                <v:path arrowok="t"/>
              </v:shape>
            </v:group>
            <v:group style="position:absolute;left:5898;top:8834;width:910;height:2" coordorigin="5898,8834" coordsize="910,2">
              <v:shape style="position:absolute;left:5898;top:8834;width:910;height:2" coordorigin="5898,8834" coordsize="910,0" path="m5898,8834l6807,8834e" filled="false" stroked="true" strokeweight=".72pt" strokecolor="#000000">
                <v:path arrowok="t"/>
              </v:shape>
            </v:group>
            <v:group style="position:absolute;left:6822;top:8834;width:3188;height:2" coordorigin="6822,8834" coordsize="3188,2">
              <v:shape style="position:absolute;left:6822;top:8834;width:3188;height:2" coordorigin="6822,8834" coordsize="3188,0" path="m6822,8834l10009,8834e" filled="false" stroked="true" strokeweight=".72pt" strokecolor="#000000">
                <v:path arrowok="t"/>
              </v:shape>
            </v:group>
            <v:group style="position:absolute;left:10024;top:8834;width:870;height:2" coordorigin="10024,8834" coordsize="870,2">
              <v:shape style="position:absolute;left:10024;top:8834;width:870;height:2" coordorigin="10024,8834" coordsize="870,0" path="m10024,8834l10894,8834e" filled="false" stroked="true" strokeweight=".72pt" strokecolor="#000000">
                <v:path arrowok="t"/>
              </v:shape>
            </v:group>
            <v:group style="position:absolute;left:1141;top:11053;width:482;height:2" coordorigin="1141,11053" coordsize="482,2">
              <v:shape style="position:absolute;left:1141;top:11053;width:482;height:2" coordorigin="1141,11053" coordsize="482,0" path="m1141,11053l1622,11053e" filled="false" stroked="true" strokeweight=".72pt" strokecolor="#000000">
                <v:path arrowok="t"/>
              </v:shape>
            </v:group>
            <v:group style="position:absolute;left:1637;top:11053;width:1569;height:2" coordorigin="1637,11053" coordsize="1569,2">
              <v:shape style="position:absolute;left:1637;top:11053;width:1569;height:2" coordorigin="1637,11053" coordsize="1569,0" path="m1637,11053l3206,11053e" filled="false" stroked="true" strokeweight=".72pt" strokecolor="#000000">
                <v:path arrowok="t"/>
              </v:shape>
            </v:group>
            <v:group style="position:absolute;left:3220;top:11053;width:2664;height:2" coordorigin="3220,11053" coordsize="2664,2">
              <v:shape style="position:absolute;left:3220;top:11053;width:2664;height:2" coordorigin="3220,11053" coordsize="2664,0" path="m3220,11053l5883,11053e" filled="false" stroked="true" strokeweight=".72pt" strokecolor="#000000">
                <v:path arrowok="t"/>
              </v:shape>
            </v:group>
            <v:group style="position:absolute;left:5898;top:11053;width:910;height:2" coordorigin="5898,11053" coordsize="910,2">
              <v:shape style="position:absolute;left:5898;top:11053;width:910;height:2" coordorigin="5898,11053" coordsize="910,0" path="m5898,11053l6807,11053e" filled="false" stroked="true" strokeweight=".72pt" strokecolor="#000000">
                <v:path arrowok="t"/>
              </v:shape>
            </v:group>
            <v:group style="position:absolute;left:6822;top:11053;width:3188;height:2" coordorigin="6822,11053" coordsize="3188,2">
              <v:shape style="position:absolute;left:6822;top:11053;width:3188;height:2" coordorigin="6822,11053" coordsize="3188,0" path="m6822,11053l10009,11053e" filled="false" stroked="true" strokeweight=".72pt" strokecolor="#000000">
                <v:path arrowok="t"/>
              </v:shape>
            </v:group>
            <v:group style="position:absolute;left:10024;top:11053;width:870;height:2" coordorigin="10024,11053" coordsize="870,2">
              <v:shape style="position:absolute;left:10024;top:11053;width:870;height:2" coordorigin="10024,11053" coordsize="870,0" path="m10024,11053l10894,11053e" filled="false" stroked="true" strokeweight=".72pt" strokecolor="#000000">
                <v:path arrowok="t"/>
              </v:shape>
            </v:group>
            <v:group style="position:absolute;left:1141;top:12336;width:482;height:2" coordorigin="1141,12336" coordsize="482,2">
              <v:shape style="position:absolute;left:1141;top:12336;width:482;height:2" coordorigin="1141,12336" coordsize="482,0" path="m1141,12336l1622,12336e" filled="false" stroked="true" strokeweight=".72pt" strokecolor="#000000">
                <v:path arrowok="t"/>
              </v:shape>
            </v:group>
            <v:group style="position:absolute;left:1637;top:12336;width:1569;height:2" coordorigin="1637,12336" coordsize="1569,2">
              <v:shape style="position:absolute;left:1637;top:12336;width:1569;height:2" coordorigin="1637,12336" coordsize="1569,0" path="m1637,12336l3206,12336e" filled="false" stroked="true" strokeweight=".72pt" strokecolor="#000000">
                <v:path arrowok="t"/>
              </v:shape>
            </v:group>
            <v:group style="position:absolute;left:3220;top:12336;width:2664;height:2" coordorigin="3220,12336" coordsize="2664,2">
              <v:shape style="position:absolute;left:3220;top:12336;width:2664;height:2" coordorigin="3220,12336" coordsize="2664,0" path="m3220,12336l5883,12336e" filled="false" stroked="true" strokeweight=".72pt" strokecolor="#000000">
                <v:path arrowok="t"/>
              </v:shape>
            </v:group>
            <v:group style="position:absolute;left:5898;top:12336;width:910;height:2" coordorigin="5898,12336" coordsize="910,2">
              <v:shape style="position:absolute;left:5898;top:12336;width:910;height:2" coordorigin="5898,12336" coordsize="910,0" path="m5898,12336l6807,12336e" filled="false" stroked="true" strokeweight=".72pt" strokecolor="#000000">
                <v:path arrowok="t"/>
              </v:shape>
            </v:group>
            <v:group style="position:absolute;left:6822;top:12336;width:3188;height:2" coordorigin="6822,12336" coordsize="3188,2">
              <v:shape style="position:absolute;left:6822;top:12336;width:3188;height:2" coordorigin="6822,12336" coordsize="3188,0" path="m6822,12336l10009,12336e" filled="false" stroked="true" strokeweight=".72pt" strokecolor="#000000">
                <v:path arrowok="t"/>
              </v:shape>
            </v:group>
            <v:group style="position:absolute;left:10024;top:12336;width:870;height:2" coordorigin="10024,12336" coordsize="870,2">
              <v:shape style="position:absolute;left:10024;top:12336;width:870;height:2" coordorigin="10024,12336" coordsize="870,0" path="m10024,12336l10894,12336e" filled="false" stroked="true" strokeweight=".72pt" strokecolor="#000000">
                <v:path arrowok="t"/>
              </v:shape>
            </v:group>
            <v:group style="position:absolute;left:1141;top:13930;width:482;height:2" coordorigin="1141,13930" coordsize="482,2">
              <v:shape style="position:absolute;left:1141;top:13930;width:482;height:2" coordorigin="1141,13930" coordsize="482,0" path="m1141,13930l1622,13930e" filled="false" stroked="true" strokeweight=".72pt" strokecolor="#000000">
                <v:path arrowok="t"/>
              </v:shape>
            </v:group>
            <v:group style="position:absolute;left:1637;top:13930;width:1569;height:2" coordorigin="1637,13930" coordsize="1569,2">
              <v:shape style="position:absolute;left:1637;top:13930;width:1569;height:2" coordorigin="1637,13930" coordsize="1569,0" path="m1637,13930l3206,13930e" filled="false" stroked="true" strokeweight=".72pt" strokecolor="#000000">
                <v:path arrowok="t"/>
              </v:shape>
            </v:group>
            <v:group style="position:absolute;left:3220;top:13930;width:2664;height:2" coordorigin="3220,13930" coordsize="2664,2">
              <v:shape style="position:absolute;left:3220;top:13930;width:2664;height:2" coordorigin="3220,13930" coordsize="2664,0" path="m3220,13930l5883,13930e" filled="false" stroked="true" strokeweight=".72pt" strokecolor="#000000">
                <v:path arrowok="t"/>
              </v:shape>
            </v:group>
            <v:group style="position:absolute;left:5898;top:13930;width:910;height:2" coordorigin="5898,13930" coordsize="910,2">
              <v:shape style="position:absolute;left:5898;top:13930;width:910;height:2" coordorigin="5898,13930" coordsize="910,0" path="m5898,13930l6807,13930e" filled="false" stroked="true" strokeweight=".72pt" strokecolor="#000000">
                <v:path arrowok="t"/>
              </v:shape>
            </v:group>
            <v:group style="position:absolute;left:6822;top:13930;width:3188;height:2" coordorigin="6822,13930" coordsize="3188,2">
              <v:shape style="position:absolute;left:6822;top:13930;width:3188;height:2" coordorigin="6822,13930" coordsize="3188,0" path="m6822,13930l10009,13930e" filled="false" stroked="true" strokeweight=".72pt" strokecolor="#000000">
                <v:path arrowok="t"/>
              </v:shape>
            </v:group>
            <v:group style="position:absolute;left:10024;top:13930;width:870;height:2" coordorigin="10024,13930" coordsize="870,2">
              <v:shape style="position:absolute;left:10024;top:13930;width:870;height:2" coordorigin="10024,13930" coordsize="870,0" path="m10024,13930l10894,13930e" filled="false" stroked="true" strokeweight=".72pt" strokecolor="#000000">
                <v:path arrowok="t"/>
              </v:shape>
            </v:group>
            <v:group style="position:absolute;left:1134;top:1440;width:2;height:13782" coordorigin="1134,1440" coordsize="2,13782">
              <v:shape style="position:absolute;left:1134;top:1440;width:2;height:13782" coordorigin="1134,1440" coordsize="0,13782" path="m1134,1440l1134,15222e" filled="false" stroked="true" strokeweight=".72pt" strokecolor="#000000">
                <v:path arrowok="t"/>
              </v:shape>
            </v:group>
            <v:group style="position:absolute;left:1141;top:15215;width:482;height:2" coordorigin="1141,15215" coordsize="482,2">
              <v:shape style="position:absolute;left:1141;top:15215;width:482;height:2" coordorigin="1141,15215" coordsize="482,0" path="m1141,15215l1622,15215e" filled="false" stroked="true" strokeweight=".72pt" strokecolor="#000000">
                <v:path arrowok="t"/>
              </v:shape>
            </v:group>
            <v:group style="position:absolute;left:1630;top:1440;width:2;height:13782" coordorigin="1630,1440" coordsize="2,13782">
              <v:shape style="position:absolute;left:1630;top:1440;width:2;height:13782" coordorigin="1630,1440" coordsize="0,13782" path="m1630,1440l1630,15222e" filled="false" stroked="true" strokeweight=".74pt" strokecolor="#000000">
                <v:path arrowok="t"/>
              </v:shape>
            </v:group>
            <v:group style="position:absolute;left:1637;top:15215;width:1569;height:2" coordorigin="1637,15215" coordsize="1569,2">
              <v:shape style="position:absolute;left:1637;top:15215;width:1569;height:2" coordorigin="1637,15215" coordsize="1569,0" path="m1637,15215l3206,15215e" filled="false" stroked="true" strokeweight=".72pt" strokecolor="#000000">
                <v:path arrowok="t"/>
              </v:shape>
            </v:group>
            <v:group style="position:absolute;left:3213;top:1440;width:2;height:13782" coordorigin="3213,1440" coordsize="2,13782">
              <v:shape style="position:absolute;left:3213;top:1440;width:2;height:13782" coordorigin="3213,1440" coordsize="0,13782" path="m3213,1440l3213,15222e" filled="false" stroked="true" strokeweight=".72pt" strokecolor="#000000">
                <v:path arrowok="t"/>
              </v:shape>
            </v:group>
            <v:group style="position:absolute;left:3220;top:15215;width:2664;height:2" coordorigin="3220,15215" coordsize="2664,2">
              <v:shape style="position:absolute;left:3220;top:15215;width:2664;height:2" coordorigin="3220,15215" coordsize="2664,0" path="m3220,15215l5883,15215e" filled="false" stroked="true" strokeweight=".72pt" strokecolor="#000000">
                <v:path arrowok="t"/>
              </v:shape>
            </v:group>
            <v:group style="position:absolute;left:5890;top:1440;width:2;height:13782" coordorigin="5890,1440" coordsize="2,13782">
              <v:shape style="position:absolute;left:5890;top:1440;width:2;height:13782" coordorigin="5890,1440" coordsize="0,13782" path="m5890,1440l5890,15222e" filled="false" stroked="true" strokeweight=".72pt" strokecolor="#000000">
                <v:path arrowok="t"/>
              </v:shape>
            </v:group>
            <v:group style="position:absolute;left:5898;top:15215;width:910;height:2" coordorigin="5898,15215" coordsize="910,2">
              <v:shape style="position:absolute;left:5898;top:15215;width:910;height:2" coordorigin="5898,15215" coordsize="910,0" path="m5898,15215l6807,15215e" filled="false" stroked="true" strokeweight=".72pt" strokecolor="#000000">
                <v:path arrowok="t"/>
              </v:shape>
            </v:group>
            <v:group style="position:absolute;left:6814;top:1440;width:2;height:13782" coordorigin="6814,1440" coordsize="2,13782">
              <v:shape style="position:absolute;left:6814;top:1440;width:2;height:13782" coordorigin="6814,1440" coordsize="0,13782" path="m6814,1440l6814,15222e" filled="false" stroked="true" strokeweight=".72pt" strokecolor="#000000">
                <v:path arrowok="t"/>
              </v:shape>
            </v:group>
            <v:group style="position:absolute;left:6822;top:15215;width:3188;height:2" coordorigin="6822,15215" coordsize="3188,2">
              <v:shape style="position:absolute;left:6822;top:15215;width:3188;height:2" coordorigin="6822,15215" coordsize="3188,0" path="m6822,15215l10009,15215e" filled="false" stroked="true" strokeweight=".72pt" strokecolor="#000000">
                <v:path arrowok="t"/>
              </v:shape>
            </v:group>
            <v:group style="position:absolute;left:10016;top:1440;width:2;height:13782" coordorigin="10016,1440" coordsize="2,13782">
              <v:shape style="position:absolute;left:10016;top:1440;width:2;height:13782" coordorigin="10016,1440" coordsize="0,13782" path="m10016,1440l10016,15222e" filled="false" stroked="true" strokeweight=".72pt" strokecolor="#000000">
                <v:path arrowok="t"/>
              </v:shape>
            </v:group>
            <v:group style="position:absolute;left:10024;top:15215;width:870;height:2" coordorigin="10024,15215" coordsize="870,2">
              <v:shape style="position:absolute;left:10024;top:15215;width:870;height:2" coordorigin="10024,15215" coordsize="870,0" path="m10024,15215l10894,15215e" filled="false" stroked="true" strokeweight=".72pt" strokecolor="#000000">
                <v:path arrowok="t"/>
              </v:shape>
            </v:group>
            <v:group style="position:absolute;left:10901;top:1440;width:2;height:13782" coordorigin="10901,1440" coordsize="2,13782">
              <v:shape style="position:absolute;left:10901;top:1440;width:2;height:13782" coordorigin="10901,1440" coordsize="0,13782" path="m10901,1440l10901,15222e" filled="false" stroked="true" strokeweight=".72pt" strokecolor="#000000">
                <v:path arrowok="t"/>
              </v:shape>
            </v:group>
            <w10:wrap type="none"/>
          </v:group>
        </w:pict>
      </w:r>
      <w:r>
        <w:rPr/>
        <w:t>（</w:t>
      </w:r>
      <w:r>
        <w:rPr>
          <w:rFonts w:ascii="Times New Roman" w:hAnsi="Times New Roman" w:cs="Times New Roman" w:eastAsia="Times New Roman" w:hint="default"/>
        </w:rPr>
        <w:t>VOCs</w:t>
      </w:r>
      <w:r>
        <w:rPr/>
        <w:t>）分子筛吸 附浓缩转轮及净化 回收成套装置</w:t>
      </w:r>
    </w:p>
    <w:p>
      <w:pPr>
        <w:pStyle w:val="BodyText"/>
        <w:spacing w:line="316" w:lineRule="auto" w:before="63"/>
        <w:ind w:left="2293" w:right="0" w:hanging="653"/>
        <w:jc w:val="both"/>
      </w:pPr>
      <w:r>
        <w:rPr/>
        <w:br w:type="column"/>
      </w:r>
      <w:r>
        <w:rPr/>
        <w:t>验收</w:t>
      </w:r>
      <w:r>
        <w:rPr>
          <w:spacing w:val="31"/>
        </w:rPr>
        <w:t> </w:t>
      </w:r>
      <w:r>
        <w:rPr>
          <w:spacing w:val="-4"/>
        </w:rPr>
        <w:t>材料，研制分子筛转轮吸附浓缩装置，并</w:t>
      </w:r>
      <w:r>
        <w:rPr/>
        <w:t> </w:t>
      </w:r>
      <w:r>
        <w:rPr>
          <w:spacing w:val="6"/>
        </w:rPr>
        <w:t>开发全套新型挥发性有机溶剂净化回收</w:t>
      </w:r>
      <w:r>
        <w:rPr/>
        <w:t> 成套设备。</w:t>
      </w:r>
    </w:p>
    <w:p>
      <w:pPr>
        <w:spacing w:before="63"/>
        <w:ind w:left="142" w:right="0" w:firstLine="0"/>
        <w:jc w:val="left"/>
        <w:rPr>
          <w:rFonts w:ascii="宋体" w:hAnsi="宋体" w:cs="宋体" w:eastAsia="宋体" w:hint="default"/>
          <w:sz w:val="18"/>
          <w:szCs w:val="18"/>
        </w:rPr>
      </w:pPr>
      <w:r>
        <w:rPr/>
        <w:br w:type="column"/>
      </w:r>
      <w:r>
        <w:rPr>
          <w:rFonts w:ascii="宋体" w:hAnsi="宋体" w:cs="宋体" w:eastAsia="宋体" w:hint="default"/>
          <w:sz w:val="18"/>
          <w:szCs w:val="18"/>
        </w:rPr>
        <w:t>技计划</w:t>
      </w:r>
    </w:p>
    <w:p>
      <w:pPr>
        <w:spacing w:after="0"/>
        <w:jc w:val="left"/>
        <w:rPr>
          <w:rFonts w:ascii="宋体" w:hAnsi="宋体" w:cs="宋体" w:eastAsia="宋体" w:hint="default"/>
          <w:sz w:val="18"/>
          <w:szCs w:val="18"/>
        </w:rPr>
        <w:sectPr>
          <w:type w:val="continuous"/>
          <w:pgSz w:w="11910" w:h="16840"/>
          <w:pgMar w:top="1060" w:bottom="1160" w:left="0" w:right="0"/>
          <w:cols w:num="3" w:equalWidth="0">
            <w:col w:w="3171" w:space="1360"/>
            <w:col w:w="5474" w:space="40"/>
            <w:col w:w="1865"/>
          </w:cols>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6" w:type="dxa"/>
        <w:tblLayout w:type="fixed"/>
        <w:tblCellMar>
          <w:top w:w="0" w:type="dxa"/>
          <w:left w:w="0" w:type="dxa"/>
          <w:bottom w:w="0" w:type="dxa"/>
          <w:right w:w="0" w:type="dxa"/>
        </w:tblCellMar>
        <w:tblLook w:val="01E0"/>
      </w:tblPr>
      <w:tblGrid>
        <w:gridCol w:w="496"/>
        <w:gridCol w:w="1583"/>
        <w:gridCol w:w="2678"/>
        <w:gridCol w:w="924"/>
        <w:gridCol w:w="3202"/>
        <w:gridCol w:w="884"/>
      </w:tblGrid>
      <w:tr>
        <w:trPr>
          <w:trHeight w:val="1283" w:hRule="exact"/>
        </w:trPr>
        <w:tc>
          <w:tcPr>
            <w:tcW w:w="4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41</w:t>
            </w:r>
          </w:p>
        </w:tc>
        <w:tc>
          <w:tcPr>
            <w:tcW w:w="1583"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3" w:right="122"/>
              <w:jc w:val="left"/>
              <w:rPr>
                <w:rFonts w:ascii="宋体" w:hAnsi="宋体" w:cs="宋体" w:eastAsia="宋体" w:hint="default"/>
                <w:sz w:val="18"/>
                <w:szCs w:val="18"/>
              </w:rPr>
            </w:pPr>
            <w:r>
              <w:rPr>
                <w:rFonts w:ascii="宋体" w:hAnsi="宋体" w:cs="宋体" w:eastAsia="宋体" w:hint="default"/>
                <w:sz w:val="18"/>
                <w:szCs w:val="18"/>
              </w:rPr>
              <w:t>移动空气监测系统 项目</w:t>
            </w:r>
          </w:p>
        </w:tc>
        <w:tc>
          <w:tcPr>
            <w:tcW w:w="2678"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0"/>
              <w:jc w:val="both"/>
              <w:rPr>
                <w:rFonts w:ascii="宋体" w:hAnsi="宋体" w:cs="宋体" w:eastAsia="宋体" w:hint="default"/>
                <w:sz w:val="18"/>
                <w:szCs w:val="18"/>
              </w:rPr>
            </w:pPr>
            <w:r>
              <w:rPr>
                <w:rFonts w:ascii="宋体" w:hAnsi="宋体" w:cs="宋体" w:eastAsia="宋体" w:hint="default"/>
                <w:spacing w:val="-3"/>
                <w:sz w:val="18"/>
                <w:szCs w:val="18"/>
              </w:rPr>
              <w:t>用于移动执法、应急监测、道路交</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3"/>
                <w:sz w:val="18"/>
                <w:szCs w:val="18"/>
              </w:rPr>
              <w:t>通空气质量监测、工业园区空气质</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3"/>
                <w:sz w:val="18"/>
                <w:szCs w:val="18"/>
              </w:rPr>
              <w:t>量监测、隧道空气质量监测环境测</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评等</w:t>
            </w:r>
          </w:p>
        </w:tc>
        <w:tc>
          <w:tcPr>
            <w:tcW w:w="92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94" w:right="2" w:hanging="90"/>
              <w:jc w:val="left"/>
              <w:rPr>
                <w:rFonts w:ascii="宋体" w:hAnsi="宋体" w:cs="宋体" w:eastAsia="宋体" w:hint="default"/>
                <w:sz w:val="18"/>
                <w:szCs w:val="18"/>
              </w:rPr>
            </w:pPr>
            <w:r>
              <w:rPr>
                <w:rFonts w:ascii="宋体" w:hAnsi="宋体" w:cs="宋体" w:eastAsia="宋体" w:hint="default"/>
                <w:sz w:val="18"/>
                <w:szCs w:val="18"/>
              </w:rPr>
              <w:t>产业化示范 运行阶段</w:t>
            </w:r>
          </w:p>
        </w:tc>
        <w:tc>
          <w:tcPr>
            <w:tcW w:w="3202"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3" w:right="1"/>
              <w:jc w:val="both"/>
              <w:rPr>
                <w:rFonts w:ascii="宋体" w:hAnsi="宋体" w:cs="宋体" w:eastAsia="宋体" w:hint="default"/>
                <w:sz w:val="18"/>
                <w:szCs w:val="18"/>
              </w:rPr>
            </w:pPr>
            <w:r>
              <w:rPr>
                <w:rFonts w:ascii="宋体" w:hAnsi="宋体" w:cs="宋体" w:eastAsia="宋体" w:hint="default"/>
                <w:spacing w:val="-4"/>
                <w:sz w:val="18"/>
                <w:szCs w:val="18"/>
              </w:rPr>
              <w:t>快速达到监测现场、迅速完成对气体成分</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pacing w:val="-4"/>
                <w:sz w:val="18"/>
                <w:szCs w:val="18"/>
              </w:rPr>
              <w:t>的定量分析，提高监测、执法、校准及应</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急处置效率</w:t>
            </w:r>
          </w:p>
        </w:tc>
        <w:tc>
          <w:tcPr>
            <w:tcW w:w="8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54" w:right="0"/>
              <w:jc w:val="left"/>
              <w:rPr>
                <w:rFonts w:ascii="宋体" w:hAnsi="宋体" w:cs="宋体" w:eastAsia="宋体" w:hint="default"/>
                <w:sz w:val="18"/>
                <w:szCs w:val="18"/>
              </w:rPr>
            </w:pPr>
            <w:r>
              <w:rPr>
                <w:rFonts w:ascii="宋体" w:hAnsi="宋体" w:cs="宋体" w:eastAsia="宋体" w:hint="default"/>
                <w:sz w:val="18"/>
                <w:szCs w:val="18"/>
              </w:rPr>
              <w:t>自立</w:t>
            </w:r>
          </w:p>
        </w:tc>
      </w:tr>
      <w:tr>
        <w:trPr>
          <w:trHeight w:val="2219" w:hRule="exact"/>
        </w:trPr>
        <w:tc>
          <w:tcPr>
            <w:tcW w:w="4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42</w:t>
            </w:r>
          </w:p>
        </w:tc>
        <w:tc>
          <w:tcPr>
            <w:tcW w:w="1583"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3" w:right="122"/>
              <w:jc w:val="left"/>
              <w:rPr>
                <w:rFonts w:ascii="宋体" w:hAnsi="宋体" w:cs="宋体" w:eastAsia="宋体" w:hint="default"/>
                <w:sz w:val="18"/>
                <w:szCs w:val="18"/>
              </w:rPr>
            </w:pPr>
            <w:r>
              <w:rPr>
                <w:rFonts w:ascii="宋体" w:hAnsi="宋体" w:cs="宋体" w:eastAsia="宋体" w:hint="default"/>
                <w:sz w:val="18"/>
                <w:szCs w:val="18"/>
              </w:rPr>
              <w:t>化工园区监测系统 集成开发</w:t>
            </w:r>
          </w:p>
        </w:tc>
        <w:tc>
          <w:tcPr>
            <w:tcW w:w="2678" w:type="dxa"/>
            <w:tcBorders>
              <w:top w:val="single" w:sz="6" w:space="0" w:color="000000"/>
              <w:left w:val="single" w:sz="6" w:space="0" w:color="000000"/>
              <w:bottom w:val="single" w:sz="6" w:space="0" w:color="000000"/>
              <w:right w:val="single" w:sz="6" w:space="0" w:color="000000"/>
            </w:tcBorders>
          </w:tcPr>
          <w:p>
            <w:pPr>
              <w:pStyle w:val="TableParagraph"/>
              <w:spacing w:line="314" w:lineRule="auto" w:before="21"/>
              <w:ind w:left="2" w:right="0"/>
              <w:jc w:val="both"/>
              <w:rPr>
                <w:rFonts w:ascii="宋体" w:hAnsi="宋体" w:cs="宋体" w:eastAsia="宋体" w:hint="default"/>
                <w:sz w:val="18"/>
                <w:szCs w:val="18"/>
              </w:rPr>
            </w:pPr>
            <w:r>
              <w:rPr>
                <w:rFonts w:ascii="宋体" w:hAnsi="宋体" w:cs="宋体" w:eastAsia="宋体" w:hint="default"/>
                <w:spacing w:val="9"/>
                <w:sz w:val="18"/>
                <w:szCs w:val="18"/>
              </w:rPr>
              <w:t>通过挖掘工业园区的环境监测需</w:t>
            </w:r>
            <w:r>
              <w:rPr>
                <w:rFonts w:ascii="宋体" w:hAnsi="宋体" w:cs="宋体" w:eastAsia="宋体" w:hint="default"/>
                <w:sz w:val="18"/>
                <w:szCs w:val="18"/>
              </w:rPr>
              <w:t> </w:t>
            </w:r>
            <w:r>
              <w:rPr>
                <w:rFonts w:ascii="宋体" w:hAnsi="宋体" w:cs="宋体" w:eastAsia="宋体" w:hint="default"/>
                <w:spacing w:val="-3"/>
                <w:sz w:val="18"/>
                <w:szCs w:val="18"/>
              </w:rPr>
              <w:t>求，整合公司内外部的空气监测和</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3"/>
                <w:sz w:val="18"/>
                <w:szCs w:val="18"/>
              </w:rPr>
              <w:t>软件产品，形成有针对性和先河特</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3"/>
                <w:sz w:val="18"/>
                <w:szCs w:val="18"/>
              </w:rPr>
              <w:t>色的工业园区监测方案，建立完善</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2"/>
                <w:sz w:val="18"/>
                <w:szCs w:val="18"/>
              </w:rPr>
              <w:t>的</w:t>
            </w:r>
            <w:r>
              <w:rPr>
                <w:rFonts w:ascii="Times New Roman" w:hAnsi="Times New Roman" w:cs="Times New Roman" w:eastAsia="Times New Roman" w:hint="default"/>
                <w:spacing w:val="2"/>
                <w:sz w:val="18"/>
                <w:szCs w:val="18"/>
              </w:rPr>
              <w:t>VOCs</w:t>
            </w:r>
            <w:r>
              <w:rPr>
                <w:rFonts w:ascii="宋体" w:hAnsi="宋体" w:cs="宋体" w:eastAsia="宋体" w:hint="default"/>
                <w:spacing w:val="2"/>
                <w:sz w:val="18"/>
                <w:szCs w:val="18"/>
              </w:rPr>
              <w:t>监测产品线，以及有害气</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3"/>
                <w:sz w:val="18"/>
                <w:szCs w:val="18"/>
              </w:rPr>
              <w:t>体监测产品线，建立工业园区环境</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监测预警体系。</w:t>
            </w:r>
          </w:p>
        </w:tc>
        <w:tc>
          <w:tcPr>
            <w:tcW w:w="9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实施阶段</w:t>
            </w:r>
          </w:p>
        </w:tc>
        <w:tc>
          <w:tcPr>
            <w:tcW w:w="3202"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3" w:right="0"/>
              <w:jc w:val="both"/>
              <w:rPr>
                <w:rFonts w:ascii="宋体" w:hAnsi="宋体" w:cs="宋体" w:eastAsia="宋体" w:hint="default"/>
                <w:sz w:val="18"/>
                <w:szCs w:val="18"/>
              </w:rPr>
            </w:pPr>
            <w:r>
              <w:rPr>
                <w:rFonts w:ascii="宋体" w:hAnsi="宋体" w:cs="宋体" w:eastAsia="宋体" w:hint="default"/>
                <w:spacing w:val="-4"/>
                <w:sz w:val="18"/>
                <w:szCs w:val="18"/>
              </w:rPr>
              <w:t>形成一套完整的、有先河特色的工业园区</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pacing w:val="-4"/>
                <w:sz w:val="18"/>
                <w:szCs w:val="18"/>
              </w:rPr>
              <w:t>监测方案，完善工业园区监控产品线，建</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立试点项目</w:t>
            </w:r>
            <w:r>
              <w:rPr>
                <w:rFonts w:ascii="Times New Roman" w:hAnsi="Times New Roman" w:cs="Times New Roman" w:eastAsia="Times New Roman" w:hint="default"/>
                <w:sz w:val="18"/>
                <w:szCs w:val="18"/>
              </w:rPr>
              <w:t>1-3</w:t>
            </w:r>
            <w:r>
              <w:rPr>
                <w:rFonts w:ascii="宋体" w:hAnsi="宋体" w:cs="宋体" w:eastAsia="宋体" w:hint="default"/>
                <w:sz w:val="18"/>
                <w:szCs w:val="18"/>
              </w:rPr>
              <w:t>项。</w:t>
            </w:r>
          </w:p>
        </w:tc>
        <w:tc>
          <w:tcPr>
            <w:tcW w:w="8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54" w:right="0"/>
              <w:jc w:val="left"/>
              <w:rPr>
                <w:rFonts w:ascii="宋体" w:hAnsi="宋体" w:cs="宋体" w:eastAsia="宋体" w:hint="default"/>
                <w:sz w:val="18"/>
                <w:szCs w:val="18"/>
              </w:rPr>
            </w:pPr>
            <w:r>
              <w:rPr>
                <w:rFonts w:ascii="宋体" w:hAnsi="宋体" w:cs="宋体" w:eastAsia="宋体" w:hint="default"/>
                <w:sz w:val="18"/>
                <w:szCs w:val="18"/>
              </w:rPr>
              <w:t>自立</w:t>
            </w:r>
          </w:p>
        </w:tc>
      </w:tr>
      <w:tr>
        <w:trPr>
          <w:trHeight w:val="971" w:hRule="exact"/>
        </w:trPr>
        <w:tc>
          <w:tcPr>
            <w:tcW w:w="4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43</w:t>
            </w:r>
          </w:p>
        </w:tc>
        <w:tc>
          <w:tcPr>
            <w:tcW w:w="1583"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3" w:right="122"/>
              <w:jc w:val="left"/>
              <w:rPr>
                <w:rFonts w:ascii="宋体" w:hAnsi="宋体" w:cs="宋体" w:eastAsia="宋体" w:hint="default"/>
                <w:sz w:val="18"/>
                <w:szCs w:val="18"/>
              </w:rPr>
            </w:pPr>
            <w:r>
              <w:rPr>
                <w:rFonts w:ascii="宋体" w:hAnsi="宋体" w:cs="宋体" w:eastAsia="宋体" w:hint="default"/>
                <w:sz w:val="18"/>
                <w:szCs w:val="18"/>
              </w:rPr>
              <w:t>大气挥发性有机物 产品引进项目</w:t>
            </w:r>
          </w:p>
        </w:tc>
        <w:tc>
          <w:tcPr>
            <w:tcW w:w="2678" w:type="dxa"/>
            <w:tcBorders>
              <w:top w:val="single" w:sz="6" w:space="0" w:color="000000"/>
              <w:left w:val="single" w:sz="6" w:space="0" w:color="000000"/>
              <w:bottom w:val="single" w:sz="6" w:space="0" w:color="000000"/>
              <w:right w:val="single" w:sz="6" w:space="0" w:color="000000"/>
            </w:tcBorders>
          </w:tcPr>
          <w:p>
            <w:pPr>
              <w:pStyle w:val="TableParagraph"/>
              <w:spacing w:line="309" w:lineRule="auto" w:before="21"/>
              <w:ind w:left="2" w:right="0"/>
              <w:jc w:val="both"/>
              <w:rPr>
                <w:rFonts w:ascii="宋体" w:hAnsi="宋体" w:cs="宋体" w:eastAsia="宋体" w:hint="default"/>
                <w:sz w:val="18"/>
                <w:szCs w:val="18"/>
              </w:rPr>
            </w:pPr>
            <w:r>
              <w:rPr>
                <w:rFonts w:ascii="宋体" w:hAnsi="宋体" w:cs="宋体" w:eastAsia="宋体" w:hint="default"/>
                <w:spacing w:val="7"/>
                <w:sz w:val="18"/>
                <w:szCs w:val="18"/>
              </w:rPr>
              <w:t>用于工业园区大气及城市</w:t>
            </w:r>
            <w:r>
              <w:rPr>
                <w:rFonts w:ascii="Times New Roman" w:hAnsi="Times New Roman" w:cs="Times New Roman" w:eastAsia="Times New Roman" w:hint="default"/>
                <w:spacing w:val="7"/>
                <w:sz w:val="18"/>
                <w:szCs w:val="18"/>
              </w:rPr>
              <w:t>VOC</w:t>
            </w:r>
            <w:r>
              <w:rPr>
                <w:rFonts w:ascii="宋体" w:hAnsi="宋体" w:cs="宋体" w:eastAsia="宋体" w:hint="default"/>
                <w:spacing w:val="7"/>
                <w:sz w:val="18"/>
                <w:szCs w:val="18"/>
              </w:rPr>
              <w:t>监</w:t>
            </w:r>
            <w:r>
              <w:rPr>
                <w:rFonts w:ascii="宋体" w:hAnsi="宋体" w:cs="宋体" w:eastAsia="宋体" w:hint="default"/>
                <w:spacing w:val="-84"/>
                <w:sz w:val="18"/>
                <w:szCs w:val="18"/>
              </w:rPr>
              <w:t> </w:t>
            </w:r>
            <w:r>
              <w:rPr>
                <w:rFonts w:ascii="宋体" w:hAnsi="宋体" w:cs="宋体" w:eastAsia="宋体" w:hint="default"/>
                <w:spacing w:val="-3"/>
                <w:sz w:val="18"/>
                <w:szCs w:val="18"/>
              </w:rPr>
              <w:t>测及综合污染防治，为环境管理部</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门提供有力的决策支持。</w:t>
            </w:r>
          </w:p>
        </w:tc>
        <w:tc>
          <w:tcPr>
            <w:tcW w:w="9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批量生产</w:t>
            </w:r>
          </w:p>
        </w:tc>
        <w:tc>
          <w:tcPr>
            <w:tcW w:w="3202"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21"/>
              <w:ind w:left="3" w:right="1"/>
              <w:jc w:val="both"/>
              <w:rPr>
                <w:rFonts w:ascii="宋体" w:hAnsi="宋体" w:cs="宋体" w:eastAsia="宋体" w:hint="default"/>
                <w:sz w:val="18"/>
                <w:szCs w:val="18"/>
              </w:rPr>
            </w:pPr>
            <w:r>
              <w:rPr>
                <w:rFonts w:ascii="宋体" w:hAnsi="宋体" w:cs="宋体" w:eastAsia="宋体" w:hint="default"/>
                <w:spacing w:val="3"/>
                <w:sz w:val="18"/>
                <w:szCs w:val="18"/>
              </w:rPr>
              <w:t>引进先进的</w:t>
            </w:r>
            <w:r>
              <w:rPr>
                <w:rFonts w:ascii="Times New Roman" w:hAnsi="Times New Roman" w:cs="Times New Roman" w:eastAsia="Times New Roman" w:hint="default"/>
                <w:spacing w:val="3"/>
                <w:sz w:val="18"/>
                <w:szCs w:val="18"/>
              </w:rPr>
              <w:t>VOC</w:t>
            </w:r>
            <w:r>
              <w:rPr>
                <w:rFonts w:ascii="宋体" w:hAnsi="宋体" w:cs="宋体" w:eastAsia="宋体" w:hint="default"/>
                <w:spacing w:val="3"/>
                <w:sz w:val="18"/>
                <w:szCs w:val="18"/>
              </w:rPr>
              <w:t>监测技术，建立</w:t>
            </w:r>
            <w:r>
              <w:rPr>
                <w:rFonts w:ascii="Times New Roman" w:hAnsi="Times New Roman" w:cs="Times New Roman" w:eastAsia="Times New Roman" w:hint="default"/>
                <w:spacing w:val="3"/>
                <w:sz w:val="18"/>
                <w:szCs w:val="18"/>
              </w:rPr>
              <w:t>VOC</w:t>
            </w:r>
            <w:r>
              <w:rPr>
                <w:rFonts w:ascii="宋体" w:hAnsi="宋体" w:cs="宋体" w:eastAsia="宋体" w:hint="default"/>
                <w:spacing w:val="3"/>
                <w:sz w:val="18"/>
                <w:szCs w:val="18"/>
              </w:rPr>
              <w:t>污</w:t>
            </w:r>
            <w:r>
              <w:rPr>
                <w:rFonts w:ascii="宋体" w:hAnsi="宋体" w:cs="宋体" w:eastAsia="宋体" w:hint="default"/>
                <w:spacing w:val="-75"/>
                <w:sz w:val="18"/>
                <w:szCs w:val="18"/>
              </w:rPr>
              <w:t> </w:t>
            </w:r>
            <w:r>
              <w:rPr>
                <w:rFonts w:ascii="宋体" w:hAnsi="宋体" w:cs="宋体" w:eastAsia="宋体" w:hint="default"/>
                <w:spacing w:val="5"/>
                <w:sz w:val="18"/>
                <w:szCs w:val="18"/>
              </w:rPr>
              <w:t>染监测平台，实现工业园区及城市</w:t>
            </w:r>
            <w:r>
              <w:rPr>
                <w:rFonts w:ascii="Times New Roman" w:hAnsi="Times New Roman" w:cs="Times New Roman" w:eastAsia="Times New Roman" w:hint="default"/>
                <w:spacing w:val="5"/>
                <w:sz w:val="18"/>
                <w:szCs w:val="18"/>
              </w:rPr>
              <w:t>VOC</w:t>
            </w:r>
            <w:r>
              <w:rPr>
                <w:rFonts w:ascii="Times New Roman" w:hAnsi="Times New Roman" w:cs="Times New Roman" w:eastAsia="Times New Roman" w:hint="default"/>
                <w:spacing w:val="-39"/>
                <w:sz w:val="18"/>
                <w:szCs w:val="18"/>
              </w:rPr>
              <w:t> </w:t>
            </w:r>
            <w:r>
              <w:rPr>
                <w:rFonts w:ascii="宋体" w:hAnsi="宋体" w:cs="宋体" w:eastAsia="宋体" w:hint="default"/>
                <w:sz w:val="18"/>
                <w:szCs w:val="18"/>
              </w:rPr>
              <w:t>污染监测及监管。</w:t>
            </w:r>
          </w:p>
        </w:tc>
        <w:tc>
          <w:tcPr>
            <w:tcW w:w="8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54" w:right="0"/>
              <w:jc w:val="left"/>
              <w:rPr>
                <w:rFonts w:ascii="宋体" w:hAnsi="宋体" w:cs="宋体" w:eastAsia="宋体" w:hint="default"/>
                <w:sz w:val="18"/>
                <w:szCs w:val="18"/>
              </w:rPr>
            </w:pPr>
            <w:r>
              <w:rPr>
                <w:rFonts w:ascii="宋体" w:hAnsi="宋体" w:cs="宋体" w:eastAsia="宋体" w:hint="default"/>
                <w:sz w:val="18"/>
                <w:szCs w:val="18"/>
              </w:rPr>
              <w:t>自立</w:t>
            </w:r>
          </w:p>
        </w:tc>
      </w:tr>
      <w:tr>
        <w:trPr>
          <w:trHeight w:val="972" w:hRule="exact"/>
        </w:trPr>
        <w:tc>
          <w:tcPr>
            <w:tcW w:w="4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44</w:t>
            </w:r>
          </w:p>
        </w:tc>
        <w:tc>
          <w:tcPr>
            <w:tcW w:w="15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OC/EC</w:t>
            </w:r>
            <w:r>
              <w:rPr>
                <w:rFonts w:ascii="宋体" w:hAnsi="宋体" w:cs="宋体" w:eastAsia="宋体" w:hint="default"/>
                <w:sz w:val="18"/>
                <w:szCs w:val="18"/>
              </w:rPr>
              <w:t>国产化</w:t>
            </w:r>
          </w:p>
        </w:tc>
        <w:tc>
          <w:tcPr>
            <w:tcW w:w="2678" w:type="dxa"/>
            <w:tcBorders>
              <w:top w:val="single" w:sz="6" w:space="0" w:color="000000"/>
              <w:left w:val="single" w:sz="6" w:space="0" w:color="000000"/>
              <w:bottom w:val="single" w:sz="6" w:space="0" w:color="000000"/>
              <w:right w:val="single" w:sz="6" w:space="0" w:color="000000"/>
            </w:tcBorders>
          </w:tcPr>
          <w:p>
            <w:pPr>
              <w:pStyle w:val="TableParagraph"/>
              <w:spacing w:line="309" w:lineRule="auto" w:before="21"/>
              <w:ind w:left="2" w:right="0"/>
              <w:jc w:val="both"/>
              <w:rPr>
                <w:rFonts w:ascii="宋体" w:hAnsi="宋体" w:cs="宋体" w:eastAsia="宋体" w:hint="default"/>
                <w:sz w:val="18"/>
                <w:szCs w:val="18"/>
              </w:rPr>
            </w:pPr>
            <w:r>
              <w:rPr>
                <w:rFonts w:ascii="宋体" w:hAnsi="宋体" w:cs="宋体" w:eastAsia="宋体" w:hint="default"/>
                <w:spacing w:val="-3"/>
                <w:sz w:val="18"/>
                <w:szCs w:val="18"/>
              </w:rPr>
              <w:t>引进国际先进的监测技术，用于大</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2"/>
                <w:sz w:val="18"/>
                <w:szCs w:val="18"/>
              </w:rPr>
              <w:t>气颗粒物中</w:t>
            </w:r>
            <w:r>
              <w:rPr>
                <w:rFonts w:ascii="Times New Roman" w:hAnsi="Times New Roman" w:cs="Times New Roman" w:eastAsia="Times New Roman" w:hint="default"/>
                <w:spacing w:val="-2"/>
                <w:sz w:val="18"/>
                <w:szCs w:val="18"/>
              </w:rPr>
              <w:t>OC/EC</w:t>
            </w:r>
            <w:r>
              <w:rPr>
                <w:rFonts w:ascii="宋体" w:hAnsi="宋体" w:cs="宋体" w:eastAsia="宋体" w:hint="default"/>
                <w:spacing w:val="-2"/>
                <w:sz w:val="18"/>
                <w:szCs w:val="18"/>
              </w:rPr>
              <w:t>监测，实现颗粒</w:t>
            </w:r>
            <w:r>
              <w:rPr>
                <w:rFonts w:ascii="宋体" w:hAnsi="宋体" w:cs="宋体" w:eastAsia="宋体" w:hint="default"/>
                <w:sz w:val="18"/>
                <w:szCs w:val="18"/>
              </w:rPr>
              <w:t> 物源解析。</w:t>
            </w:r>
          </w:p>
        </w:tc>
        <w:tc>
          <w:tcPr>
            <w:tcW w:w="9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批量生产</w:t>
            </w:r>
          </w:p>
        </w:tc>
        <w:tc>
          <w:tcPr>
            <w:tcW w:w="3202" w:type="dxa"/>
            <w:tcBorders>
              <w:top w:val="single" w:sz="6" w:space="0" w:color="000000"/>
              <w:left w:val="single" w:sz="6" w:space="0" w:color="000000"/>
              <w:bottom w:val="single" w:sz="6" w:space="0" w:color="000000"/>
              <w:right w:val="single" w:sz="6" w:space="0" w:color="000000"/>
            </w:tcBorders>
          </w:tcPr>
          <w:p>
            <w:pPr>
              <w:pStyle w:val="TableParagraph"/>
              <w:spacing w:line="309" w:lineRule="auto" w:before="21"/>
              <w:ind w:left="3" w:right="2"/>
              <w:jc w:val="both"/>
              <w:rPr>
                <w:rFonts w:ascii="宋体" w:hAnsi="宋体" w:cs="宋体" w:eastAsia="宋体" w:hint="default"/>
                <w:sz w:val="18"/>
                <w:szCs w:val="18"/>
              </w:rPr>
            </w:pPr>
            <w:r>
              <w:rPr>
                <w:rFonts w:ascii="宋体" w:hAnsi="宋体" w:cs="宋体" w:eastAsia="宋体" w:hint="default"/>
                <w:sz w:val="18"/>
                <w:szCs w:val="18"/>
              </w:rPr>
              <w:t>进行</w:t>
            </w:r>
            <w:r>
              <w:rPr>
                <w:rFonts w:ascii="Times New Roman" w:hAnsi="Times New Roman" w:cs="Times New Roman" w:eastAsia="Times New Roman" w:hint="default"/>
                <w:sz w:val="18"/>
                <w:szCs w:val="18"/>
              </w:rPr>
              <w:t>SUNSET </w:t>
            </w:r>
            <w:r>
              <w:rPr>
                <w:rFonts w:ascii="Times New Roman" w:hAnsi="Times New Roman" w:cs="Times New Roman" w:eastAsia="Times New Roman" w:hint="default"/>
                <w:spacing w:val="5"/>
                <w:sz w:val="18"/>
                <w:szCs w:val="18"/>
              </w:rPr>
              <w:t>OC/EC</w:t>
            </w:r>
            <w:r>
              <w:rPr>
                <w:rFonts w:ascii="宋体" w:hAnsi="宋体" w:cs="宋体" w:eastAsia="宋体" w:hint="default"/>
                <w:spacing w:val="5"/>
                <w:sz w:val="18"/>
                <w:szCs w:val="18"/>
              </w:rPr>
              <w:t>产品的技术转移及</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4"/>
                <w:sz w:val="18"/>
                <w:szCs w:val="18"/>
              </w:rPr>
              <w:t>国产化，将技术成功进行生产导入，同时</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促进产品价值的实现和提升。</w:t>
            </w:r>
          </w:p>
        </w:tc>
        <w:tc>
          <w:tcPr>
            <w:tcW w:w="8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54" w:right="0"/>
              <w:jc w:val="left"/>
              <w:rPr>
                <w:rFonts w:ascii="宋体" w:hAnsi="宋体" w:cs="宋体" w:eastAsia="宋体" w:hint="default"/>
                <w:sz w:val="18"/>
                <w:szCs w:val="18"/>
              </w:rPr>
            </w:pPr>
            <w:r>
              <w:rPr>
                <w:rFonts w:ascii="宋体" w:hAnsi="宋体" w:cs="宋体" w:eastAsia="宋体" w:hint="default"/>
                <w:sz w:val="18"/>
                <w:szCs w:val="18"/>
              </w:rPr>
              <w:t>自立</w:t>
            </w:r>
          </w:p>
        </w:tc>
      </w:tr>
      <w:tr>
        <w:trPr>
          <w:trHeight w:val="1283" w:hRule="exact"/>
        </w:trPr>
        <w:tc>
          <w:tcPr>
            <w:tcW w:w="4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center"/>
              <w:rPr>
                <w:rFonts w:ascii="Times New Roman" w:hAnsi="Times New Roman" w:cs="Times New Roman" w:eastAsia="Times New Roman" w:hint="default"/>
                <w:sz w:val="18"/>
                <w:szCs w:val="18"/>
              </w:rPr>
            </w:pPr>
            <w:r>
              <w:rPr>
                <w:rFonts w:ascii="Times New Roman"/>
                <w:sz w:val="18"/>
              </w:rPr>
              <w:t>45</w:t>
            </w:r>
          </w:p>
        </w:tc>
        <w:tc>
          <w:tcPr>
            <w:tcW w:w="1583"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3" w:right="122"/>
              <w:jc w:val="left"/>
              <w:rPr>
                <w:rFonts w:ascii="宋体" w:hAnsi="宋体" w:cs="宋体" w:eastAsia="宋体" w:hint="default"/>
                <w:sz w:val="18"/>
                <w:szCs w:val="18"/>
              </w:rPr>
            </w:pPr>
            <w:r>
              <w:rPr>
                <w:rFonts w:ascii="宋体" w:hAnsi="宋体" w:cs="宋体" w:eastAsia="宋体" w:hint="default"/>
                <w:sz w:val="18"/>
                <w:szCs w:val="18"/>
              </w:rPr>
              <w:t>网格化智能水质监 测系统</w:t>
            </w:r>
          </w:p>
        </w:tc>
        <w:tc>
          <w:tcPr>
            <w:tcW w:w="2678"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2" w:right="0"/>
              <w:jc w:val="both"/>
              <w:rPr>
                <w:rFonts w:ascii="宋体" w:hAnsi="宋体" w:cs="宋体" w:eastAsia="宋体" w:hint="default"/>
                <w:sz w:val="18"/>
                <w:szCs w:val="18"/>
              </w:rPr>
            </w:pPr>
            <w:r>
              <w:rPr>
                <w:rFonts w:ascii="宋体" w:hAnsi="宋体" w:cs="宋体" w:eastAsia="宋体" w:hint="default"/>
                <w:spacing w:val="-3"/>
                <w:sz w:val="18"/>
                <w:szCs w:val="18"/>
              </w:rPr>
              <w:t>进行水体环境的水质预警、评价监</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9"/>
                <w:sz w:val="18"/>
                <w:szCs w:val="18"/>
              </w:rPr>
              <w:t>测，实现对水体的全面有效的监</w:t>
            </w:r>
            <w:r>
              <w:rPr>
                <w:rFonts w:ascii="宋体" w:hAnsi="宋体" w:cs="宋体" w:eastAsia="宋体" w:hint="default"/>
                <w:sz w:val="18"/>
                <w:szCs w:val="18"/>
              </w:rPr>
              <w:t> 管、预警和治理。</w:t>
            </w:r>
          </w:p>
        </w:tc>
        <w:tc>
          <w:tcPr>
            <w:tcW w:w="9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批量生产</w:t>
            </w:r>
          </w:p>
        </w:tc>
        <w:tc>
          <w:tcPr>
            <w:tcW w:w="3202"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3" w:right="0"/>
              <w:jc w:val="both"/>
              <w:rPr>
                <w:rFonts w:ascii="宋体" w:hAnsi="宋体" w:cs="宋体" w:eastAsia="宋体" w:hint="default"/>
                <w:sz w:val="18"/>
                <w:szCs w:val="18"/>
              </w:rPr>
            </w:pPr>
            <w:r>
              <w:rPr>
                <w:rFonts w:ascii="宋体" w:hAnsi="宋体" w:cs="宋体" w:eastAsia="宋体" w:hint="default"/>
                <w:spacing w:val="-4"/>
                <w:sz w:val="18"/>
                <w:szCs w:val="18"/>
              </w:rPr>
              <w:t>基于小型水质监测系统、原位分析仪等水</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pacing w:val="-4"/>
                <w:sz w:val="18"/>
                <w:szCs w:val="18"/>
              </w:rPr>
              <w:t>质分析、预警设备以及水质网格化软件平</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pacing w:val="-4"/>
                <w:sz w:val="18"/>
                <w:szCs w:val="18"/>
              </w:rPr>
              <w:t>台系统的研发及试点运行，实现对水体的</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全面有效的监管、预警和治理。</w:t>
            </w:r>
          </w:p>
        </w:tc>
        <w:tc>
          <w:tcPr>
            <w:tcW w:w="8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54" w:right="0"/>
              <w:jc w:val="left"/>
              <w:rPr>
                <w:rFonts w:ascii="宋体" w:hAnsi="宋体" w:cs="宋体" w:eastAsia="宋体" w:hint="default"/>
                <w:sz w:val="18"/>
                <w:szCs w:val="18"/>
              </w:rPr>
            </w:pPr>
            <w:r>
              <w:rPr>
                <w:rFonts w:ascii="宋体" w:hAnsi="宋体" w:cs="宋体" w:eastAsia="宋体" w:hint="default"/>
                <w:sz w:val="18"/>
                <w:szCs w:val="18"/>
              </w:rPr>
              <w:t>自立</w:t>
            </w:r>
          </w:p>
        </w:tc>
      </w:tr>
      <w:tr>
        <w:trPr>
          <w:trHeight w:val="2219" w:hRule="exact"/>
        </w:trPr>
        <w:tc>
          <w:tcPr>
            <w:tcW w:w="4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46</w:t>
            </w:r>
          </w:p>
        </w:tc>
        <w:tc>
          <w:tcPr>
            <w:tcW w:w="1583"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3" w:right="122"/>
              <w:jc w:val="left"/>
              <w:rPr>
                <w:rFonts w:ascii="宋体" w:hAnsi="宋体" w:cs="宋体" w:eastAsia="宋体" w:hint="default"/>
                <w:sz w:val="18"/>
                <w:szCs w:val="18"/>
              </w:rPr>
            </w:pPr>
            <w:r>
              <w:rPr>
                <w:rFonts w:ascii="宋体" w:hAnsi="宋体" w:cs="宋体" w:eastAsia="宋体" w:hint="default"/>
                <w:sz w:val="18"/>
                <w:szCs w:val="18"/>
              </w:rPr>
              <w:t>海水溶解氧在线监 测仪产业化</w:t>
            </w:r>
          </w:p>
        </w:tc>
        <w:tc>
          <w:tcPr>
            <w:tcW w:w="2678"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40"/>
              <w:jc w:val="both"/>
              <w:rPr>
                <w:rFonts w:ascii="宋体" w:hAnsi="宋体" w:cs="宋体" w:eastAsia="宋体" w:hint="default"/>
                <w:sz w:val="18"/>
                <w:szCs w:val="18"/>
              </w:rPr>
            </w:pPr>
            <w:r>
              <w:rPr>
                <w:rFonts w:ascii="宋体" w:hAnsi="宋体" w:cs="宋体" w:eastAsia="宋体" w:hint="default"/>
                <w:spacing w:val="9"/>
                <w:sz w:val="18"/>
                <w:szCs w:val="18"/>
              </w:rPr>
              <w:t>针对我国海洋生物化学常规要素</w:t>
            </w:r>
            <w:r>
              <w:rPr>
                <w:rFonts w:ascii="宋体" w:hAnsi="宋体" w:cs="宋体" w:eastAsia="宋体" w:hint="default"/>
                <w:sz w:val="18"/>
                <w:szCs w:val="18"/>
              </w:rPr>
              <w:t> </w:t>
            </w:r>
            <w:r>
              <w:rPr>
                <w:rFonts w:ascii="宋体" w:hAnsi="宋体" w:cs="宋体" w:eastAsia="宋体" w:hint="default"/>
                <w:spacing w:val="-3"/>
                <w:sz w:val="18"/>
                <w:szCs w:val="18"/>
              </w:rPr>
              <w:t>在线监测技术设备需求，以及国产</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9"/>
                <w:sz w:val="18"/>
                <w:szCs w:val="18"/>
              </w:rPr>
              <w:t>海洋仪器面临的测量灵敏度与精</w:t>
            </w:r>
            <w:r>
              <w:rPr>
                <w:rFonts w:ascii="宋体" w:hAnsi="宋体" w:cs="宋体" w:eastAsia="宋体" w:hint="default"/>
                <w:sz w:val="18"/>
                <w:szCs w:val="18"/>
              </w:rPr>
              <w:t> </w:t>
            </w:r>
            <w:r>
              <w:rPr>
                <w:rFonts w:ascii="宋体" w:hAnsi="宋体" w:cs="宋体" w:eastAsia="宋体" w:hint="default"/>
                <w:spacing w:val="-3"/>
                <w:sz w:val="18"/>
                <w:szCs w:val="18"/>
              </w:rPr>
              <w:t>度低、环境适应性差、使用寿命短</w:t>
            </w:r>
            <w:r>
              <w:rPr>
                <w:rFonts w:ascii="宋体" w:hAnsi="宋体" w:cs="宋体" w:eastAsia="宋体" w:hint="default"/>
                <w:sz w:val="18"/>
                <w:szCs w:val="18"/>
              </w:rPr>
              <w:t> </w:t>
            </w:r>
            <w:r>
              <w:rPr>
                <w:rFonts w:ascii="宋体" w:hAnsi="宋体" w:cs="宋体" w:eastAsia="宋体" w:hint="default"/>
                <w:spacing w:val="-3"/>
                <w:sz w:val="18"/>
                <w:szCs w:val="18"/>
              </w:rPr>
              <w:t>等技术与应用难题，实现海水溶解</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3"/>
                <w:sz w:val="18"/>
                <w:szCs w:val="18"/>
              </w:rPr>
              <w:t>氧在线监测仪批量生产，推动我国</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海洋在线监测仪器产业快速发展。</w:t>
            </w:r>
          </w:p>
        </w:tc>
        <w:tc>
          <w:tcPr>
            <w:tcW w:w="9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研制阶段</w:t>
            </w:r>
          </w:p>
        </w:tc>
        <w:tc>
          <w:tcPr>
            <w:tcW w:w="3202"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3" w:right="-17"/>
              <w:jc w:val="both"/>
              <w:rPr>
                <w:rFonts w:ascii="Times New Roman" w:hAnsi="Times New Roman" w:cs="Times New Roman" w:eastAsia="Times New Roman" w:hint="default"/>
                <w:sz w:val="18"/>
                <w:szCs w:val="18"/>
              </w:rPr>
            </w:pPr>
            <w:r>
              <w:rPr>
                <w:rFonts w:ascii="宋体" w:hAnsi="宋体" w:cs="宋体" w:eastAsia="宋体" w:hint="default"/>
                <w:spacing w:val="-3"/>
                <w:sz w:val="18"/>
                <w:szCs w:val="18"/>
              </w:rPr>
              <w:t>完成海水溶解氧在线监测仪器的标准化、</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pacing w:val="-4"/>
                <w:sz w:val="18"/>
                <w:szCs w:val="18"/>
              </w:rPr>
              <w:t>模块化设计，为国家海洋溶解氧高灵敏在</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pacing w:val="-4"/>
                <w:sz w:val="18"/>
                <w:szCs w:val="18"/>
              </w:rPr>
              <w:t>线监测提供关键技术装备。构建仪器环境</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pacing w:val="-4"/>
                <w:sz w:val="18"/>
                <w:szCs w:val="18"/>
              </w:rPr>
              <w:t>模拟测试平台和生产线，建立产业化创新</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pacing w:val="-4"/>
                <w:sz w:val="18"/>
                <w:szCs w:val="18"/>
              </w:rPr>
              <w:t>基地，实现海水溶解氧在线监测仪批量生</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产，并在全国范围内推广应用</w:t>
            </w:r>
            <w:r>
              <w:rPr>
                <w:rFonts w:ascii="Times New Roman" w:hAnsi="Times New Roman" w:cs="Times New Roman" w:eastAsia="Times New Roman" w:hint="default"/>
                <w:sz w:val="18"/>
                <w:szCs w:val="18"/>
              </w:rPr>
              <w:t>.</w:t>
            </w:r>
          </w:p>
        </w:tc>
        <w:tc>
          <w:tcPr>
            <w:tcW w:w="884" w:type="dxa"/>
            <w:tcBorders>
              <w:top w:val="single" w:sz="6" w:space="0" w:color="000000"/>
              <w:left w:val="single" w:sz="6" w:space="0" w:color="000000"/>
              <w:bottom w:val="single" w:sz="6" w:space="0" w:color="000000"/>
              <w:right w:val="single" w:sz="6" w:space="0" w:color="000000"/>
            </w:tcBorders>
          </w:tcPr>
          <w:p>
            <w:pPr>
              <w:pStyle w:val="TableParagraph"/>
              <w:spacing w:line="314" w:lineRule="auto" w:before="21"/>
              <w:ind w:left="2" w:right="85"/>
              <w:jc w:val="left"/>
              <w:rPr>
                <w:rFonts w:ascii="宋体" w:hAnsi="宋体" w:cs="宋体" w:eastAsia="宋体" w:hint="default"/>
                <w:sz w:val="18"/>
                <w:szCs w:val="18"/>
              </w:rPr>
            </w:pPr>
            <w:r>
              <w:rPr>
                <w:rFonts w:ascii="宋体" w:hAnsi="宋体" w:cs="宋体" w:eastAsia="宋体" w:hint="default"/>
                <w:sz w:val="18"/>
                <w:szCs w:val="18"/>
              </w:rPr>
              <w:t>国家重点 研发计划</w:t>
            </w:r>
            <w:r>
              <w:rPr>
                <w:rFonts w:ascii="Times New Roman" w:hAnsi="Times New Roman" w:cs="Times New Roman" w:eastAsia="Times New Roman" w:hint="default"/>
                <w:sz w:val="18"/>
                <w:szCs w:val="18"/>
              </w:rPr>
              <w:t>- </w:t>
            </w:r>
            <w:r>
              <w:rPr>
                <w:rFonts w:ascii="宋体" w:hAnsi="宋体" w:cs="宋体" w:eastAsia="宋体" w:hint="default"/>
                <w:sz w:val="18"/>
                <w:szCs w:val="18"/>
              </w:rPr>
              <w:t>海洋环境 安全保障 重点专项</w:t>
            </w:r>
          </w:p>
        </w:tc>
      </w:tr>
      <w:tr>
        <w:trPr>
          <w:trHeight w:val="1907" w:hRule="exact"/>
        </w:trPr>
        <w:tc>
          <w:tcPr>
            <w:tcW w:w="4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47</w:t>
            </w:r>
          </w:p>
        </w:tc>
        <w:tc>
          <w:tcPr>
            <w:tcW w:w="1583" w:type="dxa"/>
            <w:tcBorders>
              <w:top w:val="single" w:sz="6" w:space="0" w:color="000000"/>
              <w:left w:val="single" w:sz="6" w:space="0" w:color="000000"/>
              <w:bottom w:val="single" w:sz="6" w:space="0" w:color="000000"/>
              <w:right w:val="single" w:sz="6" w:space="0" w:color="000000"/>
            </w:tcBorders>
          </w:tcPr>
          <w:p>
            <w:pPr>
              <w:pStyle w:val="TableParagraph"/>
              <w:spacing w:line="309" w:lineRule="auto" w:before="21"/>
              <w:ind w:left="3" w:right="103"/>
              <w:jc w:val="both"/>
              <w:rPr>
                <w:rFonts w:ascii="宋体" w:hAnsi="宋体" w:cs="宋体" w:eastAsia="宋体" w:hint="default"/>
                <w:sz w:val="18"/>
                <w:szCs w:val="18"/>
              </w:rPr>
            </w:pPr>
            <w:r>
              <w:rPr>
                <w:rFonts w:ascii="宋体" w:hAnsi="宋体" w:cs="宋体" w:eastAsia="宋体" w:hint="default"/>
                <w:sz w:val="18"/>
                <w:szCs w:val="18"/>
              </w:rPr>
              <w:t>微生物膜法</w:t>
            </w:r>
            <w:r>
              <w:rPr>
                <w:rFonts w:ascii="Times New Roman" w:hAnsi="Times New Roman" w:cs="Times New Roman" w:eastAsia="Times New Roman" w:hint="default"/>
                <w:sz w:val="18"/>
                <w:szCs w:val="18"/>
              </w:rPr>
              <w:t>BOD</w:t>
            </w:r>
            <w:r>
              <w:rPr>
                <w:rFonts w:ascii="宋体" w:hAnsi="宋体" w:cs="宋体" w:eastAsia="宋体" w:hint="default"/>
                <w:sz w:val="18"/>
                <w:szCs w:val="18"/>
              </w:rPr>
              <w:t>在 线监测仪研制及海 水</w:t>
            </w:r>
            <w:r>
              <w:rPr>
                <w:rFonts w:ascii="Times New Roman" w:hAnsi="Times New Roman" w:cs="Times New Roman" w:eastAsia="Times New Roman" w:hint="default"/>
                <w:sz w:val="18"/>
                <w:szCs w:val="18"/>
              </w:rPr>
              <w:t>pH/COD/BOD</w:t>
            </w:r>
            <w:r>
              <w:rPr>
                <w:rFonts w:ascii="宋体" w:hAnsi="宋体" w:cs="宋体" w:eastAsia="宋体" w:hint="default"/>
                <w:sz w:val="18"/>
                <w:szCs w:val="18"/>
              </w:rPr>
              <w:t>快 速在线监测仪产业 化</w:t>
            </w:r>
          </w:p>
        </w:tc>
        <w:tc>
          <w:tcPr>
            <w:tcW w:w="2678" w:type="dxa"/>
            <w:tcBorders>
              <w:top w:val="single" w:sz="6" w:space="0" w:color="000000"/>
              <w:left w:val="single" w:sz="6" w:space="0" w:color="000000"/>
              <w:bottom w:val="single" w:sz="6" w:space="0" w:color="000000"/>
              <w:right w:val="single" w:sz="6" w:space="0" w:color="000000"/>
            </w:tcBorders>
          </w:tcPr>
          <w:p>
            <w:pPr>
              <w:pStyle w:val="TableParagraph"/>
              <w:spacing w:line="312" w:lineRule="auto" w:before="21"/>
              <w:ind w:left="2" w:right="-23"/>
              <w:jc w:val="both"/>
              <w:rPr>
                <w:rFonts w:ascii="宋体" w:hAnsi="宋体" w:cs="宋体" w:eastAsia="宋体" w:hint="default"/>
                <w:sz w:val="18"/>
                <w:szCs w:val="18"/>
              </w:rPr>
            </w:pPr>
            <w:r>
              <w:rPr>
                <w:rFonts w:ascii="Times New Roman" w:hAnsi="Times New Roman" w:cs="Times New Roman" w:eastAsia="Times New Roman" w:hint="default"/>
                <w:sz w:val="18"/>
                <w:szCs w:val="18"/>
              </w:rPr>
              <w:t>BOD</w:t>
            </w:r>
            <w:r>
              <w:rPr>
                <w:rFonts w:ascii="Times New Roman" w:hAnsi="Times New Roman" w:cs="Times New Roman" w:eastAsia="Times New Roman" w:hint="default"/>
                <w:spacing w:val="37"/>
                <w:sz w:val="18"/>
                <w:szCs w:val="18"/>
              </w:rPr>
              <w:t> </w:t>
            </w:r>
            <w:r>
              <w:rPr>
                <w:rFonts w:ascii="宋体" w:hAnsi="宋体" w:cs="宋体" w:eastAsia="宋体" w:hint="default"/>
                <w:spacing w:val="2"/>
                <w:sz w:val="18"/>
                <w:szCs w:val="18"/>
              </w:rPr>
              <w:t>在线监测仪研发采用电极法</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9"/>
                <w:sz w:val="18"/>
                <w:szCs w:val="18"/>
              </w:rPr>
              <w:t>测量水样流经微生物膜反应器前</w:t>
            </w:r>
            <w:r>
              <w:rPr>
                <w:rFonts w:ascii="宋体" w:hAnsi="宋体" w:cs="宋体" w:eastAsia="宋体" w:hint="default"/>
                <w:sz w:val="18"/>
                <w:szCs w:val="18"/>
              </w:rPr>
              <w:t> </w:t>
            </w:r>
            <w:r>
              <w:rPr>
                <w:rFonts w:ascii="宋体" w:hAnsi="宋体" w:cs="宋体" w:eastAsia="宋体" w:hint="default"/>
                <w:spacing w:val="24"/>
                <w:sz w:val="18"/>
                <w:szCs w:val="18"/>
              </w:rPr>
              <w:t>后溶解氧变化信息，实现海水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BOD</w:t>
            </w:r>
            <w:r>
              <w:rPr>
                <w:rFonts w:ascii="Times New Roman" w:hAnsi="Times New Roman" w:cs="Times New Roman" w:eastAsia="Times New Roman" w:hint="default"/>
                <w:spacing w:val="37"/>
                <w:sz w:val="18"/>
                <w:szCs w:val="18"/>
              </w:rPr>
              <w:t> </w:t>
            </w:r>
            <w:r>
              <w:rPr>
                <w:rFonts w:ascii="宋体" w:hAnsi="宋体" w:cs="宋体" w:eastAsia="宋体" w:hint="default"/>
                <w:spacing w:val="2"/>
                <w:sz w:val="18"/>
                <w:szCs w:val="18"/>
              </w:rPr>
              <w:t>的快速分析；并与标准方法</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3"/>
                <w:sz w:val="18"/>
                <w:szCs w:val="18"/>
              </w:rPr>
              <w:t>进行对比，验证方法的可靠性和稳</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定性。</w:t>
            </w:r>
          </w:p>
        </w:tc>
        <w:tc>
          <w:tcPr>
            <w:tcW w:w="9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研制阶段</w:t>
            </w:r>
          </w:p>
        </w:tc>
        <w:tc>
          <w:tcPr>
            <w:tcW w:w="3202" w:type="dxa"/>
            <w:tcBorders>
              <w:top w:val="single" w:sz="6" w:space="0" w:color="000000"/>
              <w:left w:val="single" w:sz="6" w:space="0" w:color="000000"/>
              <w:bottom w:val="single" w:sz="6" w:space="0" w:color="000000"/>
              <w:right w:val="single" w:sz="6" w:space="0" w:color="000000"/>
            </w:tcBorders>
          </w:tcPr>
          <w:p>
            <w:pPr>
              <w:pStyle w:val="TableParagraph"/>
              <w:spacing w:line="309" w:lineRule="auto" w:before="21"/>
              <w:ind w:left="3" w:right="-3"/>
              <w:jc w:val="both"/>
              <w:rPr>
                <w:rFonts w:ascii="宋体" w:hAnsi="宋体" w:cs="宋体" w:eastAsia="宋体" w:hint="default"/>
                <w:sz w:val="18"/>
                <w:szCs w:val="18"/>
              </w:rPr>
            </w:pPr>
            <w:r>
              <w:rPr>
                <w:rFonts w:ascii="宋体" w:hAnsi="宋体" w:cs="宋体" w:eastAsia="宋体" w:hint="default"/>
                <w:sz w:val="18"/>
                <w:szCs w:val="18"/>
              </w:rPr>
              <w:t>开发微生物膜法 </w:t>
            </w:r>
            <w:r>
              <w:rPr>
                <w:rFonts w:ascii="Times New Roman" w:hAnsi="Times New Roman" w:cs="Times New Roman" w:eastAsia="Times New Roman" w:hint="default"/>
                <w:sz w:val="18"/>
                <w:szCs w:val="18"/>
              </w:rPr>
              <w:t>BOD</w:t>
            </w:r>
            <w:r>
              <w:rPr>
                <w:rFonts w:ascii="Times New Roman" w:hAnsi="Times New Roman" w:cs="Times New Roman" w:eastAsia="Times New Roman" w:hint="default"/>
                <w:spacing w:val="11"/>
                <w:sz w:val="18"/>
                <w:szCs w:val="18"/>
              </w:rPr>
              <w:t> </w:t>
            </w:r>
            <w:r>
              <w:rPr>
                <w:rFonts w:ascii="宋体" w:hAnsi="宋体" w:cs="宋体" w:eastAsia="宋体" w:hint="default"/>
                <w:spacing w:val="-6"/>
                <w:sz w:val="18"/>
                <w:szCs w:val="18"/>
              </w:rPr>
              <w:t>在线监测仪，建立</w:t>
            </w:r>
            <w:r>
              <w:rPr>
                <w:rFonts w:ascii="宋体" w:hAnsi="宋体" w:cs="宋体" w:eastAsia="宋体" w:hint="default"/>
                <w:sz w:val="18"/>
                <w:szCs w:val="18"/>
              </w:rPr>
              <w:t> </w:t>
            </w:r>
            <w:r>
              <w:rPr>
                <w:rFonts w:ascii="宋体" w:hAnsi="宋体" w:cs="宋体" w:eastAsia="宋体" w:hint="default"/>
                <w:spacing w:val="-4"/>
                <w:sz w:val="18"/>
                <w:szCs w:val="18"/>
              </w:rPr>
              <w:t>相关生产工艺及标准。建立成套设备示范</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pacing w:val="-4"/>
                <w:sz w:val="18"/>
                <w:szCs w:val="18"/>
              </w:rPr>
              <w:t>基地、海水环境模拟测试平台以及专业化</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的生产线，为海水</w:t>
            </w:r>
            <w:r>
              <w:rPr>
                <w:rFonts w:ascii="Times New Roman" w:hAnsi="Times New Roman" w:cs="Times New Roman" w:eastAsia="Times New Roman" w:hint="default"/>
                <w:sz w:val="18"/>
                <w:szCs w:val="18"/>
              </w:rPr>
              <w:t>pH/COD/BOD </w:t>
            </w:r>
            <w:r>
              <w:rPr>
                <w:rFonts w:ascii="宋体" w:hAnsi="宋体" w:cs="宋体" w:eastAsia="宋体" w:hint="default"/>
                <w:spacing w:val="4"/>
                <w:sz w:val="18"/>
                <w:szCs w:val="18"/>
              </w:rPr>
              <w:t>在线监</w:t>
            </w:r>
            <w:r>
              <w:rPr>
                <w:rFonts w:ascii="宋体" w:hAnsi="宋体" w:cs="宋体" w:eastAsia="宋体" w:hint="default"/>
                <w:spacing w:val="-74"/>
                <w:sz w:val="18"/>
                <w:szCs w:val="18"/>
              </w:rPr>
              <w:t> </w:t>
            </w:r>
            <w:r>
              <w:rPr>
                <w:rFonts w:ascii="宋体" w:hAnsi="宋体" w:cs="宋体" w:eastAsia="宋体" w:hint="default"/>
                <w:sz w:val="18"/>
                <w:szCs w:val="18"/>
              </w:rPr>
              <w:t>测仪产业化推广提供保障。</w:t>
            </w:r>
          </w:p>
        </w:tc>
        <w:tc>
          <w:tcPr>
            <w:tcW w:w="884" w:type="dxa"/>
            <w:tcBorders>
              <w:top w:val="single" w:sz="6" w:space="0" w:color="000000"/>
              <w:left w:val="single" w:sz="6" w:space="0" w:color="000000"/>
              <w:bottom w:val="single" w:sz="6" w:space="0" w:color="000000"/>
              <w:right w:val="single" w:sz="6" w:space="0" w:color="000000"/>
            </w:tcBorders>
          </w:tcPr>
          <w:p>
            <w:pPr>
              <w:pStyle w:val="TableParagraph"/>
              <w:spacing w:line="314" w:lineRule="auto" w:before="21"/>
              <w:ind w:left="2" w:right="85"/>
              <w:jc w:val="left"/>
              <w:rPr>
                <w:rFonts w:ascii="宋体" w:hAnsi="宋体" w:cs="宋体" w:eastAsia="宋体" w:hint="default"/>
                <w:sz w:val="18"/>
                <w:szCs w:val="18"/>
              </w:rPr>
            </w:pPr>
            <w:r>
              <w:rPr>
                <w:rFonts w:ascii="宋体" w:hAnsi="宋体" w:cs="宋体" w:eastAsia="宋体" w:hint="default"/>
                <w:sz w:val="18"/>
                <w:szCs w:val="18"/>
              </w:rPr>
              <w:t>国家重点 研发计划</w:t>
            </w:r>
            <w:r>
              <w:rPr>
                <w:rFonts w:ascii="Times New Roman" w:hAnsi="Times New Roman" w:cs="Times New Roman" w:eastAsia="Times New Roman" w:hint="default"/>
                <w:sz w:val="18"/>
                <w:szCs w:val="18"/>
              </w:rPr>
              <w:t>- </w:t>
            </w:r>
            <w:r>
              <w:rPr>
                <w:rFonts w:ascii="宋体" w:hAnsi="宋体" w:cs="宋体" w:eastAsia="宋体" w:hint="default"/>
                <w:sz w:val="18"/>
                <w:szCs w:val="18"/>
              </w:rPr>
              <w:t>海洋环境 安全保障 重点专项</w:t>
            </w:r>
          </w:p>
        </w:tc>
      </w:tr>
      <w:tr>
        <w:trPr>
          <w:trHeight w:val="2531" w:hRule="exact"/>
        </w:trPr>
        <w:tc>
          <w:tcPr>
            <w:tcW w:w="4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48</w:t>
            </w:r>
          </w:p>
        </w:tc>
        <w:tc>
          <w:tcPr>
            <w:tcW w:w="1583"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3" w:right="122"/>
              <w:jc w:val="left"/>
              <w:rPr>
                <w:rFonts w:ascii="宋体" w:hAnsi="宋体" w:cs="宋体" w:eastAsia="宋体" w:hint="default"/>
                <w:sz w:val="18"/>
                <w:szCs w:val="18"/>
              </w:rPr>
            </w:pPr>
            <w:r>
              <w:rPr>
                <w:rFonts w:ascii="宋体" w:hAnsi="宋体" w:cs="宋体" w:eastAsia="宋体" w:hint="default"/>
                <w:sz w:val="18"/>
                <w:szCs w:val="18"/>
              </w:rPr>
              <w:t>排放源清单多维校 验技术</w:t>
            </w:r>
          </w:p>
        </w:tc>
        <w:tc>
          <w:tcPr>
            <w:tcW w:w="2678"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0"/>
              <w:jc w:val="both"/>
              <w:rPr>
                <w:rFonts w:ascii="宋体" w:hAnsi="宋体" w:cs="宋体" w:eastAsia="宋体" w:hint="default"/>
                <w:sz w:val="18"/>
                <w:szCs w:val="18"/>
              </w:rPr>
            </w:pPr>
            <w:r>
              <w:rPr>
                <w:rFonts w:ascii="宋体" w:hAnsi="宋体" w:cs="宋体" w:eastAsia="宋体" w:hint="default"/>
                <w:spacing w:val="9"/>
                <w:sz w:val="18"/>
                <w:szCs w:val="18"/>
              </w:rPr>
              <w:t>本项目以长三角等地区为研究区</w:t>
            </w:r>
            <w:r>
              <w:rPr>
                <w:rFonts w:ascii="宋体" w:hAnsi="宋体" w:cs="宋体" w:eastAsia="宋体" w:hint="default"/>
                <w:sz w:val="18"/>
                <w:szCs w:val="18"/>
              </w:rPr>
              <w:t> </w:t>
            </w:r>
            <w:r>
              <w:rPr>
                <w:rFonts w:ascii="宋体" w:hAnsi="宋体" w:cs="宋体" w:eastAsia="宋体" w:hint="default"/>
                <w:spacing w:val="9"/>
                <w:sz w:val="18"/>
                <w:szCs w:val="18"/>
              </w:rPr>
              <w:t>域，通过耦合地面和大气模式数</w:t>
            </w:r>
            <w:r>
              <w:rPr>
                <w:rFonts w:ascii="宋体" w:hAnsi="宋体" w:cs="宋体" w:eastAsia="宋体" w:hint="default"/>
                <w:sz w:val="18"/>
                <w:szCs w:val="18"/>
              </w:rPr>
              <w:t> </w:t>
            </w:r>
            <w:r>
              <w:rPr>
                <w:rFonts w:ascii="宋体" w:hAnsi="宋体" w:cs="宋体" w:eastAsia="宋体" w:hint="default"/>
                <w:spacing w:val="-3"/>
                <w:sz w:val="18"/>
                <w:szCs w:val="18"/>
              </w:rPr>
              <w:t>据，对各大气污染物的排放清单进</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3"/>
                <w:sz w:val="18"/>
                <w:szCs w:val="18"/>
              </w:rPr>
              <w:t>行改进。在将改进前后的清单分别</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3"/>
                <w:sz w:val="18"/>
                <w:szCs w:val="18"/>
              </w:rPr>
              <w:t>输入大气化学模型，进行空气质量</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9"/>
                <w:sz w:val="18"/>
                <w:szCs w:val="18"/>
              </w:rPr>
              <w:t>模拟，并与地面监测进行对比分</w:t>
            </w:r>
            <w:r>
              <w:rPr>
                <w:rFonts w:ascii="宋体" w:hAnsi="宋体" w:cs="宋体" w:eastAsia="宋体" w:hint="default"/>
                <w:sz w:val="18"/>
                <w:szCs w:val="18"/>
              </w:rPr>
              <w:t> </w:t>
            </w:r>
            <w:r>
              <w:rPr>
                <w:rFonts w:ascii="宋体" w:hAnsi="宋体" w:cs="宋体" w:eastAsia="宋体" w:hint="default"/>
                <w:spacing w:val="-3"/>
                <w:sz w:val="18"/>
                <w:szCs w:val="18"/>
              </w:rPr>
              <w:t>析，确定基于观测资料同化后的排</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放清单较原清单的改善程度。</w:t>
            </w:r>
          </w:p>
        </w:tc>
        <w:tc>
          <w:tcPr>
            <w:tcW w:w="92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94" w:right="2" w:hanging="90"/>
              <w:jc w:val="left"/>
              <w:rPr>
                <w:rFonts w:ascii="宋体" w:hAnsi="宋体" w:cs="宋体" w:eastAsia="宋体" w:hint="default"/>
                <w:sz w:val="18"/>
                <w:szCs w:val="18"/>
              </w:rPr>
            </w:pPr>
            <w:r>
              <w:rPr>
                <w:rFonts w:ascii="宋体" w:hAnsi="宋体" w:cs="宋体" w:eastAsia="宋体" w:hint="default"/>
                <w:sz w:val="18"/>
                <w:szCs w:val="18"/>
              </w:rPr>
              <w:t>产业化示范 运行阶段</w:t>
            </w:r>
          </w:p>
        </w:tc>
        <w:tc>
          <w:tcPr>
            <w:tcW w:w="3202"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3" w:right="0"/>
              <w:jc w:val="both"/>
              <w:rPr>
                <w:rFonts w:ascii="宋体" w:hAnsi="宋体" w:cs="宋体" w:eastAsia="宋体" w:hint="default"/>
                <w:sz w:val="18"/>
                <w:szCs w:val="18"/>
              </w:rPr>
            </w:pPr>
            <w:r>
              <w:rPr>
                <w:rFonts w:ascii="宋体" w:hAnsi="宋体" w:cs="宋体" w:eastAsia="宋体" w:hint="default"/>
                <w:spacing w:val="6"/>
                <w:sz w:val="18"/>
                <w:szCs w:val="18"/>
              </w:rPr>
              <w:t>本研究通过耦合高精度的大气化学模式</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pacing w:val="6"/>
                <w:sz w:val="18"/>
                <w:szCs w:val="18"/>
              </w:rPr>
              <w:t>等辅助数据，获得动态格网化的先验知</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pacing w:val="-4"/>
                <w:sz w:val="18"/>
                <w:szCs w:val="18"/>
              </w:rPr>
              <w:t>识，模拟计算高分辨率气溶胶模式和大气</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pacing w:val="-4"/>
                <w:sz w:val="18"/>
                <w:szCs w:val="18"/>
              </w:rPr>
              <w:t>质量因子等信息，提高我国气溶胶和污染</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气体的卫星柱浓度数据反演精度。</w:t>
            </w:r>
          </w:p>
        </w:tc>
        <w:tc>
          <w:tcPr>
            <w:tcW w:w="884" w:type="dxa"/>
            <w:tcBorders>
              <w:top w:val="single" w:sz="6" w:space="0" w:color="000000"/>
              <w:left w:val="single" w:sz="6" w:space="0" w:color="000000"/>
              <w:bottom w:val="single" w:sz="6" w:space="0" w:color="000000"/>
              <w:right w:val="single" w:sz="6" w:space="0" w:color="000000"/>
            </w:tcBorders>
          </w:tcPr>
          <w:p>
            <w:pPr>
              <w:pStyle w:val="TableParagraph"/>
              <w:spacing w:line="314" w:lineRule="auto" w:before="21"/>
              <w:ind w:left="2" w:right="85"/>
              <w:jc w:val="left"/>
              <w:rPr>
                <w:rFonts w:ascii="宋体" w:hAnsi="宋体" w:cs="宋体" w:eastAsia="宋体" w:hint="default"/>
                <w:sz w:val="18"/>
                <w:szCs w:val="18"/>
              </w:rPr>
            </w:pPr>
            <w:r>
              <w:rPr>
                <w:rFonts w:ascii="宋体" w:hAnsi="宋体" w:cs="宋体" w:eastAsia="宋体" w:hint="default"/>
                <w:sz w:val="18"/>
                <w:szCs w:val="18"/>
              </w:rPr>
              <w:t>国家重点 研发计划</w:t>
            </w:r>
            <w:r>
              <w:rPr>
                <w:rFonts w:ascii="Times New Roman" w:hAnsi="Times New Roman" w:cs="Times New Roman" w:eastAsia="Times New Roman" w:hint="default"/>
                <w:sz w:val="18"/>
                <w:szCs w:val="18"/>
              </w:rPr>
              <w:t>- </w:t>
            </w:r>
            <w:r>
              <w:rPr>
                <w:rFonts w:ascii="宋体" w:hAnsi="宋体" w:cs="宋体" w:eastAsia="宋体" w:hint="default"/>
                <w:sz w:val="18"/>
                <w:szCs w:val="18"/>
              </w:rPr>
              <w:t>大气污染 成因与控 制技术研 究</w:t>
            </w:r>
          </w:p>
        </w:tc>
      </w:tr>
      <w:tr>
        <w:trPr>
          <w:trHeight w:val="348" w:hRule="exact"/>
        </w:trPr>
        <w:tc>
          <w:tcPr>
            <w:tcW w:w="4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49</w:t>
            </w:r>
          </w:p>
        </w:tc>
        <w:tc>
          <w:tcPr>
            <w:tcW w:w="15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基于质量浓度分析</w:t>
            </w:r>
          </w:p>
        </w:tc>
        <w:tc>
          <w:tcPr>
            <w:tcW w:w="26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pacing w:val="-3"/>
                <w:sz w:val="18"/>
                <w:szCs w:val="18"/>
              </w:rPr>
              <w:t>建立超级源解析在线监测站，综合</w:t>
            </w:r>
          </w:p>
        </w:tc>
        <w:tc>
          <w:tcPr>
            <w:tcW w:w="9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研制阶段</w:t>
            </w:r>
          </w:p>
        </w:tc>
        <w:tc>
          <w:tcPr>
            <w:tcW w:w="32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pacing w:val="-4"/>
                <w:sz w:val="18"/>
                <w:szCs w:val="18"/>
              </w:rPr>
              <w:t>将传统的、基于受体模型的、周期长、需</w:t>
            </w:r>
          </w:p>
        </w:tc>
        <w:tc>
          <w:tcPr>
            <w:tcW w:w="8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河北省科</w:t>
            </w:r>
          </w:p>
        </w:tc>
      </w:tr>
    </w:tbl>
    <w:p>
      <w:pPr>
        <w:spacing w:after="0" w:line="240"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6" w:type="dxa"/>
        <w:tblLayout w:type="fixed"/>
        <w:tblCellMar>
          <w:top w:w="0" w:type="dxa"/>
          <w:left w:w="0" w:type="dxa"/>
          <w:bottom w:w="0" w:type="dxa"/>
          <w:right w:w="0" w:type="dxa"/>
        </w:tblCellMar>
        <w:tblLook w:val="01E0"/>
      </w:tblPr>
      <w:tblGrid>
        <w:gridCol w:w="496"/>
        <w:gridCol w:w="1583"/>
        <w:gridCol w:w="2678"/>
        <w:gridCol w:w="924"/>
        <w:gridCol w:w="3202"/>
        <w:gridCol w:w="884"/>
      </w:tblGrid>
      <w:tr>
        <w:trPr>
          <w:trHeight w:val="2219" w:hRule="exact"/>
        </w:trPr>
        <w:tc>
          <w:tcPr>
            <w:tcW w:w="496" w:type="dxa"/>
            <w:tcBorders>
              <w:top w:val="single" w:sz="6" w:space="0" w:color="000000"/>
              <w:left w:val="single" w:sz="6" w:space="0" w:color="000000"/>
              <w:bottom w:val="single" w:sz="6" w:space="0" w:color="000000"/>
              <w:right w:val="single" w:sz="6" w:space="0" w:color="000000"/>
            </w:tcBorders>
          </w:tcPr>
          <w:p>
            <w:pPr/>
          </w:p>
        </w:tc>
        <w:tc>
          <w:tcPr>
            <w:tcW w:w="1583"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3" w:right="122"/>
              <w:jc w:val="left"/>
              <w:rPr>
                <w:rFonts w:ascii="宋体" w:hAnsi="宋体" w:cs="宋体" w:eastAsia="宋体" w:hint="default"/>
                <w:sz w:val="18"/>
                <w:szCs w:val="18"/>
              </w:rPr>
            </w:pPr>
            <w:r>
              <w:rPr>
                <w:rFonts w:ascii="宋体" w:hAnsi="宋体" w:cs="宋体" w:eastAsia="宋体" w:hint="default"/>
                <w:sz w:val="18"/>
                <w:szCs w:val="18"/>
              </w:rPr>
              <w:t>的高时间分辨率的 在线源解析系统</w:t>
            </w:r>
          </w:p>
        </w:tc>
        <w:tc>
          <w:tcPr>
            <w:tcW w:w="2678"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3"/>
              <w:jc w:val="both"/>
              <w:rPr>
                <w:rFonts w:ascii="宋体" w:hAnsi="宋体" w:cs="宋体" w:eastAsia="宋体" w:hint="default"/>
                <w:sz w:val="18"/>
                <w:szCs w:val="18"/>
              </w:rPr>
            </w:pPr>
            <w:r>
              <w:rPr>
                <w:rFonts w:ascii="宋体" w:hAnsi="宋体" w:cs="宋体" w:eastAsia="宋体" w:hint="default"/>
                <w:spacing w:val="9"/>
                <w:sz w:val="18"/>
                <w:szCs w:val="18"/>
              </w:rPr>
              <w:t>应用多种在线分析仪器及多种受</w:t>
            </w:r>
            <w:r>
              <w:rPr>
                <w:rFonts w:ascii="宋体" w:hAnsi="宋体" w:cs="宋体" w:eastAsia="宋体" w:hint="default"/>
                <w:sz w:val="18"/>
                <w:szCs w:val="18"/>
              </w:rPr>
              <w:t> 体模型，既可以实现</w:t>
            </w:r>
          </w:p>
          <w:p>
            <w:pPr>
              <w:pStyle w:val="TableParagraph"/>
              <w:spacing w:line="314" w:lineRule="auto" w:before="19"/>
              <w:ind w:left="2"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PM</w:t>
            </w:r>
            <w:r>
              <w:rPr>
                <w:rFonts w:ascii="Times New Roman" w:hAnsi="Times New Roman" w:cs="Times New Roman" w:eastAsia="Times New Roman" w:hint="default"/>
                <w:spacing w:val="-26"/>
                <w:sz w:val="18"/>
                <w:szCs w:val="18"/>
              </w:rPr>
              <w:t> </w:t>
            </w:r>
            <w:r>
              <w:rPr>
                <w:rFonts w:ascii="Times New Roman" w:hAnsi="Times New Roman" w:cs="Times New Roman" w:eastAsia="Times New Roman" w:hint="default"/>
                <w:sz w:val="18"/>
                <w:szCs w:val="18"/>
              </w:rPr>
              <w:t>2.5</w:t>
            </w:r>
            <w:r>
              <w:rPr>
                <w:rFonts w:ascii="宋体" w:hAnsi="宋体" w:cs="宋体" w:eastAsia="宋体" w:hint="default"/>
                <w:sz w:val="18"/>
                <w:szCs w:val="18"/>
              </w:rPr>
              <w:t>来源解析常态化，也可以实 </w:t>
            </w:r>
            <w:r>
              <w:rPr>
                <w:rFonts w:ascii="宋体" w:hAnsi="宋体" w:cs="宋体" w:eastAsia="宋体" w:hint="default"/>
                <w:spacing w:val="9"/>
                <w:sz w:val="18"/>
                <w:szCs w:val="18"/>
              </w:rPr>
              <w:t>现对重污染过程污染来源的快速</w:t>
            </w:r>
            <w:r>
              <w:rPr>
                <w:rFonts w:ascii="宋体" w:hAnsi="宋体" w:cs="宋体" w:eastAsia="宋体" w:hint="default"/>
                <w:sz w:val="18"/>
                <w:szCs w:val="18"/>
              </w:rPr>
              <w:t> </w:t>
            </w:r>
            <w:r>
              <w:rPr>
                <w:rFonts w:ascii="宋体" w:hAnsi="宋体" w:cs="宋体" w:eastAsia="宋体" w:hint="default"/>
                <w:spacing w:val="-3"/>
                <w:sz w:val="18"/>
                <w:szCs w:val="18"/>
              </w:rPr>
              <w:t>解析，通过将受体模型与在线监测</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3"/>
                <w:sz w:val="18"/>
                <w:szCs w:val="18"/>
              </w:rPr>
              <w:t>技术有机结合，做到长期与应急的</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和谐统一。</w:t>
            </w:r>
          </w:p>
        </w:tc>
        <w:tc>
          <w:tcPr>
            <w:tcW w:w="924" w:type="dxa"/>
            <w:tcBorders>
              <w:top w:val="single" w:sz="6" w:space="0" w:color="000000"/>
              <w:left w:val="single" w:sz="6" w:space="0" w:color="000000"/>
              <w:bottom w:val="single" w:sz="6" w:space="0" w:color="000000"/>
              <w:right w:val="single" w:sz="6" w:space="0" w:color="000000"/>
            </w:tcBorders>
          </w:tcPr>
          <w:p>
            <w:pPr/>
          </w:p>
        </w:tc>
        <w:tc>
          <w:tcPr>
            <w:tcW w:w="3202"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21"/>
              <w:ind w:left="3" w:right="-4"/>
              <w:jc w:val="left"/>
              <w:rPr>
                <w:rFonts w:ascii="宋体" w:hAnsi="宋体" w:cs="宋体" w:eastAsia="宋体" w:hint="default"/>
                <w:sz w:val="18"/>
                <w:szCs w:val="18"/>
              </w:rPr>
            </w:pPr>
            <w:r>
              <w:rPr>
                <w:rFonts w:ascii="宋体" w:hAnsi="宋体" w:cs="宋体" w:eastAsia="宋体" w:hint="default"/>
                <w:spacing w:val="7"/>
                <w:sz w:val="18"/>
                <w:szCs w:val="18"/>
              </w:rPr>
              <w:t>要较多人工干预的离线源解析转变成为</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4"/>
                <w:sz w:val="18"/>
                <w:szCs w:val="18"/>
              </w:rPr>
              <w:t>基于自动颗粒物质量成分分析仪器的、智</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pacing w:val="-9"/>
                <w:sz w:val="18"/>
                <w:szCs w:val="18"/>
              </w:rPr>
              <w:t>能的、自动化的、快速的在线源解析系统</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6"/>
                <w:sz w:val="18"/>
                <w:szCs w:val="18"/>
              </w:rPr>
              <w:t>实现污染来源的快速定量分析及空间定</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位分析。</w:t>
            </w:r>
          </w:p>
        </w:tc>
        <w:tc>
          <w:tcPr>
            <w:tcW w:w="88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145"/>
              <w:jc w:val="left"/>
              <w:rPr>
                <w:rFonts w:ascii="宋体" w:hAnsi="宋体" w:cs="宋体" w:eastAsia="宋体" w:hint="default"/>
                <w:sz w:val="18"/>
                <w:szCs w:val="18"/>
              </w:rPr>
            </w:pPr>
            <w:r>
              <w:rPr>
                <w:rFonts w:ascii="宋体" w:hAnsi="宋体" w:cs="宋体" w:eastAsia="宋体" w:hint="default"/>
                <w:sz w:val="18"/>
                <w:szCs w:val="18"/>
              </w:rPr>
              <w:t>技计划项 目</w:t>
            </w:r>
          </w:p>
          <w:p>
            <w:pPr>
              <w:pStyle w:val="TableParagraph"/>
              <w:spacing w:line="240" w:lineRule="auto" w:before="19"/>
              <w:ind w:left="-108" w:right="0"/>
              <w:jc w:val="left"/>
              <w:rPr>
                <w:rFonts w:ascii="宋体" w:hAnsi="宋体" w:cs="宋体" w:eastAsia="宋体" w:hint="default"/>
                <w:sz w:val="18"/>
                <w:szCs w:val="18"/>
              </w:rPr>
            </w:pPr>
            <w:r>
              <w:rPr>
                <w:rFonts w:ascii="宋体" w:hAnsi="宋体" w:cs="宋体" w:eastAsia="宋体" w:hint="default"/>
                <w:sz w:val="18"/>
                <w:szCs w:val="18"/>
              </w:rPr>
              <w:t>，</w:t>
            </w:r>
          </w:p>
        </w:tc>
      </w:tr>
      <w:tr>
        <w:trPr>
          <w:trHeight w:val="1283" w:hRule="exact"/>
        </w:trPr>
        <w:tc>
          <w:tcPr>
            <w:tcW w:w="4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50</w:t>
            </w:r>
          </w:p>
        </w:tc>
        <w:tc>
          <w:tcPr>
            <w:tcW w:w="1583"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3" w:right="122"/>
              <w:jc w:val="both"/>
              <w:rPr>
                <w:rFonts w:ascii="宋体" w:hAnsi="宋体" w:cs="宋体" w:eastAsia="宋体" w:hint="default"/>
                <w:sz w:val="18"/>
                <w:szCs w:val="18"/>
              </w:rPr>
            </w:pPr>
            <w:r>
              <w:rPr>
                <w:rFonts w:ascii="宋体" w:hAnsi="宋体" w:cs="宋体" w:eastAsia="宋体" w:hint="default"/>
                <w:sz w:val="18"/>
                <w:szCs w:val="18"/>
              </w:rPr>
              <w:t>区域大气环境数据 挖掘系统开发及应 用</w:t>
            </w:r>
          </w:p>
        </w:tc>
        <w:tc>
          <w:tcPr>
            <w:tcW w:w="2678"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0"/>
              <w:jc w:val="both"/>
              <w:rPr>
                <w:rFonts w:ascii="宋体" w:hAnsi="宋体" w:cs="宋体" w:eastAsia="宋体" w:hint="default"/>
                <w:sz w:val="18"/>
                <w:szCs w:val="18"/>
              </w:rPr>
            </w:pPr>
            <w:r>
              <w:rPr>
                <w:rFonts w:ascii="宋体" w:hAnsi="宋体" w:cs="宋体" w:eastAsia="宋体" w:hint="default"/>
                <w:spacing w:val="-3"/>
                <w:sz w:val="18"/>
                <w:szCs w:val="18"/>
              </w:rPr>
              <w:t>项目以石家庄市为试点，通过对该</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3"/>
                <w:sz w:val="18"/>
                <w:szCs w:val="18"/>
              </w:rPr>
              <w:t>区域环境变化研究，为当地管理部</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9"/>
                <w:sz w:val="18"/>
                <w:szCs w:val="18"/>
              </w:rPr>
              <w:t>门的环境保护政策及环境管理行</w:t>
            </w:r>
            <w:r>
              <w:rPr>
                <w:rFonts w:ascii="宋体" w:hAnsi="宋体" w:cs="宋体" w:eastAsia="宋体" w:hint="default"/>
                <w:sz w:val="18"/>
                <w:szCs w:val="18"/>
              </w:rPr>
              <w:t> 为的实施提供技术支撑。</w:t>
            </w:r>
          </w:p>
        </w:tc>
        <w:tc>
          <w:tcPr>
            <w:tcW w:w="92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94" w:right="2" w:hanging="90"/>
              <w:jc w:val="left"/>
              <w:rPr>
                <w:rFonts w:ascii="宋体" w:hAnsi="宋体" w:cs="宋体" w:eastAsia="宋体" w:hint="default"/>
                <w:sz w:val="18"/>
                <w:szCs w:val="18"/>
              </w:rPr>
            </w:pPr>
            <w:r>
              <w:rPr>
                <w:rFonts w:ascii="宋体" w:hAnsi="宋体" w:cs="宋体" w:eastAsia="宋体" w:hint="default"/>
                <w:sz w:val="18"/>
                <w:szCs w:val="18"/>
              </w:rPr>
              <w:t>产业化示范 运行阶段</w:t>
            </w:r>
          </w:p>
        </w:tc>
        <w:tc>
          <w:tcPr>
            <w:tcW w:w="3202"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3" w:right="0"/>
              <w:jc w:val="both"/>
              <w:rPr>
                <w:rFonts w:ascii="宋体" w:hAnsi="宋体" w:cs="宋体" w:eastAsia="宋体" w:hint="default"/>
                <w:sz w:val="18"/>
                <w:szCs w:val="18"/>
              </w:rPr>
            </w:pPr>
            <w:r>
              <w:rPr>
                <w:rFonts w:ascii="宋体" w:hAnsi="宋体" w:cs="宋体" w:eastAsia="宋体" w:hint="default"/>
                <w:spacing w:val="-4"/>
                <w:sz w:val="18"/>
                <w:szCs w:val="18"/>
              </w:rPr>
              <w:t>环境大数据收集技术研究、环境大数据挖</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pacing w:val="-4"/>
                <w:sz w:val="18"/>
                <w:szCs w:val="18"/>
              </w:rPr>
              <w:t>掘技术研究和数据安全技术研究，并在以</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pacing w:val="6"/>
                <w:sz w:val="18"/>
                <w:szCs w:val="18"/>
              </w:rPr>
              <w:t>上研究基础上搭建区域环境大数据挖掘</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展示平台。</w:t>
            </w:r>
          </w:p>
        </w:tc>
        <w:tc>
          <w:tcPr>
            <w:tcW w:w="88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145"/>
              <w:jc w:val="both"/>
              <w:rPr>
                <w:rFonts w:ascii="宋体" w:hAnsi="宋体" w:cs="宋体" w:eastAsia="宋体" w:hint="default"/>
                <w:sz w:val="18"/>
                <w:szCs w:val="18"/>
              </w:rPr>
            </w:pPr>
            <w:r>
              <w:rPr>
                <w:rFonts w:ascii="宋体" w:hAnsi="宋体" w:cs="宋体" w:eastAsia="宋体" w:hint="default"/>
                <w:sz w:val="18"/>
                <w:szCs w:val="18"/>
              </w:rPr>
              <w:t>石家庄高 新区重点 研发计划 项目</w:t>
            </w:r>
          </w:p>
        </w:tc>
      </w:tr>
      <w:tr>
        <w:trPr>
          <w:trHeight w:val="2843" w:hRule="exact"/>
        </w:trPr>
        <w:tc>
          <w:tcPr>
            <w:tcW w:w="4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51</w:t>
            </w:r>
          </w:p>
        </w:tc>
        <w:tc>
          <w:tcPr>
            <w:tcW w:w="1583"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3" w:right="122"/>
              <w:jc w:val="left"/>
              <w:rPr>
                <w:rFonts w:ascii="宋体" w:hAnsi="宋体" w:cs="宋体" w:eastAsia="宋体" w:hint="default"/>
                <w:sz w:val="18"/>
                <w:szCs w:val="18"/>
              </w:rPr>
            </w:pPr>
            <w:r>
              <w:rPr>
                <w:rFonts w:ascii="宋体" w:hAnsi="宋体" w:cs="宋体" w:eastAsia="宋体" w:hint="default"/>
                <w:sz w:val="18"/>
                <w:szCs w:val="18"/>
              </w:rPr>
              <w:t>水质网格化多参数 微型站开发</w:t>
            </w:r>
          </w:p>
        </w:tc>
        <w:tc>
          <w:tcPr>
            <w:tcW w:w="2678"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0"/>
              <w:jc w:val="both"/>
              <w:rPr>
                <w:rFonts w:ascii="宋体" w:hAnsi="宋体" w:cs="宋体" w:eastAsia="宋体" w:hint="default"/>
                <w:sz w:val="18"/>
                <w:szCs w:val="18"/>
              </w:rPr>
            </w:pPr>
            <w:r>
              <w:rPr>
                <w:rFonts w:ascii="宋体" w:hAnsi="宋体" w:cs="宋体" w:eastAsia="宋体" w:hint="default"/>
                <w:spacing w:val="9"/>
                <w:sz w:val="18"/>
                <w:szCs w:val="18"/>
              </w:rPr>
              <w:t>构建生态环境网格化监测与管控</w:t>
            </w:r>
            <w:r>
              <w:rPr>
                <w:rFonts w:ascii="宋体" w:hAnsi="宋体" w:cs="宋体" w:eastAsia="宋体" w:hint="default"/>
                <w:sz w:val="18"/>
                <w:szCs w:val="18"/>
              </w:rPr>
              <w:t> </w:t>
            </w:r>
            <w:r>
              <w:rPr>
                <w:rFonts w:ascii="宋体" w:hAnsi="宋体" w:cs="宋体" w:eastAsia="宋体" w:hint="default"/>
                <w:spacing w:val="-3"/>
                <w:sz w:val="18"/>
                <w:szCs w:val="18"/>
              </w:rPr>
              <w:t>系统，水质网格化作为生态环境网</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3"/>
                <w:sz w:val="18"/>
                <w:szCs w:val="18"/>
              </w:rPr>
              <w:t>格化的重要组成部分。实现水质网</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3"/>
                <w:sz w:val="18"/>
                <w:szCs w:val="18"/>
              </w:rPr>
              <w:t>格化监测需要大量布监测点位。通</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6"/>
                <w:sz w:val="18"/>
                <w:szCs w:val="18"/>
              </w:rPr>
              <w:t>过基本的五参数的监测（</w:t>
            </w:r>
            <w:r>
              <w:rPr>
                <w:rFonts w:ascii="Times New Roman" w:hAnsi="Times New Roman" w:cs="Times New Roman" w:eastAsia="Times New Roman" w:hint="default"/>
                <w:spacing w:val="-6"/>
                <w:sz w:val="18"/>
                <w:szCs w:val="18"/>
              </w:rPr>
              <w:t>pH</w:t>
            </w:r>
            <w:r>
              <w:rPr>
                <w:rFonts w:ascii="宋体" w:hAnsi="宋体" w:cs="宋体" w:eastAsia="宋体" w:hint="default"/>
                <w:spacing w:val="-6"/>
                <w:sz w:val="18"/>
                <w:szCs w:val="18"/>
              </w:rPr>
              <w:t>、溶解</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3"/>
                <w:sz w:val="18"/>
                <w:szCs w:val="18"/>
              </w:rPr>
              <w:t>氧、电导率、温度、浊度）以及离</w:t>
            </w:r>
            <w:r>
              <w:rPr>
                <w:rFonts w:ascii="宋体" w:hAnsi="宋体" w:cs="宋体" w:eastAsia="宋体" w:hint="default"/>
                <w:sz w:val="18"/>
                <w:szCs w:val="18"/>
              </w:rPr>
              <w:t> </w:t>
            </w:r>
            <w:r>
              <w:rPr>
                <w:rFonts w:ascii="宋体" w:hAnsi="宋体" w:cs="宋体" w:eastAsia="宋体" w:hint="default"/>
                <w:spacing w:val="-3"/>
                <w:sz w:val="18"/>
                <w:szCs w:val="18"/>
              </w:rPr>
              <w:t>子电极，将监测的数据通过云平台</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9"/>
                <w:sz w:val="18"/>
                <w:szCs w:val="18"/>
              </w:rPr>
              <w:t>数据分析得出水体的污染情况及</w:t>
            </w:r>
            <w:r>
              <w:rPr>
                <w:rFonts w:ascii="宋体" w:hAnsi="宋体" w:cs="宋体" w:eastAsia="宋体" w:hint="default"/>
                <w:sz w:val="18"/>
                <w:szCs w:val="18"/>
              </w:rPr>
              <w:t> 治理方案。</w:t>
            </w:r>
          </w:p>
        </w:tc>
        <w:tc>
          <w:tcPr>
            <w:tcW w:w="9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研制阶段</w:t>
            </w:r>
          </w:p>
        </w:tc>
        <w:tc>
          <w:tcPr>
            <w:tcW w:w="3202" w:type="dxa"/>
            <w:tcBorders>
              <w:top w:val="single" w:sz="6" w:space="0" w:color="000000"/>
              <w:left w:val="single" w:sz="6" w:space="0" w:color="000000"/>
              <w:bottom w:val="single" w:sz="6" w:space="0" w:color="000000"/>
              <w:right w:val="single" w:sz="6" w:space="0" w:color="000000"/>
            </w:tcBorders>
          </w:tcPr>
          <w:p>
            <w:pPr>
              <w:pStyle w:val="TableParagraph"/>
              <w:spacing w:line="307" w:lineRule="auto" w:before="21"/>
              <w:ind w:left="3" w:right="-47"/>
              <w:jc w:val="both"/>
              <w:rPr>
                <w:rFonts w:ascii="宋体" w:hAnsi="宋体" w:cs="宋体" w:eastAsia="宋体" w:hint="default"/>
                <w:sz w:val="18"/>
                <w:szCs w:val="18"/>
              </w:rPr>
            </w:pPr>
            <w:r>
              <w:rPr>
                <w:rFonts w:ascii="宋体" w:hAnsi="宋体" w:cs="宋体" w:eastAsia="宋体" w:hint="default"/>
                <w:spacing w:val="-4"/>
                <w:sz w:val="18"/>
                <w:szCs w:val="18"/>
              </w:rPr>
              <w:t>设备选用电化学、光学等多种电极。设备</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pacing w:val="4"/>
                <w:sz w:val="18"/>
                <w:szCs w:val="18"/>
              </w:rPr>
              <w:t>监测八个水质参数分别为温度、</w:t>
            </w:r>
            <w:r>
              <w:rPr>
                <w:rFonts w:ascii="Times New Roman" w:hAnsi="Times New Roman" w:cs="Times New Roman" w:eastAsia="Times New Roman" w:hint="default"/>
                <w:spacing w:val="4"/>
                <w:sz w:val="18"/>
                <w:szCs w:val="18"/>
              </w:rPr>
              <w:t>pH</w:t>
            </w:r>
            <w:r>
              <w:rPr>
                <w:rFonts w:ascii="宋体" w:hAnsi="宋体" w:cs="宋体" w:eastAsia="宋体" w:hint="default"/>
                <w:spacing w:val="4"/>
                <w:sz w:val="18"/>
                <w:szCs w:val="18"/>
              </w:rPr>
              <w:t>、溶 </w:t>
            </w:r>
            <w:r>
              <w:rPr>
                <w:rFonts w:ascii="宋体" w:hAnsi="宋体" w:cs="宋体" w:eastAsia="宋体" w:hint="default"/>
                <w:sz w:val="18"/>
                <w:szCs w:val="18"/>
              </w:rPr>
              <w:t>解氧、电导率、浊度、</w:t>
            </w:r>
            <w:r>
              <w:rPr>
                <w:rFonts w:ascii="Times New Roman" w:hAnsi="Times New Roman" w:cs="Times New Roman" w:eastAsia="Times New Roman" w:hint="default"/>
                <w:sz w:val="18"/>
                <w:szCs w:val="18"/>
              </w:rPr>
              <w:t>UV254</w:t>
            </w:r>
            <w:r>
              <w:rPr>
                <w:rFonts w:ascii="宋体" w:hAnsi="宋体" w:cs="宋体" w:eastAsia="宋体" w:hint="default"/>
                <w:sz w:val="18"/>
                <w:szCs w:val="18"/>
              </w:rPr>
              <w:t>、铵离子、 </w:t>
            </w:r>
            <w:r>
              <w:rPr>
                <w:rFonts w:ascii="宋体" w:hAnsi="宋体" w:cs="宋体" w:eastAsia="宋体" w:hint="default"/>
                <w:spacing w:val="-4"/>
                <w:sz w:val="18"/>
                <w:szCs w:val="18"/>
              </w:rPr>
              <w:t>其他特征离子（钾离子），设备基于无线</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pacing w:val="-4"/>
                <w:sz w:val="18"/>
                <w:szCs w:val="18"/>
              </w:rPr>
              <w:t>通讯技术，可实现与服务器之间保密安全</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地通讯，将水质环境大数据汇集到</w:t>
            </w:r>
            <w:r>
              <w:rPr>
                <w:rFonts w:ascii="Times New Roman" w:hAnsi="Times New Roman" w:cs="Times New Roman" w:eastAsia="Times New Roman" w:hint="default"/>
                <w:sz w:val="18"/>
                <w:szCs w:val="18"/>
              </w:rPr>
              <w:t>“</w:t>
            </w:r>
            <w:r>
              <w:rPr>
                <w:rFonts w:ascii="宋体" w:hAnsi="宋体" w:cs="宋体" w:eastAsia="宋体" w:hint="default"/>
                <w:sz w:val="18"/>
                <w:szCs w:val="18"/>
              </w:rPr>
              <w:t>云平</w:t>
            </w:r>
            <w:r>
              <w:rPr>
                <w:rFonts w:ascii="宋体" w:hAnsi="宋体" w:cs="宋体" w:eastAsia="宋体" w:hint="default"/>
                <w:spacing w:val="-56"/>
                <w:sz w:val="18"/>
                <w:szCs w:val="18"/>
              </w:rPr>
              <w:t> </w:t>
            </w:r>
            <w:r>
              <w:rPr>
                <w:rFonts w:ascii="宋体" w:hAnsi="宋体" w:cs="宋体" w:eastAsia="宋体" w:hint="default"/>
                <w:sz w:val="18"/>
                <w:szCs w:val="18"/>
              </w:rPr>
              <w:t>台</w:t>
            </w:r>
            <w:r>
              <w:rPr>
                <w:rFonts w:ascii="Times New Roman" w:hAnsi="Times New Roman" w:cs="Times New Roman" w:eastAsia="Times New Roman" w:hint="default"/>
                <w:sz w:val="18"/>
                <w:szCs w:val="18"/>
              </w:rPr>
              <w:t>”</w:t>
            </w:r>
            <w:r>
              <w:rPr>
                <w:rFonts w:ascii="宋体" w:hAnsi="宋体" w:cs="宋体" w:eastAsia="宋体" w:hint="default"/>
                <w:sz w:val="18"/>
                <w:szCs w:val="18"/>
              </w:rPr>
              <w:t>。此设备多种校准方式结合使用，有</w:t>
            </w:r>
            <w:r>
              <w:rPr>
                <w:rFonts w:ascii="宋体" w:hAnsi="宋体" w:cs="宋体" w:eastAsia="宋体" w:hint="default"/>
                <w:spacing w:val="-55"/>
                <w:sz w:val="18"/>
                <w:szCs w:val="18"/>
              </w:rPr>
              <w:t> </w:t>
            </w:r>
            <w:r>
              <w:rPr>
                <w:rFonts w:ascii="宋体" w:hAnsi="宋体" w:cs="宋体" w:eastAsia="宋体" w:hint="default"/>
                <w:sz w:val="18"/>
                <w:szCs w:val="18"/>
              </w:rPr>
              <w:t>利保障测试数据的可靠性。</w:t>
            </w:r>
          </w:p>
        </w:tc>
        <w:tc>
          <w:tcPr>
            <w:tcW w:w="8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自立</w:t>
            </w:r>
          </w:p>
        </w:tc>
      </w:tr>
      <w:tr>
        <w:trPr>
          <w:trHeight w:val="3780" w:hRule="exact"/>
        </w:trPr>
        <w:tc>
          <w:tcPr>
            <w:tcW w:w="4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52</w:t>
            </w:r>
          </w:p>
        </w:tc>
        <w:tc>
          <w:tcPr>
            <w:tcW w:w="1583"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21"/>
              <w:ind w:left="3" w:right="122"/>
              <w:jc w:val="both"/>
              <w:rPr>
                <w:rFonts w:ascii="宋体" w:hAnsi="宋体" w:cs="宋体" w:eastAsia="宋体" w:hint="default"/>
                <w:sz w:val="18"/>
                <w:szCs w:val="18"/>
              </w:rPr>
            </w:pPr>
            <w:r>
              <w:rPr>
                <w:rFonts w:ascii="宋体" w:hAnsi="宋体" w:cs="宋体" w:eastAsia="宋体" w:hint="default"/>
                <w:sz w:val="18"/>
                <w:szCs w:val="18"/>
              </w:rPr>
              <w:t>环境空气臭氧前驱 体及光化学烟雾在 线监测仪开发及应 用示范</w:t>
            </w:r>
          </w:p>
        </w:tc>
        <w:tc>
          <w:tcPr>
            <w:tcW w:w="2678"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0"/>
              <w:jc w:val="left"/>
              <w:rPr>
                <w:rFonts w:ascii="宋体" w:hAnsi="宋体" w:cs="宋体" w:eastAsia="宋体" w:hint="default"/>
                <w:sz w:val="18"/>
                <w:szCs w:val="18"/>
              </w:rPr>
            </w:pPr>
            <w:r>
              <w:rPr>
                <w:rFonts w:ascii="宋体" w:hAnsi="宋体" w:cs="宋体" w:eastAsia="宋体" w:hint="default"/>
                <w:spacing w:val="9"/>
                <w:sz w:val="18"/>
                <w:szCs w:val="18"/>
              </w:rPr>
              <w:t>满足大气臭氧前驱体和光化学烟</w:t>
            </w:r>
            <w:r>
              <w:rPr>
                <w:rFonts w:ascii="宋体" w:hAnsi="宋体" w:cs="宋体" w:eastAsia="宋体" w:hint="default"/>
                <w:sz w:val="18"/>
                <w:szCs w:val="18"/>
              </w:rPr>
              <w:t> </w:t>
            </w:r>
            <w:r>
              <w:rPr>
                <w:rFonts w:ascii="宋体" w:hAnsi="宋体" w:cs="宋体" w:eastAsia="宋体" w:hint="default"/>
                <w:spacing w:val="-3"/>
                <w:sz w:val="18"/>
                <w:szCs w:val="18"/>
              </w:rPr>
              <w:t>雾在线监测需求及应用要求；完成</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3"/>
                <w:sz w:val="18"/>
                <w:szCs w:val="18"/>
              </w:rPr>
              <w:t>工程化和产业化，在国家环境大气</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9"/>
                <w:sz w:val="18"/>
                <w:szCs w:val="18"/>
              </w:rPr>
              <w:t>光化学监测网自动监测建设中开</w:t>
            </w:r>
            <w:r>
              <w:rPr>
                <w:rFonts w:ascii="宋体" w:hAnsi="宋体" w:cs="宋体" w:eastAsia="宋体" w:hint="default"/>
                <w:sz w:val="18"/>
                <w:szCs w:val="18"/>
              </w:rPr>
              <w:t> </w:t>
            </w:r>
            <w:r>
              <w:rPr>
                <w:rFonts w:ascii="宋体" w:hAnsi="宋体" w:cs="宋体" w:eastAsia="宋体" w:hint="default"/>
                <w:spacing w:val="-3"/>
                <w:sz w:val="18"/>
                <w:szCs w:val="18"/>
              </w:rPr>
              <w:t>展应用示范，形成仪器技术要求和</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检 </w:t>
            </w:r>
            <w:r>
              <w:rPr>
                <w:rFonts w:ascii="宋体" w:hAnsi="宋体" w:cs="宋体" w:eastAsia="宋体" w:hint="default"/>
                <w:spacing w:val="-3"/>
                <w:sz w:val="18"/>
                <w:szCs w:val="18"/>
              </w:rPr>
              <w:t>测方法、安装验收、运行维护等技</w:t>
            </w:r>
            <w:r>
              <w:rPr>
                <w:rFonts w:ascii="宋体" w:hAnsi="宋体" w:cs="宋体" w:eastAsia="宋体" w:hint="default"/>
                <w:sz w:val="18"/>
                <w:szCs w:val="18"/>
              </w:rPr>
              <w:t> 术规范。</w:t>
            </w:r>
          </w:p>
        </w:tc>
        <w:tc>
          <w:tcPr>
            <w:tcW w:w="9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研制阶段</w:t>
            </w:r>
          </w:p>
        </w:tc>
        <w:tc>
          <w:tcPr>
            <w:tcW w:w="3202" w:type="dxa"/>
            <w:tcBorders>
              <w:top w:val="single" w:sz="6" w:space="0" w:color="000000"/>
              <w:left w:val="single" w:sz="6" w:space="0" w:color="000000"/>
              <w:bottom w:val="single" w:sz="6" w:space="0" w:color="000000"/>
              <w:right w:val="single" w:sz="6" w:space="0" w:color="000000"/>
            </w:tcBorders>
          </w:tcPr>
          <w:p>
            <w:pPr>
              <w:pStyle w:val="TableParagraph"/>
              <w:spacing w:line="309" w:lineRule="auto" w:before="21"/>
              <w:ind w:left="3" w:right="-17"/>
              <w:jc w:val="left"/>
              <w:rPr>
                <w:rFonts w:ascii="宋体" w:hAnsi="宋体" w:cs="宋体" w:eastAsia="宋体" w:hint="default"/>
                <w:sz w:val="18"/>
                <w:szCs w:val="18"/>
              </w:rPr>
            </w:pPr>
            <w:r>
              <w:rPr>
                <w:rFonts w:ascii="宋体" w:hAnsi="宋体" w:cs="宋体" w:eastAsia="宋体" w:hint="default"/>
                <w:spacing w:val="6"/>
                <w:sz w:val="18"/>
                <w:szCs w:val="18"/>
              </w:rPr>
              <w:t>开发臭氧前驱体在线监测仪和大气中过</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pacing w:val="-3"/>
                <w:sz w:val="18"/>
                <w:szCs w:val="18"/>
              </w:rPr>
              <w:t>氧乙酰硝酸酯（</w:t>
            </w:r>
            <w:r>
              <w:rPr>
                <w:rFonts w:ascii="Times New Roman" w:hAnsi="Times New Roman" w:cs="Times New Roman" w:eastAsia="Times New Roman" w:hint="default"/>
                <w:spacing w:val="-3"/>
                <w:sz w:val="18"/>
                <w:szCs w:val="18"/>
              </w:rPr>
              <w:t>PAN</w:t>
            </w:r>
            <w:r>
              <w:rPr>
                <w:rFonts w:ascii="宋体" w:hAnsi="宋体" w:cs="宋体" w:eastAsia="宋体" w:hint="default"/>
                <w:spacing w:val="-3"/>
                <w:sz w:val="18"/>
                <w:szCs w:val="18"/>
              </w:rPr>
              <w:t>）自动在线监测仪。</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pacing w:val="6"/>
                <w:sz w:val="18"/>
                <w:szCs w:val="18"/>
              </w:rPr>
              <w:t>研究大容量臭氧前驱物全组分高效吸附</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pacing w:val="2"/>
                <w:sz w:val="18"/>
                <w:szCs w:val="18"/>
              </w:rPr>
              <w:t>技术、二次聚焦浓缩技术结合</w:t>
            </w:r>
            <w:r>
              <w:rPr>
                <w:rFonts w:ascii="Times New Roman" w:hAnsi="Times New Roman" w:cs="Times New Roman" w:eastAsia="Times New Roman" w:hint="default"/>
                <w:spacing w:val="2"/>
                <w:sz w:val="18"/>
                <w:szCs w:val="18"/>
              </w:rPr>
              <w:t>FID/MS</w:t>
            </w:r>
            <w:r>
              <w:rPr>
                <w:rFonts w:ascii="宋体" w:hAnsi="宋体" w:cs="宋体" w:eastAsia="宋体" w:hint="default"/>
                <w:spacing w:val="2"/>
                <w:sz w:val="18"/>
                <w:szCs w:val="18"/>
              </w:rPr>
              <w:t>检</w:t>
            </w:r>
            <w:r>
              <w:rPr>
                <w:rFonts w:ascii="宋体" w:hAnsi="宋体" w:cs="宋体" w:eastAsia="宋体" w:hint="default"/>
                <w:spacing w:val="-78"/>
                <w:sz w:val="18"/>
                <w:szCs w:val="18"/>
              </w:rPr>
              <w:t> </w:t>
            </w:r>
            <w:r>
              <w:rPr>
                <w:rFonts w:ascii="宋体" w:hAnsi="宋体" w:cs="宋体" w:eastAsia="宋体" w:hint="default"/>
                <w:sz w:val="18"/>
                <w:szCs w:val="18"/>
              </w:rPr>
              <w:t>测技术，实现</w:t>
            </w:r>
            <w:r>
              <w:rPr>
                <w:rFonts w:ascii="宋体" w:hAnsi="宋体" w:cs="宋体" w:eastAsia="宋体" w:hint="default"/>
                <w:spacing w:val="-9"/>
                <w:sz w:val="18"/>
                <w:szCs w:val="18"/>
              </w:rPr>
              <w:t> </w:t>
            </w:r>
            <w:r>
              <w:rPr>
                <w:rFonts w:ascii="Times New Roman" w:hAnsi="Times New Roman" w:cs="Times New Roman" w:eastAsia="Times New Roman" w:hint="default"/>
                <w:sz w:val="18"/>
                <w:szCs w:val="18"/>
              </w:rPr>
              <w:t>C2-C12</w:t>
            </w:r>
            <w:r>
              <w:rPr>
                <w:rFonts w:ascii="宋体" w:hAnsi="宋体" w:cs="宋体" w:eastAsia="宋体" w:hint="default"/>
                <w:sz w:val="18"/>
                <w:szCs w:val="18"/>
              </w:rPr>
              <w:t>高精度监测。研究</w:t>
            </w:r>
            <w:r>
              <w:rPr>
                <w:rFonts w:ascii="宋体" w:hAnsi="宋体" w:cs="宋体" w:eastAsia="宋体" w:hint="default"/>
                <w:spacing w:val="-87"/>
                <w:sz w:val="18"/>
                <w:szCs w:val="18"/>
              </w:rPr>
              <w:t> </w:t>
            </w:r>
            <w:r>
              <w:rPr>
                <w:rFonts w:ascii="宋体" w:hAnsi="宋体" w:cs="宋体" w:eastAsia="宋体" w:hint="default"/>
                <w:spacing w:val="-4"/>
                <w:sz w:val="18"/>
                <w:szCs w:val="18"/>
              </w:rPr>
              <w:t>半导体制冷和膜加热耦合控温技术，研制</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微型毛细色谱柱箱，实现调温响应迅速 </w:t>
            </w:r>
            <w:r>
              <w:rPr>
                <w:rFonts w:ascii="宋体" w:hAnsi="宋体" w:cs="宋体" w:eastAsia="宋体" w:hint="default"/>
                <w:spacing w:val="-4"/>
                <w:sz w:val="18"/>
                <w:szCs w:val="18"/>
              </w:rPr>
              <w:t>温控精准稳定、大气</w:t>
            </w:r>
            <w:r>
              <w:rPr>
                <w:rFonts w:ascii="Times New Roman" w:hAnsi="Times New Roman" w:cs="Times New Roman" w:eastAsia="Times New Roman" w:hint="default"/>
                <w:spacing w:val="-4"/>
                <w:sz w:val="18"/>
                <w:szCs w:val="18"/>
              </w:rPr>
              <w:t>PAN</w:t>
            </w:r>
            <w:r>
              <w:rPr>
                <w:rFonts w:ascii="宋体" w:hAnsi="宋体" w:cs="宋体" w:eastAsia="宋体" w:hint="default"/>
                <w:spacing w:val="-4"/>
                <w:sz w:val="18"/>
                <w:szCs w:val="18"/>
              </w:rPr>
              <w:t>高保真分离，半</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导体寿命延长；研究</w:t>
            </w:r>
            <w:r>
              <w:rPr>
                <w:rFonts w:ascii="Times New Roman" w:hAnsi="Times New Roman" w:cs="Times New Roman" w:eastAsia="Times New Roman" w:hint="default"/>
                <w:sz w:val="18"/>
                <w:szCs w:val="18"/>
              </w:rPr>
              <w:t>ECD</w:t>
            </w:r>
            <w:r>
              <w:rPr>
                <w:rFonts w:ascii="宋体" w:hAnsi="宋体" w:cs="宋体" w:eastAsia="宋体" w:hint="default"/>
                <w:sz w:val="18"/>
                <w:szCs w:val="18"/>
              </w:rPr>
              <w:t>信号处理技术 </w:t>
            </w:r>
            <w:r>
              <w:rPr>
                <w:rFonts w:ascii="宋体" w:hAnsi="宋体" w:cs="宋体" w:eastAsia="宋体" w:hint="default"/>
                <w:spacing w:val="-4"/>
                <w:sz w:val="18"/>
                <w:szCs w:val="18"/>
              </w:rPr>
              <w:t>检测器脉冲频率直采技术，准确测定大气</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pacing w:val="-4"/>
                <w:sz w:val="18"/>
                <w:szCs w:val="18"/>
              </w:rPr>
              <w:t>极低浓度</w:t>
            </w:r>
            <w:r>
              <w:rPr>
                <w:rFonts w:ascii="Times New Roman" w:hAnsi="Times New Roman" w:cs="Times New Roman" w:eastAsia="Times New Roman" w:hint="default"/>
                <w:spacing w:val="-4"/>
                <w:sz w:val="18"/>
                <w:szCs w:val="18"/>
              </w:rPr>
              <w:t>PAN</w:t>
            </w:r>
            <w:r>
              <w:rPr>
                <w:rFonts w:ascii="宋体" w:hAnsi="宋体" w:cs="宋体" w:eastAsia="宋体" w:hint="default"/>
                <w:spacing w:val="-4"/>
                <w:sz w:val="18"/>
                <w:szCs w:val="18"/>
              </w:rPr>
              <w:t>；研制高稳定性的动态标定</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装置，实现仪器的高精度标定。</w:t>
            </w:r>
          </w:p>
        </w:tc>
        <w:tc>
          <w:tcPr>
            <w:tcW w:w="884" w:type="dxa"/>
            <w:tcBorders>
              <w:top w:val="single" w:sz="6" w:space="0" w:color="000000"/>
              <w:left w:val="single" w:sz="6" w:space="0" w:color="000000"/>
              <w:bottom w:val="single" w:sz="6" w:space="0" w:color="000000"/>
              <w:right w:val="single" w:sz="6" w:space="0" w:color="000000"/>
            </w:tcBorders>
          </w:tcPr>
          <w:p>
            <w:pPr>
              <w:pStyle w:val="TableParagraph"/>
              <w:spacing w:line="314" w:lineRule="auto" w:before="21"/>
              <w:ind w:left="2" w:right="25"/>
              <w:jc w:val="left"/>
              <w:rPr>
                <w:rFonts w:ascii="宋体" w:hAnsi="宋体" w:cs="宋体" w:eastAsia="宋体" w:hint="default"/>
                <w:sz w:val="18"/>
                <w:szCs w:val="18"/>
              </w:rPr>
            </w:pPr>
            <w:r>
              <w:rPr>
                <w:rFonts w:ascii="宋体" w:hAnsi="宋体" w:cs="宋体" w:eastAsia="宋体" w:hint="default"/>
                <w:sz w:val="18"/>
                <w:szCs w:val="18"/>
              </w:rPr>
              <w:t>国家重点 研发计划</w:t>
            </w:r>
            <w:r>
              <w:rPr>
                <w:rFonts w:ascii="Times New Roman" w:hAnsi="Times New Roman" w:cs="Times New Roman" w:eastAsia="Times New Roman" w:hint="default"/>
                <w:sz w:val="18"/>
                <w:szCs w:val="18"/>
              </w:rPr>
              <w:t>-- </w:t>
            </w:r>
            <w:r>
              <w:rPr>
                <w:rFonts w:ascii="宋体" w:hAnsi="宋体" w:cs="宋体" w:eastAsia="宋体" w:hint="default"/>
                <w:sz w:val="18"/>
                <w:szCs w:val="18"/>
              </w:rPr>
              <w:t>重大科学 仪器设备 开发</w:t>
            </w: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5"/>
              <w:ind w:left="-139"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138" w:right="0"/>
              <w:jc w:val="left"/>
              <w:rPr>
                <w:rFonts w:ascii="宋体" w:hAnsi="宋体" w:cs="宋体" w:eastAsia="宋体" w:hint="default"/>
                <w:sz w:val="18"/>
                <w:szCs w:val="18"/>
              </w:rPr>
            </w:pPr>
            <w:r>
              <w:rPr>
                <w:rFonts w:ascii="宋体" w:hAnsi="宋体" w:cs="宋体" w:eastAsia="宋体" w:hint="default"/>
                <w:sz w:val="18"/>
                <w:szCs w:val="18"/>
              </w:rPr>
              <w:t>、</w:t>
            </w:r>
          </w:p>
        </w:tc>
      </w:tr>
    </w:tbl>
    <w:p>
      <w:pPr>
        <w:spacing w:line="240" w:lineRule="auto" w:before="8"/>
        <w:rPr>
          <w:rFonts w:ascii="Times New Roman" w:hAnsi="Times New Roman" w:cs="Times New Roman" w:eastAsia="Times New Roman" w:hint="default"/>
          <w:sz w:val="27"/>
          <w:szCs w:val="27"/>
        </w:rPr>
      </w:pPr>
    </w:p>
    <w:p>
      <w:pPr>
        <w:pStyle w:val="BodyText"/>
        <w:spacing w:line="240" w:lineRule="auto" w:before="44"/>
        <w:ind w:left="1134" w:right="0"/>
        <w:jc w:val="left"/>
      </w:pPr>
      <w:r>
        <w:rPr/>
        <w:t>近三年公司研发投入金额及占营业收入的比例</w:t>
      </w:r>
    </w:p>
    <w:p>
      <w:pPr>
        <w:spacing w:line="240" w:lineRule="auto" w:before="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2369"/>
        <w:gridCol w:w="2405"/>
        <w:gridCol w:w="2392"/>
        <w:gridCol w:w="2392"/>
      </w:tblGrid>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研发人员数量（人）</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83</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研发人员数量占比</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10.81%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14.11%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11.51%</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研发投入金额（元）</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48,867,892.00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48,026,730.33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31,752,967.28</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研发投入占营业收入比例</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4.69%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6.08%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5.01%</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研发支出资本化的金额（元）</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11" w:right="0"/>
              <w:jc w:val="left"/>
              <w:rPr>
                <w:rFonts w:ascii="宋体" w:hAnsi="宋体" w:cs="宋体" w:eastAsia="宋体" w:hint="default"/>
                <w:sz w:val="18"/>
                <w:szCs w:val="18"/>
              </w:rPr>
            </w:pPr>
            <w:r>
              <w:rPr>
                <w:rFonts w:ascii="宋体" w:hAnsi="宋体" w:cs="宋体" w:eastAsia="宋体" w:hint="default"/>
                <w:sz w:val="18"/>
                <w:szCs w:val="18"/>
              </w:rPr>
              <w:t>资本化研发支出占研发投入</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2392"/>
        <w:gridCol w:w="2393"/>
        <w:gridCol w:w="2392"/>
        <w:gridCol w:w="2392"/>
      </w:tblGrid>
      <w:tr>
        <w:trPr>
          <w:trHeight w:val="36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的比例</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97"/>
              <w:jc w:val="left"/>
              <w:rPr>
                <w:rFonts w:ascii="宋体" w:hAnsi="宋体" w:cs="宋体" w:eastAsia="宋体" w:hint="default"/>
                <w:sz w:val="18"/>
                <w:szCs w:val="18"/>
              </w:rPr>
            </w:pPr>
            <w:r>
              <w:rPr>
                <w:rFonts w:ascii="宋体" w:hAnsi="宋体" w:cs="宋体" w:eastAsia="宋体" w:hint="default"/>
                <w:sz w:val="18"/>
                <w:szCs w:val="18"/>
              </w:rPr>
              <w:t>资本化研发支出占当期净利 润的比重</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51"/>
        <w:ind w:left="1134" w:right="0"/>
        <w:jc w:val="left"/>
      </w:pPr>
      <w:r>
        <w:rPr/>
        <w:t>研发投入总额占营业收入的比重较上年发生显著变化的原因</w:t>
      </w:r>
    </w:p>
    <w:p>
      <w:pPr>
        <w:pStyle w:val="BodyText"/>
        <w:spacing w:line="338" w:lineRule="auto" w:before="117"/>
        <w:ind w:right="67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研发投入资本化率大幅变动的原因及其合理性说明</w:t>
      </w:r>
    </w:p>
    <w:p>
      <w:pPr>
        <w:pStyle w:val="BodyText"/>
        <w:spacing w:line="240" w:lineRule="auto" w:before="42"/>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3"/>
        <w:spacing w:line="240" w:lineRule="auto"/>
        <w:ind w:right="0"/>
        <w:jc w:val="left"/>
        <w:rPr>
          <w:b w:val="0"/>
          <w:bCs w:val="0"/>
        </w:rPr>
      </w:pPr>
      <w:bookmarkStart w:name="5、现金流" w:id="38"/>
      <w:bookmarkEnd w:id="38"/>
      <w:r>
        <w:rPr>
          <w:b w:val="0"/>
          <w:bCs w:val="0"/>
        </w:rPr>
      </w:r>
      <w:r>
        <w:rPr>
          <w:rFonts w:ascii="Times New Roman" w:hAnsi="Times New Roman" w:cs="Times New Roman" w:eastAsia="Times New Roman" w:hint="default"/>
        </w:rPr>
        <w:t>5</w:t>
      </w:r>
      <w:r>
        <w:rPr/>
        <w:t>、现金流</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2369"/>
        <w:gridCol w:w="2405"/>
        <w:gridCol w:w="2392"/>
        <w:gridCol w:w="2392"/>
      </w:tblGrid>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4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1,274,493,505.58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1,011,684,939.79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25.98%</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1,083,081,250.03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859,879,411.57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25.96%</w:t>
            </w:r>
          </w:p>
        </w:tc>
      </w:tr>
      <w:tr>
        <w:trPr>
          <w:trHeight w:val="714"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86"/>
              <w:jc w:val="left"/>
              <w:rPr>
                <w:rFonts w:ascii="宋体" w:hAnsi="宋体" w:cs="宋体" w:eastAsia="宋体" w:hint="default"/>
                <w:sz w:val="18"/>
                <w:szCs w:val="18"/>
              </w:rPr>
            </w:pPr>
            <w:r>
              <w:rPr>
                <w:rFonts w:ascii="宋体" w:hAnsi="宋体" w:cs="宋体" w:eastAsia="宋体" w:hint="default"/>
                <w:sz w:val="18"/>
                <w:szCs w:val="18"/>
              </w:rPr>
              <w:t>经营活动产生的现金流量净 额</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191,412,255.55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151,805,528.22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26.09%</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507,393.16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169,364.64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199.59%</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36,927,361.10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110,888,450.28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-66.70%</w:t>
            </w:r>
          </w:p>
        </w:tc>
      </w:tr>
      <w:tr>
        <w:trPr>
          <w:trHeight w:val="714"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86"/>
              <w:jc w:val="left"/>
              <w:rPr>
                <w:rFonts w:ascii="宋体" w:hAnsi="宋体" w:cs="宋体" w:eastAsia="宋体" w:hint="default"/>
                <w:sz w:val="18"/>
                <w:szCs w:val="18"/>
              </w:rPr>
            </w:pPr>
            <w:r>
              <w:rPr>
                <w:rFonts w:ascii="宋体" w:hAnsi="宋体" w:cs="宋体" w:eastAsia="宋体" w:hint="default"/>
                <w:sz w:val="18"/>
                <w:szCs w:val="18"/>
              </w:rPr>
              <w:t>投资活动产生的现金流量净 额</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-36,419,967.94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-110,719,085.64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2"/>
                <w:sz w:val="18"/>
              </w:rPr>
              <w:t>-67.11%</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39,752,826.83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20,101,367.20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97.76%</w:t>
            </w:r>
          </w:p>
        </w:tc>
      </w:tr>
      <w:tr>
        <w:trPr>
          <w:trHeight w:val="714"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86"/>
              <w:jc w:val="left"/>
              <w:rPr>
                <w:rFonts w:ascii="宋体" w:hAnsi="宋体" w:cs="宋体" w:eastAsia="宋体" w:hint="default"/>
                <w:sz w:val="18"/>
                <w:szCs w:val="18"/>
              </w:rPr>
            </w:pPr>
            <w:r>
              <w:rPr>
                <w:rFonts w:ascii="宋体" w:hAnsi="宋体" w:cs="宋体" w:eastAsia="宋体" w:hint="default"/>
                <w:sz w:val="18"/>
                <w:szCs w:val="18"/>
              </w:rPr>
              <w:t>筹资活动产生的现金流量净 额</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-39,752,826.83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-20,101,367.20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97.76%</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114,748,670.01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21,286,590.16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439.07%</w:t>
            </w:r>
          </w:p>
        </w:tc>
      </w:tr>
    </w:tbl>
    <w:p>
      <w:pPr>
        <w:pStyle w:val="BodyText"/>
        <w:spacing w:line="240" w:lineRule="auto" w:before="51"/>
        <w:ind w:left="1134" w:right="0"/>
        <w:jc w:val="left"/>
      </w:pPr>
      <w:r>
        <w:rPr/>
        <w:t>相关数据同比发生重大变动的主要影响因素说明</w:t>
      </w:r>
    </w:p>
    <w:p>
      <w:pPr>
        <w:pStyle w:val="BodyText"/>
        <w:spacing w:line="338" w:lineRule="auto" w:before="117"/>
        <w:ind w:left="1493" w:right="1118" w:hanging="3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w:t>
      </w:r>
      <w:r>
        <w:rPr>
          <w:spacing w:val="-1"/>
        </w:rPr>
        <w:t>报告期投资活动产生的现金流入较上期增加</w:t>
      </w:r>
      <w:r>
        <w:rPr>
          <w:rFonts w:ascii="Times New Roman" w:hAnsi="Times New Roman" w:cs="Times New Roman" w:eastAsia="Times New Roman" w:hint="default"/>
          <w:spacing w:val="-1"/>
        </w:rPr>
        <w:t>199.59%</w:t>
      </w:r>
      <w:r>
        <w:rPr>
          <w:spacing w:val="-1"/>
        </w:rPr>
        <w:t>，主要原因是公司本期处置孙公司广州市汇康仪器设备有限公司收</w:t>
      </w:r>
    </w:p>
    <w:p>
      <w:pPr>
        <w:pStyle w:val="BodyText"/>
        <w:spacing w:line="217" w:lineRule="exact"/>
        <w:ind w:right="0"/>
        <w:jc w:val="left"/>
      </w:pPr>
      <w:r>
        <w:rPr/>
        <w:t>回现金净额影响。</w:t>
      </w:r>
    </w:p>
    <w:p>
      <w:pPr>
        <w:pStyle w:val="BodyText"/>
        <w:spacing w:line="300" w:lineRule="auto" w:before="76"/>
        <w:ind w:right="1198" w:firstLine="360"/>
        <w:jc w:val="left"/>
      </w:pPr>
      <w:r>
        <w:rPr/>
        <w:t>报告期投资活动产生的现金流出较上期减少</w:t>
      </w:r>
      <w:r>
        <w:rPr>
          <w:rFonts w:ascii="Times New Roman" w:hAnsi="Times New Roman" w:cs="Times New Roman" w:eastAsia="Times New Roman" w:hint="default"/>
        </w:rPr>
        <w:t>66.70%</w:t>
      </w:r>
      <w:r>
        <w:rPr/>
        <w:t>，主要原因是公司上期以现金方式支付股权投资成本较大因而上期 基数较大。</w:t>
      </w:r>
    </w:p>
    <w:p>
      <w:pPr>
        <w:pStyle w:val="BodyText"/>
        <w:spacing w:line="340" w:lineRule="auto" w:before="31"/>
        <w:ind w:left="1134" w:right="2457" w:firstLine="360"/>
        <w:jc w:val="left"/>
      </w:pPr>
      <w:r>
        <w:rPr/>
        <w:t>报告期筹资活动产生的现金流出较上期增加</w:t>
      </w:r>
      <w:r>
        <w:rPr>
          <w:rFonts w:ascii="Times New Roman" w:hAnsi="Times New Roman" w:cs="Times New Roman" w:eastAsia="Times New Roman" w:hint="default"/>
        </w:rPr>
        <w:t>97.76%</w:t>
      </w:r>
      <w:r>
        <w:rPr/>
        <w:t>，主要原因是本期向股东派发现金股利增加影响。 报告期内公司经营活动产生的现金净流量与本年度净利润存在重大差异的原因说明</w:t>
      </w:r>
    </w:p>
    <w:p>
      <w:pPr>
        <w:pStyle w:val="BodyText"/>
        <w:spacing w:line="240" w:lineRule="auto" w:before="41"/>
        <w:ind w:left="113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三、非主营业务情况" w:id="39"/>
      <w:bookmarkEnd w:id="39"/>
      <w:r>
        <w:rPr>
          <w:b w:val="0"/>
          <w:bCs w:val="0"/>
        </w:rPr>
      </w:r>
      <w:r>
        <w:rPr/>
        <w:t>三、非主营业务情况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left="0" w:right="1130"/>
        <w:jc w:val="right"/>
      </w:pPr>
      <w:r>
        <w:rPr/>
        <w:t>单位：元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523"/>
        <w:gridCol w:w="1916"/>
        <w:gridCol w:w="1623"/>
        <w:gridCol w:w="2166"/>
        <w:gridCol w:w="2340"/>
      </w:tblGrid>
      <w:tr>
        <w:trPr>
          <w:trHeight w:val="402" w:hRule="exact"/>
        </w:trPr>
        <w:tc>
          <w:tcPr>
            <w:tcW w:w="152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76" w:right="0"/>
              <w:jc w:val="left"/>
              <w:rPr>
                <w:rFonts w:ascii="宋体" w:hAnsi="宋体" w:cs="宋体" w:eastAsia="宋体" w:hint="default"/>
                <w:sz w:val="18"/>
                <w:szCs w:val="18"/>
              </w:rPr>
            </w:pPr>
            <w:r>
              <w:rPr>
                <w:rFonts w:ascii="宋体" w:hAnsi="宋体" w:cs="宋体" w:eastAsia="宋体" w:hint="default"/>
                <w:sz w:val="18"/>
                <w:szCs w:val="18"/>
              </w:rPr>
              <w:t>占利润总额比例</w:t>
            </w:r>
          </w:p>
        </w:tc>
        <w:tc>
          <w:tcPr>
            <w:tcW w:w="21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38" w:right="0"/>
              <w:jc w:val="left"/>
              <w:rPr>
                <w:rFonts w:ascii="宋体" w:hAnsi="宋体" w:cs="宋体" w:eastAsia="宋体" w:hint="default"/>
                <w:sz w:val="18"/>
                <w:szCs w:val="18"/>
              </w:rPr>
            </w:pPr>
            <w:r>
              <w:rPr>
                <w:rFonts w:ascii="宋体" w:hAnsi="宋体" w:cs="宋体" w:eastAsia="宋体" w:hint="default"/>
                <w:sz w:val="18"/>
                <w:szCs w:val="18"/>
              </w:rPr>
              <w:t>形成原因说明</w:t>
            </w:r>
          </w:p>
        </w:tc>
        <w:tc>
          <w:tcPr>
            <w:tcW w:w="23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45" w:right="0"/>
              <w:jc w:val="left"/>
              <w:rPr>
                <w:rFonts w:ascii="宋体" w:hAnsi="宋体" w:cs="宋体" w:eastAsia="宋体" w:hint="default"/>
                <w:sz w:val="18"/>
                <w:szCs w:val="18"/>
              </w:rPr>
            </w:pPr>
            <w:r>
              <w:rPr>
                <w:rFonts w:ascii="宋体" w:hAnsi="宋体" w:cs="宋体" w:eastAsia="宋体" w:hint="default"/>
                <w:sz w:val="18"/>
                <w:szCs w:val="18"/>
              </w:rPr>
              <w:t>是否具有可持续性</w:t>
            </w:r>
          </w:p>
        </w:tc>
      </w:tr>
    </w:tbl>
    <w:p>
      <w:pPr>
        <w:spacing w:after="0" w:line="240"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1523"/>
        <w:gridCol w:w="1916"/>
        <w:gridCol w:w="1623"/>
        <w:gridCol w:w="2166"/>
        <w:gridCol w:w="2340"/>
      </w:tblGrid>
      <w:tr>
        <w:trPr>
          <w:trHeight w:val="402" w:hRule="exact"/>
        </w:trPr>
        <w:tc>
          <w:tcPr>
            <w:tcW w:w="15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2,123,319.97</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0.91%</w:t>
            </w:r>
          </w:p>
        </w:tc>
        <w:tc>
          <w:tcPr>
            <w:tcW w:w="2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主要为政府补助</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5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营业外支出</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677,799.83</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0.29%</w:t>
            </w:r>
          </w:p>
        </w:tc>
        <w:tc>
          <w:tcPr>
            <w:tcW w:w="2166" w:type="dxa"/>
            <w:tcBorders>
              <w:top w:val="single" w:sz="4" w:space="0" w:color="000000"/>
              <w:left w:val="single" w:sz="4" w:space="0" w:color="000000"/>
              <w:bottom w:val="single" w:sz="4" w:space="0" w:color="000000"/>
              <w:right w:val="single" w:sz="4" w:space="0" w:color="000000"/>
            </w:tcBorders>
          </w:tcPr>
          <w:p>
            <w:pP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line="240" w:lineRule="auto" w:before="2"/>
        <w:rPr>
          <w:rFonts w:ascii="宋体" w:hAnsi="宋体" w:cs="宋体" w:eastAsia="宋体" w:hint="default"/>
          <w:sz w:val="18"/>
          <w:szCs w:val="18"/>
        </w:rPr>
      </w:pPr>
    </w:p>
    <w:p>
      <w:pPr>
        <w:pStyle w:val="Heading2"/>
        <w:spacing w:line="240" w:lineRule="auto" w:before="26"/>
        <w:ind w:left="1134" w:right="0"/>
        <w:jc w:val="left"/>
        <w:rPr>
          <w:b w:val="0"/>
          <w:bCs w:val="0"/>
        </w:rPr>
      </w:pPr>
      <w:bookmarkStart w:name="四、资产及负债状况" w:id="40"/>
      <w:bookmarkEnd w:id="40"/>
      <w:r>
        <w:rPr>
          <w:b w:val="0"/>
          <w:bCs w:val="0"/>
        </w:rPr>
      </w:r>
      <w:r>
        <w:rPr/>
        <w:t>四、资产及负债状况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1、资产构成重大变动情况" w:id="41"/>
      <w:bookmarkEnd w:id="41"/>
      <w:r>
        <w:rPr>
          <w:b w:val="0"/>
          <w:bCs w:val="0"/>
        </w:rPr>
      </w:r>
      <w:r>
        <w:rPr>
          <w:rFonts w:ascii="Times New Roman" w:hAnsi="Times New Roman" w:cs="Times New Roman" w:eastAsia="Times New Roman" w:hint="default"/>
        </w:rPr>
        <w:t>1</w:t>
      </w:r>
      <w:r>
        <w:rPr/>
        <w:t>、资产构成重大变动情况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368"/>
        <w:gridCol w:w="1468"/>
        <w:gridCol w:w="851"/>
        <w:gridCol w:w="1701"/>
        <w:gridCol w:w="851"/>
        <w:gridCol w:w="708"/>
        <w:gridCol w:w="2624"/>
      </w:tblGrid>
      <w:tr>
        <w:trPr>
          <w:trHeight w:val="206" w:hRule="exact"/>
        </w:trPr>
        <w:tc>
          <w:tcPr>
            <w:tcW w:w="1368" w:type="dxa"/>
            <w:vMerge w:val="restart"/>
            <w:tcBorders>
              <w:top w:val="single" w:sz="4" w:space="0" w:color="000000"/>
              <w:left w:val="single" w:sz="4" w:space="0" w:color="000000"/>
              <w:right w:val="single" w:sz="4" w:space="0" w:color="000000"/>
            </w:tcBorders>
            <w:shd w:val="clear" w:color="auto" w:fill="D2D2D2"/>
          </w:tcPr>
          <w:p>
            <w:pPr/>
          </w:p>
        </w:tc>
        <w:tc>
          <w:tcPr>
            <w:tcW w:w="231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255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708" w:type="dxa"/>
            <w:tcBorders>
              <w:top w:val="single" w:sz="4" w:space="0" w:color="000000"/>
              <w:left w:val="single" w:sz="4" w:space="0" w:color="000000"/>
              <w:bottom w:val="nil" w:sz="6" w:space="0" w:color="auto"/>
              <w:right w:val="single" w:sz="4" w:space="0" w:color="000000"/>
            </w:tcBorders>
            <w:shd w:val="clear" w:color="auto" w:fill="D2D2D2"/>
          </w:tcPr>
          <w:p>
            <w:pPr/>
          </w:p>
        </w:tc>
        <w:tc>
          <w:tcPr>
            <w:tcW w:w="2624" w:type="dxa"/>
            <w:vMerge w:val="restart"/>
            <w:tcBorders>
              <w:top w:val="single" w:sz="4" w:space="0" w:color="000000"/>
              <w:left w:val="single" w:sz="4" w:space="0" w:color="000000"/>
              <w:right w:val="single" w:sz="4" w:space="0" w:color="000000"/>
            </w:tcBorders>
            <w:shd w:val="clear" w:color="auto" w:fill="D2D2D2"/>
          </w:tcPr>
          <w:p>
            <w:pPr/>
          </w:p>
        </w:tc>
      </w:tr>
      <w:tr>
        <w:trPr>
          <w:trHeight w:val="176" w:hRule="exact"/>
        </w:trPr>
        <w:tc>
          <w:tcPr>
            <w:tcW w:w="1368" w:type="dxa"/>
            <w:vMerge/>
            <w:tcBorders>
              <w:left w:val="single" w:sz="4" w:space="0" w:color="000000"/>
              <w:bottom w:val="nil" w:sz="6" w:space="0" w:color="auto"/>
              <w:right w:val="single" w:sz="4" w:space="0" w:color="000000"/>
            </w:tcBorders>
            <w:shd w:val="clear" w:color="auto" w:fill="D2D2D2"/>
          </w:tcPr>
          <w:p>
            <w:pPr/>
          </w:p>
        </w:tc>
        <w:tc>
          <w:tcPr>
            <w:tcW w:w="2318" w:type="dxa"/>
            <w:gridSpan w:val="2"/>
            <w:vMerge/>
            <w:tcBorders>
              <w:left w:val="single" w:sz="4" w:space="0" w:color="000000"/>
              <w:bottom w:val="single" w:sz="4" w:space="0" w:color="000000"/>
              <w:right w:val="single" w:sz="4" w:space="0" w:color="000000"/>
            </w:tcBorders>
            <w:shd w:val="clear" w:color="auto" w:fill="D2D2D2"/>
          </w:tcPr>
          <w:p>
            <w:pPr/>
          </w:p>
        </w:tc>
        <w:tc>
          <w:tcPr>
            <w:tcW w:w="2552" w:type="dxa"/>
            <w:gridSpan w:val="2"/>
            <w:vMerge/>
            <w:tcBorders>
              <w:left w:val="single" w:sz="4" w:space="0" w:color="000000"/>
              <w:bottom w:val="single" w:sz="4" w:space="0" w:color="000000"/>
              <w:right w:val="single" w:sz="4" w:space="0" w:color="000000"/>
            </w:tcBorders>
            <w:shd w:val="clear" w:color="auto" w:fill="D2D2D2"/>
          </w:tcPr>
          <w:p>
            <w:pPr/>
          </w:p>
        </w:tc>
        <w:tc>
          <w:tcPr>
            <w:tcW w:w="708"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59" w:right="77" w:hanging="180"/>
              <w:jc w:val="left"/>
              <w:rPr>
                <w:rFonts w:ascii="宋体" w:hAnsi="宋体" w:cs="宋体" w:eastAsia="宋体" w:hint="default"/>
                <w:sz w:val="18"/>
                <w:szCs w:val="18"/>
              </w:rPr>
            </w:pPr>
            <w:r>
              <w:rPr>
                <w:rFonts w:ascii="宋体" w:hAnsi="宋体" w:cs="宋体" w:eastAsia="宋体" w:hint="default"/>
                <w:sz w:val="18"/>
                <w:szCs w:val="18"/>
              </w:rPr>
              <w:t>比重增 减</w:t>
            </w:r>
          </w:p>
        </w:tc>
        <w:tc>
          <w:tcPr>
            <w:tcW w:w="2624" w:type="dxa"/>
            <w:vMerge/>
            <w:tcBorders>
              <w:left w:val="single" w:sz="4" w:space="0" w:color="000000"/>
              <w:bottom w:val="nil" w:sz="6" w:space="0" w:color="auto"/>
              <w:right w:val="single" w:sz="4" w:space="0" w:color="000000"/>
            </w:tcBorders>
            <w:shd w:val="clear" w:color="auto" w:fill="D2D2D2"/>
          </w:tcPr>
          <w:p>
            <w:pPr/>
          </w:p>
        </w:tc>
      </w:tr>
      <w:tr>
        <w:trPr>
          <w:trHeight w:val="181" w:hRule="exact"/>
        </w:trPr>
        <w:tc>
          <w:tcPr>
            <w:tcW w:w="1368" w:type="dxa"/>
            <w:vMerge w:val="restart"/>
            <w:tcBorders>
              <w:top w:val="nil" w:sz="6" w:space="0" w:color="auto"/>
              <w:left w:val="single" w:sz="4" w:space="0" w:color="000000"/>
              <w:right w:val="single" w:sz="4" w:space="0" w:color="000000"/>
            </w:tcBorders>
            <w:shd w:val="clear" w:color="auto" w:fill="D2D2D2"/>
          </w:tcPr>
          <w:p>
            <w:pPr/>
          </w:p>
        </w:tc>
        <w:tc>
          <w:tcPr>
            <w:tcW w:w="1468" w:type="dxa"/>
            <w:tcBorders>
              <w:top w:val="single" w:sz="4" w:space="0" w:color="000000"/>
              <w:left w:val="single" w:sz="4" w:space="0" w:color="000000"/>
              <w:bottom w:val="nil" w:sz="6" w:space="0" w:color="auto"/>
              <w:right w:val="single" w:sz="4" w:space="0" w:color="000000"/>
            </w:tcBorders>
            <w:shd w:val="clear" w:color="auto" w:fill="D2D2D2"/>
          </w:tcPr>
          <w:p>
            <w:pPr/>
          </w:p>
        </w:tc>
        <w:tc>
          <w:tcPr>
            <w:tcW w:w="85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71"/>
              <w:ind w:left="240" w:right="59" w:hanging="180"/>
              <w:jc w:val="left"/>
              <w:rPr>
                <w:rFonts w:ascii="宋体" w:hAnsi="宋体" w:cs="宋体" w:eastAsia="宋体" w:hint="default"/>
                <w:sz w:val="18"/>
                <w:szCs w:val="18"/>
              </w:rPr>
            </w:pPr>
            <w:r>
              <w:rPr>
                <w:rFonts w:ascii="宋体" w:hAnsi="宋体" w:cs="宋体" w:eastAsia="宋体" w:hint="default"/>
                <w:sz w:val="18"/>
                <w:szCs w:val="18"/>
              </w:rPr>
              <w:t>占总资产 比例</w:t>
            </w:r>
          </w:p>
        </w:tc>
        <w:tc>
          <w:tcPr>
            <w:tcW w:w="1701" w:type="dxa"/>
            <w:tcBorders>
              <w:top w:val="single" w:sz="4" w:space="0" w:color="000000"/>
              <w:left w:val="single" w:sz="4" w:space="0" w:color="000000"/>
              <w:bottom w:val="nil" w:sz="6" w:space="0" w:color="auto"/>
              <w:right w:val="single" w:sz="4" w:space="0" w:color="000000"/>
            </w:tcBorders>
            <w:shd w:val="clear" w:color="auto" w:fill="D2D2D2"/>
          </w:tcPr>
          <w:p>
            <w:pPr/>
          </w:p>
        </w:tc>
        <w:tc>
          <w:tcPr>
            <w:tcW w:w="85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71"/>
              <w:ind w:left="240" w:right="59" w:hanging="180"/>
              <w:jc w:val="left"/>
              <w:rPr>
                <w:rFonts w:ascii="宋体" w:hAnsi="宋体" w:cs="宋体" w:eastAsia="宋体" w:hint="default"/>
                <w:sz w:val="18"/>
                <w:szCs w:val="18"/>
              </w:rPr>
            </w:pPr>
            <w:r>
              <w:rPr>
                <w:rFonts w:ascii="宋体" w:hAnsi="宋体" w:cs="宋体" w:eastAsia="宋体" w:hint="default"/>
                <w:sz w:val="18"/>
                <w:szCs w:val="18"/>
              </w:rPr>
              <w:t>占总资产 比例</w:t>
            </w:r>
          </w:p>
        </w:tc>
        <w:tc>
          <w:tcPr>
            <w:tcW w:w="708" w:type="dxa"/>
            <w:vMerge/>
            <w:tcBorders>
              <w:left w:val="single" w:sz="4" w:space="0" w:color="000000"/>
              <w:right w:val="single" w:sz="4" w:space="0" w:color="000000"/>
            </w:tcBorders>
            <w:shd w:val="clear" w:color="auto" w:fill="D2D2D2"/>
          </w:tcPr>
          <w:p>
            <w:pPr/>
          </w:p>
        </w:tc>
        <w:tc>
          <w:tcPr>
            <w:tcW w:w="262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31"/>
              <w:ind w:left="767"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191" w:hRule="exact"/>
        </w:trPr>
        <w:tc>
          <w:tcPr>
            <w:tcW w:w="1368" w:type="dxa"/>
            <w:vMerge/>
            <w:tcBorders>
              <w:left w:val="single" w:sz="4" w:space="0" w:color="000000"/>
              <w:bottom w:val="nil" w:sz="6" w:space="0" w:color="auto"/>
              <w:right w:val="single" w:sz="4" w:space="0" w:color="000000"/>
            </w:tcBorders>
            <w:shd w:val="clear" w:color="auto" w:fill="D2D2D2"/>
          </w:tcPr>
          <w:p>
            <w:pPr/>
          </w:p>
        </w:tc>
        <w:tc>
          <w:tcPr>
            <w:tcW w:w="146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851" w:type="dxa"/>
            <w:vMerge/>
            <w:tcBorders>
              <w:left w:val="single" w:sz="4" w:space="0" w:color="000000"/>
              <w:right w:val="single" w:sz="4" w:space="0" w:color="000000"/>
            </w:tcBorders>
            <w:shd w:val="clear" w:color="auto" w:fill="D2D2D2"/>
          </w:tcPr>
          <w:p>
            <w:pPr/>
          </w:p>
        </w:tc>
        <w:tc>
          <w:tcPr>
            <w:tcW w:w="170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851" w:type="dxa"/>
            <w:vMerge/>
            <w:tcBorders>
              <w:left w:val="single" w:sz="4" w:space="0" w:color="000000"/>
              <w:right w:val="single" w:sz="4" w:space="0" w:color="000000"/>
            </w:tcBorders>
            <w:shd w:val="clear" w:color="auto" w:fill="D2D2D2"/>
          </w:tcPr>
          <w:p>
            <w:pPr/>
          </w:p>
        </w:tc>
        <w:tc>
          <w:tcPr>
            <w:tcW w:w="708" w:type="dxa"/>
            <w:vMerge/>
            <w:tcBorders>
              <w:left w:val="single" w:sz="4" w:space="0" w:color="000000"/>
              <w:right w:val="single" w:sz="4" w:space="0" w:color="000000"/>
            </w:tcBorders>
            <w:shd w:val="clear" w:color="auto" w:fill="D2D2D2"/>
          </w:tcPr>
          <w:p>
            <w:pPr/>
          </w:p>
        </w:tc>
        <w:tc>
          <w:tcPr>
            <w:tcW w:w="2624" w:type="dxa"/>
            <w:vMerge/>
            <w:tcBorders>
              <w:left w:val="single" w:sz="4" w:space="0" w:color="000000"/>
              <w:bottom w:val="nil" w:sz="6" w:space="0" w:color="auto"/>
              <w:right w:val="single" w:sz="4" w:space="0" w:color="000000"/>
            </w:tcBorders>
            <w:shd w:val="clear" w:color="auto" w:fill="D2D2D2"/>
          </w:tcPr>
          <w:p>
            <w:pPr/>
          </w:p>
        </w:tc>
      </w:tr>
      <w:tr>
        <w:trPr>
          <w:trHeight w:val="179" w:hRule="exact"/>
        </w:trPr>
        <w:tc>
          <w:tcPr>
            <w:tcW w:w="1368" w:type="dxa"/>
            <w:vMerge w:val="restart"/>
            <w:tcBorders>
              <w:top w:val="nil" w:sz="6" w:space="0" w:color="auto"/>
              <w:left w:val="single" w:sz="4" w:space="0" w:color="000000"/>
              <w:right w:val="single" w:sz="4" w:space="0" w:color="000000"/>
            </w:tcBorders>
            <w:shd w:val="clear" w:color="auto" w:fill="D2D2D2"/>
          </w:tcPr>
          <w:p>
            <w:pPr/>
          </w:p>
        </w:tc>
        <w:tc>
          <w:tcPr>
            <w:tcW w:w="1468" w:type="dxa"/>
            <w:vMerge/>
            <w:tcBorders>
              <w:left w:val="single" w:sz="4" w:space="0" w:color="000000"/>
              <w:bottom w:val="nil" w:sz="6" w:space="0" w:color="auto"/>
              <w:right w:val="single" w:sz="4" w:space="0" w:color="000000"/>
            </w:tcBorders>
            <w:shd w:val="clear" w:color="auto" w:fill="D2D2D2"/>
          </w:tcPr>
          <w:p>
            <w:pPr/>
          </w:p>
        </w:tc>
        <w:tc>
          <w:tcPr>
            <w:tcW w:w="851" w:type="dxa"/>
            <w:vMerge/>
            <w:tcBorders>
              <w:left w:val="single" w:sz="4" w:space="0" w:color="000000"/>
              <w:right w:val="single" w:sz="4" w:space="0" w:color="000000"/>
            </w:tcBorders>
            <w:shd w:val="clear" w:color="auto" w:fill="D2D2D2"/>
          </w:tcPr>
          <w:p>
            <w:pPr/>
          </w:p>
        </w:tc>
        <w:tc>
          <w:tcPr>
            <w:tcW w:w="1701" w:type="dxa"/>
            <w:vMerge/>
            <w:tcBorders>
              <w:left w:val="single" w:sz="4" w:space="0" w:color="000000"/>
              <w:bottom w:val="nil" w:sz="6" w:space="0" w:color="auto"/>
              <w:right w:val="single" w:sz="4" w:space="0" w:color="000000"/>
            </w:tcBorders>
            <w:shd w:val="clear" w:color="auto" w:fill="D2D2D2"/>
          </w:tcPr>
          <w:p>
            <w:pPr/>
          </w:p>
        </w:tc>
        <w:tc>
          <w:tcPr>
            <w:tcW w:w="851" w:type="dxa"/>
            <w:vMerge/>
            <w:tcBorders>
              <w:left w:val="single" w:sz="4" w:space="0" w:color="000000"/>
              <w:right w:val="single" w:sz="4" w:space="0" w:color="000000"/>
            </w:tcBorders>
            <w:shd w:val="clear" w:color="auto" w:fill="D2D2D2"/>
          </w:tcPr>
          <w:p>
            <w:pPr/>
          </w:p>
        </w:tc>
        <w:tc>
          <w:tcPr>
            <w:tcW w:w="708" w:type="dxa"/>
            <w:vMerge/>
            <w:tcBorders>
              <w:left w:val="single" w:sz="4" w:space="0" w:color="000000"/>
              <w:bottom w:val="nil" w:sz="6" w:space="0" w:color="auto"/>
              <w:right w:val="single" w:sz="4" w:space="0" w:color="000000"/>
            </w:tcBorders>
            <w:shd w:val="clear" w:color="auto" w:fill="D2D2D2"/>
          </w:tcPr>
          <w:p>
            <w:pPr/>
          </w:p>
        </w:tc>
        <w:tc>
          <w:tcPr>
            <w:tcW w:w="2624" w:type="dxa"/>
            <w:vMerge w:val="restart"/>
            <w:tcBorders>
              <w:top w:val="nil" w:sz="6" w:space="0" w:color="auto"/>
              <w:left w:val="single" w:sz="4" w:space="0" w:color="000000"/>
              <w:right w:val="single" w:sz="4" w:space="0" w:color="000000"/>
            </w:tcBorders>
            <w:shd w:val="clear" w:color="auto" w:fill="D2D2D2"/>
          </w:tcPr>
          <w:p>
            <w:pPr/>
          </w:p>
        </w:tc>
      </w:tr>
      <w:tr>
        <w:trPr>
          <w:trHeight w:val="172"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468" w:type="dxa"/>
            <w:tcBorders>
              <w:top w:val="nil" w:sz="6" w:space="0" w:color="auto"/>
              <w:left w:val="single" w:sz="4" w:space="0" w:color="000000"/>
              <w:bottom w:val="single" w:sz="4" w:space="0" w:color="000000"/>
              <w:right w:val="single" w:sz="4" w:space="0" w:color="000000"/>
            </w:tcBorders>
            <w:shd w:val="clear" w:color="auto" w:fill="D2D2D2"/>
          </w:tcPr>
          <w:p>
            <w:pPr/>
          </w:p>
        </w:tc>
        <w:tc>
          <w:tcPr>
            <w:tcW w:w="851" w:type="dxa"/>
            <w:vMerge/>
            <w:tcBorders>
              <w:left w:val="single" w:sz="4" w:space="0" w:color="000000"/>
              <w:bottom w:val="single" w:sz="4" w:space="0" w:color="000000"/>
              <w:right w:val="single" w:sz="4" w:space="0" w:color="000000"/>
            </w:tcBorders>
            <w:shd w:val="clear" w:color="auto" w:fill="D2D2D2"/>
          </w:tcPr>
          <w:p>
            <w:pPr/>
          </w:p>
        </w:tc>
        <w:tc>
          <w:tcPr>
            <w:tcW w:w="1701" w:type="dxa"/>
            <w:tcBorders>
              <w:top w:val="nil" w:sz="6" w:space="0" w:color="auto"/>
              <w:left w:val="single" w:sz="4" w:space="0" w:color="000000"/>
              <w:bottom w:val="single" w:sz="4" w:space="0" w:color="000000"/>
              <w:right w:val="single" w:sz="4" w:space="0" w:color="000000"/>
            </w:tcBorders>
            <w:shd w:val="clear" w:color="auto" w:fill="D2D2D2"/>
          </w:tcPr>
          <w:p>
            <w:pPr/>
          </w:p>
        </w:tc>
        <w:tc>
          <w:tcPr>
            <w:tcW w:w="851" w:type="dxa"/>
            <w:vMerge/>
            <w:tcBorders>
              <w:left w:val="single" w:sz="4" w:space="0" w:color="000000"/>
              <w:bottom w:val="single" w:sz="4" w:space="0" w:color="000000"/>
              <w:right w:val="single" w:sz="4" w:space="0" w:color="000000"/>
            </w:tcBorders>
            <w:shd w:val="clear" w:color="auto" w:fill="D2D2D2"/>
          </w:tcPr>
          <w:p>
            <w:pPr/>
          </w:p>
        </w:tc>
        <w:tc>
          <w:tcPr>
            <w:tcW w:w="708" w:type="dxa"/>
            <w:tcBorders>
              <w:top w:val="nil" w:sz="6" w:space="0" w:color="auto"/>
              <w:left w:val="single" w:sz="4" w:space="0" w:color="000000"/>
              <w:bottom w:val="single" w:sz="4" w:space="0" w:color="000000"/>
              <w:right w:val="single" w:sz="4" w:space="0" w:color="000000"/>
            </w:tcBorders>
            <w:shd w:val="clear" w:color="auto" w:fill="D2D2D2"/>
          </w:tcPr>
          <w:p>
            <w:pPr/>
          </w:p>
        </w:tc>
        <w:tc>
          <w:tcPr>
            <w:tcW w:w="2624"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4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570,186,613.69</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26.88%</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445,172,999.18</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24.93%</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1.95%</w:t>
            </w:r>
          </w:p>
        </w:tc>
        <w:tc>
          <w:tcPr>
            <w:tcW w:w="262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4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290,837,482.22</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13.71%</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277,192,359.80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15.53%</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-1.82%</w:t>
            </w:r>
          </w:p>
        </w:tc>
        <w:tc>
          <w:tcPr>
            <w:tcW w:w="262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4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415,526,571.16</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19.59%</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274,601,465.60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15.38%</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4.21%</w:t>
            </w:r>
          </w:p>
        </w:tc>
        <w:tc>
          <w:tcPr>
            <w:tcW w:w="262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4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247,286,844.71</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11.66%</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241,575,796.45</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13.53%</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-1.87%</w:t>
            </w:r>
          </w:p>
        </w:tc>
        <w:tc>
          <w:tcPr>
            <w:tcW w:w="262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4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3,722,428.60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0.18%</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12,452,049.34</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0.70%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-0.52%</w:t>
            </w:r>
          </w:p>
        </w:tc>
        <w:tc>
          <w:tcPr>
            <w:tcW w:w="262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1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293,709,487.56</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13.85%</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293,109,487.56</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16.42%</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-2.57%</w:t>
            </w:r>
          </w:p>
        </w:tc>
        <w:tc>
          <w:tcPr>
            <w:tcW w:w="2624"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left="1134" w:right="0"/>
        <w:jc w:val="left"/>
        <w:rPr>
          <w:b w:val="0"/>
          <w:bCs w:val="0"/>
        </w:rPr>
      </w:pPr>
      <w:bookmarkStart w:name="2、以公允价值计量的资产和负债" w:id="42"/>
      <w:bookmarkEnd w:id="42"/>
      <w:r>
        <w:rPr>
          <w:b w:val="0"/>
          <w:bCs w:val="0"/>
        </w:rPr>
      </w:r>
      <w:r>
        <w:rPr>
          <w:rFonts w:ascii="Times New Roman" w:hAnsi="Times New Roman" w:cs="Times New Roman" w:eastAsia="Times New Roman" w:hint="default"/>
        </w:rPr>
        <w:t>2</w:t>
      </w:r>
      <w:r>
        <w:rPr/>
        <w:t>、以公允价值计量的资产和负债</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13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3"/>
        <w:spacing w:line="240" w:lineRule="auto"/>
        <w:ind w:right="0"/>
        <w:jc w:val="left"/>
        <w:rPr>
          <w:b w:val="0"/>
          <w:bCs w:val="0"/>
        </w:rPr>
      </w:pPr>
      <w:bookmarkStart w:name="3、截至报告期末的资产权利受限情况" w:id="43"/>
      <w:bookmarkEnd w:id="43"/>
      <w:r>
        <w:rPr>
          <w:b w:val="0"/>
          <w:bCs w:val="0"/>
        </w:rPr>
      </w:r>
      <w:r>
        <w:rPr>
          <w:rFonts w:ascii="Times New Roman" w:hAnsi="Times New Roman" w:cs="Times New Roman" w:eastAsia="Times New Roman" w:hint="default"/>
        </w:rPr>
        <w:t>3</w:t>
      </w:r>
      <w:r>
        <w:rPr/>
        <w:t>、截至报告期末的资产权利受限情况</w:t>
      </w:r>
      <w:r>
        <w:rPr>
          <w:b w:val="0"/>
          <w:bCs w:val="0"/>
        </w:rPr>
      </w:r>
    </w:p>
    <w:p>
      <w:pPr>
        <w:spacing w:line="240" w:lineRule="auto" w:before="0"/>
        <w:rPr>
          <w:rFonts w:ascii="宋体" w:hAnsi="宋体" w:cs="宋体" w:eastAsia="宋体" w:hint="default"/>
          <w:b/>
          <w:bCs/>
          <w:sz w:val="20"/>
          <w:szCs w:val="20"/>
        </w:rPr>
      </w:pPr>
    </w:p>
    <w:p>
      <w:pPr>
        <w:spacing w:line="240" w:lineRule="auto" w:before="7"/>
        <w:rPr>
          <w:rFonts w:ascii="宋体" w:hAnsi="宋体" w:cs="宋体" w:eastAsia="宋体" w:hint="default"/>
          <w:b/>
          <w:bCs/>
          <w:sz w:val="11"/>
          <w:szCs w:val="11"/>
        </w:rPr>
      </w:pPr>
    </w:p>
    <w:tbl>
      <w:tblPr>
        <w:tblW w:w="0" w:type="auto"/>
        <w:jc w:val="left"/>
        <w:tblInd w:w="1134" w:type="dxa"/>
        <w:tblLayout w:type="fixed"/>
        <w:tblCellMar>
          <w:top w:w="0" w:type="dxa"/>
          <w:left w:w="0" w:type="dxa"/>
          <w:bottom w:w="0" w:type="dxa"/>
          <w:right w:w="0" w:type="dxa"/>
        </w:tblCellMar>
        <w:tblLook w:val="01E0"/>
      </w:tblPr>
      <w:tblGrid>
        <w:gridCol w:w="2514"/>
        <w:gridCol w:w="3157"/>
        <w:gridCol w:w="2694"/>
      </w:tblGrid>
      <w:tr>
        <w:trPr>
          <w:trHeight w:val="270" w:hRule="exact"/>
        </w:trPr>
        <w:tc>
          <w:tcPr>
            <w:tcW w:w="2514" w:type="dxa"/>
            <w:tcBorders>
              <w:top w:val="nil" w:sz="6" w:space="0" w:color="auto"/>
              <w:left w:val="nil" w:sz="6" w:space="0" w:color="auto"/>
              <w:bottom w:val="single" w:sz="12" w:space="0" w:color="000000"/>
              <w:right w:val="nil" w:sz="6" w:space="0" w:color="auto"/>
            </w:tcBorders>
          </w:tcPr>
          <w:p>
            <w:pPr>
              <w:pStyle w:val="TableParagraph"/>
              <w:spacing w:line="180" w:lineRule="exact"/>
              <w:ind w:right="1055"/>
              <w:jc w:val="right"/>
              <w:rPr>
                <w:rFonts w:ascii="宋体" w:hAnsi="宋体" w:cs="宋体" w:eastAsia="宋体" w:hint="default"/>
                <w:sz w:val="18"/>
                <w:szCs w:val="18"/>
              </w:rPr>
            </w:pPr>
            <w:r>
              <w:rPr>
                <w:rFonts w:ascii="宋体" w:hAnsi="宋体" w:cs="宋体" w:eastAsia="宋体" w:hint="default"/>
                <w:sz w:val="18"/>
                <w:szCs w:val="18"/>
              </w:rPr>
              <w:t>项目</w:t>
            </w:r>
          </w:p>
        </w:tc>
        <w:tc>
          <w:tcPr>
            <w:tcW w:w="3157" w:type="dxa"/>
            <w:tcBorders>
              <w:top w:val="nil" w:sz="6" w:space="0" w:color="auto"/>
              <w:left w:val="nil" w:sz="6" w:space="0" w:color="auto"/>
              <w:bottom w:val="single" w:sz="12" w:space="0" w:color="000000"/>
              <w:right w:val="nil" w:sz="6" w:space="0" w:color="auto"/>
            </w:tcBorders>
          </w:tcPr>
          <w:p>
            <w:pPr>
              <w:pStyle w:val="TableParagraph"/>
              <w:spacing w:line="180" w:lineRule="exact"/>
              <w:ind w:left="1057" w:right="0"/>
              <w:jc w:val="left"/>
              <w:rPr>
                <w:rFonts w:ascii="宋体" w:hAnsi="宋体" w:cs="宋体" w:eastAsia="宋体" w:hint="default"/>
                <w:sz w:val="18"/>
                <w:szCs w:val="18"/>
              </w:rPr>
            </w:pPr>
            <w:r>
              <w:rPr>
                <w:rFonts w:ascii="宋体" w:hAnsi="宋体" w:cs="宋体" w:eastAsia="宋体" w:hint="default"/>
                <w:sz w:val="18"/>
                <w:szCs w:val="18"/>
              </w:rPr>
              <w:t>期末账面价值</w:t>
            </w:r>
          </w:p>
        </w:tc>
        <w:tc>
          <w:tcPr>
            <w:tcW w:w="2694" w:type="dxa"/>
            <w:tcBorders>
              <w:top w:val="nil" w:sz="6" w:space="0" w:color="auto"/>
              <w:left w:val="nil" w:sz="6" w:space="0" w:color="auto"/>
              <w:bottom w:val="single" w:sz="12" w:space="0" w:color="000000"/>
              <w:right w:val="nil" w:sz="6" w:space="0" w:color="auto"/>
            </w:tcBorders>
          </w:tcPr>
          <w:p>
            <w:pPr>
              <w:pStyle w:val="TableParagraph"/>
              <w:spacing w:line="180" w:lineRule="exact"/>
              <w:ind w:right="987"/>
              <w:jc w:val="right"/>
              <w:rPr>
                <w:rFonts w:ascii="宋体" w:hAnsi="宋体" w:cs="宋体" w:eastAsia="宋体" w:hint="default"/>
                <w:sz w:val="18"/>
                <w:szCs w:val="18"/>
              </w:rPr>
            </w:pPr>
            <w:r>
              <w:rPr>
                <w:rFonts w:ascii="宋体" w:hAnsi="宋体" w:cs="宋体" w:eastAsia="宋体" w:hint="default"/>
                <w:sz w:val="18"/>
                <w:szCs w:val="18"/>
              </w:rPr>
              <w:t>受限原因</w:t>
            </w:r>
          </w:p>
        </w:tc>
      </w:tr>
      <w:tr>
        <w:trPr>
          <w:trHeight w:val="352" w:hRule="exact"/>
        </w:trPr>
        <w:tc>
          <w:tcPr>
            <w:tcW w:w="2514" w:type="dxa"/>
            <w:tcBorders>
              <w:top w:val="single" w:sz="12" w:space="0" w:color="000000"/>
              <w:left w:val="nil" w:sz="6" w:space="0" w:color="auto"/>
              <w:bottom w:val="single" w:sz="12" w:space="0" w:color="000000"/>
              <w:right w:val="nil" w:sz="6" w:space="0" w:color="auto"/>
            </w:tcBorders>
          </w:tcPr>
          <w:p>
            <w:pPr>
              <w:pStyle w:val="TableParagraph"/>
              <w:spacing w:line="240" w:lineRule="auto" w:before="10"/>
              <w:ind w:left="9"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157" w:type="dxa"/>
            <w:tcBorders>
              <w:top w:val="single" w:sz="12" w:space="0" w:color="000000"/>
              <w:left w:val="nil" w:sz="6" w:space="0" w:color="auto"/>
              <w:bottom w:val="single" w:sz="12" w:space="0" w:color="000000"/>
              <w:right w:val="nil" w:sz="6" w:space="0" w:color="auto"/>
            </w:tcBorders>
          </w:tcPr>
          <w:p>
            <w:pPr>
              <w:pStyle w:val="TableParagraph"/>
              <w:spacing w:line="240" w:lineRule="auto" w:before="50"/>
              <w:ind w:right="7"/>
              <w:jc w:val="right"/>
              <w:rPr>
                <w:rFonts w:ascii="Times New Roman" w:hAnsi="Times New Roman" w:cs="Times New Roman" w:eastAsia="Times New Roman" w:hint="default"/>
                <w:sz w:val="18"/>
                <w:szCs w:val="18"/>
              </w:rPr>
            </w:pPr>
            <w:r>
              <w:rPr>
                <w:rFonts w:ascii="Times New Roman"/>
                <w:spacing w:val="-1"/>
                <w:sz w:val="18"/>
              </w:rPr>
              <w:t>21,246,744.07</w:t>
            </w:r>
          </w:p>
        </w:tc>
        <w:tc>
          <w:tcPr>
            <w:tcW w:w="2694" w:type="dxa"/>
            <w:tcBorders>
              <w:top w:val="single" w:sz="12" w:space="0" w:color="000000"/>
              <w:left w:val="nil" w:sz="6" w:space="0" w:color="auto"/>
              <w:bottom w:val="single" w:sz="12" w:space="0" w:color="000000"/>
              <w:right w:val="nil" w:sz="6" w:space="0" w:color="auto"/>
            </w:tcBorders>
          </w:tcPr>
          <w:p>
            <w:pPr>
              <w:pStyle w:val="TableParagraph"/>
              <w:spacing w:line="240" w:lineRule="auto" w:before="10"/>
              <w:ind w:right="987"/>
              <w:jc w:val="right"/>
              <w:rPr>
                <w:rFonts w:ascii="宋体" w:hAnsi="宋体" w:cs="宋体" w:eastAsia="宋体" w:hint="default"/>
                <w:sz w:val="18"/>
                <w:szCs w:val="18"/>
              </w:rPr>
            </w:pPr>
            <w:r>
              <w:rPr>
                <w:rFonts w:ascii="宋体" w:hAnsi="宋体" w:cs="宋体" w:eastAsia="宋体" w:hint="default"/>
                <w:sz w:val="18"/>
                <w:szCs w:val="18"/>
              </w:rPr>
              <w:t>贷款抵押</w:t>
            </w:r>
          </w:p>
        </w:tc>
      </w:tr>
      <w:tr>
        <w:trPr>
          <w:trHeight w:val="353" w:hRule="exact"/>
        </w:trPr>
        <w:tc>
          <w:tcPr>
            <w:tcW w:w="2514" w:type="dxa"/>
            <w:tcBorders>
              <w:top w:val="single" w:sz="12" w:space="0" w:color="000000"/>
              <w:left w:val="nil" w:sz="6" w:space="0" w:color="auto"/>
              <w:bottom w:val="single" w:sz="12" w:space="0" w:color="000000"/>
              <w:right w:val="nil" w:sz="6" w:space="0" w:color="auto"/>
            </w:tcBorders>
          </w:tcPr>
          <w:p>
            <w:pPr>
              <w:pStyle w:val="TableParagraph"/>
              <w:spacing w:line="240" w:lineRule="auto" w:before="10"/>
              <w:ind w:left="9"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157" w:type="dxa"/>
            <w:tcBorders>
              <w:top w:val="single" w:sz="12" w:space="0" w:color="000000"/>
              <w:left w:val="nil" w:sz="6" w:space="0" w:color="auto"/>
              <w:bottom w:val="single" w:sz="12" w:space="0" w:color="000000"/>
              <w:right w:val="nil" w:sz="6" w:space="0" w:color="auto"/>
            </w:tcBorders>
          </w:tcPr>
          <w:p>
            <w:pPr>
              <w:pStyle w:val="TableParagraph"/>
              <w:spacing w:line="240" w:lineRule="auto" w:before="50"/>
              <w:ind w:right="7"/>
              <w:jc w:val="right"/>
              <w:rPr>
                <w:rFonts w:ascii="Times New Roman" w:hAnsi="Times New Roman" w:cs="Times New Roman" w:eastAsia="Times New Roman" w:hint="default"/>
                <w:sz w:val="18"/>
                <w:szCs w:val="18"/>
              </w:rPr>
            </w:pPr>
            <w:r>
              <w:rPr>
                <w:rFonts w:ascii="Times New Roman"/>
                <w:spacing w:val="-1"/>
                <w:sz w:val="18"/>
              </w:rPr>
              <w:t>12,479,325.69</w:t>
            </w:r>
          </w:p>
        </w:tc>
        <w:tc>
          <w:tcPr>
            <w:tcW w:w="2694" w:type="dxa"/>
            <w:tcBorders>
              <w:top w:val="single" w:sz="12" w:space="0" w:color="000000"/>
              <w:left w:val="nil" w:sz="6" w:space="0" w:color="auto"/>
              <w:bottom w:val="single" w:sz="12" w:space="0" w:color="000000"/>
              <w:right w:val="nil" w:sz="6" w:space="0" w:color="auto"/>
            </w:tcBorders>
          </w:tcPr>
          <w:p>
            <w:pPr>
              <w:pStyle w:val="TableParagraph"/>
              <w:spacing w:line="240" w:lineRule="auto" w:before="10"/>
              <w:ind w:right="987"/>
              <w:jc w:val="right"/>
              <w:rPr>
                <w:rFonts w:ascii="宋体" w:hAnsi="宋体" w:cs="宋体" w:eastAsia="宋体" w:hint="default"/>
                <w:sz w:val="18"/>
                <w:szCs w:val="18"/>
              </w:rPr>
            </w:pPr>
            <w:r>
              <w:rPr>
                <w:rFonts w:ascii="宋体" w:hAnsi="宋体" w:cs="宋体" w:eastAsia="宋体" w:hint="default"/>
                <w:sz w:val="18"/>
                <w:szCs w:val="18"/>
              </w:rPr>
              <w:t>贷款抵押</w:t>
            </w:r>
          </w:p>
        </w:tc>
      </w:tr>
      <w:tr>
        <w:trPr>
          <w:trHeight w:val="352" w:hRule="exact"/>
        </w:trPr>
        <w:tc>
          <w:tcPr>
            <w:tcW w:w="2514" w:type="dxa"/>
            <w:tcBorders>
              <w:top w:val="single" w:sz="12" w:space="0" w:color="000000"/>
              <w:left w:val="nil" w:sz="6" w:space="0" w:color="auto"/>
              <w:bottom w:val="single" w:sz="12" w:space="0" w:color="000000"/>
              <w:right w:val="nil" w:sz="6" w:space="0" w:color="auto"/>
            </w:tcBorders>
          </w:tcPr>
          <w:p>
            <w:pPr>
              <w:pStyle w:val="TableParagraph"/>
              <w:spacing w:line="240" w:lineRule="auto" w:before="10"/>
              <w:ind w:right="1055"/>
              <w:jc w:val="right"/>
              <w:rPr>
                <w:rFonts w:ascii="宋体" w:hAnsi="宋体" w:cs="宋体" w:eastAsia="宋体" w:hint="default"/>
                <w:sz w:val="18"/>
                <w:szCs w:val="18"/>
              </w:rPr>
            </w:pPr>
            <w:r>
              <w:rPr>
                <w:rFonts w:ascii="宋体" w:hAnsi="宋体" w:cs="宋体" w:eastAsia="宋体" w:hint="default"/>
                <w:sz w:val="18"/>
                <w:szCs w:val="18"/>
              </w:rPr>
              <w:t>合计</w:t>
            </w:r>
          </w:p>
        </w:tc>
        <w:tc>
          <w:tcPr>
            <w:tcW w:w="3157" w:type="dxa"/>
            <w:tcBorders>
              <w:top w:val="single" w:sz="12" w:space="0" w:color="000000"/>
              <w:left w:val="nil" w:sz="6" w:space="0" w:color="auto"/>
              <w:bottom w:val="single" w:sz="12" w:space="0" w:color="000000"/>
              <w:right w:val="nil" w:sz="6" w:space="0" w:color="auto"/>
            </w:tcBorders>
          </w:tcPr>
          <w:p>
            <w:pPr>
              <w:pStyle w:val="TableParagraph"/>
              <w:spacing w:line="240" w:lineRule="auto" w:before="50"/>
              <w:ind w:right="7"/>
              <w:jc w:val="right"/>
              <w:rPr>
                <w:rFonts w:ascii="Times New Roman" w:hAnsi="Times New Roman" w:cs="Times New Roman" w:eastAsia="Times New Roman" w:hint="default"/>
                <w:sz w:val="18"/>
                <w:szCs w:val="18"/>
              </w:rPr>
            </w:pPr>
            <w:r>
              <w:rPr>
                <w:rFonts w:ascii="Times New Roman"/>
                <w:spacing w:val="-1"/>
                <w:sz w:val="18"/>
              </w:rPr>
              <w:t>33,726,069.76</w:t>
            </w:r>
          </w:p>
        </w:tc>
        <w:tc>
          <w:tcPr>
            <w:tcW w:w="2694" w:type="dxa"/>
            <w:tcBorders>
              <w:top w:val="single" w:sz="12" w:space="0" w:color="000000"/>
              <w:left w:val="nil" w:sz="6" w:space="0" w:color="auto"/>
              <w:bottom w:val="single" w:sz="12" w:space="0" w:color="000000"/>
              <w:right w:val="nil" w:sz="6" w:space="0" w:color="auto"/>
            </w:tcBorders>
          </w:tcPr>
          <w:p>
            <w:pPr>
              <w:pStyle w:val="TableParagraph"/>
              <w:spacing w:line="240" w:lineRule="auto" w:before="50"/>
              <w:ind w:left="9" w:right="0"/>
              <w:jc w:val="left"/>
              <w:rPr>
                <w:rFonts w:ascii="Times New Roman" w:hAnsi="Times New Roman" w:cs="Times New Roman" w:eastAsia="Times New Roman" w:hint="default"/>
                <w:sz w:val="18"/>
                <w:szCs w:val="18"/>
              </w:rPr>
            </w:pPr>
            <w:r>
              <w:rPr>
                <w:rFonts w:ascii="Times New Roman"/>
                <w:sz w:val="18"/>
              </w:rPr>
              <w:t>--</w:t>
            </w:r>
          </w:p>
        </w:tc>
      </w:tr>
    </w:tbl>
    <w:p>
      <w:pPr>
        <w:pStyle w:val="BodyText"/>
        <w:spacing w:line="300" w:lineRule="auto" w:before="70"/>
        <w:ind w:right="1123" w:firstLine="270"/>
        <w:jc w:val="left"/>
      </w:pPr>
      <w:r>
        <w:rPr/>
        <w:t>本公司于</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29</w:t>
      </w:r>
      <w:r>
        <w:rPr/>
        <w:t>日将房屋建筑物、土地使用权作为抵押，与中国建设银行河北省分行营业部签订了在</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28 </w:t>
      </w:r>
      <w:r>
        <w:rPr/>
        <w:t>日到</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27</w:t>
      </w:r>
      <w:r>
        <w:rPr/>
        <w:t>日期间最高限额为</w:t>
      </w:r>
      <w:r>
        <w:rPr>
          <w:rFonts w:ascii="Times New Roman" w:hAnsi="Times New Roman" w:cs="Times New Roman" w:eastAsia="Times New Roman" w:hint="default"/>
        </w:rPr>
        <w:t>7,107</w:t>
      </w:r>
      <w:r>
        <w:rPr/>
        <w:t>万元的抵押贷款合同。</w:t>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6"/>
          <w:szCs w:val="26"/>
        </w:rPr>
      </w:pPr>
    </w:p>
    <w:p>
      <w:pPr>
        <w:pStyle w:val="Heading2"/>
        <w:spacing w:line="240" w:lineRule="auto"/>
        <w:ind w:right="0"/>
        <w:jc w:val="left"/>
        <w:rPr>
          <w:b w:val="0"/>
          <w:bCs w:val="0"/>
        </w:rPr>
      </w:pPr>
      <w:bookmarkStart w:name="五、投资状况分析" w:id="44"/>
      <w:bookmarkEnd w:id="44"/>
      <w:r>
        <w:rPr>
          <w:b w:val="0"/>
          <w:bCs w:val="0"/>
        </w:rPr>
      </w:r>
      <w:r>
        <w:rPr/>
        <w:t>五、投资状况分析</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总体情况" w:id="45"/>
      <w:bookmarkEnd w:id="45"/>
      <w:r>
        <w:rPr>
          <w:b w:val="0"/>
          <w:bCs w:val="0"/>
        </w:rPr>
      </w:r>
      <w:r>
        <w:rPr>
          <w:rFonts w:ascii="Times New Roman" w:hAnsi="Times New Roman" w:cs="Times New Roman" w:eastAsia="Times New Roman" w:hint="default"/>
        </w:rPr>
        <w:t>1</w:t>
      </w:r>
      <w:r>
        <w:rPr/>
        <w:t>、总体情况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3190"/>
        <w:gridCol w:w="3190"/>
        <w:gridCol w:w="3190"/>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79" w:right="0"/>
              <w:jc w:val="left"/>
              <w:rPr>
                <w:rFonts w:ascii="宋体" w:hAnsi="宋体" w:cs="宋体" w:eastAsia="宋体" w:hint="default"/>
                <w:sz w:val="18"/>
                <w:szCs w:val="18"/>
              </w:rPr>
            </w:pPr>
            <w:r>
              <w:rPr>
                <w:rFonts w:ascii="宋体" w:hAnsi="宋体" w:cs="宋体" w:eastAsia="宋体" w:hint="default"/>
                <w:sz w:val="18"/>
                <w:szCs w:val="18"/>
              </w:rPr>
              <w:t>报告期投资额（元）</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90" w:right="0"/>
              <w:jc w:val="left"/>
              <w:rPr>
                <w:rFonts w:ascii="宋体" w:hAnsi="宋体" w:cs="宋体" w:eastAsia="宋体" w:hint="default"/>
                <w:sz w:val="18"/>
                <w:szCs w:val="18"/>
              </w:rPr>
            </w:pPr>
            <w:r>
              <w:rPr>
                <w:rFonts w:ascii="宋体" w:hAnsi="宋体" w:cs="宋体" w:eastAsia="宋体" w:hint="default"/>
                <w:sz w:val="18"/>
                <w:szCs w:val="18"/>
              </w:rPr>
              <w:t>上年同期投资额（元）</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变动幅度</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600,000.00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45,411,100.00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-98.68%</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10"/>
        <w:rPr>
          <w:rFonts w:ascii="宋体" w:hAnsi="宋体" w:cs="宋体" w:eastAsia="宋体" w:hint="default"/>
          <w:sz w:val="24"/>
          <w:szCs w:val="24"/>
        </w:rPr>
      </w:pPr>
    </w:p>
    <w:p>
      <w:pPr>
        <w:pStyle w:val="Heading3"/>
        <w:spacing w:line="240" w:lineRule="auto" w:before="35"/>
        <w:ind w:right="0"/>
        <w:jc w:val="left"/>
        <w:rPr>
          <w:b w:val="0"/>
          <w:bCs w:val="0"/>
        </w:rPr>
      </w:pPr>
      <w:bookmarkStart w:name="2、报告期内获取的重大的股权投资情况" w:id="46"/>
      <w:bookmarkEnd w:id="46"/>
      <w:r>
        <w:rPr>
          <w:b w:val="0"/>
          <w:bCs w:val="0"/>
        </w:rPr>
      </w:r>
      <w:r>
        <w:rPr>
          <w:rFonts w:ascii="Times New Roman" w:hAnsi="Times New Roman" w:cs="Times New Roman" w:eastAsia="Times New Roman" w:hint="default"/>
        </w:rPr>
        <w:t>2</w:t>
      </w:r>
      <w:r>
        <w:rPr/>
        <w:t>、报告期内获取的重大的股权投资情况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3、报告期内正在进行的重大的非股权投资情况" w:id="47"/>
      <w:bookmarkEnd w:id="47"/>
      <w:r>
        <w:rPr>
          <w:b w:val="0"/>
          <w:bCs w:val="0"/>
        </w:rPr>
      </w:r>
      <w:r>
        <w:rPr>
          <w:rFonts w:ascii="Times New Roman" w:hAnsi="Times New Roman" w:cs="Times New Roman" w:eastAsia="Times New Roman" w:hint="default"/>
        </w:rPr>
        <w:t>3</w:t>
      </w:r>
      <w:r>
        <w:rPr/>
        <w:t>、报告期内正在进行的重大的非股权投资情况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13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4、以公允价值计量的金融资产" w:id="48"/>
      <w:bookmarkEnd w:id="48"/>
      <w:r>
        <w:rPr>
          <w:b w:val="0"/>
          <w:bCs w:val="0"/>
        </w:rPr>
      </w:r>
      <w:r>
        <w:rPr>
          <w:rFonts w:ascii="Times New Roman" w:hAnsi="Times New Roman" w:cs="Times New Roman" w:eastAsia="Times New Roman" w:hint="default"/>
        </w:rPr>
        <w:t>4</w:t>
      </w:r>
      <w:r>
        <w:rPr/>
        <w:t>、以公允价值计量的金融资产</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3"/>
        <w:spacing w:line="240" w:lineRule="auto"/>
        <w:ind w:right="0"/>
        <w:jc w:val="left"/>
        <w:rPr>
          <w:b w:val="0"/>
          <w:bCs w:val="0"/>
        </w:rPr>
      </w:pPr>
      <w:bookmarkStart w:name="5、募集资金使用情况" w:id="49"/>
      <w:bookmarkEnd w:id="49"/>
      <w:r>
        <w:rPr>
          <w:b w:val="0"/>
          <w:bCs w:val="0"/>
        </w:rPr>
      </w:r>
      <w:r>
        <w:rPr>
          <w:rFonts w:ascii="Times New Roman" w:hAnsi="Times New Roman" w:cs="Times New Roman" w:eastAsia="Times New Roman" w:hint="default"/>
        </w:rPr>
        <w:t>5</w:t>
      </w:r>
      <w:r>
        <w:rPr/>
        <w:t>、募集资金使用情况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3"/>
        <w:spacing w:line="240" w:lineRule="auto"/>
        <w:ind w:right="0"/>
        <w:jc w:val="left"/>
        <w:rPr>
          <w:b w:val="0"/>
          <w:bCs w:val="0"/>
        </w:rPr>
      </w:pPr>
      <w:bookmarkStart w:name="（1）募集资金总体使用情况" w:id="50"/>
      <w:bookmarkEnd w:id="50"/>
      <w:r>
        <w:rPr>
          <w:b w:val="0"/>
          <w:bCs w:val="0"/>
        </w:rPr>
      </w:r>
      <w:r>
        <w:rPr/>
        <w:t>（</w:t>
      </w:r>
      <w:r>
        <w:rPr>
          <w:rFonts w:ascii="Times New Roman" w:hAnsi="Times New Roman" w:cs="Times New Roman" w:eastAsia="Times New Roman" w:hint="default"/>
        </w:rPr>
        <w:t>1</w:t>
      </w:r>
      <w:r>
        <w:rPr/>
        <w:t>）募集资金总体使用情况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3"/>
        <w:ind w:left="0" w:right="1130"/>
        <w:jc w:val="right"/>
      </w:pPr>
      <w:r>
        <w:rPr/>
        <w:t>单位：万元</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8"/>
          <w:szCs w:val="18"/>
        </w:rPr>
      </w:pPr>
    </w:p>
    <w:p>
      <w:pPr>
        <w:pStyle w:val="BodyText"/>
        <w:spacing w:line="240" w:lineRule="auto" w:before="44"/>
        <w:ind w:left="0" w:right="1145"/>
        <w:jc w:val="right"/>
      </w:pPr>
      <w:r>
        <w:rPr/>
        <w:pict>
          <v:shape style="position:absolute;margin-left:56.459999pt;margin-top:-163.76828pt;width:478.95pt;height:323.95pt;mso-position-horizontal-relative:page;mso-position-vertical-relative:paragraph;z-index:116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866"/>
                    <w:gridCol w:w="870"/>
                    <w:gridCol w:w="870"/>
                    <w:gridCol w:w="870"/>
                    <w:gridCol w:w="870"/>
                    <w:gridCol w:w="869"/>
                    <w:gridCol w:w="870"/>
                    <w:gridCol w:w="870"/>
                    <w:gridCol w:w="870"/>
                    <w:gridCol w:w="870"/>
                    <w:gridCol w:w="869"/>
                  </w:tblGrid>
                  <w:tr>
                    <w:trPr>
                      <w:trHeight w:val="1338" w:hRule="exact"/>
                    </w:trPr>
                    <w:tc>
                      <w:tcPr>
                        <w:tcW w:w="8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67" w:right="0"/>
                          <w:jc w:val="left"/>
                          <w:rPr>
                            <w:rFonts w:ascii="宋体" w:hAnsi="宋体" w:cs="宋体" w:eastAsia="宋体" w:hint="default"/>
                            <w:sz w:val="18"/>
                            <w:szCs w:val="18"/>
                          </w:rPr>
                        </w:pPr>
                        <w:r>
                          <w:rPr>
                            <w:rFonts w:ascii="宋体" w:hAnsi="宋体" w:cs="宋体" w:eastAsia="宋体" w:hint="default"/>
                            <w:sz w:val="18"/>
                            <w:szCs w:val="18"/>
                          </w:rPr>
                          <w:t>募集年份</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募集方式</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49" w:right="68" w:hanging="180"/>
                          <w:jc w:val="left"/>
                          <w:rPr>
                            <w:rFonts w:ascii="宋体" w:hAnsi="宋体" w:cs="宋体" w:eastAsia="宋体" w:hint="default"/>
                            <w:sz w:val="18"/>
                            <w:szCs w:val="18"/>
                          </w:rPr>
                        </w:pPr>
                        <w:r>
                          <w:rPr>
                            <w:rFonts w:ascii="宋体" w:hAnsi="宋体" w:cs="宋体" w:eastAsia="宋体" w:hint="default"/>
                            <w:sz w:val="18"/>
                            <w:szCs w:val="18"/>
                          </w:rPr>
                          <w:t>募集资金 总额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69" w:right="68"/>
                          <w:jc w:val="both"/>
                          <w:rPr>
                            <w:rFonts w:ascii="宋体" w:hAnsi="宋体" w:cs="宋体" w:eastAsia="宋体" w:hint="default"/>
                            <w:sz w:val="18"/>
                            <w:szCs w:val="18"/>
                          </w:rPr>
                        </w:pPr>
                        <w:r>
                          <w:rPr>
                            <w:rFonts w:ascii="宋体" w:hAnsi="宋体" w:cs="宋体" w:eastAsia="宋体" w:hint="default"/>
                            <w:sz w:val="18"/>
                            <w:szCs w:val="18"/>
                          </w:rPr>
                          <w:t>本期已使 用募集资 金总额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69" w:right="69"/>
                          <w:jc w:val="both"/>
                          <w:rPr>
                            <w:rFonts w:ascii="宋体" w:hAnsi="宋体" w:cs="宋体" w:eastAsia="宋体" w:hint="default"/>
                            <w:sz w:val="18"/>
                            <w:szCs w:val="18"/>
                          </w:rPr>
                        </w:pPr>
                        <w:r>
                          <w:rPr>
                            <w:rFonts w:ascii="宋体" w:hAnsi="宋体" w:cs="宋体" w:eastAsia="宋体" w:hint="default"/>
                            <w:sz w:val="18"/>
                            <w:szCs w:val="18"/>
                          </w:rPr>
                          <w:t>已累计使 用募集资 金总额</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68" w:right="68"/>
                          <w:jc w:val="both"/>
                          <w:rPr>
                            <w:rFonts w:ascii="宋体" w:hAnsi="宋体" w:cs="宋体" w:eastAsia="宋体" w:hint="default"/>
                            <w:sz w:val="18"/>
                            <w:szCs w:val="18"/>
                          </w:rPr>
                        </w:pPr>
                        <w:r>
                          <w:rPr>
                            <w:rFonts w:ascii="宋体" w:hAnsi="宋体" w:cs="宋体" w:eastAsia="宋体" w:hint="default"/>
                            <w:sz w:val="18"/>
                            <w:szCs w:val="18"/>
                          </w:rPr>
                          <w:t>报告期内 变更用途 的募集资 金总额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69" w:right="68"/>
                          <w:jc w:val="center"/>
                          <w:rPr>
                            <w:rFonts w:ascii="宋体" w:hAnsi="宋体" w:cs="宋体" w:eastAsia="宋体" w:hint="default"/>
                            <w:sz w:val="18"/>
                            <w:szCs w:val="18"/>
                          </w:rPr>
                        </w:pPr>
                        <w:r>
                          <w:rPr>
                            <w:rFonts w:ascii="宋体" w:hAnsi="宋体" w:cs="宋体" w:eastAsia="宋体" w:hint="default"/>
                            <w:sz w:val="18"/>
                            <w:szCs w:val="18"/>
                          </w:rPr>
                          <w:t>累计变更 用途的募 集资金总 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69" w:right="68"/>
                          <w:jc w:val="both"/>
                          <w:rPr>
                            <w:rFonts w:ascii="宋体" w:hAnsi="宋体" w:cs="宋体" w:eastAsia="宋体" w:hint="default"/>
                            <w:sz w:val="18"/>
                            <w:szCs w:val="18"/>
                          </w:rPr>
                        </w:pPr>
                        <w:r>
                          <w:rPr>
                            <w:rFonts w:ascii="宋体" w:hAnsi="宋体" w:cs="宋体" w:eastAsia="宋体" w:hint="default"/>
                            <w:sz w:val="18"/>
                            <w:szCs w:val="18"/>
                          </w:rPr>
                          <w:t>累计变更 用途的募 集资金总 额比例</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70" w:right="68"/>
                          <w:jc w:val="center"/>
                          <w:rPr>
                            <w:rFonts w:ascii="宋体" w:hAnsi="宋体" w:cs="宋体" w:eastAsia="宋体" w:hint="default"/>
                            <w:sz w:val="18"/>
                            <w:szCs w:val="18"/>
                          </w:rPr>
                        </w:pPr>
                        <w:r>
                          <w:rPr>
                            <w:rFonts w:ascii="宋体" w:hAnsi="宋体" w:cs="宋体" w:eastAsia="宋体" w:hint="default"/>
                            <w:sz w:val="18"/>
                            <w:szCs w:val="18"/>
                          </w:rPr>
                          <w:t>尚未使用 募集资金 总额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69" w:right="68"/>
                          <w:jc w:val="center"/>
                          <w:rPr>
                            <w:rFonts w:ascii="宋体" w:hAnsi="宋体" w:cs="宋体" w:eastAsia="宋体" w:hint="default"/>
                            <w:sz w:val="18"/>
                            <w:szCs w:val="18"/>
                          </w:rPr>
                        </w:pPr>
                        <w:r>
                          <w:rPr>
                            <w:rFonts w:ascii="宋体" w:hAnsi="宋体" w:cs="宋体" w:eastAsia="宋体" w:hint="default"/>
                            <w:sz w:val="18"/>
                            <w:szCs w:val="18"/>
                          </w:rPr>
                          <w:t>尚未使用 募集资金 用途及去 向</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68" w:right="68"/>
                          <w:jc w:val="both"/>
                          <w:rPr>
                            <w:rFonts w:ascii="宋体" w:hAnsi="宋体" w:cs="宋体" w:eastAsia="宋体" w:hint="default"/>
                            <w:sz w:val="18"/>
                            <w:szCs w:val="18"/>
                          </w:rPr>
                        </w:pPr>
                        <w:r>
                          <w:rPr>
                            <w:rFonts w:ascii="宋体" w:hAnsi="宋体" w:cs="宋体" w:eastAsia="宋体" w:hint="default"/>
                            <w:sz w:val="18"/>
                            <w:szCs w:val="18"/>
                          </w:rPr>
                          <w:t>闲置两年 以上募集 资金金额</w:t>
                        </w:r>
                      </w:p>
                    </w:tc>
                  </w:tr>
                  <w:tr>
                    <w:trPr>
                      <w:trHeight w:val="402" w:hRule="exact"/>
                    </w:trPr>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2010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2"/>
                          <w:jc w:val="center"/>
                          <w:rPr>
                            <w:rFonts w:ascii="宋体" w:hAnsi="宋体" w:cs="宋体" w:eastAsia="宋体" w:hint="default"/>
                            <w:sz w:val="18"/>
                            <w:szCs w:val="18"/>
                          </w:rPr>
                        </w:pPr>
                        <w:r>
                          <w:rPr>
                            <w:rFonts w:ascii="宋体" w:hAnsi="宋体" w:cs="宋体" w:eastAsia="宋体" w:hint="default"/>
                            <w:sz w:val="18"/>
                            <w:szCs w:val="18"/>
                          </w:rPr>
                          <w:t>公开发行</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62,650.33</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507.86</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66,093.71</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1,595</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2.25%</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2015</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15"/>
                          <w:jc w:val="left"/>
                          <w:rPr>
                            <w:rFonts w:ascii="宋体" w:hAnsi="宋体" w:cs="宋体" w:eastAsia="宋体" w:hint="default"/>
                            <w:sz w:val="18"/>
                            <w:szCs w:val="18"/>
                          </w:rPr>
                        </w:pPr>
                        <w:r>
                          <w:rPr>
                            <w:rFonts w:ascii="宋体" w:hAnsi="宋体" w:cs="宋体" w:eastAsia="宋体" w:hint="default"/>
                            <w:sz w:val="18"/>
                            <w:szCs w:val="18"/>
                          </w:rPr>
                          <w:t>非公开发 行</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8,086</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8,086</w:t>
                        </w:r>
                      </w:p>
                    </w:tc>
                    <w:tc>
                      <w:tcPr>
                        <w:tcW w:w="869"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8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87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70,736.33</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507.86</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74,179.71</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1,595</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2.25%</w:t>
                        </w:r>
                      </w:p>
                    </w:tc>
                    <w:tc>
                      <w:tcPr>
                        <w:tcW w:w="870" w:type="dxa"/>
                        <w:tcBorders>
                          <w:top w:val="single" w:sz="4" w:space="0" w:color="000000"/>
                          <w:left w:val="single" w:sz="4" w:space="0" w:color="000000"/>
                          <w:bottom w:val="single" w:sz="4" w:space="0" w:color="000000"/>
                          <w:right w:val="single" w:sz="9" w:space="0" w:color="D2D2D2"/>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8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9564"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募集资金总体使用情况说明</w:t>
                        </w:r>
                      </w:p>
                    </w:tc>
                  </w:tr>
                  <w:tr>
                    <w:trPr>
                      <w:trHeight w:val="3210" w:hRule="exact"/>
                    </w:trPr>
                    <w:tc>
                      <w:tcPr>
                        <w:tcW w:w="9564" w:type="dxa"/>
                        <w:gridSpan w:val="11"/>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河北先河环保科技股份有限公司（以下简称</w:t>
                        </w:r>
                        <w:r>
                          <w:rPr>
                            <w:rFonts w:ascii="Times New Roman" w:hAnsi="Times New Roman" w:cs="Times New Roman" w:eastAsia="Times New Roman" w:hint="default"/>
                            <w:sz w:val="18"/>
                            <w:szCs w:val="18"/>
                          </w:rPr>
                          <w:t>“</w:t>
                        </w:r>
                        <w:r>
                          <w:rPr>
                            <w:rFonts w:ascii="宋体" w:hAnsi="宋体" w:cs="宋体" w:eastAsia="宋体" w:hint="default"/>
                            <w:sz w:val="18"/>
                            <w:szCs w:val="18"/>
                          </w:rPr>
                          <w:t>公司</w:t>
                        </w:r>
                        <w:r>
                          <w:rPr>
                            <w:rFonts w:ascii="Times New Roman" w:hAnsi="Times New Roman" w:cs="Times New Roman" w:eastAsia="Times New Roman" w:hint="default"/>
                            <w:sz w:val="18"/>
                            <w:szCs w:val="18"/>
                          </w:rPr>
                          <w:t>”</w:t>
                        </w:r>
                        <w:r>
                          <w:rPr>
                            <w:rFonts w:ascii="宋体" w:hAnsi="宋体" w:cs="宋体" w:eastAsia="宋体" w:hint="default"/>
                            <w:sz w:val="18"/>
                            <w:szCs w:val="18"/>
                          </w:rPr>
                          <w:t>）于</w:t>
                        </w:r>
                        <w:r>
                          <w:rPr>
                            <w:rFonts w:ascii="宋体" w:hAnsi="宋体" w:cs="宋体" w:eastAsia="宋体" w:hint="default"/>
                            <w:spacing w:val="-2"/>
                            <w:sz w:val="18"/>
                            <w:szCs w:val="18"/>
                          </w:rPr>
                          <w:t> </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2"/>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日经中国证券监督管理委员会</w:t>
                        </w:r>
                        <w:r>
                          <w:rPr>
                            <w:rFonts w:ascii="Times New Roman" w:hAnsi="Times New Roman" w:cs="Times New Roman" w:eastAsia="Times New Roman" w:hint="default"/>
                            <w:sz w:val="18"/>
                            <w:szCs w:val="18"/>
                          </w:rPr>
                          <w:t>“</w:t>
                        </w:r>
                        <w:r>
                          <w:rPr>
                            <w:rFonts w:ascii="宋体" w:hAnsi="宋体" w:cs="宋体" w:eastAsia="宋体" w:hint="default"/>
                            <w:sz w:val="18"/>
                            <w:szCs w:val="18"/>
                          </w:rPr>
                          <w:t>证监许可【</w:t>
                        </w:r>
                        <w:r>
                          <w:rPr>
                            <w:rFonts w:ascii="Times New Roman" w:hAnsi="Times New Roman" w:cs="Times New Roman" w:eastAsia="Times New Roman" w:hint="default"/>
                            <w:sz w:val="18"/>
                            <w:szCs w:val="18"/>
                          </w:rPr>
                          <w:t>2010</w:t>
                        </w:r>
                      </w:p>
                      <w:p>
                        <w:pPr>
                          <w:pStyle w:val="TableParagraph"/>
                          <w:spacing w:line="240" w:lineRule="auto" w:before="63"/>
                          <w:ind w:left="22"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1402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文核准，首次公开发行人民币普通股（</w:t>
                        </w: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w:t>
                        </w:r>
                        <w:r>
                          <w:rPr>
                            <w:rFonts w:ascii="Times New Roman" w:hAnsi="Times New Roman" w:cs="Times New Roman" w:eastAsia="Times New Roman" w:hint="default"/>
                            <w:sz w:val="18"/>
                            <w:szCs w:val="18"/>
                          </w:rPr>
                          <w:t>3,000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万股，发行价格每股 </w:t>
                        </w:r>
                        <w:r>
                          <w:rPr>
                            <w:rFonts w:ascii="Times New Roman" w:hAnsi="Times New Roman" w:cs="Times New Roman" w:eastAsia="Times New Roman" w:hint="default"/>
                            <w:sz w:val="18"/>
                            <w:szCs w:val="18"/>
                          </w:rPr>
                          <w:t>22.00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元，于 </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日在深圳</w:t>
                        </w:r>
                      </w:p>
                      <w:p>
                        <w:pPr>
                          <w:pStyle w:val="TableParagraph"/>
                          <w:spacing w:line="240" w:lineRule="auto" w:before="63"/>
                          <w:ind w:left="22" w:right="0"/>
                          <w:jc w:val="both"/>
                          <w:rPr>
                            <w:rFonts w:ascii="宋体" w:hAnsi="宋体" w:cs="宋体" w:eastAsia="宋体" w:hint="default"/>
                            <w:sz w:val="18"/>
                            <w:szCs w:val="18"/>
                          </w:rPr>
                        </w:pPr>
                        <w:r>
                          <w:rPr>
                            <w:rFonts w:ascii="宋体" w:hAnsi="宋体" w:cs="宋体" w:eastAsia="宋体" w:hint="default"/>
                            <w:sz w:val="18"/>
                            <w:szCs w:val="18"/>
                          </w:rPr>
                          <w:t>证券交易所创业板上市，向社会公众公开发行人民币普通股后增加注册资本</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3,000</w:t>
                        </w:r>
                        <w:r>
                          <w:rPr>
                            <w:rFonts w:ascii="Times New Roman" w:hAnsi="Times New Roman" w:cs="Times New Roman" w:eastAsia="Times New Roman" w:hint="default"/>
                            <w:spacing w:val="-5"/>
                            <w:sz w:val="18"/>
                            <w:szCs w:val="18"/>
                          </w:rPr>
                          <w:t> </w:t>
                        </w:r>
                        <w:r>
                          <w:rPr>
                            <w:rFonts w:ascii="宋体" w:hAnsi="宋体" w:cs="宋体" w:eastAsia="宋体" w:hint="default"/>
                            <w:spacing w:val="-4"/>
                            <w:sz w:val="18"/>
                            <w:szCs w:val="18"/>
                          </w:rPr>
                          <w:t>万元，共募集资金</w:t>
                        </w:r>
                        <w:r>
                          <w:rPr>
                            <w:rFonts w:ascii="宋体" w:hAnsi="宋体" w:cs="宋体" w:eastAsia="宋体" w:hint="default"/>
                            <w:spacing w:val="-8"/>
                            <w:sz w:val="18"/>
                            <w:szCs w:val="18"/>
                          </w:rPr>
                          <w:t> </w:t>
                        </w:r>
                        <w:r>
                          <w:rPr>
                            <w:rFonts w:ascii="Times New Roman" w:hAnsi="Times New Roman" w:cs="Times New Roman" w:eastAsia="Times New Roman" w:hint="default"/>
                            <w:sz w:val="18"/>
                            <w:szCs w:val="18"/>
                          </w:rPr>
                          <w:t>66,000</w:t>
                        </w:r>
                        <w:r>
                          <w:rPr>
                            <w:rFonts w:ascii="Times New Roman" w:hAnsi="Times New Roman" w:cs="Times New Roman" w:eastAsia="Times New Roman" w:hint="default"/>
                            <w:spacing w:val="-5"/>
                            <w:sz w:val="18"/>
                            <w:szCs w:val="18"/>
                          </w:rPr>
                          <w:t> </w:t>
                        </w:r>
                        <w:r>
                          <w:rPr>
                            <w:rFonts w:ascii="宋体" w:hAnsi="宋体" w:cs="宋体" w:eastAsia="宋体" w:hint="default"/>
                            <w:spacing w:val="-5"/>
                            <w:sz w:val="18"/>
                            <w:szCs w:val="18"/>
                          </w:rPr>
                          <w:t>万元，扣除发</w:t>
                        </w:r>
                      </w:p>
                      <w:p>
                        <w:pPr>
                          <w:pStyle w:val="TableParagraph"/>
                          <w:spacing w:line="240" w:lineRule="auto" w:before="63"/>
                          <w:ind w:left="22" w:right="0"/>
                          <w:jc w:val="both"/>
                          <w:rPr>
                            <w:rFonts w:ascii="宋体" w:hAnsi="宋体" w:cs="宋体" w:eastAsia="宋体" w:hint="default"/>
                            <w:sz w:val="18"/>
                            <w:szCs w:val="18"/>
                          </w:rPr>
                        </w:pPr>
                        <w:r>
                          <w:rPr>
                            <w:rFonts w:ascii="宋体" w:hAnsi="宋体" w:cs="宋体" w:eastAsia="宋体" w:hint="default"/>
                            <w:sz w:val="18"/>
                            <w:szCs w:val="18"/>
                          </w:rPr>
                          <w:t>行费用 </w:t>
                        </w:r>
                        <w:r>
                          <w:rPr>
                            <w:rFonts w:ascii="Times New Roman" w:hAnsi="Times New Roman" w:cs="Times New Roman" w:eastAsia="Times New Roman" w:hint="default"/>
                            <w:sz w:val="18"/>
                            <w:szCs w:val="18"/>
                          </w:rPr>
                          <w:t>3,349.67 </w:t>
                        </w:r>
                        <w:r>
                          <w:rPr>
                            <w:rFonts w:ascii="宋体" w:hAnsi="宋体" w:cs="宋体" w:eastAsia="宋体" w:hint="default"/>
                            <w:sz w:val="18"/>
                            <w:szCs w:val="18"/>
                          </w:rPr>
                          <w:t>万元后，公司募集资金净额为 </w:t>
                        </w:r>
                        <w:r>
                          <w:rPr>
                            <w:rFonts w:ascii="Times New Roman" w:hAnsi="Times New Roman" w:cs="Times New Roman" w:eastAsia="Times New Roman" w:hint="default"/>
                            <w:sz w:val="18"/>
                            <w:szCs w:val="18"/>
                          </w:rPr>
                          <w:t>62,650.33 </w:t>
                        </w:r>
                        <w:r>
                          <w:rPr>
                            <w:rFonts w:ascii="宋体" w:hAnsi="宋体" w:cs="宋体" w:eastAsia="宋体" w:hint="default"/>
                            <w:sz w:val="18"/>
                            <w:szCs w:val="18"/>
                          </w:rPr>
                          <w:t>万元，超募资金为 </w:t>
                        </w:r>
                        <w:r>
                          <w:rPr>
                            <w:rFonts w:ascii="Times New Roman" w:hAnsi="Times New Roman" w:cs="Times New Roman" w:eastAsia="Times New Roman" w:hint="default"/>
                            <w:sz w:val="18"/>
                            <w:szCs w:val="18"/>
                          </w:rPr>
                          <w:t>42,673.49</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万元。该募集资金已由中磊会计师</w:t>
                        </w:r>
                      </w:p>
                      <w:p>
                        <w:pPr>
                          <w:pStyle w:val="TableParagraph"/>
                          <w:spacing w:line="240" w:lineRule="auto" w:before="63"/>
                          <w:ind w:left="22" w:right="0"/>
                          <w:jc w:val="both"/>
                          <w:rPr>
                            <w:rFonts w:ascii="宋体" w:hAnsi="宋体" w:cs="宋体" w:eastAsia="宋体" w:hint="default"/>
                            <w:sz w:val="18"/>
                            <w:szCs w:val="18"/>
                          </w:rPr>
                        </w:pPr>
                        <w:r>
                          <w:rPr>
                            <w:rFonts w:ascii="宋体" w:hAnsi="宋体" w:cs="宋体" w:eastAsia="宋体" w:hint="default"/>
                            <w:sz w:val="18"/>
                            <w:szCs w:val="18"/>
                          </w:rPr>
                          <w:t>事务所有限责任公司以中磊验字（</w:t>
                        </w:r>
                        <w:r>
                          <w:rPr>
                            <w:rFonts w:ascii="Times New Roman" w:hAnsi="Times New Roman" w:cs="Times New Roman" w:eastAsia="Times New Roman" w:hint="default"/>
                            <w:sz w:val="18"/>
                            <w:szCs w:val="18"/>
                          </w:rPr>
                          <w:t>2010</w:t>
                        </w:r>
                        <w:r>
                          <w:rPr>
                            <w:rFonts w:ascii="宋体" w:hAnsi="宋体" w:cs="宋体" w:eastAsia="宋体" w:hint="default"/>
                            <w:sz w:val="18"/>
                            <w:szCs w:val="18"/>
                          </w:rPr>
                          <w:t>）第</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10011</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号《验资报告》验证确认。公司对募集资金采取了专户存储制度，实行</w:t>
                        </w:r>
                      </w:p>
                      <w:p>
                        <w:pPr>
                          <w:pStyle w:val="TableParagraph"/>
                          <w:spacing w:line="300" w:lineRule="auto" w:before="63"/>
                          <w:ind w:left="22" w:right="23"/>
                          <w:jc w:val="both"/>
                          <w:rPr>
                            <w:rFonts w:ascii="Times New Roman" w:hAnsi="Times New Roman" w:cs="Times New Roman" w:eastAsia="Times New Roman" w:hint="default"/>
                            <w:sz w:val="18"/>
                            <w:szCs w:val="18"/>
                          </w:rPr>
                        </w:pPr>
                        <w:r>
                          <w:rPr>
                            <w:rFonts w:ascii="宋体" w:hAnsi="宋体" w:cs="宋体" w:eastAsia="宋体" w:hint="default"/>
                            <w:sz w:val="18"/>
                            <w:szCs w:val="18"/>
                          </w:rPr>
                          <w:t>专款专用。公司于</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日经证监许可</w:t>
                        </w:r>
                        <w:r>
                          <w:rPr>
                            <w:rFonts w:ascii="Times New Roman" w:hAnsi="Times New Roman" w:cs="Times New Roman" w:eastAsia="Times New Roman" w:hint="default"/>
                            <w:sz w:val="18"/>
                            <w:szCs w:val="18"/>
                          </w:rPr>
                          <w:t>[2014]1396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号文核准，募集配套资金不超过</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8800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万元，发行人民币普通 </w:t>
                        </w:r>
                        <w:r>
                          <w:rPr>
                            <w:rFonts w:ascii="宋体" w:hAnsi="宋体" w:cs="宋体" w:eastAsia="宋体" w:hint="default"/>
                            <w:spacing w:val="-5"/>
                            <w:sz w:val="18"/>
                            <w:szCs w:val="18"/>
                          </w:rPr>
                          <w:t>股（</w:t>
                        </w:r>
                        <w:r>
                          <w:rPr>
                            <w:rFonts w:ascii="Times New Roman" w:hAnsi="Times New Roman" w:cs="Times New Roman" w:eastAsia="Times New Roman" w:hint="default"/>
                            <w:spacing w:val="-5"/>
                            <w:sz w:val="18"/>
                            <w:szCs w:val="18"/>
                          </w:rPr>
                          <w:t>A </w:t>
                        </w:r>
                        <w:r>
                          <w:rPr>
                            <w:rFonts w:ascii="宋体" w:hAnsi="宋体" w:cs="宋体" w:eastAsia="宋体" w:hint="default"/>
                            <w:sz w:val="18"/>
                            <w:szCs w:val="18"/>
                          </w:rPr>
                          <w:t>股）</w:t>
                        </w:r>
                        <w:r>
                          <w:rPr>
                            <w:rFonts w:ascii="Times New Roman" w:hAnsi="Times New Roman" w:cs="Times New Roman" w:eastAsia="Times New Roman" w:hint="default"/>
                            <w:sz w:val="18"/>
                            <w:szCs w:val="18"/>
                          </w:rPr>
                          <w:t>5,623,003 </w:t>
                        </w:r>
                        <w:r>
                          <w:rPr>
                            <w:rFonts w:ascii="宋体" w:hAnsi="宋体" w:cs="宋体" w:eastAsia="宋体" w:hint="default"/>
                            <w:sz w:val="18"/>
                            <w:szCs w:val="18"/>
                          </w:rPr>
                          <w:t>股，发行价格每股 </w:t>
                        </w:r>
                        <w:r>
                          <w:rPr>
                            <w:rFonts w:ascii="Times New Roman" w:hAnsi="Times New Roman" w:cs="Times New Roman" w:eastAsia="Times New Roman" w:hint="default"/>
                            <w:sz w:val="18"/>
                            <w:szCs w:val="18"/>
                          </w:rPr>
                          <w:t>15.65 </w:t>
                        </w:r>
                        <w:r>
                          <w:rPr>
                            <w:rFonts w:ascii="宋体" w:hAnsi="宋体" w:cs="宋体" w:eastAsia="宋体" w:hint="default"/>
                            <w:spacing w:val="-5"/>
                            <w:sz w:val="18"/>
                            <w:szCs w:val="18"/>
                          </w:rPr>
                          <w:t>元，共 </w:t>
                        </w:r>
                        <w:r>
                          <w:rPr>
                            <w:rFonts w:ascii="宋体" w:hAnsi="宋体" w:cs="宋体" w:eastAsia="宋体" w:hint="default"/>
                            <w:sz w:val="18"/>
                            <w:szCs w:val="18"/>
                          </w:rPr>
                          <w:t>募 集 资 金 </w:t>
                        </w:r>
                        <w:r>
                          <w:rPr>
                            <w:rFonts w:ascii="Times New Roman" w:hAnsi="Times New Roman" w:cs="Times New Roman" w:eastAsia="Times New Roman" w:hint="default"/>
                            <w:sz w:val="18"/>
                            <w:szCs w:val="18"/>
                          </w:rPr>
                          <w:t>87,999,996.95 </w:t>
                        </w:r>
                        <w:r>
                          <w:rPr>
                            <w:rFonts w:ascii="宋体" w:hAnsi="宋体" w:cs="宋体" w:eastAsia="宋体" w:hint="default"/>
                            <w:sz w:val="18"/>
                            <w:szCs w:val="18"/>
                          </w:rPr>
                          <w:t>元 ， 扣 除 与 本 次 发 行 有 关</w:t>
                        </w:r>
                        <w:r>
                          <w:rPr>
                            <w:rFonts w:ascii="宋体" w:hAnsi="宋体" w:cs="宋体" w:eastAsia="宋体" w:hint="default"/>
                            <w:spacing w:val="-42"/>
                            <w:sz w:val="18"/>
                            <w:szCs w:val="18"/>
                          </w:rPr>
                          <w:t> </w:t>
                        </w:r>
                        <w:r>
                          <w:rPr>
                            <w:rFonts w:ascii="宋体" w:hAnsi="宋体" w:cs="宋体" w:eastAsia="宋体" w:hint="default"/>
                            <w:sz w:val="18"/>
                            <w:szCs w:val="18"/>
                          </w:rPr>
                          <w:t>的</w:t>
                        </w:r>
                        <w:r>
                          <w:rPr>
                            <w:rFonts w:ascii="宋体" w:hAnsi="宋体" w:cs="宋体" w:eastAsia="宋体" w:hint="default"/>
                            <w:sz w:val="18"/>
                            <w:szCs w:val="18"/>
                          </w:rPr>
                          <w:t> 费 用 合 计 人 民 币 </w:t>
                        </w:r>
                        <w:r>
                          <w:rPr>
                            <w:rFonts w:ascii="Times New Roman" w:hAnsi="Times New Roman" w:cs="Times New Roman" w:eastAsia="Times New Roman" w:hint="default"/>
                            <w:sz w:val="18"/>
                            <w:szCs w:val="18"/>
                          </w:rPr>
                          <w:t>8,799,996.95 </w:t>
                        </w:r>
                        <w:r>
                          <w:rPr>
                            <w:rFonts w:ascii="宋体" w:hAnsi="宋体" w:cs="宋体" w:eastAsia="宋体" w:hint="default"/>
                            <w:sz w:val="18"/>
                            <w:szCs w:val="18"/>
                          </w:rPr>
                          <w:t>元后，本次募集资金净额为 </w:t>
                        </w:r>
                        <w:r>
                          <w:rPr>
                            <w:rFonts w:ascii="Times New Roman" w:hAnsi="Times New Roman" w:cs="Times New Roman" w:eastAsia="Times New Roman" w:hint="default"/>
                            <w:sz w:val="18"/>
                            <w:szCs w:val="18"/>
                          </w:rPr>
                          <w:t>79,200,000</w:t>
                        </w:r>
                        <w:r>
                          <w:rPr>
                            <w:rFonts w:ascii="Times New Roman" w:hAnsi="Times New Roman" w:cs="Times New Roman" w:eastAsia="Times New Roman" w:hint="default"/>
                            <w:spacing w:val="40"/>
                            <w:sz w:val="18"/>
                            <w:szCs w:val="18"/>
                          </w:rPr>
                          <w:t> </w:t>
                        </w:r>
                        <w:r>
                          <w:rPr>
                            <w:rFonts w:ascii="宋体" w:hAnsi="宋体" w:cs="宋体" w:eastAsia="宋体" w:hint="default"/>
                            <w:sz w:val="18"/>
                            <w:szCs w:val="18"/>
                          </w:rPr>
                          <w:t>元。该募集资金已由利安达出具的利安达验 字﹝</w:t>
                        </w:r>
                        <w:r>
                          <w:rPr>
                            <w:rFonts w:ascii="Times New Roman" w:hAnsi="Times New Roman" w:cs="Times New Roman" w:eastAsia="Times New Roman" w:hint="default"/>
                            <w:sz w:val="18"/>
                            <w:szCs w:val="18"/>
                          </w:rPr>
                          <w:t>2015</w:t>
                        </w:r>
                        <w:r>
                          <w:rPr>
                            <w:rFonts w:ascii="宋体" w:hAnsi="宋体" w:cs="宋体" w:eastAsia="宋体" w:hint="default"/>
                            <w:sz w:val="18"/>
                            <w:szCs w:val="18"/>
                          </w:rPr>
                          <w:t>﹞第</w:t>
                        </w:r>
                        <w:r>
                          <w:rPr>
                            <w:rFonts w:ascii="宋体" w:hAnsi="宋体" w:cs="宋体" w:eastAsia="宋体" w:hint="default"/>
                            <w:spacing w:val="-2"/>
                            <w:sz w:val="18"/>
                            <w:szCs w:val="18"/>
                          </w:rPr>
                          <w:t> </w:t>
                        </w:r>
                        <w:r>
                          <w:rPr>
                            <w:rFonts w:ascii="Times New Roman" w:hAnsi="Times New Roman" w:cs="Times New Roman" w:eastAsia="Times New Roman" w:hint="default"/>
                            <w:sz w:val="18"/>
                            <w:szCs w:val="18"/>
                          </w:rPr>
                          <w:t>1011</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号《验资报告》确认。公司对募集资金采取了专户存储制度，实行专款专用。截至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p>
                      <w:p>
                        <w:pPr>
                          <w:pStyle w:val="TableParagraph"/>
                          <w:spacing w:line="240" w:lineRule="auto" w:before="14"/>
                          <w:ind w:left="22" w:right="0"/>
                          <w:jc w:val="both"/>
                          <w:rPr>
                            <w:rFonts w:ascii="宋体" w:hAnsi="宋体" w:cs="宋体" w:eastAsia="宋体" w:hint="default"/>
                            <w:sz w:val="18"/>
                            <w:szCs w:val="18"/>
                          </w:rPr>
                        </w:pPr>
                        <w:r>
                          <w:rPr>
                            <w:rFonts w:ascii="宋体" w:hAnsi="宋体" w:cs="宋体" w:eastAsia="宋体" w:hint="default"/>
                            <w:sz w:val="18"/>
                            <w:szCs w:val="18"/>
                          </w:rPr>
                          <w:t>日，公司已累计投入募集资金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74,179.71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2"/>
          <w:szCs w:val="22"/>
        </w:rPr>
      </w:pPr>
    </w:p>
    <w:p>
      <w:pPr>
        <w:pStyle w:val="Heading3"/>
        <w:spacing w:line="240" w:lineRule="auto" w:before="35"/>
        <w:ind w:left="1134" w:right="0"/>
        <w:jc w:val="left"/>
        <w:rPr>
          <w:b w:val="0"/>
          <w:bCs w:val="0"/>
        </w:rPr>
      </w:pPr>
      <w:bookmarkStart w:name="（2）募集资金承诺项目情况" w:id="51"/>
      <w:bookmarkEnd w:id="51"/>
      <w:r>
        <w:rPr>
          <w:b w:val="0"/>
          <w:bCs w:val="0"/>
        </w:rPr>
      </w:r>
      <w:r>
        <w:rPr/>
        <w:t>（</w:t>
      </w:r>
      <w:r>
        <w:rPr>
          <w:rFonts w:ascii="Times New Roman" w:hAnsi="Times New Roman" w:cs="Times New Roman" w:eastAsia="Times New Roman" w:hint="default"/>
        </w:rPr>
        <w:t>2</w:t>
      </w:r>
      <w:r>
        <w:rPr/>
        <w:t>）募集资金承诺项目情况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13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79" w:top="1060" w:bottom="1160" w:left="0" w:right="0"/>
        </w:sectPr>
      </w:pPr>
    </w:p>
    <w:p>
      <w:pPr>
        <w:spacing w:line="240" w:lineRule="auto" w:before="13"/>
        <w:rPr>
          <w:rFonts w:ascii="宋体" w:hAnsi="宋体" w:cs="宋体" w:eastAsia="宋体" w:hint="default"/>
          <w:sz w:val="25"/>
          <w:szCs w:val="25"/>
        </w:rPr>
      </w:pPr>
    </w:p>
    <w:p>
      <w:pPr>
        <w:pStyle w:val="BodyText"/>
        <w:spacing w:line="240" w:lineRule="auto" w:before="44"/>
        <w:ind w:left="0" w:right="1130"/>
        <w:jc w:val="right"/>
      </w:pPr>
      <w:r>
        <w:rPr/>
        <w:t>单位：万元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770"/>
        <w:gridCol w:w="779"/>
        <w:gridCol w:w="780"/>
        <w:gridCol w:w="780"/>
        <w:gridCol w:w="779"/>
        <w:gridCol w:w="780"/>
        <w:gridCol w:w="780"/>
        <w:gridCol w:w="780"/>
        <w:gridCol w:w="780"/>
        <w:gridCol w:w="780"/>
        <w:gridCol w:w="780"/>
      </w:tblGrid>
      <w:tr>
        <w:trPr>
          <w:trHeight w:val="1338"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520" w:right="69" w:hanging="451"/>
              <w:jc w:val="left"/>
              <w:rPr>
                <w:rFonts w:ascii="宋体" w:hAnsi="宋体" w:cs="宋体" w:eastAsia="宋体" w:hint="default"/>
                <w:sz w:val="18"/>
                <w:szCs w:val="18"/>
              </w:rPr>
            </w:pPr>
            <w:r>
              <w:rPr>
                <w:rFonts w:ascii="宋体" w:hAnsi="宋体" w:cs="宋体" w:eastAsia="宋体" w:hint="default"/>
                <w:sz w:val="18"/>
                <w:szCs w:val="18"/>
              </w:rPr>
              <w:t>承诺投资项目和超募 资金投向</w:t>
            </w:r>
          </w:p>
        </w:tc>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52"/>
              <w:ind w:left="24" w:right="23"/>
              <w:jc w:val="center"/>
              <w:rPr>
                <w:rFonts w:ascii="Times New Roman" w:hAnsi="Times New Roman" w:cs="Times New Roman" w:eastAsia="Times New Roman" w:hint="default"/>
                <w:sz w:val="18"/>
                <w:szCs w:val="18"/>
              </w:rPr>
            </w:pPr>
            <w:r>
              <w:rPr>
                <w:rFonts w:ascii="宋体" w:hAnsi="宋体" w:cs="宋体" w:eastAsia="宋体" w:hint="default"/>
                <w:sz w:val="18"/>
                <w:szCs w:val="18"/>
              </w:rPr>
              <w:t>是否已变 更项目 </w:t>
            </w:r>
            <w:r>
              <w:rPr>
                <w:rFonts w:ascii="Times New Roman" w:hAnsi="Times New Roman" w:cs="Times New Roman" w:eastAsia="Times New Roman" w:hint="default"/>
                <w:sz w:val="18"/>
                <w:szCs w:val="18"/>
              </w:rPr>
              <w:t>(</w:t>
            </w:r>
            <w:r>
              <w:rPr>
                <w:rFonts w:ascii="宋体" w:hAnsi="宋体" w:cs="宋体" w:eastAsia="宋体" w:hint="default"/>
                <w:sz w:val="18"/>
                <w:szCs w:val="18"/>
              </w:rPr>
              <w:t>含部分 变更</w:t>
            </w:r>
            <w:r>
              <w:rPr>
                <w:rFonts w:ascii="Times New Roman" w:hAnsi="Times New Roman" w:cs="Times New Roman" w:eastAsia="Times New Roman" w:hint="default"/>
                <w:sz w:val="18"/>
                <w:szCs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9" w:lineRule="auto"/>
              <w:ind w:left="24" w:right="24"/>
              <w:jc w:val="center"/>
              <w:rPr>
                <w:rFonts w:ascii="宋体" w:hAnsi="宋体" w:cs="宋体" w:eastAsia="宋体" w:hint="default"/>
                <w:sz w:val="18"/>
                <w:szCs w:val="18"/>
              </w:rPr>
            </w:pPr>
            <w:r>
              <w:rPr>
                <w:rFonts w:ascii="宋体" w:hAnsi="宋体" w:cs="宋体" w:eastAsia="宋体" w:hint="default"/>
                <w:sz w:val="18"/>
                <w:szCs w:val="18"/>
              </w:rPr>
              <w:t>募集资金 承诺投资 总额</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38" w:lineRule="auto"/>
              <w:ind w:left="24" w:right="24"/>
              <w:jc w:val="center"/>
              <w:rPr>
                <w:rFonts w:ascii="Times New Roman" w:hAnsi="Times New Roman" w:cs="Times New Roman" w:eastAsia="Times New Roman" w:hint="default"/>
                <w:sz w:val="18"/>
                <w:szCs w:val="18"/>
              </w:rPr>
            </w:pPr>
            <w:r>
              <w:rPr>
                <w:rFonts w:ascii="宋体" w:hAnsi="宋体" w:cs="宋体" w:eastAsia="宋体" w:hint="default"/>
                <w:sz w:val="18"/>
                <w:szCs w:val="18"/>
              </w:rPr>
              <w:t>调整后投 资总额 </w:t>
            </w:r>
            <w:r>
              <w:rPr>
                <w:rFonts w:ascii="Times New Roman" w:hAnsi="Times New Roman" w:cs="Times New Roman" w:eastAsia="Times New Roman" w:hint="default"/>
                <w:sz w:val="18"/>
                <w:szCs w:val="18"/>
              </w:rPr>
              <w:t>(1)</w:t>
            </w:r>
          </w:p>
        </w:tc>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3" w:right="23"/>
              <w:jc w:val="left"/>
              <w:rPr>
                <w:rFonts w:ascii="宋体" w:hAnsi="宋体" w:cs="宋体" w:eastAsia="宋体" w:hint="default"/>
                <w:sz w:val="18"/>
                <w:szCs w:val="18"/>
              </w:rPr>
            </w:pPr>
            <w:r>
              <w:rPr>
                <w:rFonts w:ascii="宋体" w:hAnsi="宋体" w:cs="宋体" w:eastAsia="宋体" w:hint="default"/>
                <w:sz w:val="18"/>
                <w:szCs w:val="18"/>
              </w:rPr>
              <w:t>本报告期 投入金额</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9" w:lineRule="auto"/>
              <w:ind w:left="25" w:right="23"/>
              <w:jc w:val="both"/>
              <w:rPr>
                <w:rFonts w:ascii="Times New Roman" w:hAnsi="Times New Roman" w:cs="Times New Roman" w:eastAsia="Times New Roman" w:hint="default"/>
                <w:sz w:val="18"/>
                <w:szCs w:val="18"/>
              </w:rPr>
            </w:pPr>
            <w:r>
              <w:rPr>
                <w:rFonts w:ascii="宋体" w:hAnsi="宋体" w:cs="宋体" w:eastAsia="宋体" w:hint="default"/>
                <w:sz w:val="18"/>
                <w:szCs w:val="18"/>
              </w:rPr>
              <w:t>截至期末 累计投入 金额</w:t>
            </w:r>
            <w:r>
              <w:rPr>
                <w:rFonts w:ascii="Times New Roman" w:hAnsi="Times New Roman" w:cs="Times New Roman" w:eastAsia="Times New Roman" w:hint="default"/>
                <w:sz w:val="18"/>
                <w:szCs w:val="18"/>
              </w:rPr>
              <w:t>(2)</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4" w:lineRule="auto" w:before="52"/>
              <w:ind w:left="25" w:right="23"/>
              <w:jc w:val="center"/>
              <w:rPr>
                <w:rFonts w:ascii="Times New Roman" w:hAnsi="Times New Roman" w:cs="Times New Roman" w:eastAsia="Times New Roman" w:hint="default"/>
                <w:sz w:val="18"/>
                <w:szCs w:val="18"/>
              </w:rPr>
            </w:pPr>
            <w:r>
              <w:rPr>
                <w:rFonts w:ascii="宋体" w:hAnsi="宋体" w:cs="宋体" w:eastAsia="宋体" w:hint="default"/>
                <w:sz w:val="18"/>
                <w:szCs w:val="18"/>
              </w:rPr>
              <w:t>截至期末 投资进度 </w:t>
            </w:r>
            <w:r>
              <w:rPr>
                <w:rFonts w:ascii="Times New Roman" w:hAnsi="Times New Roman" w:cs="Times New Roman" w:eastAsia="Times New Roman" w:hint="default"/>
                <w:sz w:val="18"/>
                <w:szCs w:val="18"/>
              </w:rPr>
              <w:t>(3)</w:t>
            </w:r>
            <w:r>
              <w:rPr>
                <w:rFonts w:ascii="宋体" w:hAnsi="宋体" w:cs="宋体" w:eastAsia="宋体" w:hint="default"/>
                <w:sz w:val="18"/>
                <w:szCs w:val="18"/>
              </w:rPr>
              <w:t>＝ </w:t>
            </w:r>
            <w:r>
              <w:rPr>
                <w:rFonts w:ascii="Times New Roman" w:hAnsi="Times New Roman" w:cs="Times New Roman" w:eastAsia="Times New Roman" w:hint="default"/>
                <w:sz w:val="18"/>
                <w:szCs w:val="18"/>
              </w:rPr>
              <w:t>(2)/(1)</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25" w:right="23"/>
              <w:jc w:val="center"/>
              <w:rPr>
                <w:rFonts w:ascii="宋体" w:hAnsi="宋体" w:cs="宋体" w:eastAsia="宋体" w:hint="default"/>
                <w:sz w:val="18"/>
                <w:szCs w:val="18"/>
              </w:rPr>
            </w:pPr>
            <w:r>
              <w:rPr>
                <w:rFonts w:ascii="宋体" w:hAnsi="宋体" w:cs="宋体" w:eastAsia="宋体" w:hint="default"/>
                <w:sz w:val="18"/>
                <w:szCs w:val="18"/>
              </w:rPr>
              <w:t>项目达到 预定可使 用状态日 期</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9" w:lineRule="auto"/>
              <w:ind w:left="25" w:right="23"/>
              <w:jc w:val="center"/>
              <w:rPr>
                <w:rFonts w:ascii="宋体" w:hAnsi="宋体" w:cs="宋体" w:eastAsia="宋体" w:hint="default"/>
                <w:sz w:val="18"/>
                <w:szCs w:val="18"/>
              </w:rPr>
            </w:pPr>
            <w:r>
              <w:rPr>
                <w:rFonts w:ascii="宋体" w:hAnsi="宋体" w:cs="宋体" w:eastAsia="宋体" w:hint="default"/>
                <w:sz w:val="18"/>
                <w:szCs w:val="18"/>
              </w:rPr>
              <w:t>本报告期 实现的效 益</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5" w:right="23"/>
              <w:jc w:val="left"/>
              <w:rPr>
                <w:rFonts w:ascii="宋体" w:hAnsi="宋体" w:cs="宋体" w:eastAsia="宋体" w:hint="default"/>
                <w:sz w:val="18"/>
                <w:szCs w:val="18"/>
              </w:rPr>
            </w:pPr>
            <w:r>
              <w:rPr>
                <w:rFonts w:ascii="宋体" w:hAnsi="宋体" w:cs="宋体" w:eastAsia="宋体" w:hint="default"/>
                <w:sz w:val="18"/>
                <w:szCs w:val="18"/>
              </w:rPr>
              <w:t>是否达到 预计效益</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25" w:right="23"/>
              <w:jc w:val="center"/>
              <w:rPr>
                <w:rFonts w:ascii="宋体" w:hAnsi="宋体" w:cs="宋体" w:eastAsia="宋体" w:hint="default"/>
                <w:sz w:val="18"/>
                <w:szCs w:val="18"/>
              </w:rPr>
            </w:pPr>
            <w:r>
              <w:rPr>
                <w:rFonts w:ascii="宋体" w:hAnsi="宋体" w:cs="宋体" w:eastAsia="宋体" w:hint="default"/>
                <w:sz w:val="18"/>
                <w:szCs w:val="18"/>
              </w:rPr>
              <w:t>项目可行 性是否发 生重大变 化</w:t>
            </w:r>
          </w:p>
        </w:tc>
      </w:tr>
      <w:tr>
        <w:trPr>
          <w:trHeight w:val="402" w:hRule="exact"/>
        </w:trPr>
        <w:tc>
          <w:tcPr>
            <w:tcW w:w="9569"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承诺投资项目</w:t>
            </w:r>
          </w:p>
        </w:tc>
      </w:tr>
      <w:tr>
        <w:trPr>
          <w:trHeight w:val="1026" w:hRule="exact"/>
        </w:trPr>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17"/>
              <w:jc w:val="both"/>
              <w:rPr>
                <w:rFonts w:ascii="宋体" w:hAnsi="宋体" w:cs="宋体" w:eastAsia="宋体" w:hint="default"/>
                <w:sz w:val="18"/>
                <w:szCs w:val="18"/>
              </w:rPr>
            </w:pPr>
            <w:r>
              <w:rPr>
                <w:rFonts w:ascii="宋体" w:hAnsi="宋体" w:cs="宋体" w:eastAsia="宋体" w:hint="default"/>
                <w:sz w:val="18"/>
                <w:szCs w:val="18"/>
              </w:rPr>
              <w:t>饮用水水质安全在线 监测系统及预警信息 管理装备产业化项目</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10,337.84</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10,337.84</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10.25</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10,344.97</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81" w:right="0"/>
              <w:jc w:val="center"/>
              <w:rPr>
                <w:rFonts w:ascii="Times New Roman" w:hAnsi="Times New Roman" w:cs="Times New Roman" w:eastAsia="Times New Roman" w:hint="default"/>
                <w:sz w:val="18"/>
                <w:szCs w:val="18"/>
              </w:rPr>
            </w:pPr>
            <w:r>
              <w:rPr>
                <w:rFonts w:ascii="Times New Roman"/>
                <w:sz w:val="18"/>
              </w:rPr>
              <w:t>100.07%</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2" w:right="117"/>
              <w:jc w:val="left"/>
              <w:rPr>
                <w:rFonts w:ascii="宋体" w:hAnsi="宋体" w:cs="宋体" w:eastAsia="宋体" w:hint="default"/>
                <w:sz w:val="18"/>
                <w:szCs w:val="18"/>
              </w:rPr>
            </w:pPr>
            <w:r>
              <w:rPr>
                <w:rFonts w:ascii="宋体" w:hAnsi="宋体" w:cs="宋体" w:eastAsia="宋体" w:hint="default"/>
                <w:sz w:val="18"/>
                <w:szCs w:val="18"/>
              </w:rPr>
              <w:t>水质安全在线监测系 统技术改造项目</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4,168</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4,168</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44.1</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4,174.3</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81" w:right="0"/>
              <w:jc w:val="center"/>
              <w:rPr>
                <w:rFonts w:ascii="Times New Roman" w:hAnsi="Times New Roman" w:cs="Times New Roman" w:eastAsia="Times New Roman" w:hint="default"/>
                <w:sz w:val="18"/>
                <w:szCs w:val="18"/>
              </w:rPr>
            </w:pPr>
            <w:r>
              <w:rPr>
                <w:rFonts w:ascii="Times New Roman"/>
                <w:sz w:val="18"/>
              </w:rPr>
              <w:t>100.15%</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2" w:right="117"/>
              <w:jc w:val="left"/>
              <w:rPr>
                <w:rFonts w:ascii="宋体" w:hAnsi="宋体" w:cs="宋体" w:eastAsia="宋体" w:hint="default"/>
                <w:sz w:val="18"/>
                <w:szCs w:val="18"/>
              </w:rPr>
            </w:pPr>
            <w:r>
              <w:rPr>
                <w:rFonts w:ascii="宋体" w:hAnsi="宋体" w:cs="宋体" w:eastAsia="宋体" w:hint="default"/>
                <w:sz w:val="18"/>
                <w:szCs w:val="18"/>
              </w:rPr>
              <w:t>环境监测设施市场化 运营服务项目</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1,909.37</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1,909.37</w:t>
            </w:r>
          </w:p>
        </w:tc>
        <w:tc>
          <w:tcPr>
            <w:tcW w:w="779"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1,909.37</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81" w:right="0"/>
              <w:jc w:val="center"/>
              <w:rPr>
                <w:rFonts w:ascii="Times New Roman" w:hAnsi="Times New Roman" w:cs="Times New Roman" w:eastAsia="Times New Roman" w:hint="default"/>
                <w:sz w:val="18"/>
                <w:szCs w:val="18"/>
              </w:rPr>
            </w:pPr>
            <w:r>
              <w:rPr>
                <w:rFonts w:ascii="Times New Roman"/>
                <w:sz w:val="18"/>
              </w:rPr>
              <w:t>100.00%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30</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7,366</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2"/>
              <w:ind w:left="22" w:right="55"/>
              <w:jc w:val="both"/>
              <w:rPr>
                <w:rFonts w:ascii="宋体" w:hAnsi="宋体" w:cs="宋体" w:eastAsia="宋体" w:hint="default"/>
                <w:sz w:val="18"/>
                <w:szCs w:val="18"/>
              </w:rPr>
            </w:pPr>
            <w:r>
              <w:rPr>
                <w:rFonts w:ascii="宋体" w:hAnsi="宋体" w:cs="宋体" w:eastAsia="宋体" w:hint="default"/>
                <w:sz w:val="18"/>
                <w:szCs w:val="18"/>
              </w:rPr>
              <w:t>设立美国子公司收购 美国</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CES</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公司部分股 权及增资项目</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3,561.63</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3,561.63</w:t>
            </w:r>
          </w:p>
        </w:tc>
        <w:tc>
          <w:tcPr>
            <w:tcW w:w="779"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3,561.63</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81" w:right="0"/>
              <w:jc w:val="center"/>
              <w:rPr>
                <w:rFonts w:ascii="Times New Roman" w:hAnsi="Times New Roman" w:cs="Times New Roman" w:eastAsia="Times New Roman" w:hint="default"/>
                <w:sz w:val="18"/>
                <w:szCs w:val="18"/>
              </w:rPr>
            </w:pPr>
            <w:r>
              <w:rPr>
                <w:rFonts w:ascii="Times New Roman"/>
                <w:sz w:val="18"/>
              </w:rPr>
              <w:t>100.00%</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8.94</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17"/>
              <w:jc w:val="left"/>
              <w:rPr>
                <w:rFonts w:ascii="宋体" w:hAnsi="宋体" w:cs="宋体" w:eastAsia="宋体" w:hint="default"/>
                <w:sz w:val="18"/>
                <w:szCs w:val="18"/>
              </w:rPr>
            </w:pPr>
            <w:r>
              <w:rPr>
                <w:rFonts w:ascii="宋体" w:hAnsi="宋体" w:cs="宋体" w:eastAsia="宋体" w:hint="default"/>
                <w:sz w:val="18"/>
                <w:szCs w:val="18"/>
              </w:rPr>
              <w:t>收购广东科迪隆与广 西先得</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80%</w:t>
            </w:r>
            <w:r>
              <w:rPr>
                <w:rFonts w:ascii="宋体" w:hAnsi="宋体" w:cs="宋体" w:eastAsia="宋体" w:hint="default"/>
                <w:sz w:val="18"/>
                <w:szCs w:val="18"/>
              </w:rPr>
              <w:t>股权</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8,086</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8,086</w:t>
            </w:r>
          </w:p>
        </w:tc>
        <w:tc>
          <w:tcPr>
            <w:tcW w:w="779"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8,086</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81" w:right="0"/>
              <w:jc w:val="center"/>
              <w:rPr>
                <w:rFonts w:ascii="Times New Roman" w:hAnsi="Times New Roman" w:cs="Times New Roman" w:eastAsia="Times New Roman" w:hint="default"/>
                <w:sz w:val="18"/>
                <w:szCs w:val="18"/>
              </w:rPr>
            </w:pPr>
            <w:r>
              <w:rPr>
                <w:rFonts w:ascii="Times New Roman"/>
                <w:sz w:val="18"/>
              </w:rPr>
              <w:t>100.00%</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3,785.54</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承诺投资项目小计</w:t>
            </w:r>
          </w:p>
        </w:tc>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323"/>
              <w:jc w:val="right"/>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28,062.84</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28,062.84</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54.35</w:t>
            </w:r>
          </w:p>
        </w:tc>
        <w:tc>
          <w:tcPr>
            <w:tcW w:w="780"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2"/>
              <w:ind w:right="8"/>
              <w:jc w:val="right"/>
              <w:rPr>
                <w:rFonts w:ascii="Times New Roman" w:hAnsi="Times New Roman" w:cs="Times New Roman" w:eastAsia="Times New Roman" w:hint="default"/>
                <w:sz w:val="18"/>
                <w:szCs w:val="18"/>
              </w:rPr>
            </w:pPr>
            <w:r>
              <w:rPr>
                <w:rFonts w:ascii="Times New Roman"/>
                <w:sz w:val="18"/>
              </w:rPr>
              <w:t>28,076.27</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325" w:right="0"/>
              <w:jc w:val="left"/>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2"/>
              <w:ind w:right="8"/>
              <w:jc w:val="right"/>
              <w:rPr>
                <w:rFonts w:ascii="Times New Roman" w:hAnsi="Times New Roman" w:cs="Times New Roman" w:eastAsia="Times New Roman" w:hint="default"/>
                <w:sz w:val="18"/>
                <w:szCs w:val="18"/>
              </w:rPr>
            </w:pPr>
            <w:r>
              <w:rPr>
                <w:rFonts w:ascii="Times New Roman"/>
                <w:spacing w:val="-1"/>
                <w:sz w:val="18"/>
              </w:rPr>
              <w:t>11,160.48</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323"/>
              <w:jc w:val="right"/>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323"/>
              <w:jc w:val="right"/>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9569"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超募资金投向</w:t>
            </w:r>
          </w:p>
        </w:tc>
      </w:tr>
      <w:tr>
        <w:trPr>
          <w:trHeight w:val="714" w:hRule="exact"/>
        </w:trPr>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17"/>
              <w:jc w:val="left"/>
              <w:rPr>
                <w:rFonts w:ascii="宋体" w:hAnsi="宋体" w:cs="宋体" w:eastAsia="宋体" w:hint="default"/>
                <w:sz w:val="18"/>
                <w:szCs w:val="18"/>
              </w:rPr>
            </w:pPr>
            <w:r>
              <w:rPr>
                <w:rFonts w:ascii="宋体" w:hAnsi="宋体" w:cs="宋体" w:eastAsia="宋体" w:hint="default"/>
                <w:sz w:val="18"/>
                <w:szCs w:val="18"/>
              </w:rPr>
              <w:t>投资设立山东先河环 保科技有限公司</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800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800</w:t>
            </w:r>
          </w:p>
        </w:tc>
        <w:tc>
          <w:tcPr>
            <w:tcW w:w="779"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81" w:right="0"/>
              <w:jc w:val="center"/>
              <w:rPr>
                <w:rFonts w:ascii="Times New Roman" w:hAnsi="Times New Roman" w:cs="Times New Roman" w:eastAsia="Times New Roman" w:hint="default"/>
                <w:sz w:val="18"/>
                <w:szCs w:val="18"/>
              </w:rPr>
            </w:pPr>
            <w:r>
              <w:rPr>
                <w:rFonts w:ascii="Times New Roman"/>
                <w:sz w:val="18"/>
              </w:rPr>
              <w:t>100.00%</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-123.56</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山东空气自动站</w:t>
            </w:r>
            <w:r>
              <w:rPr>
                <w:rFonts w:ascii="Times New Roman" w:hAnsi="Times New Roman" w:cs="Times New Roman" w:eastAsia="Times New Roman" w:hint="default"/>
                <w:sz w:val="18"/>
                <w:szCs w:val="18"/>
              </w:rPr>
              <w:t>“</w:t>
            </w:r>
            <w:r>
              <w:rPr>
                <w:rFonts w:ascii="宋体" w:hAnsi="宋体" w:cs="宋体" w:eastAsia="宋体" w:hint="default"/>
                <w:sz w:val="18"/>
                <w:szCs w:val="18"/>
              </w:rPr>
              <w:t>转让</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经营</w:t>
            </w:r>
            <w:r>
              <w:rPr>
                <w:rFonts w:ascii="Times New Roman" w:hAnsi="Times New Roman" w:cs="Times New Roman" w:eastAsia="Times New Roman" w:hint="default"/>
                <w:sz w:val="18"/>
                <w:szCs w:val="18"/>
              </w:rPr>
              <w:t>”</w:t>
            </w:r>
            <w:r>
              <w:rPr>
                <w:rFonts w:ascii="宋体" w:hAnsi="宋体" w:cs="宋体" w:eastAsia="宋体" w:hint="default"/>
                <w:sz w:val="18"/>
                <w:szCs w:val="18"/>
              </w:rPr>
              <w:t>推广项目</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2,356.69</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2,356.69</w:t>
            </w:r>
          </w:p>
        </w:tc>
        <w:tc>
          <w:tcPr>
            <w:tcW w:w="779"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2,356.69</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81" w:right="0"/>
              <w:jc w:val="center"/>
              <w:rPr>
                <w:rFonts w:ascii="Times New Roman" w:hAnsi="Times New Roman" w:cs="Times New Roman" w:eastAsia="Times New Roman" w:hint="default"/>
                <w:sz w:val="18"/>
                <w:szCs w:val="18"/>
              </w:rPr>
            </w:pPr>
            <w:r>
              <w:rPr>
                <w:rFonts w:ascii="Times New Roman"/>
                <w:sz w:val="18"/>
              </w:rPr>
              <w:t>100.00%</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791.93</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17"/>
              <w:jc w:val="left"/>
              <w:rPr>
                <w:rFonts w:ascii="宋体" w:hAnsi="宋体" w:cs="宋体" w:eastAsia="宋体" w:hint="default"/>
                <w:sz w:val="18"/>
                <w:szCs w:val="18"/>
              </w:rPr>
            </w:pPr>
            <w:r>
              <w:rPr>
                <w:rFonts w:ascii="宋体" w:hAnsi="宋体" w:cs="宋体" w:eastAsia="宋体" w:hint="default"/>
                <w:sz w:val="18"/>
                <w:szCs w:val="18"/>
              </w:rPr>
              <w:t>投资设立四川先河环 保科技有限公司</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5,000</w:t>
            </w:r>
          </w:p>
        </w:tc>
        <w:tc>
          <w:tcPr>
            <w:tcW w:w="779"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5,049.51</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81" w:right="0"/>
              <w:jc w:val="center"/>
              <w:rPr>
                <w:rFonts w:ascii="Times New Roman" w:hAnsi="Times New Roman" w:cs="Times New Roman" w:eastAsia="Times New Roman" w:hint="default"/>
                <w:sz w:val="18"/>
                <w:szCs w:val="18"/>
              </w:rPr>
            </w:pPr>
            <w:r>
              <w:rPr>
                <w:rFonts w:ascii="Times New Roman"/>
                <w:sz w:val="18"/>
              </w:rPr>
              <w:t>100.99%</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87.49</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2"/>
              <w:ind w:left="22" w:right="55"/>
              <w:jc w:val="left"/>
              <w:rPr>
                <w:rFonts w:ascii="宋体" w:hAnsi="宋体" w:cs="宋体" w:eastAsia="宋体" w:hint="default"/>
                <w:sz w:val="18"/>
                <w:szCs w:val="18"/>
              </w:rPr>
            </w:pPr>
            <w:r>
              <w:rPr>
                <w:rFonts w:ascii="宋体" w:hAnsi="宋体" w:cs="宋体" w:eastAsia="宋体" w:hint="default"/>
                <w:sz w:val="18"/>
                <w:szCs w:val="18"/>
              </w:rPr>
              <w:t>收购美国</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CES </w:t>
            </w:r>
            <w:r>
              <w:rPr>
                <w:rFonts w:ascii="宋体" w:hAnsi="宋体" w:cs="宋体" w:eastAsia="宋体" w:hint="default"/>
                <w:sz w:val="18"/>
                <w:szCs w:val="18"/>
              </w:rPr>
              <w:t>公司部 分股权及增资</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279.96</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279.96</w:t>
            </w:r>
          </w:p>
        </w:tc>
        <w:tc>
          <w:tcPr>
            <w:tcW w:w="779"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279.96</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81" w:right="0"/>
              <w:jc w:val="center"/>
              <w:rPr>
                <w:rFonts w:ascii="Times New Roman" w:hAnsi="Times New Roman" w:cs="Times New Roman" w:eastAsia="Times New Roman" w:hint="default"/>
                <w:sz w:val="18"/>
                <w:szCs w:val="18"/>
              </w:rPr>
            </w:pPr>
            <w:r>
              <w:rPr>
                <w:rFonts w:ascii="Times New Roman"/>
                <w:sz w:val="18"/>
              </w:rPr>
              <w:t>100.00%</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17"/>
              <w:jc w:val="left"/>
              <w:rPr>
                <w:rFonts w:ascii="宋体" w:hAnsi="宋体" w:cs="宋体" w:eastAsia="宋体" w:hint="default"/>
                <w:sz w:val="18"/>
                <w:szCs w:val="18"/>
              </w:rPr>
            </w:pPr>
            <w:r>
              <w:rPr>
                <w:rFonts w:ascii="宋体" w:hAnsi="宋体" w:cs="宋体" w:eastAsia="宋体" w:hint="default"/>
                <w:sz w:val="18"/>
                <w:szCs w:val="18"/>
              </w:rPr>
              <w:t>投资设立先河正源环 境治理技术有限公司</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2,700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2,700</w:t>
            </w:r>
          </w:p>
        </w:tc>
        <w:tc>
          <w:tcPr>
            <w:tcW w:w="779"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2,797.3</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81" w:right="0"/>
              <w:jc w:val="center"/>
              <w:rPr>
                <w:rFonts w:ascii="Times New Roman" w:hAnsi="Times New Roman" w:cs="Times New Roman" w:eastAsia="Times New Roman" w:hint="default"/>
                <w:sz w:val="18"/>
                <w:szCs w:val="18"/>
              </w:rPr>
            </w:pPr>
            <w:r>
              <w:rPr>
                <w:rFonts w:ascii="Times New Roman"/>
                <w:sz w:val="18"/>
              </w:rPr>
              <w:t>103.60%</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-269.86</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17"/>
              <w:jc w:val="left"/>
              <w:rPr>
                <w:rFonts w:ascii="宋体" w:hAnsi="宋体" w:cs="宋体" w:eastAsia="宋体" w:hint="default"/>
                <w:sz w:val="18"/>
                <w:szCs w:val="18"/>
              </w:rPr>
            </w:pPr>
            <w:r>
              <w:rPr>
                <w:rFonts w:ascii="宋体" w:hAnsi="宋体" w:cs="宋体" w:eastAsia="宋体" w:hint="default"/>
                <w:sz w:val="18"/>
                <w:szCs w:val="18"/>
              </w:rPr>
              <w:t>投资设立先河正态环 境检测有限公司</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453.51</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1,023.69</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81" w:right="0"/>
              <w:jc w:val="center"/>
              <w:rPr>
                <w:rFonts w:ascii="Times New Roman" w:hAnsi="Times New Roman" w:cs="Times New Roman" w:eastAsia="Times New Roman" w:hint="default"/>
                <w:sz w:val="18"/>
                <w:szCs w:val="18"/>
              </w:rPr>
            </w:pPr>
            <w:r>
              <w:rPr>
                <w:rFonts w:ascii="Times New Roman"/>
                <w:sz w:val="18"/>
              </w:rPr>
              <w:t>102.37%</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-8.16</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归还银行贷款（如有</w:t>
            </w:r>
          </w:p>
        </w:tc>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tabs>
                <w:tab w:pos="323" w:val="left" w:leader="none"/>
              </w:tabs>
              <w:spacing w:line="240" w:lineRule="auto" w:before="52"/>
              <w:ind w:left="-128" w:right="323"/>
              <w:jc w:val="right"/>
              <w:rPr>
                <w:rFonts w:ascii="Times New Roman" w:hAnsi="Times New Roman" w:cs="Times New Roman" w:eastAsia="Times New Roman" w:hint="default"/>
                <w:sz w:val="18"/>
                <w:szCs w:val="18"/>
              </w:rPr>
            </w:pPr>
            <w:r>
              <w:rPr>
                <w:rFonts w:ascii="宋体" w:hAnsi="宋体" w:cs="宋体" w:eastAsia="宋体" w:hint="default"/>
                <w:sz w:val="18"/>
                <w:szCs w:val="18"/>
              </w:rPr>
              <w:t>）</w:t>
              <w:tab/>
            </w:r>
            <w:r>
              <w:rPr>
                <w:rFonts w:ascii="Times New Roman" w:hAnsi="Times New Roman" w:cs="Times New Roman" w:eastAsia="Times New Roman" w:hint="default"/>
                <w:sz w:val="18"/>
                <w:szCs w:val="18"/>
              </w:rPr>
              <w:t>--</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4,800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4,800</w:t>
            </w:r>
          </w:p>
        </w:tc>
        <w:tc>
          <w:tcPr>
            <w:tcW w:w="779"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4,800</w:t>
            </w:r>
          </w:p>
        </w:tc>
        <w:tc>
          <w:tcPr>
            <w:tcW w:w="780"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2"/>
              <w:ind w:left="93" w:right="0"/>
              <w:jc w:val="center"/>
              <w:rPr>
                <w:rFonts w:ascii="Times New Roman" w:hAnsi="Times New Roman" w:cs="Times New Roman" w:eastAsia="Times New Roman" w:hint="default"/>
                <w:sz w:val="18"/>
                <w:szCs w:val="18"/>
              </w:rPr>
            </w:pPr>
            <w:r>
              <w:rPr>
                <w:rFonts w:ascii="Times New Roman"/>
                <w:sz w:val="18"/>
              </w:rPr>
              <w:t>100.00%</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325" w:right="0"/>
              <w:jc w:val="left"/>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323"/>
              <w:jc w:val="right"/>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323"/>
              <w:jc w:val="righ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补充流动资金（如有</w:t>
            </w:r>
          </w:p>
        </w:tc>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tabs>
                <w:tab w:pos="323" w:val="left" w:leader="none"/>
              </w:tabs>
              <w:spacing w:line="240" w:lineRule="auto" w:before="53"/>
              <w:ind w:left="-128" w:right="323"/>
              <w:jc w:val="right"/>
              <w:rPr>
                <w:rFonts w:ascii="Times New Roman" w:hAnsi="Times New Roman" w:cs="Times New Roman" w:eastAsia="Times New Roman" w:hint="default"/>
                <w:sz w:val="18"/>
                <w:szCs w:val="18"/>
              </w:rPr>
            </w:pPr>
            <w:r>
              <w:rPr>
                <w:rFonts w:ascii="宋体" w:hAnsi="宋体" w:cs="宋体" w:eastAsia="宋体" w:hint="default"/>
                <w:sz w:val="18"/>
                <w:szCs w:val="18"/>
              </w:rPr>
              <w:t>）</w:t>
              <w:tab/>
            </w:r>
            <w:r>
              <w:rPr>
                <w:rFonts w:ascii="Times New Roman" w:hAnsi="Times New Roman" w:cs="Times New Roman" w:eastAsia="Times New Roman" w:hint="default"/>
                <w:sz w:val="18"/>
                <w:szCs w:val="18"/>
              </w:rPr>
              <w:t>--</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28,965.49</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28,965.49</w:t>
            </w:r>
          </w:p>
        </w:tc>
        <w:tc>
          <w:tcPr>
            <w:tcW w:w="779"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28,996.29</w:t>
            </w:r>
          </w:p>
        </w:tc>
        <w:tc>
          <w:tcPr>
            <w:tcW w:w="780"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2"/>
              <w:ind w:left="98" w:right="0"/>
              <w:jc w:val="center"/>
              <w:rPr>
                <w:rFonts w:ascii="Times New Roman" w:hAnsi="Times New Roman" w:cs="Times New Roman" w:eastAsia="Times New Roman" w:hint="default"/>
                <w:sz w:val="18"/>
                <w:szCs w:val="18"/>
              </w:rPr>
            </w:pPr>
            <w:r>
              <w:rPr>
                <w:rFonts w:ascii="Times New Roman"/>
                <w:sz w:val="18"/>
              </w:rPr>
              <w:t>100.11%</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325" w:right="0"/>
              <w:jc w:val="left"/>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323"/>
              <w:jc w:val="right"/>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323"/>
              <w:jc w:val="right"/>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超募资金投向小计</w:t>
            </w:r>
          </w:p>
        </w:tc>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323"/>
              <w:jc w:val="right"/>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45,902.14</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45,902.14</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453.51</w:t>
            </w:r>
          </w:p>
        </w:tc>
        <w:tc>
          <w:tcPr>
            <w:tcW w:w="780"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2"/>
              <w:ind w:right="8"/>
              <w:jc w:val="right"/>
              <w:rPr>
                <w:rFonts w:ascii="Times New Roman" w:hAnsi="Times New Roman" w:cs="Times New Roman" w:eastAsia="Times New Roman" w:hint="default"/>
                <w:sz w:val="18"/>
                <w:szCs w:val="18"/>
              </w:rPr>
            </w:pPr>
            <w:r>
              <w:rPr>
                <w:rFonts w:ascii="Times New Roman"/>
                <w:sz w:val="18"/>
              </w:rPr>
              <w:t>46,103.44</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325" w:right="0"/>
              <w:jc w:val="left"/>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2"/>
              <w:ind w:right="7"/>
              <w:jc w:val="right"/>
              <w:rPr>
                <w:rFonts w:ascii="Times New Roman" w:hAnsi="Times New Roman" w:cs="Times New Roman" w:eastAsia="Times New Roman" w:hint="default"/>
                <w:sz w:val="18"/>
                <w:szCs w:val="18"/>
              </w:rPr>
            </w:pPr>
            <w:r>
              <w:rPr>
                <w:rFonts w:ascii="Times New Roman"/>
                <w:sz w:val="18"/>
              </w:rPr>
              <w:t>477.84</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323"/>
              <w:jc w:val="right"/>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323"/>
              <w:jc w:val="right"/>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323"/>
              <w:jc w:val="right"/>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73,964.98</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73,964.98</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507.86</w:t>
            </w:r>
          </w:p>
        </w:tc>
        <w:tc>
          <w:tcPr>
            <w:tcW w:w="780"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z w:val="18"/>
              </w:rPr>
              <w:t>74,179.71</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325" w:right="0"/>
              <w:jc w:val="left"/>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pacing w:val="-1"/>
                <w:sz w:val="18"/>
              </w:rPr>
              <w:t>11,638.32</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323"/>
              <w:jc w:val="right"/>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323"/>
              <w:jc w:val="right"/>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0"/>
        <w:rPr>
          <w:rFonts w:ascii="宋体" w:hAnsi="宋体" w:cs="宋体" w:eastAsia="宋体" w:hint="default"/>
          <w:sz w:val="20"/>
          <w:szCs w:val="20"/>
        </w:rPr>
      </w:pPr>
      <w:r>
        <w:rPr/>
        <w:pict>
          <v:shape style="position:absolute;margin-left:56.459999pt;margin-top:71.999985pt;width:479.2pt;height:687.4pt;mso-position-horizontal-relative:page;mso-position-vertical-relative:page;z-index:119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770"/>
                    <w:gridCol w:w="7798"/>
                  </w:tblGrid>
                  <w:tr>
                    <w:trPr>
                      <w:trHeight w:val="4146"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316" w:lineRule="auto"/>
                          <w:ind w:left="22" w:right="117"/>
                          <w:jc w:val="left"/>
                          <w:rPr>
                            <w:rFonts w:ascii="宋体" w:hAnsi="宋体" w:cs="宋体" w:eastAsia="宋体" w:hint="default"/>
                            <w:sz w:val="18"/>
                            <w:szCs w:val="18"/>
                          </w:rPr>
                        </w:pPr>
                        <w:r>
                          <w:rPr>
                            <w:rFonts w:ascii="宋体" w:hAnsi="宋体" w:cs="宋体" w:eastAsia="宋体" w:hint="default"/>
                            <w:sz w:val="18"/>
                            <w:szCs w:val="18"/>
                          </w:rPr>
                          <w:t>未达到计划进度或预 计收益的情况和原因</w:t>
                        </w:r>
                      </w:p>
                      <w:p>
                        <w:pPr>
                          <w:pStyle w:val="TableParagraph"/>
                          <w:spacing w:line="240" w:lineRule="auto" w:before="20"/>
                          <w:ind w:left="22" w:right="0"/>
                          <w:jc w:val="left"/>
                          <w:rPr>
                            <w:rFonts w:ascii="宋体" w:hAnsi="宋体" w:cs="宋体" w:eastAsia="宋体" w:hint="default"/>
                            <w:sz w:val="18"/>
                            <w:szCs w:val="18"/>
                          </w:rPr>
                        </w:pPr>
                        <w:r>
                          <w:rPr>
                            <w:rFonts w:ascii="宋体" w:hAnsi="宋体" w:cs="宋体" w:eastAsia="宋体" w:hint="default"/>
                            <w:sz w:val="18"/>
                            <w:szCs w:val="18"/>
                          </w:rPr>
                          <w:t>（分具体项目）</w:t>
                        </w: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日，根据第一届董事会第十八次会议决议，公司延长</w:t>
                        </w:r>
                        <w:r>
                          <w:rPr>
                            <w:rFonts w:ascii="Times New Roman" w:hAnsi="Times New Roman" w:cs="Times New Roman" w:eastAsia="Times New Roman" w:hint="default"/>
                            <w:sz w:val="18"/>
                            <w:szCs w:val="18"/>
                          </w:rPr>
                          <w:t>“</w:t>
                        </w:r>
                        <w:r>
                          <w:rPr>
                            <w:rFonts w:ascii="宋体" w:hAnsi="宋体" w:cs="宋体" w:eastAsia="宋体" w:hint="default"/>
                            <w:sz w:val="18"/>
                            <w:szCs w:val="18"/>
                          </w:rPr>
                          <w:t>饮用水水质安全在线监测系统</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及预警信息管理装备产业化项目</w:t>
                        </w:r>
                        <w:r>
                          <w:rPr>
                            <w:rFonts w:ascii="Times New Roman" w:hAnsi="Times New Roman" w:cs="Times New Roman" w:eastAsia="Times New Roman" w:hint="default"/>
                            <w:w w:val="100"/>
                            <w:sz w:val="18"/>
                            <w:szCs w:val="18"/>
                          </w:rPr>
                          <w:t>”</w:t>
                        </w:r>
                        <w:r>
                          <w:rPr>
                            <w:rFonts w:ascii="宋体" w:hAnsi="宋体" w:cs="宋体" w:eastAsia="宋体" w:hint="default"/>
                            <w:sz w:val="18"/>
                            <w:szCs w:val="18"/>
                          </w:rPr>
                          <w:t>建设时间</w:t>
                        </w:r>
                        <w:r>
                          <w:rPr>
                            <w:rFonts w:ascii="宋体" w:hAnsi="宋体" w:cs="宋体" w:eastAsia="宋体" w:hint="default"/>
                            <w:spacing w:val="-78"/>
                            <w:sz w:val="18"/>
                            <w:szCs w:val="18"/>
                          </w:rPr>
                          <w:t>，</w:t>
                        </w:r>
                        <w:r>
                          <w:rPr>
                            <w:rFonts w:ascii="宋体" w:hAnsi="宋体" w:cs="宋体" w:eastAsia="宋体" w:hint="default"/>
                            <w:sz w:val="18"/>
                            <w:szCs w:val="18"/>
                          </w:rPr>
                          <w:t>将项目预计达到可使用状态时间由</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日延</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长至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日；延长</w:t>
                        </w:r>
                        <w:r>
                          <w:rPr>
                            <w:rFonts w:ascii="Times New Roman" w:hAnsi="Times New Roman" w:cs="Times New Roman" w:eastAsia="Times New Roman" w:hint="default"/>
                            <w:sz w:val="18"/>
                            <w:szCs w:val="18"/>
                          </w:rPr>
                          <w:t>“</w:t>
                        </w:r>
                        <w:r>
                          <w:rPr>
                            <w:rFonts w:ascii="宋体" w:hAnsi="宋体" w:cs="宋体" w:eastAsia="宋体" w:hint="default"/>
                            <w:sz w:val="18"/>
                            <w:szCs w:val="18"/>
                          </w:rPr>
                          <w:t>水质安全在线监测系统技术改造项目</w:t>
                        </w:r>
                        <w:r>
                          <w:rPr>
                            <w:rFonts w:ascii="Times New Roman" w:hAnsi="Times New Roman" w:cs="Times New Roman" w:eastAsia="Times New Roman" w:hint="default"/>
                            <w:sz w:val="18"/>
                            <w:szCs w:val="18"/>
                          </w:rPr>
                          <w:t>”</w:t>
                        </w:r>
                        <w:r>
                          <w:rPr>
                            <w:rFonts w:ascii="宋体" w:hAnsi="宋体" w:cs="宋体" w:eastAsia="宋体" w:hint="default"/>
                            <w:sz w:val="18"/>
                            <w:szCs w:val="18"/>
                          </w:rPr>
                          <w:t>建设时间，将项目预计达到可</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使用状态时间由</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日延长至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pacing w:val="1"/>
                            <w:sz w:val="18"/>
                            <w:szCs w:val="18"/>
                          </w:rPr>
                          <w:t>日</w:t>
                        </w:r>
                        <w:r>
                          <w:rPr>
                            <w:rFonts w:ascii="宋体" w:hAnsi="宋体" w:cs="宋体" w:eastAsia="宋体" w:hint="default"/>
                            <w:spacing w:val="-78"/>
                            <w:sz w:val="18"/>
                            <w:szCs w:val="18"/>
                          </w:rPr>
                          <w:t>；</w:t>
                        </w:r>
                        <w:r>
                          <w:rPr>
                            <w:rFonts w:ascii="宋体" w:hAnsi="宋体" w:cs="宋体" w:eastAsia="宋体" w:hint="default"/>
                            <w:sz w:val="18"/>
                            <w:szCs w:val="18"/>
                          </w:rPr>
                          <w:t>延长</w:t>
                        </w:r>
                        <w:r>
                          <w:rPr>
                            <w:rFonts w:ascii="Times New Roman" w:hAnsi="Times New Roman" w:cs="Times New Roman" w:eastAsia="Times New Roman" w:hint="default"/>
                            <w:spacing w:val="-1"/>
                            <w:w w:val="100"/>
                            <w:sz w:val="18"/>
                            <w:szCs w:val="18"/>
                          </w:rPr>
                          <w:t>“</w:t>
                        </w:r>
                        <w:r>
                          <w:rPr>
                            <w:rFonts w:ascii="宋体" w:hAnsi="宋体" w:cs="宋体" w:eastAsia="宋体" w:hint="default"/>
                            <w:sz w:val="18"/>
                            <w:szCs w:val="18"/>
                          </w:rPr>
                          <w:t>环境</w:t>
                        </w:r>
                        <w:r>
                          <w:rPr>
                            <w:rFonts w:ascii="宋体" w:hAnsi="宋体" w:cs="宋体" w:eastAsia="宋体" w:hint="default"/>
                            <w:spacing w:val="1"/>
                            <w:sz w:val="18"/>
                            <w:szCs w:val="18"/>
                          </w:rPr>
                          <w:t>监</w:t>
                        </w:r>
                        <w:r>
                          <w:rPr>
                            <w:rFonts w:ascii="宋体" w:hAnsi="宋体" w:cs="宋体" w:eastAsia="宋体" w:hint="default"/>
                            <w:sz w:val="18"/>
                            <w:szCs w:val="18"/>
                          </w:rPr>
                          <w:t>测设施市场化运营服务项</w:t>
                        </w:r>
                      </w:p>
                      <w:p>
                        <w:pPr>
                          <w:pStyle w:val="TableParagraph"/>
                          <w:spacing w:line="309" w:lineRule="auto" w:before="63"/>
                          <w:ind w:left="22" w:right="21"/>
                          <w:jc w:val="left"/>
                          <w:rPr>
                            <w:rFonts w:ascii="宋体" w:hAnsi="宋体" w:cs="宋体" w:eastAsia="宋体" w:hint="default"/>
                            <w:sz w:val="18"/>
                            <w:szCs w:val="18"/>
                          </w:rPr>
                        </w:pPr>
                        <w:r>
                          <w:rPr>
                            <w:rFonts w:ascii="宋体" w:hAnsi="宋体" w:cs="宋体" w:eastAsia="宋体" w:hint="default"/>
                            <w:sz w:val="18"/>
                            <w:szCs w:val="18"/>
                          </w:rPr>
                          <w:t>目</w:t>
                        </w:r>
                        <w:r>
                          <w:rPr>
                            <w:rFonts w:ascii="Times New Roman" w:hAnsi="Times New Roman" w:cs="Times New Roman" w:eastAsia="Times New Roman" w:hint="default"/>
                            <w:sz w:val="18"/>
                            <w:szCs w:val="18"/>
                          </w:rPr>
                          <w:t>”</w:t>
                        </w:r>
                        <w:r>
                          <w:rPr>
                            <w:rFonts w:ascii="宋体" w:hAnsi="宋体" w:cs="宋体" w:eastAsia="宋体" w:hint="default"/>
                            <w:sz w:val="18"/>
                            <w:szCs w:val="18"/>
                          </w:rPr>
                          <w:t>建设时间，将项目预计达到可使用状态时间由</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日延长至</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4"/>
                            <w:sz w:val="18"/>
                            <w:szCs w:val="18"/>
                          </w:rPr>
                          <w:t> </w:t>
                        </w:r>
                        <w:r>
                          <w:rPr>
                            <w:rFonts w:ascii="宋体" w:hAnsi="宋体" w:cs="宋体" w:eastAsia="宋体" w:hint="default"/>
                            <w:spacing w:val="-10"/>
                            <w:sz w:val="18"/>
                            <w:szCs w:val="18"/>
                          </w:rPr>
                          <w:t>日。造成</w:t>
                        </w:r>
                        <w:r>
                          <w:rPr>
                            <w:rFonts w:ascii="宋体" w:hAnsi="宋体" w:cs="宋体" w:eastAsia="宋体" w:hint="default"/>
                            <w:sz w:val="18"/>
                            <w:szCs w:val="18"/>
                          </w:rPr>
                          <w:t> </w:t>
                        </w:r>
                        <w:r>
                          <w:rPr>
                            <w:rFonts w:ascii="宋体" w:hAnsi="宋体" w:cs="宋体" w:eastAsia="宋体" w:hint="default"/>
                            <w:spacing w:val="-3"/>
                            <w:sz w:val="18"/>
                            <w:szCs w:val="18"/>
                          </w:rPr>
                          <w:t>上述募投项目延期的主要原因为：</w:t>
                        </w: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、公司募投项目资金到位晚于公司的预期，由于自有资金较为紧</w:t>
                        </w:r>
                        <w:r>
                          <w:rPr>
                            <w:rFonts w:ascii="宋体" w:hAnsi="宋体" w:cs="宋体" w:eastAsia="宋体" w:hint="default"/>
                            <w:spacing w:val="-47"/>
                            <w:sz w:val="18"/>
                            <w:szCs w:val="18"/>
                          </w:rPr>
                          <w:t> </w:t>
                        </w:r>
                        <w:r>
                          <w:rPr>
                            <w:rFonts w:ascii="宋体" w:hAnsi="宋体" w:cs="宋体" w:eastAsia="宋体" w:hint="default"/>
                            <w:spacing w:val="-47"/>
                            <w:sz w:val="18"/>
                            <w:szCs w:val="18"/>
                          </w:rPr>
                        </w:r>
                        <w:r>
                          <w:rPr>
                            <w:rFonts w:ascii="宋体" w:hAnsi="宋体" w:cs="宋体" w:eastAsia="宋体" w:hint="default"/>
                            <w:spacing w:val="-3"/>
                            <w:sz w:val="18"/>
                            <w:szCs w:val="18"/>
                          </w:rPr>
                          <w:t>张，募投项目资金到账后，才陆续开展募投项目基建建设。</w:t>
                        </w: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、雨水和气候的原因也是影响基建工程</w:t>
                        </w:r>
                        <w:r>
                          <w:rPr>
                            <w:rFonts w:ascii="宋体" w:hAnsi="宋体" w:cs="宋体" w:eastAsia="宋体" w:hint="default"/>
                            <w:spacing w:val="-48"/>
                            <w:sz w:val="18"/>
                            <w:szCs w:val="18"/>
                          </w:rPr>
                          <w:t> </w:t>
                        </w:r>
                        <w:r>
                          <w:rPr>
                            <w:rFonts w:ascii="宋体" w:hAnsi="宋体" w:cs="宋体" w:eastAsia="宋体" w:hint="default"/>
                            <w:spacing w:val="-48"/>
                            <w:sz w:val="18"/>
                            <w:szCs w:val="18"/>
                          </w:rPr>
                        </w:r>
                        <w:r>
                          <w:rPr>
                            <w:rFonts w:ascii="宋体" w:hAnsi="宋体" w:cs="宋体" w:eastAsia="宋体" w:hint="default"/>
                            <w:sz w:val="18"/>
                            <w:szCs w:val="18"/>
                          </w:rPr>
                          <w:t>进度的一个因素。</w:t>
                        </w:r>
                        <w:r>
                          <w:rPr>
                            <w:rFonts w:ascii="Times New Roman" w:hAnsi="Times New Roman" w:cs="Times New Roman" w:eastAsia="Times New Roman" w:hint="default"/>
                            <w:sz w:val="18"/>
                            <w:szCs w:val="18"/>
                          </w:rPr>
                          <w:t>3</w:t>
                        </w:r>
                        <w:r>
                          <w:rPr>
                            <w:rFonts w:ascii="宋体" w:hAnsi="宋体" w:cs="宋体" w:eastAsia="宋体" w:hint="default"/>
                            <w:sz w:val="18"/>
                            <w:szCs w:val="18"/>
                          </w:rPr>
                          <w:t>、运营项目部分市场启动晚于公司预期。截至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日，饮用水水质 </w:t>
                        </w:r>
                        <w:r>
                          <w:rPr>
                            <w:rFonts w:ascii="宋体" w:hAnsi="宋体" w:cs="宋体" w:eastAsia="宋体" w:hint="default"/>
                            <w:spacing w:val="-3"/>
                            <w:sz w:val="18"/>
                            <w:szCs w:val="18"/>
                          </w:rPr>
                          <w:t>安全在线监测系统及预警信息管理装备产业化项目、水质安全在线监测系统技术尚未达到预计效益</w:t>
                        </w:r>
                        <w:r>
                          <w:rPr>
                            <w:rFonts w:ascii="宋体" w:hAnsi="宋体" w:cs="宋体" w:eastAsia="宋体" w:hint="default"/>
                            <w:spacing w:val="-49"/>
                            <w:sz w:val="18"/>
                            <w:szCs w:val="18"/>
                          </w:rPr>
                          <w:t> </w:t>
                        </w:r>
                        <w:r>
                          <w:rPr>
                            <w:rFonts w:ascii="宋体" w:hAnsi="宋体" w:cs="宋体" w:eastAsia="宋体" w:hint="default"/>
                            <w:spacing w:val="-49"/>
                            <w:sz w:val="18"/>
                            <w:szCs w:val="18"/>
                          </w:rPr>
                        </w:r>
                        <w:r>
                          <w:rPr>
                            <w:rFonts w:ascii="宋体" w:hAnsi="宋体" w:cs="宋体" w:eastAsia="宋体" w:hint="default"/>
                            <w:sz w:val="18"/>
                            <w:szCs w:val="18"/>
                          </w:rPr>
                          <w:t>主要原因是水质监测市场目前尚在开拓中，环境监测设施市场化运营服务项目已达到预计收益；设 立山东先河环保科技有限公司，稳固了山东区域的市场，山东区域订单不断增加，但在山东区域公 司中标的合同为母公司先河环保执行完成。四川先河未达预期，主要原因是市场目前未完全开拓； 先河正源、先河正态现在正在市场推广期已有部分收入</w:t>
                        </w:r>
                      </w:p>
                    </w:tc>
                  </w:tr>
                  <w:tr>
                    <w:trPr>
                      <w:trHeight w:val="714"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17"/>
                          <w:jc w:val="left"/>
                          <w:rPr>
                            <w:rFonts w:ascii="宋体" w:hAnsi="宋体" w:cs="宋体" w:eastAsia="宋体" w:hint="default"/>
                            <w:sz w:val="18"/>
                            <w:szCs w:val="18"/>
                          </w:rPr>
                        </w:pPr>
                        <w:r>
                          <w:rPr>
                            <w:rFonts w:ascii="宋体" w:hAnsi="宋体" w:cs="宋体" w:eastAsia="宋体" w:hint="default"/>
                            <w:sz w:val="18"/>
                            <w:szCs w:val="18"/>
                          </w:rPr>
                          <w:t>项目可行性发生重大 变化的情况说明</w:t>
                        </w: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报告期内公司项目可行性未发生重大变化</w:t>
                        </w:r>
                      </w:p>
                    </w:tc>
                  </w:tr>
                  <w:tr>
                    <w:trPr>
                      <w:trHeight w:val="402" w:hRule="exact"/>
                    </w:trPr>
                    <w:tc>
                      <w:tcPr>
                        <w:tcW w:w="17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2" w:right="22"/>
                          <w:jc w:val="left"/>
                          <w:rPr>
                            <w:rFonts w:ascii="宋体" w:hAnsi="宋体" w:cs="宋体" w:eastAsia="宋体" w:hint="default"/>
                            <w:sz w:val="18"/>
                            <w:szCs w:val="18"/>
                          </w:rPr>
                        </w:pPr>
                        <w:r>
                          <w:rPr>
                            <w:rFonts w:ascii="宋体" w:hAnsi="宋体" w:cs="宋体" w:eastAsia="宋体" w:hint="default"/>
                            <w:spacing w:val="-9"/>
                            <w:sz w:val="18"/>
                            <w:szCs w:val="18"/>
                          </w:rPr>
                          <w:t>超募资金的金额、用途</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及使用进展情况</w:t>
                        </w: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8475" w:hRule="exact"/>
                    </w:trPr>
                    <w:tc>
                      <w:tcPr>
                        <w:tcW w:w="1770" w:type="dxa"/>
                        <w:vMerge/>
                        <w:tcBorders>
                          <w:left w:val="single" w:sz="4" w:space="0" w:color="000000"/>
                          <w:bottom w:val="single" w:sz="4" w:space="0" w:color="000000"/>
                          <w:right w:val="single" w:sz="4" w:space="0" w:color="000000"/>
                        </w:tcBorders>
                        <w:shd w:val="clear" w:color="auto" w:fill="D2D2D2"/>
                      </w:tcPr>
                      <w:p>
                        <w:pP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21"/>
                          <w:jc w:val="both"/>
                          <w:rPr>
                            <w:rFonts w:ascii="宋体" w:hAnsi="宋体" w:cs="宋体" w:eastAsia="宋体" w:hint="default"/>
                            <w:sz w:val="18"/>
                            <w:szCs w:val="18"/>
                          </w:rPr>
                        </w:pPr>
                        <w:r>
                          <w:rPr>
                            <w:rFonts w:ascii="宋体" w:hAnsi="宋体" w:cs="宋体" w:eastAsia="宋体" w:hint="default"/>
                            <w:sz w:val="18"/>
                            <w:szCs w:val="18"/>
                          </w:rPr>
                          <w:t>公司历次使用超募资金的情况：</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日，公司第一届董事会第八次会议审议通过了关于 </w:t>
                        </w:r>
                        <w:r>
                          <w:rPr>
                            <w:rFonts w:ascii="宋体" w:hAnsi="宋体" w:cs="宋体" w:eastAsia="宋体" w:hint="default"/>
                            <w:spacing w:val="-5"/>
                            <w:sz w:val="18"/>
                            <w:szCs w:val="18"/>
                          </w:rPr>
                          <w:t>使用部分其他与主营业务相关的营运资金永久性补充流动资金的议案》，使用部分其他与主营业务相</w:t>
                        </w:r>
                        <w:r>
                          <w:rPr>
                            <w:rFonts w:ascii="宋体" w:hAnsi="宋体" w:cs="宋体" w:eastAsia="宋体" w:hint="default"/>
                            <w:spacing w:val="-48"/>
                            <w:sz w:val="18"/>
                            <w:szCs w:val="18"/>
                          </w:rPr>
                          <w:t> </w:t>
                        </w:r>
                        <w:r>
                          <w:rPr>
                            <w:rFonts w:ascii="宋体" w:hAnsi="宋体" w:cs="宋体" w:eastAsia="宋体" w:hint="default"/>
                            <w:spacing w:val="-48"/>
                            <w:sz w:val="18"/>
                            <w:szCs w:val="18"/>
                          </w:rPr>
                        </w:r>
                        <w:r>
                          <w:rPr>
                            <w:rFonts w:ascii="宋体" w:hAnsi="宋体" w:cs="宋体" w:eastAsia="宋体" w:hint="default"/>
                            <w:sz w:val="18"/>
                            <w:szCs w:val="18"/>
                          </w:rPr>
                          <w:t>关的营运资金永久性补充流动资金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3,700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万元永久性补充流动资金；审议通过了《关于使用部分其</w:t>
                        </w:r>
                      </w:p>
                      <w:p>
                        <w:pPr>
                          <w:pStyle w:val="TableParagraph"/>
                          <w:spacing w:line="240" w:lineRule="auto" w:before="5"/>
                          <w:ind w:left="22" w:right="0"/>
                          <w:jc w:val="both"/>
                          <w:rPr>
                            <w:rFonts w:ascii="宋体" w:hAnsi="宋体" w:cs="宋体" w:eastAsia="宋体" w:hint="default"/>
                            <w:sz w:val="18"/>
                            <w:szCs w:val="18"/>
                          </w:rPr>
                        </w:pPr>
                        <w:r>
                          <w:rPr>
                            <w:rFonts w:ascii="宋体" w:hAnsi="宋体" w:cs="宋体" w:eastAsia="宋体" w:hint="default"/>
                            <w:sz w:val="18"/>
                            <w:szCs w:val="18"/>
                          </w:rPr>
                          <w:t>他与主营业务相关的营运资金偿还借款的议案</w:t>
                        </w:r>
                        <w:r>
                          <w:rPr>
                            <w:rFonts w:ascii="宋体" w:hAnsi="宋体" w:cs="宋体" w:eastAsia="宋体" w:hint="default"/>
                            <w:spacing w:val="-90"/>
                            <w:sz w:val="18"/>
                            <w:szCs w:val="18"/>
                          </w:rPr>
                          <w:t>》</w:t>
                        </w:r>
                        <w:r>
                          <w:rPr>
                            <w:rFonts w:ascii="宋体" w:hAnsi="宋体" w:cs="宋体" w:eastAsia="宋体" w:hint="default"/>
                            <w:spacing w:val="-44"/>
                            <w:sz w:val="18"/>
                            <w:szCs w:val="18"/>
                          </w:rPr>
                          <w:t>，</w:t>
                        </w:r>
                        <w:r>
                          <w:rPr>
                            <w:rFonts w:ascii="宋体" w:hAnsi="宋体" w:cs="宋体" w:eastAsia="宋体" w:hint="default"/>
                            <w:sz w:val="18"/>
                            <w:szCs w:val="18"/>
                          </w:rPr>
                          <w:t>使用部分其他与主营业务相关的营运资金</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4,800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w:t>
                        </w:r>
                      </w:p>
                      <w:p>
                        <w:pPr>
                          <w:pStyle w:val="TableParagraph"/>
                          <w:spacing w:line="240" w:lineRule="auto" w:before="63"/>
                          <w:ind w:left="22" w:right="0"/>
                          <w:jc w:val="both"/>
                          <w:rPr>
                            <w:rFonts w:ascii="宋体" w:hAnsi="宋体" w:cs="宋体" w:eastAsia="宋体" w:hint="default"/>
                            <w:sz w:val="18"/>
                            <w:szCs w:val="18"/>
                          </w:rPr>
                        </w:pPr>
                        <w:r>
                          <w:rPr>
                            <w:rFonts w:ascii="宋体" w:hAnsi="宋体" w:cs="宋体" w:eastAsia="宋体" w:hint="default"/>
                            <w:sz w:val="18"/>
                            <w:szCs w:val="18"/>
                          </w:rPr>
                          <w:t>元偿还借款。</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日，第一届董事会第十三次会议审议通过使用超募资金</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800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万元投资</w:t>
                        </w:r>
                      </w:p>
                      <w:p>
                        <w:pPr>
                          <w:pStyle w:val="TableParagraph"/>
                          <w:spacing w:line="240" w:lineRule="auto" w:before="63"/>
                          <w:ind w:left="22" w:right="0"/>
                          <w:jc w:val="both"/>
                          <w:rPr>
                            <w:rFonts w:ascii="宋体" w:hAnsi="宋体" w:cs="宋体" w:eastAsia="宋体" w:hint="default"/>
                            <w:sz w:val="18"/>
                            <w:szCs w:val="18"/>
                          </w:rPr>
                        </w:pPr>
                        <w:r>
                          <w:rPr>
                            <w:rFonts w:ascii="宋体" w:hAnsi="宋体" w:cs="宋体" w:eastAsia="宋体" w:hint="default"/>
                            <w:sz w:val="18"/>
                            <w:szCs w:val="18"/>
                          </w:rPr>
                          <w:t>设立山东先河环保科技有限公司。</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日，公司第一届董事会第十九次会议审议通过了</w:t>
                        </w:r>
                      </w:p>
                      <w:p>
                        <w:pPr>
                          <w:pStyle w:val="TableParagraph"/>
                          <w:spacing w:line="240" w:lineRule="auto" w:before="63"/>
                          <w:ind w:left="22" w:right="0"/>
                          <w:jc w:val="both"/>
                          <w:rPr>
                            <w:rFonts w:ascii="宋体" w:hAnsi="宋体" w:cs="宋体" w:eastAsia="宋体" w:hint="default"/>
                            <w:sz w:val="18"/>
                            <w:szCs w:val="18"/>
                          </w:rPr>
                        </w:pPr>
                        <w:r>
                          <w:rPr>
                            <w:rFonts w:ascii="宋体" w:hAnsi="宋体" w:cs="宋体" w:eastAsia="宋体" w:hint="default"/>
                            <w:sz w:val="18"/>
                            <w:szCs w:val="18"/>
                          </w:rPr>
                          <w:t>《关于使用部分超募资金永久性补充流动资金的议案</w:t>
                        </w:r>
                        <w:r>
                          <w:rPr>
                            <w:rFonts w:ascii="宋体" w:hAnsi="宋体" w:cs="宋体" w:eastAsia="宋体" w:hint="default"/>
                            <w:spacing w:val="-90"/>
                            <w:sz w:val="18"/>
                            <w:szCs w:val="18"/>
                          </w:rPr>
                          <w:t>》</w:t>
                        </w:r>
                        <w:r>
                          <w:rPr>
                            <w:rFonts w:ascii="宋体" w:hAnsi="宋体" w:cs="宋体" w:eastAsia="宋体" w:hint="default"/>
                            <w:spacing w:val="-44"/>
                            <w:sz w:val="18"/>
                            <w:szCs w:val="18"/>
                          </w:rPr>
                          <w:t>，</w:t>
                        </w:r>
                        <w:r>
                          <w:rPr>
                            <w:rFonts w:ascii="宋体" w:hAnsi="宋体" w:cs="宋体" w:eastAsia="宋体" w:hint="default"/>
                            <w:sz w:val="18"/>
                            <w:szCs w:val="18"/>
                          </w:rPr>
                          <w:t>同意公司使用超募资金</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8,000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万元永久性补</w:t>
                        </w:r>
                      </w:p>
                      <w:p>
                        <w:pPr>
                          <w:pStyle w:val="TableParagraph"/>
                          <w:spacing w:line="240" w:lineRule="auto" w:before="63"/>
                          <w:ind w:left="22" w:right="0"/>
                          <w:jc w:val="both"/>
                          <w:rPr>
                            <w:rFonts w:ascii="宋体" w:hAnsi="宋体" w:cs="宋体" w:eastAsia="宋体" w:hint="default"/>
                            <w:sz w:val="18"/>
                            <w:szCs w:val="18"/>
                          </w:rPr>
                        </w:pPr>
                        <w:r>
                          <w:rPr>
                            <w:rFonts w:ascii="宋体" w:hAnsi="宋体" w:cs="宋体" w:eastAsia="宋体" w:hint="default"/>
                            <w:sz w:val="18"/>
                            <w:szCs w:val="18"/>
                          </w:rPr>
                          <w:t>充流动资金。</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 </w:t>
                        </w:r>
                        <w:r>
                          <w:rPr>
                            <w:rFonts w:ascii="宋体" w:hAnsi="宋体" w:cs="宋体" w:eastAsia="宋体" w:hint="default"/>
                            <w:sz w:val="18"/>
                            <w:szCs w:val="18"/>
                          </w:rPr>
                          <w:t>日，公司第二届董事会第三次会议审议通过了《关于使用超募资金开</w:t>
                        </w:r>
                      </w:p>
                      <w:p>
                        <w:pPr>
                          <w:pStyle w:val="TableParagraph"/>
                          <w:spacing w:line="240" w:lineRule="auto" w:before="63"/>
                          <w:ind w:left="22" w:right="0"/>
                          <w:jc w:val="both"/>
                          <w:rPr>
                            <w:rFonts w:ascii="宋体" w:hAnsi="宋体" w:cs="宋体" w:eastAsia="宋体" w:hint="default"/>
                            <w:sz w:val="18"/>
                            <w:szCs w:val="18"/>
                          </w:rPr>
                        </w:pPr>
                        <w:r>
                          <w:rPr>
                            <w:rFonts w:ascii="宋体" w:hAnsi="宋体" w:cs="宋体" w:eastAsia="宋体" w:hint="default"/>
                            <w:sz w:val="18"/>
                            <w:szCs w:val="18"/>
                          </w:rPr>
                          <w:t>展山东空气自动站</w:t>
                        </w:r>
                        <w:r>
                          <w:rPr>
                            <w:rFonts w:ascii="Times New Roman" w:hAnsi="Times New Roman" w:cs="Times New Roman" w:eastAsia="Times New Roman" w:hint="default"/>
                            <w:spacing w:val="-1"/>
                            <w:w w:val="100"/>
                            <w:sz w:val="18"/>
                            <w:szCs w:val="18"/>
                          </w:rPr>
                          <w:t>“</w:t>
                        </w:r>
                        <w:r>
                          <w:rPr>
                            <w:rFonts w:ascii="宋体" w:hAnsi="宋体" w:cs="宋体" w:eastAsia="宋体" w:hint="default"/>
                            <w:sz w:val="18"/>
                            <w:szCs w:val="18"/>
                          </w:rPr>
                          <w:t>转让</w:t>
                        </w:r>
                        <w:r>
                          <w:rPr>
                            <w:rFonts w:ascii="Times New Roman" w:hAnsi="Times New Roman" w:cs="Times New Roman" w:eastAsia="Times New Roman" w:hint="default"/>
                            <w:sz w:val="18"/>
                            <w:szCs w:val="18"/>
                          </w:rPr>
                          <w:t>—</w:t>
                        </w:r>
                        <w:r>
                          <w:rPr>
                            <w:rFonts w:ascii="宋体" w:hAnsi="宋体" w:cs="宋体" w:eastAsia="宋体" w:hint="default"/>
                            <w:spacing w:val="1"/>
                            <w:sz w:val="18"/>
                            <w:szCs w:val="18"/>
                          </w:rPr>
                          <w:t>经</w:t>
                        </w:r>
                        <w:r>
                          <w:rPr>
                            <w:rFonts w:ascii="宋体" w:hAnsi="宋体" w:cs="宋体" w:eastAsia="宋体" w:hint="default"/>
                            <w:sz w:val="18"/>
                            <w:szCs w:val="18"/>
                          </w:rPr>
                          <w:t>营</w:t>
                        </w:r>
                        <w:r>
                          <w:rPr>
                            <w:rFonts w:ascii="Times New Roman" w:hAnsi="Times New Roman" w:cs="Times New Roman" w:eastAsia="Times New Roman" w:hint="default"/>
                            <w:w w:val="100"/>
                            <w:sz w:val="18"/>
                            <w:szCs w:val="18"/>
                          </w:rPr>
                          <w:t>”</w:t>
                        </w:r>
                        <w:r>
                          <w:rPr>
                            <w:rFonts w:ascii="宋体" w:hAnsi="宋体" w:cs="宋体" w:eastAsia="宋体" w:hint="default"/>
                            <w:sz w:val="18"/>
                            <w:szCs w:val="18"/>
                          </w:rPr>
                          <w:t>推广项目的议案</w:t>
                        </w:r>
                        <w:r>
                          <w:rPr>
                            <w:rFonts w:ascii="宋体" w:hAnsi="宋体" w:cs="宋体" w:eastAsia="宋体" w:hint="default"/>
                            <w:spacing w:val="-90"/>
                            <w:sz w:val="18"/>
                            <w:szCs w:val="18"/>
                          </w:rPr>
                          <w:t>》</w:t>
                        </w:r>
                        <w:r>
                          <w:rPr>
                            <w:rFonts w:ascii="宋体" w:hAnsi="宋体" w:cs="宋体" w:eastAsia="宋体" w:hint="default"/>
                            <w:spacing w:val="-80"/>
                            <w:sz w:val="18"/>
                            <w:szCs w:val="18"/>
                          </w:rPr>
                          <w:t>，</w:t>
                        </w:r>
                        <w:r>
                          <w:rPr>
                            <w:rFonts w:ascii="宋体" w:hAnsi="宋体" w:cs="宋体" w:eastAsia="宋体" w:hint="default"/>
                            <w:sz w:val="18"/>
                            <w:szCs w:val="18"/>
                          </w:rPr>
                          <w:t>同意使用超募资金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2,035.22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万元购买淄博</w:t>
                        </w:r>
                        <w:r>
                          <w:rPr>
                            <w:rFonts w:ascii="宋体" w:hAnsi="宋体" w:cs="宋体" w:eastAsia="宋体" w:hint="default"/>
                            <w:spacing w:val="-80"/>
                            <w:sz w:val="18"/>
                            <w:szCs w:val="18"/>
                          </w:rPr>
                          <w:t>、</w:t>
                        </w:r>
                        <w:r>
                          <w:rPr>
                            <w:rFonts w:ascii="宋体" w:hAnsi="宋体" w:cs="宋体" w:eastAsia="宋体" w:hint="default"/>
                            <w:sz w:val="18"/>
                            <w:szCs w:val="18"/>
                          </w:rPr>
                          <w:t>莱芜</w:t>
                        </w:r>
                      </w:p>
                      <w:p>
                        <w:pPr>
                          <w:pStyle w:val="TableParagraph"/>
                          <w:spacing w:line="240" w:lineRule="auto" w:before="63"/>
                          <w:ind w:left="22" w:right="0"/>
                          <w:jc w:val="both"/>
                          <w:rPr>
                            <w:rFonts w:ascii="宋体" w:hAnsi="宋体" w:cs="宋体" w:eastAsia="宋体" w:hint="default"/>
                            <w:sz w:val="18"/>
                            <w:szCs w:val="18"/>
                          </w:rPr>
                        </w:pPr>
                        <w:r>
                          <w:rPr>
                            <w:rFonts w:ascii="宋体" w:hAnsi="宋体" w:cs="宋体" w:eastAsia="宋体" w:hint="default"/>
                            <w:sz w:val="18"/>
                            <w:szCs w:val="18"/>
                          </w:rPr>
                          <w:t>东营、德州、聊城等地市</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40</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个空气站点。</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日，公司第二届董事会第六次会议审议通</w:t>
                        </w:r>
                      </w:p>
                      <w:p>
                        <w:pPr>
                          <w:pStyle w:val="TableParagraph"/>
                          <w:spacing w:line="240" w:lineRule="auto" w:before="63"/>
                          <w:ind w:left="22" w:right="0"/>
                          <w:jc w:val="both"/>
                          <w:rPr>
                            <w:rFonts w:ascii="宋体" w:hAnsi="宋体" w:cs="宋体" w:eastAsia="宋体" w:hint="default"/>
                            <w:sz w:val="18"/>
                            <w:szCs w:val="18"/>
                          </w:rPr>
                        </w:pPr>
                        <w:r>
                          <w:rPr>
                            <w:rFonts w:ascii="宋体" w:hAnsi="宋体" w:cs="宋体" w:eastAsia="宋体" w:hint="default"/>
                            <w:sz w:val="18"/>
                            <w:szCs w:val="18"/>
                          </w:rPr>
                          <w:t>过</w:t>
                        </w:r>
                        <w:r>
                          <w:rPr>
                            <w:rFonts w:ascii="宋体" w:hAnsi="宋体" w:cs="宋体" w:eastAsia="宋体" w:hint="default"/>
                            <w:spacing w:val="-45"/>
                            <w:sz w:val="18"/>
                            <w:szCs w:val="18"/>
                          </w:rPr>
                          <w:t>了</w:t>
                        </w:r>
                        <w:r>
                          <w:rPr>
                            <w:rFonts w:ascii="宋体" w:hAnsi="宋体" w:cs="宋体" w:eastAsia="宋体" w:hint="default"/>
                            <w:sz w:val="18"/>
                            <w:szCs w:val="18"/>
                          </w:rPr>
                          <w:t>《关于使用超募资金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5000 </w:t>
                        </w:r>
                        <w:r>
                          <w:rPr>
                            <w:rFonts w:ascii="宋体" w:hAnsi="宋体" w:cs="宋体" w:eastAsia="宋体" w:hint="default"/>
                            <w:sz w:val="18"/>
                            <w:szCs w:val="18"/>
                          </w:rPr>
                          <w:t>万元设立四川子公司的议案</w:t>
                        </w:r>
                        <w:r>
                          <w:rPr>
                            <w:rFonts w:ascii="宋体" w:hAnsi="宋体" w:cs="宋体" w:eastAsia="宋体" w:hint="default"/>
                            <w:spacing w:val="-90"/>
                            <w:sz w:val="18"/>
                            <w:szCs w:val="18"/>
                          </w:rPr>
                          <w:t>》</w:t>
                        </w:r>
                        <w:r>
                          <w:rPr>
                            <w:rFonts w:ascii="宋体" w:hAnsi="宋体" w:cs="宋体" w:eastAsia="宋体" w:hint="default"/>
                            <w:spacing w:val="-45"/>
                            <w:sz w:val="18"/>
                            <w:szCs w:val="18"/>
                          </w:rPr>
                          <w:t>，</w:t>
                        </w:r>
                        <w:r>
                          <w:rPr>
                            <w:rFonts w:ascii="宋体" w:hAnsi="宋体" w:cs="宋体" w:eastAsia="宋体" w:hint="default"/>
                            <w:sz w:val="18"/>
                            <w:szCs w:val="18"/>
                          </w:rPr>
                          <w:t>同意公司使用超募资金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5000 </w:t>
                        </w:r>
                        <w:r>
                          <w:rPr>
                            <w:rFonts w:ascii="宋体" w:hAnsi="宋体" w:cs="宋体" w:eastAsia="宋体" w:hint="default"/>
                            <w:sz w:val="18"/>
                            <w:szCs w:val="18"/>
                          </w:rPr>
                          <w:t>万元设立</w:t>
                        </w:r>
                      </w:p>
                      <w:p>
                        <w:pPr>
                          <w:pStyle w:val="TableParagraph"/>
                          <w:spacing w:line="240" w:lineRule="auto" w:before="63"/>
                          <w:ind w:left="22" w:right="0"/>
                          <w:jc w:val="both"/>
                          <w:rPr>
                            <w:rFonts w:ascii="宋体" w:hAnsi="宋体" w:cs="宋体" w:eastAsia="宋体" w:hint="default"/>
                            <w:sz w:val="18"/>
                            <w:szCs w:val="18"/>
                          </w:rPr>
                        </w:pPr>
                        <w:r>
                          <w:rPr>
                            <w:rFonts w:ascii="宋体" w:hAnsi="宋体" w:cs="宋体" w:eastAsia="宋体" w:hint="default"/>
                            <w:sz w:val="18"/>
                            <w:szCs w:val="18"/>
                          </w:rPr>
                          <w:t>四川子公司。</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日，公司第二届董事会第七次会议通过《关于使用超募资金永久性补</w:t>
                        </w:r>
                      </w:p>
                      <w:p>
                        <w:pPr>
                          <w:pStyle w:val="TableParagraph"/>
                          <w:spacing w:line="240" w:lineRule="auto" w:before="63"/>
                          <w:ind w:left="22" w:right="0"/>
                          <w:jc w:val="both"/>
                          <w:rPr>
                            <w:rFonts w:ascii="宋体" w:hAnsi="宋体" w:cs="宋体" w:eastAsia="宋体" w:hint="default"/>
                            <w:sz w:val="18"/>
                            <w:szCs w:val="18"/>
                          </w:rPr>
                        </w:pPr>
                        <w:r>
                          <w:rPr>
                            <w:rFonts w:ascii="宋体" w:hAnsi="宋体" w:cs="宋体" w:eastAsia="宋体" w:hint="default"/>
                            <w:sz w:val="18"/>
                            <w:szCs w:val="18"/>
                          </w:rPr>
                          <w:t>充流动资金的议案</w:t>
                        </w:r>
                        <w:r>
                          <w:rPr>
                            <w:rFonts w:ascii="宋体" w:hAnsi="宋体" w:cs="宋体" w:eastAsia="宋体" w:hint="default"/>
                            <w:spacing w:val="-90"/>
                            <w:sz w:val="18"/>
                            <w:szCs w:val="18"/>
                          </w:rPr>
                          <w:t>》</w:t>
                        </w:r>
                        <w:r>
                          <w:rPr>
                            <w:rFonts w:ascii="宋体" w:hAnsi="宋体" w:cs="宋体" w:eastAsia="宋体" w:hint="default"/>
                            <w:spacing w:val="-45"/>
                            <w:sz w:val="18"/>
                            <w:szCs w:val="18"/>
                          </w:rPr>
                          <w:t>，</w:t>
                        </w:r>
                        <w:r>
                          <w:rPr>
                            <w:rFonts w:ascii="宋体" w:hAnsi="宋体" w:cs="宋体" w:eastAsia="宋体" w:hint="default"/>
                            <w:sz w:val="18"/>
                            <w:szCs w:val="18"/>
                          </w:rPr>
                          <w:t>并经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pacing w:val="1"/>
                            <w:sz w:val="18"/>
                            <w:szCs w:val="18"/>
                          </w:rPr>
                          <w:t>日</w:t>
                        </w:r>
                        <w:r>
                          <w:rPr>
                            <w:rFonts w:ascii="宋体" w:hAnsi="宋体" w:cs="宋体" w:eastAsia="宋体" w:hint="default"/>
                            <w:sz w:val="18"/>
                            <w:szCs w:val="18"/>
                          </w:rPr>
                          <w:t>召开的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pacing w:val="1"/>
                            <w:sz w:val="18"/>
                            <w:szCs w:val="18"/>
                          </w:rPr>
                          <w:t>年</w:t>
                        </w:r>
                        <w:r>
                          <w:rPr>
                            <w:rFonts w:ascii="宋体" w:hAnsi="宋体" w:cs="宋体" w:eastAsia="宋体" w:hint="default"/>
                            <w:sz w:val="18"/>
                            <w:szCs w:val="18"/>
                          </w:rPr>
                          <w:t>度股东大会审议通过</w:t>
                        </w:r>
                        <w:r>
                          <w:rPr>
                            <w:rFonts w:ascii="宋体" w:hAnsi="宋体" w:cs="宋体" w:eastAsia="宋体" w:hint="default"/>
                            <w:spacing w:val="-45"/>
                            <w:sz w:val="18"/>
                            <w:szCs w:val="18"/>
                          </w:rPr>
                          <w:t>，</w:t>
                        </w:r>
                        <w:r>
                          <w:rPr>
                            <w:rFonts w:ascii="宋体" w:hAnsi="宋体" w:cs="宋体" w:eastAsia="宋体" w:hint="default"/>
                            <w:sz w:val="18"/>
                            <w:szCs w:val="18"/>
                          </w:rPr>
                          <w:t>同意公司使用超募</w:t>
                        </w:r>
                      </w:p>
                      <w:p>
                        <w:pPr>
                          <w:pStyle w:val="TableParagraph"/>
                          <w:spacing w:line="300" w:lineRule="auto" w:before="63"/>
                          <w:ind w:left="22" w:right="24"/>
                          <w:jc w:val="left"/>
                          <w:rPr>
                            <w:rFonts w:ascii="宋体" w:hAnsi="宋体" w:cs="宋体" w:eastAsia="宋体" w:hint="default"/>
                            <w:sz w:val="18"/>
                            <w:szCs w:val="18"/>
                          </w:rPr>
                        </w:pPr>
                        <w:r>
                          <w:rPr>
                            <w:rFonts w:ascii="宋体" w:hAnsi="宋体" w:cs="宋体" w:eastAsia="宋体" w:hint="default"/>
                            <w:sz w:val="18"/>
                            <w:szCs w:val="18"/>
                          </w:rPr>
                          <w:t>资金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万元永久性补充流动资金。</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日公司第二届董事会第十一次会议通过《关 于使用结余募集资金及部分超募资金设立美国子公司收购</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COOPER</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ENVIRONMENTAL</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SERVICES,LLC</w:t>
                        </w: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部分股权及增资的议案》，同意公司使用环境监测设施市场化运营项目结余资金及</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超募资金合计</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623.3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万美元设立美国子公司</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Sailhero</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US</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Holding,Inc.,</w:t>
                        </w:r>
                        <w:r>
                          <w:rPr>
                            <w:rFonts w:ascii="宋体" w:hAnsi="宋体" w:cs="宋体" w:eastAsia="宋体" w:hint="default"/>
                            <w:sz w:val="18"/>
                            <w:szCs w:val="18"/>
                          </w:rPr>
                          <w:t>其中使用环境监测设施市场化 运营项目结余资金为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3561.63 </w:t>
                        </w:r>
                        <w:r>
                          <w:rPr>
                            <w:rFonts w:ascii="宋体" w:hAnsi="宋体" w:cs="宋体" w:eastAsia="宋体" w:hint="default"/>
                            <w:sz w:val="18"/>
                            <w:szCs w:val="18"/>
                          </w:rPr>
                          <w:t>元，使用超募资金为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238.57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万元（具体以实际投资日的汇率计算的投</w:t>
                        </w:r>
                      </w:p>
                      <w:p>
                        <w:pPr>
                          <w:pStyle w:val="TableParagraph"/>
                          <w:spacing w:line="240" w:lineRule="auto" w:before="13"/>
                          <w:ind w:left="22" w:right="0"/>
                          <w:jc w:val="both"/>
                          <w:rPr>
                            <w:rFonts w:ascii="宋体" w:hAnsi="宋体" w:cs="宋体" w:eastAsia="宋体" w:hint="default"/>
                            <w:sz w:val="18"/>
                            <w:szCs w:val="18"/>
                          </w:rPr>
                        </w:pPr>
                        <w:r>
                          <w:rPr>
                            <w:rFonts w:ascii="宋体" w:hAnsi="宋体" w:cs="宋体" w:eastAsia="宋体" w:hint="default"/>
                            <w:sz w:val="18"/>
                            <w:szCs w:val="18"/>
                          </w:rPr>
                          <w:t>资额为准</w:t>
                        </w:r>
                        <w:r>
                          <w:rPr>
                            <w:rFonts w:ascii="宋体" w:hAnsi="宋体" w:cs="宋体" w:eastAsia="宋体" w:hint="default"/>
                            <w:spacing w:val="-90"/>
                            <w:sz w:val="18"/>
                            <w:szCs w:val="18"/>
                          </w:rPr>
                          <w:t>）</w:t>
                        </w:r>
                        <w:r>
                          <w:rPr>
                            <w:rFonts w:ascii="宋体" w:hAnsi="宋体" w:cs="宋体" w:eastAsia="宋体" w:hint="default"/>
                            <w:spacing w:val="-15"/>
                            <w:sz w:val="18"/>
                            <w:szCs w:val="18"/>
                          </w:rPr>
                          <w:t>。</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pacing w:val="1"/>
                            <w:sz w:val="18"/>
                            <w:szCs w:val="18"/>
                          </w:rPr>
                          <w:t>日</w:t>
                        </w:r>
                        <w:r>
                          <w:rPr>
                            <w:rFonts w:ascii="宋体" w:hAnsi="宋体" w:cs="宋体" w:eastAsia="宋体" w:hint="default"/>
                            <w:spacing w:val="-15"/>
                            <w:sz w:val="18"/>
                            <w:szCs w:val="18"/>
                          </w:rPr>
                          <w:t>，</w:t>
                        </w:r>
                        <w:r>
                          <w:rPr>
                            <w:rFonts w:ascii="宋体" w:hAnsi="宋体" w:cs="宋体" w:eastAsia="宋体" w:hint="default"/>
                            <w:sz w:val="18"/>
                            <w:szCs w:val="18"/>
                          </w:rPr>
                          <w:t>公司第二届董事会第十二次会议审议通过</w:t>
                        </w:r>
                        <w:r>
                          <w:rPr>
                            <w:rFonts w:ascii="宋体" w:hAnsi="宋体" w:cs="宋体" w:eastAsia="宋体" w:hint="default"/>
                            <w:spacing w:val="-15"/>
                            <w:sz w:val="18"/>
                            <w:szCs w:val="18"/>
                          </w:rPr>
                          <w:t>了</w:t>
                        </w:r>
                        <w:r>
                          <w:rPr>
                            <w:rFonts w:ascii="宋体" w:hAnsi="宋体" w:cs="宋体" w:eastAsia="宋体" w:hint="default"/>
                            <w:sz w:val="18"/>
                            <w:szCs w:val="18"/>
                          </w:rPr>
                          <w:t>《关于使用超募资金加</w:t>
                        </w:r>
                      </w:p>
                      <w:p>
                        <w:pPr>
                          <w:pStyle w:val="TableParagraph"/>
                          <w:spacing w:line="240" w:lineRule="auto" w:before="63"/>
                          <w:ind w:left="22" w:right="0"/>
                          <w:jc w:val="both"/>
                          <w:rPr>
                            <w:rFonts w:ascii="宋体" w:hAnsi="宋体" w:cs="宋体" w:eastAsia="宋体" w:hint="default"/>
                            <w:sz w:val="18"/>
                            <w:szCs w:val="18"/>
                          </w:rPr>
                        </w:pPr>
                        <w:r>
                          <w:rPr>
                            <w:rFonts w:ascii="宋体" w:hAnsi="宋体" w:cs="宋体" w:eastAsia="宋体" w:hint="default"/>
                            <w:sz w:val="18"/>
                            <w:szCs w:val="18"/>
                          </w:rPr>
                          <w:t>大投资山东省空气自动站</w:t>
                        </w:r>
                        <w:r>
                          <w:rPr>
                            <w:rFonts w:ascii="Times New Roman" w:hAnsi="Times New Roman" w:cs="Times New Roman" w:eastAsia="Times New Roman" w:hint="default"/>
                            <w:spacing w:val="-1"/>
                            <w:w w:val="100"/>
                            <w:sz w:val="18"/>
                            <w:szCs w:val="18"/>
                          </w:rPr>
                          <w:t>“</w:t>
                        </w:r>
                        <w:r>
                          <w:rPr>
                            <w:rFonts w:ascii="宋体" w:hAnsi="宋体" w:cs="宋体" w:eastAsia="宋体" w:hint="default"/>
                            <w:spacing w:val="1"/>
                            <w:sz w:val="18"/>
                            <w:szCs w:val="18"/>
                          </w:rPr>
                          <w:t>转</w:t>
                        </w:r>
                        <w:r>
                          <w:rPr>
                            <w:rFonts w:ascii="宋体" w:hAnsi="宋体" w:cs="宋体" w:eastAsia="宋体" w:hint="default"/>
                            <w:sz w:val="18"/>
                            <w:szCs w:val="18"/>
                          </w:rPr>
                          <w:t>让</w:t>
                        </w:r>
                        <w:r>
                          <w:rPr>
                            <w:rFonts w:ascii="Times New Roman" w:hAnsi="Times New Roman" w:cs="Times New Roman" w:eastAsia="Times New Roman" w:hint="default"/>
                            <w:sz w:val="18"/>
                            <w:szCs w:val="18"/>
                          </w:rPr>
                          <w:t>—</w:t>
                        </w:r>
                        <w:r>
                          <w:rPr>
                            <w:rFonts w:ascii="宋体" w:hAnsi="宋体" w:cs="宋体" w:eastAsia="宋体" w:hint="default"/>
                            <w:sz w:val="18"/>
                            <w:szCs w:val="18"/>
                          </w:rPr>
                          <w:t>经营</w:t>
                        </w:r>
                        <w:r>
                          <w:rPr>
                            <w:rFonts w:ascii="Times New Roman" w:hAnsi="Times New Roman" w:cs="Times New Roman" w:eastAsia="Times New Roman" w:hint="default"/>
                            <w:w w:val="100"/>
                            <w:sz w:val="18"/>
                            <w:szCs w:val="18"/>
                          </w:rPr>
                          <w:t>”</w:t>
                        </w:r>
                        <w:r>
                          <w:rPr>
                            <w:rFonts w:ascii="宋体" w:hAnsi="宋体" w:cs="宋体" w:eastAsia="宋体" w:hint="default"/>
                            <w:sz w:val="18"/>
                            <w:szCs w:val="18"/>
                          </w:rPr>
                          <w:t>推广项目的议案</w:t>
                        </w:r>
                        <w:r>
                          <w:rPr>
                            <w:rFonts w:ascii="宋体" w:hAnsi="宋体" w:cs="宋体" w:eastAsia="宋体" w:hint="default"/>
                            <w:spacing w:val="-90"/>
                            <w:sz w:val="18"/>
                            <w:szCs w:val="18"/>
                          </w:rPr>
                          <w:t>》</w:t>
                        </w:r>
                        <w:r>
                          <w:rPr>
                            <w:rFonts w:ascii="宋体" w:hAnsi="宋体" w:cs="宋体" w:eastAsia="宋体" w:hint="default"/>
                            <w:spacing w:val="-23"/>
                            <w:sz w:val="18"/>
                            <w:szCs w:val="18"/>
                          </w:rPr>
                          <w:t>，</w:t>
                        </w:r>
                        <w:r>
                          <w:rPr>
                            <w:rFonts w:ascii="宋体" w:hAnsi="宋体" w:cs="宋体" w:eastAsia="宋体" w:hint="default"/>
                            <w:sz w:val="18"/>
                            <w:szCs w:val="18"/>
                          </w:rPr>
                          <w:t>同意使用超募资金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3,214,723</w:t>
                        </w:r>
                        <w:r>
                          <w:rPr>
                            <w:rFonts w:ascii="Times New Roman" w:hAnsi="Times New Roman" w:cs="Times New Roman" w:eastAsia="Times New Roman" w:hint="default"/>
                            <w:spacing w:val="-1"/>
                            <w:sz w:val="18"/>
                            <w:szCs w:val="18"/>
                          </w:rPr>
                          <w:t>.</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元购买滨</w:t>
                        </w:r>
                      </w:p>
                      <w:p>
                        <w:pPr>
                          <w:pStyle w:val="TableParagraph"/>
                          <w:spacing w:line="240" w:lineRule="auto" w:before="63"/>
                          <w:ind w:left="22" w:right="0"/>
                          <w:jc w:val="both"/>
                          <w:rPr>
                            <w:rFonts w:ascii="宋体" w:hAnsi="宋体" w:cs="宋体" w:eastAsia="宋体" w:hint="default"/>
                            <w:sz w:val="18"/>
                            <w:szCs w:val="18"/>
                          </w:rPr>
                        </w:pPr>
                        <w:r>
                          <w:rPr>
                            <w:rFonts w:ascii="宋体" w:hAnsi="宋体" w:cs="宋体" w:eastAsia="宋体" w:hint="default"/>
                            <w:sz w:val="18"/>
                            <w:szCs w:val="18"/>
                          </w:rPr>
                          <w:t>州市</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套空气自动站及</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台备机，开展运营业务。</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日，公司第二届董事会第十三次</w:t>
                        </w:r>
                      </w:p>
                      <w:p>
                        <w:pPr>
                          <w:pStyle w:val="TableParagraph"/>
                          <w:spacing w:line="240" w:lineRule="auto" w:before="63"/>
                          <w:ind w:left="22" w:right="0"/>
                          <w:jc w:val="both"/>
                          <w:rPr>
                            <w:rFonts w:ascii="宋体" w:hAnsi="宋体" w:cs="宋体" w:eastAsia="宋体" w:hint="default"/>
                            <w:sz w:val="18"/>
                            <w:szCs w:val="18"/>
                          </w:rPr>
                        </w:pPr>
                        <w:r>
                          <w:rPr>
                            <w:rFonts w:ascii="宋体" w:hAnsi="宋体" w:cs="宋体" w:eastAsia="宋体" w:hint="default"/>
                            <w:spacing w:val="-3"/>
                            <w:sz w:val="18"/>
                            <w:szCs w:val="18"/>
                          </w:rPr>
                          <w:t>会议审议通过了《关于使用超募资金设立合资公司的议案》同意使用超募资金</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2700</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万元设立合资公</w:t>
                        </w:r>
                      </w:p>
                      <w:p>
                        <w:pPr>
                          <w:pStyle w:val="TableParagraph"/>
                          <w:spacing w:line="240" w:lineRule="auto" w:before="63"/>
                          <w:ind w:left="22" w:right="0"/>
                          <w:jc w:val="both"/>
                          <w:rPr>
                            <w:rFonts w:ascii="Times New Roman" w:hAnsi="Times New Roman" w:cs="Times New Roman" w:eastAsia="Times New Roman" w:hint="default"/>
                            <w:sz w:val="18"/>
                            <w:szCs w:val="18"/>
                          </w:rPr>
                        </w:pPr>
                        <w:r>
                          <w:rPr>
                            <w:rFonts w:ascii="宋体" w:hAnsi="宋体" w:cs="宋体" w:eastAsia="宋体" w:hint="default"/>
                            <w:spacing w:val="-5"/>
                            <w:sz w:val="18"/>
                            <w:szCs w:val="18"/>
                          </w:rPr>
                          <w:t>司，开展废气（工业有机废气）治理业务。</w:t>
                        </w:r>
                        <w:r>
                          <w:rPr>
                            <w:rFonts w:ascii="Times New Roman" w:hAnsi="Times New Roman" w:cs="Times New Roman" w:eastAsia="Times New Roman" w:hint="default"/>
                            <w:spacing w:val="-5"/>
                            <w:sz w:val="18"/>
                            <w:szCs w:val="18"/>
                          </w:rPr>
                          <w:t>2014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日公司第二届董事会第十七次会议、</w:t>
                        </w:r>
                        <w:r>
                          <w:rPr>
                            <w:rFonts w:ascii="Times New Roman" w:hAnsi="Times New Roman" w:cs="Times New Roman" w:eastAsia="Times New Roman" w:hint="default"/>
                            <w:sz w:val="18"/>
                            <w:szCs w:val="18"/>
                          </w:rPr>
                          <w:t>2014</w:t>
                        </w:r>
                      </w:p>
                      <w:p>
                        <w:pPr>
                          <w:pStyle w:val="TableParagraph"/>
                          <w:spacing w:line="240" w:lineRule="auto" w:before="63"/>
                          <w:ind w:left="22" w:right="0"/>
                          <w:jc w:val="both"/>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r>
                          <w:rPr>
                            <w:rFonts w:ascii="宋体" w:hAnsi="宋体" w:cs="宋体" w:eastAsia="宋体" w:hint="default"/>
                            <w:spacing w:val="1"/>
                            <w:sz w:val="18"/>
                            <w:szCs w:val="18"/>
                          </w:rPr>
                          <w:t>公</w:t>
                        </w:r>
                        <w:r>
                          <w:rPr>
                            <w:rFonts w:ascii="宋体" w:hAnsi="宋体" w:cs="宋体" w:eastAsia="宋体" w:hint="default"/>
                            <w:sz w:val="18"/>
                            <w:szCs w:val="18"/>
                          </w:rPr>
                          <w:t>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w:t>
                        </w:r>
                        <w:r>
                          <w:rPr>
                            <w:rFonts w:ascii="宋体" w:hAnsi="宋体" w:cs="宋体" w:eastAsia="宋体" w:hint="default"/>
                            <w:spacing w:val="1"/>
                            <w:sz w:val="18"/>
                            <w:szCs w:val="18"/>
                          </w:rPr>
                          <w:t>一</w:t>
                        </w:r>
                        <w:r>
                          <w:rPr>
                            <w:rFonts w:ascii="宋体" w:hAnsi="宋体" w:cs="宋体" w:eastAsia="宋体" w:hint="default"/>
                            <w:sz w:val="18"/>
                            <w:szCs w:val="18"/>
                          </w:rPr>
                          <w:t>次临时股东大会审议通过</w:t>
                        </w:r>
                        <w:r>
                          <w:rPr>
                            <w:rFonts w:ascii="宋体" w:hAnsi="宋体" w:cs="宋体" w:eastAsia="宋体" w:hint="default"/>
                            <w:spacing w:val="-88"/>
                            <w:sz w:val="18"/>
                            <w:szCs w:val="18"/>
                          </w:rPr>
                          <w:t>了</w:t>
                        </w:r>
                        <w:r>
                          <w:rPr>
                            <w:rFonts w:ascii="宋体" w:hAnsi="宋体" w:cs="宋体" w:eastAsia="宋体" w:hint="default"/>
                            <w:sz w:val="18"/>
                            <w:szCs w:val="18"/>
                          </w:rPr>
                          <w:t>《关于使用超募资金永久性补充流动资金的</w:t>
                        </w:r>
                      </w:p>
                      <w:p>
                        <w:pPr>
                          <w:pStyle w:val="TableParagraph"/>
                          <w:spacing w:line="309" w:lineRule="auto" w:before="63"/>
                          <w:ind w:left="22" w:right="25"/>
                          <w:jc w:val="both"/>
                          <w:rPr>
                            <w:rFonts w:ascii="宋体" w:hAnsi="宋体" w:cs="宋体" w:eastAsia="宋体" w:hint="default"/>
                            <w:sz w:val="18"/>
                            <w:szCs w:val="18"/>
                          </w:rPr>
                        </w:pPr>
                        <w:r>
                          <w:rPr>
                            <w:rFonts w:ascii="宋体" w:hAnsi="宋体" w:cs="宋体" w:eastAsia="宋体" w:hint="default"/>
                            <w:spacing w:val="-7"/>
                            <w:sz w:val="18"/>
                            <w:szCs w:val="18"/>
                          </w:rPr>
                          <w:t>议案》，同意公司使用超募资金</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8,200 </w:t>
                        </w:r>
                        <w:r>
                          <w:rPr>
                            <w:rFonts w:ascii="宋体" w:hAnsi="宋体" w:cs="宋体" w:eastAsia="宋体" w:hint="default"/>
                            <w:sz w:val="18"/>
                            <w:szCs w:val="18"/>
                          </w:rPr>
                          <w:t>万元永久性补充流动资金。</w:t>
                        </w: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7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日，公司第二届董 事会第十八次会议审议通过了《关于使用超募资金利息设立全资子公司的议案》同意使用超募资金 利息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万元设立全资子公司，开展第三方检测业务。</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 </w:t>
                        </w:r>
                        <w:r>
                          <w:rPr>
                            <w:rFonts w:ascii="宋体" w:hAnsi="宋体" w:cs="宋体" w:eastAsia="宋体" w:hint="default"/>
                            <w:sz w:val="18"/>
                            <w:szCs w:val="18"/>
                          </w:rPr>
                          <w:t>日公司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年第一次临时</w:t>
                        </w:r>
                      </w:p>
                    </w:tc>
                  </w:tr>
                </w:tbl>
                <w:p>
                  <w:pPr/>
                </w:p>
              </w:txbxContent>
            </v:textbox>
            <w10:wrap type="none"/>
          </v:shape>
        </w:pic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0"/>
          <w:szCs w:val="20"/>
        </w:rPr>
      </w:pPr>
    </w:p>
    <w:p>
      <w:pPr>
        <w:pStyle w:val="BodyText"/>
        <w:spacing w:line="240" w:lineRule="auto" w:before="44"/>
        <w:ind w:left="0" w:right="1140"/>
        <w:jc w:val="right"/>
      </w:pP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0"/>
          <w:szCs w:val="20"/>
        </w:rPr>
      </w:pPr>
    </w:p>
    <w:p>
      <w:pPr>
        <w:pStyle w:val="BodyText"/>
        <w:spacing w:line="240" w:lineRule="auto" w:before="44"/>
        <w:ind w:left="0" w:right="1139"/>
        <w:jc w:val="right"/>
      </w:pPr>
      <w:r>
        <w:rPr/>
        <w:t>、</w:t>
      </w:r>
    </w:p>
    <w:p>
      <w:pPr>
        <w:spacing w:after="0" w:line="240" w:lineRule="auto"/>
        <w:jc w:val="right"/>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1770"/>
        <w:gridCol w:w="7798"/>
      </w:tblGrid>
      <w:tr>
        <w:trPr>
          <w:trHeight w:val="986"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2" w:right="22"/>
              <w:jc w:val="left"/>
              <w:rPr>
                <w:rFonts w:ascii="宋体" w:hAnsi="宋体" w:cs="宋体" w:eastAsia="宋体" w:hint="default"/>
                <w:sz w:val="18"/>
                <w:szCs w:val="18"/>
              </w:rPr>
            </w:pPr>
            <w:r>
              <w:rPr>
                <w:rFonts w:ascii="宋体" w:hAnsi="宋体" w:cs="宋体" w:eastAsia="宋体" w:hint="default"/>
                <w:spacing w:val="-5"/>
                <w:sz w:val="18"/>
                <w:szCs w:val="18"/>
              </w:rPr>
              <w:t>股东大会审议通过了《关于使用超募资金利息永久性补充流动资金的议案》，同意公司使用超募资金</w:t>
            </w:r>
            <w:r>
              <w:rPr>
                <w:rFonts w:ascii="宋体" w:hAnsi="宋体" w:cs="宋体" w:eastAsia="宋体" w:hint="default"/>
                <w:spacing w:val="-50"/>
                <w:sz w:val="18"/>
                <w:szCs w:val="18"/>
              </w:rPr>
              <w:t> </w:t>
            </w:r>
            <w:r>
              <w:rPr>
                <w:rFonts w:ascii="宋体" w:hAnsi="宋体" w:cs="宋体" w:eastAsia="宋体" w:hint="default"/>
                <w:spacing w:val="-50"/>
                <w:sz w:val="18"/>
                <w:szCs w:val="18"/>
              </w:rPr>
            </w:r>
            <w:r>
              <w:rPr>
                <w:rFonts w:ascii="宋体" w:hAnsi="宋体" w:cs="宋体" w:eastAsia="宋体" w:hint="default"/>
                <w:sz w:val="18"/>
                <w:szCs w:val="18"/>
              </w:rPr>
              <w:t>利息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1065.49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万元（具体以实际转出金额为准）永久性补充流动资金。截止报告期末，公司已决议</w:t>
            </w: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使用超募资金</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42,673.49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万元及利息</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3,228.64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万元，超募资金已全部使用完毕。</w:t>
            </w:r>
          </w:p>
        </w:tc>
      </w:tr>
      <w:tr>
        <w:trPr>
          <w:trHeight w:val="402" w:hRule="exact"/>
        </w:trPr>
        <w:tc>
          <w:tcPr>
            <w:tcW w:w="17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22"/>
                <w:szCs w:val="22"/>
              </w:rPr>
            </w:pPr>
          </w:p>
          <w:p>
            <w:pPr>
              <w:pStyle w:val="TableParagraph"/>
              <w:spacing w:line="316" w:lineRule="auto"/>
              <w:ind w:left="22" w:right="117"/>
              <w:jc w:val="left"/>
              <w:rPr>
                <w:rFonts w:ascii="宋体" w:hAnsi="宋体" w:cs="宋体" w:eastAsia="宋体" w:hint="default"/>
                <w:sz w:val="18"/>
                <w:szCs w:val="18"/>
              </w:rPr>
            </w:pPr>
            <w:r>
              <w:rPr>
                <w:rFonts w:ascii="宋体" w:hAnsi="宋体" w:cs="宋体" w:eastAsia="宋体" w:hint="default"/>
                <w:sz w:val="18"/>
                <w:szCs w:val="18"/>
              </w:rPr>
              <w:t>募集资金投资项目实 施地点变更情况</w:t>
            </w: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1770" w:type="dxa"/>
            <w:vMerge/>
            <w:tcBorders>
              <w:left w:val="single" w:sz="4" w:space="0" w:color="000000"/>
              <w:right w:val="single" w:sz="4" w:space="0" w:color="000000"/>
            </w:tcBorders>
            <w:shd w:val="clear" w:color="auto" w:fill="D2D2D2"/>
          </w:tcPr>
          <w:p>
            <w:pPr/>
          </w:p>
        </w:tc>
        <w:tc>
          <w:tcPr>
            <w:tcW w:w="779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770" w:type="dxa"/>
            <w:vMerge/>
            <w:tcBorders>
              <w:left w:val="single" w:sz="4" w:space="0" w:color="000000"/>
              <w:bottom w:val="single" w:sz="4" w:space="0" w:color="000000"/>
              <w:right w:val="single" w:sz="4" w:space="0" w:color="000000"/>
            </w:tcBorders>
            <w:shd w:val="clear" w:color="auto" w:fill="D2D2D2"/>
          </w:tcPr>
          <w:p>
            <w:pPr/>
          </w:p>
        </w:tc>
        <w:tc>
          <w:tcPr>
            <w:tcW w:w="779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7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22"/>
                <w:szCs w:val="22"/>
              </w:rPr>
            </w:pPr>
          </w:p>
          <w:p>
            <w:pPr>
              <w:pStyle w:val="TableParagraph"/>
              <w:spacing w:line="316" w:lineRule="auto"/>
              <w:ind w:left="22" w:right="117"/>
              <w:jc w:val="left"/>
              <w:rPr>
                <w:rFonts w:ascii="宋体" w:hAnsi="宋体" w:cs="宋体" w:eastAsia="宋体" w:hint="default"/>
                <w:sz w:val="18"/>
                <w:szCs w:val="18"/>
              </w:rPr>
            </w:pPr>
            <w:r>
              <w:rPr>
                <w:rFonts w:ascii="宋体" w:hAnsi="宋体" w:cs="宋体" w:eastAsia="宋体" w:hint="default"/>
                <w:sz w:val="18"/>
                <w:szCs w:val="18"/>
              </w:rPr>
              <w:t>募集资金投资项目实 施方式调整情况</w:t>
            </w: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1770" w:type="dxa"/>
            <w:vMerge/>
            <w:tcBorders>
              <w:left w:val="single" w:sz="4" w:space="0" w:color="000000"/>
              <w:right w:val="single" w:sz="4" w:space="0" w:color="000000"/>
            </w:tcBorders>
            <w:shd w:val="clear" w:color="auto" w:fill="D2D2D2"/>
          </w:tcPr>
          <w:p>
            <w:pPr/>
          </w:p>
        </w:tc>
        <w:tc>
          <w:tcPr>
            <w:tcW w:w="779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770" w:type="dxa"/>
            <w:vMerge/>
            <w:tcBorders>
              <w:left w:val="single" w:sz="4" w:space="0" w:color="000000"/>
              <w:bottom w:val="single" w:sz="4" w:space="0" w:color="000000"/>
              <w:right w:val="single" w:sz="4" w:space="0" w:color="000000"/>
            </w:tcBorders>
            <w:shd w:val="clear" w:color="auto" w:fill="D2D2D2"/>
          </w:tcPr>
          <w:p>
            <w:pPr/>
          </w:p>
        </w:tc>
        <w:tc>
          <w:tcPr>
            <w:tcW w:w="779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7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5"/>
                <w:szCs w:val="25"/>
              </w:rPr>
            </w:pPr>
          </w:p>
          <w:p>
            <w:pPr>
              <w:pStyle w:val="TableParagraph"/>
              <w:spacing w:line="319" w:lineRule="auto"/>
              <w:ind w:left="22" w:right="117"/>
              <w:jc w:val="left"/>
              <w:rPr>
                <w:rFonts w:ascii="宋体" w:hAnsi="宋体" w:cs="宋体" w:eastAsia="宋体" w:hint="default"/>
                <w:sz w:val="18"/>
                <w:szCs w:val="18"/>
              </w:rPr>
            </w:pPr>
            <w:r>
              <w:rPr>
                <w:rFonts w:ascii="宋体" w:hAnsi="宋体" w:cs="宋体" w:eastAsia="宋体" w:hint="default"/>
                <w:sz w:val="18"/>
                <w:szCs w:val="18"/>
              </w:rPr>
              <w:t>募集资金投资项目先 期投入及置换情况</w:t>
            </w: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1338" w:hRule="exact"/>
        </w:trPr>
        <w:tc>
          <w:tcPr>
            <w:tcW w:w="1770" w:type="dxa"/>
            <w:vMerge/>
            <w:tcBorders>
              <w:left w:val="single" w:sz="4" w:space="0" w:color="000000"/>
              <w:bottom w:val="single" w:sz="4" w:space="0" w:color="000000"/>
              <w:right w:val="single" w:sz="4" w:space="0" w:color="000000"/>
            </w:tcBorders>
            <w:shd w:val="clear" w:color="auto" w:fill="D2D2D2"/>
          </w:tcPr>
          <w:p>
            <w:pP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日，第一届董事会第八次会议决议通过，经中磊会计师事务所有限责任公司出具中</w:t>
            </w:r>
          </w:p>
          <w:p>
            <w:pPr>
              <w:pStyle w:val="TableParagraph"/>
              <w:spacing w:line="240" w:lineRule="auto" w:before="61"/>
              <w:ind w:left="22" w:right="0"/>
              <w:jc w:val="left"/>
              <w:rPr>
                <w:rFonts w:ascii="宋体" w:hAnsi="宋体" w:cs="宋体" w:eastAsia="宋体" w:hint="default"/>
                <w:sz w:val="18"/>
                <w:szCs w:val="18"/>
              </w:rPr>
            </w:pPr>
            <w:r>
              <w:rPr>
                <w:rFonts w:ascii="宋体" w:hAnsi="宋体" w:cs="宋体" w:eastAsia="宋体" w:hint="default"/>
                <w:sz w:val="18"/>
                <w:szCs w:val="18"/>
              </w:rPr>
              <w:t>磊审核字【</w:t>
            </w:r>
            <w:r>
              <w:rPr>
                <w:rFonts w:ascii="Times New Roman" w:hAnsi="Times New Roman" w:cs="Times New Roman" w:eastAsia="Times New Roman" w:hint="default"/>
                <w:sz w:val="18"/>
                <w:szCs w:val="18"/>
              </w:rPr>
              <w:t>2010</w:t>
            </w:r>
            <w:r>
              <w:rPr>
                <w:rFonts w:ascii="宋体" w:hAnsi="宋体" w:cs="宋体" w:eastAsia="宋体" w:hint="default"/>
                <w:sz w:val="18"/>
                <w:szCs w:val="18"/>
              </w:rPr>
              <w:t>】第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号《关于河北先河环保科技股份有限公司以自筹资金预先投入募投项目</w:t>
            </w:r>
          </w:p>
          <w:p>
            <w:pPr>
              <w:pStyle w:val="TableParagraph"/>
              <w:spacing w:line="302" w:lineRule="auto" w:before="63"/>
              <w:ind w:left="22" w:right="69"/>
              <w:jc w:val="left"/>
              <w:rPr>
                <w:rFonts w:ascii="宋体" w:hAnsi="宋体" w:cs="宋体" w:eastAsia="宋体" w:hint="default"/>
                <w:sz w:val="18"/>
                <w:szCs w:val="18"/>
              </w:rPr>
            </w:pPr>
            <w:r>
              <w:rPr>
                <w:rFonts w:ascii="宋体" w:hAnsi="宋体" w:cs="宋体" w:eastAsia="宋体" w:hint="default"/>
                <w:spacing w:val="-7"/>
                <w:sz w:val="18"/>
                <w:szCs w:val="18"/>
              </w:rPr>
              <w:t>的鉴证报告》，公司以募集资金</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981.30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万元置换预先已投入募集资金投资项目的自筹资金，相关资 金已完成置换。</w:t>
            </w:r>
          </w:p>
        </w:tc>
      </w:tr>
      <w:tr>
        <w:trPr>
          <w:trHeight w:val="402" w:hRule="exact"/>
        </w:trPr>
        <w:tc>
          <w:tcPr>
            <w:tcW w:w="17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319" w:lineRule="auto"/>
              <w:ind w:left="22" w:right="117"/>
              <w:jc w:val="left"/>
              <w:rPr>
                <w:rFonts w:ascii="宋体" w:hAnsi="宋体" w:cs="宋体" w:eastAsia="宋体" w:hint="default"/>
                <w:sz w:val="18"/>
                <w:szCs w:val="18"/>
              </w:rPr>
            </w:pPr>
            <w:r>
              <w:rPr>
                <w:rFonts w:ascii="宋体" w:hAnsi="宋体" w:cs="宋体" w:eastAsia="宋体" w:hint="default"/>
                <w:sz w:val="18"/>
                <w:szCs w:val="18"/>
              </w:rPr>
              <w:t>用闲置募集资金暂时 补充流动资金情况</w:t>
            </w: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1962" w:hRule="exact"/>
        </w:trPr>
        <w:tc>
          <w:tcPr>
            <w:tcW w:w="1770" w:type="dxa"/>
            <w:vMerge/>
            <w:tcBorders>
              <w:left w:val="single" w:sz="4" w:space="0" w:color="000000"/>
              <w:bottom w:val="single" w:sz="4" w:space="0" w:color="000000"/>
              <w:right w:val="single" w:sz="4" w:space="0" w:color="000000"/>
            </w:tcBorders>
            <w:shd w:val="clear" w:color="auto" w:fill="D2D2D2"/>
          </w:tcPr>
          <w:p>
            <w:pP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日，经公司第一届董事会第十一次会议审议通过，公司使用闲置募集资金</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4,000 </w:t>
            </w:r>
            <w:r>
              <w:rPr>
                <w:rFonts w:ascii="宋体" w:hAnsi="宋体" w:cs="宋体" w:eastAsia="宋体" w:hint="default"/>
                <w:sz w:val="18"/>
                <w:szCs w:val="18"/>
              </w:rPr>
              <w:t>万元</w:t>
            </w:r>
          </w:p>
          <w:p>
            <w:pPr>
              <w:pStyle w:val="TableParagraph"/>
              <w:spacing w:line="240" w:lineRule="auto" w:before="61"/>
              <w:ind w:left="22" w:right="0"/>
              <w:jc w:val="left"/>
              <w:rPr>
                <w:rFonts w:ascii="宋体" w:hAnsi="宋体" w:cs="宋体" w:eastAsia="宋体" w:hint="default"/>
                <w:sz w:val="18"/>
                <w:szCs w:val="18"/>
              </w:rPr>
            </w:pPr>
            <w:r>
              <w:rPr>
                <w:rFonts w:ascii="宋体" w:hAnsi="宋体" w:cs="宋体" w:eastAsia="宋体" w:hint="default"/>
                <w:sz w:val="18"/>
                <w:szCs w:val="18"/>
              </w:rPr>
              <w:t>暂时补充流动资金，使用期限</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r>
              <w:rPr>
                <w:rFonts w:ascii="Times New Roman" w:hAnsi="Times New Roman" w:cs="Times New Roman" w:eastAsia="Times New Roman" w:hint="default"/>
                <w:sz w:val="18"/>
                <w:szCs w:val="18"/>
              </w:rPr>
              <w:t>,</w:t>
            </w:r>
            <w:r>
              <w:rPr>
                <w:rFonts w:ascii="宋体" w:hAnsi="宋体" w:cs="宋体" w:eastAsia="宋体" w:hint="default"/>
                <w:sz w:val="18"/>
                <w:szCs w:val="18"/>
              </w:rPr>
              <w:t>截至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日，公司</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已将上述用于暂时补充流动资金的闲置募集资金</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4,000</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万元全部归还至公司募集资金专用账户</w:t>
            </w:r>
            <w:r>
              <w:rPr>
                <w:rFonts w:ascii="宋体" w:hAnsi="宋体" w:cs="宋体" w:eastAsia="宋体" w:hint="default"/>
                <w:spacing w:val="-90"/>
                <w:sz w:val="18"/>
                <w:szCs w:val="18"/>
              </w:rPr>
              <w:t>。</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8"/>
                <w:sz w:val="18"/>
                <w:szCs w:val="18"/>
              </w:rPr>
              <w:t>1</w:t>
            </w:r>
            <w:r>
              <w:rPr>
                <w:rFonts w:ascii="Times New Roman" w:hAnsi="Times New Roman" w:cs="Times New Roman" w:eastAsia="Times New Roman" w:hint="default"/>
                <w:sz w:val="18"/>
                <w:szCs w:val="18"/>
              </w:rPr>
              <w:t>1</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日，经公司第一届董事会第十六次会议审议通过，公司使用闲置募集资金</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5,000</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万元暂时</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补充流动资金</w:t>
            </w:r>
            <w:r>
              <w:rPr>
                <w:rFonts w:ascii="宋体" w:hAnsi="宋体" w:cs="宋体" w:eastAsia="宋体" w:hint="default"/>
                <w:spacing w:val="-86"/>
                <w:sz w:val="18"/>
                <w:szCs w:val="18"/>
              </w:rPr>
              <w:t>，</w:t>
            </w:r>
            <w:r>
              <w:rPr>
                <w:rFonts w:ascii="宋体" w:hAnsi="宋体" w:cs="宋体" w:eastAsia="宋体" w:hint="default"/>
                <w:sz w:val="18"/>
                <w:szCs w:val="18"/>
              </w:rPr>
              <w:t>使用期限</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8"/>
                <w:sz w:val="18"/>
                <w:szCs w:val="18"/>
              </w:rPr>
              <w:t>1</w:t>
            </w:r>
            <w:r>
              <w:rPr>
                <w:rFonts w:ascii="Times New Roman" w:hAnsi="Times New Roman" w:cs="Times New Roman" w:eastAsia="Times New Roman" w:hint="default"/>
                <w:sz w:val="18"/>
                <w:szCs w:val="18"/>
              </w:rPr>
              <w:t>1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r>
              <w:rPr>
                <w:rFonts w:ascii="Times New Roman" w:hAnsi="Times New Roman" w:cs="Times New Roman" w:eastAsia="Times New Roman" w:hint="default"/>
                <w:spacing w:val="1"/>
                <w:sz w:val="18"/>
                <w:szCs w:val="18"/>
              </w:rPr>
              <w:t>—</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 </w:t>
            </w:r>
            <w:r>
              <w:rPr>
                <w:rFonts w:ascii="宋体" w:hAnsi="宋体" w:cs="宋体" w:eastAsia="宋体" w:hint="default"/>
                <w:sz w:val="18"/>
                <w:szCs w:val="18"/>
              </w:rPr>
              <w:t>日</w:t>
            </w:r>
            <w:r>
              <w:rPr>
                <w:rFonts w:ascii="宋体" w:hAnsi="宋体" w:cs="宋体" w:eastAsia="宋体" w:hint="default"/>
                <w:spacing w:val="-86"/>
                <w:sz w:val="18"/>
                <w:szCs w:val="18"/>
              </w:rPr>
              <w:t>。</w:t>
            </w:r>
            <w:r>
              <w:rPr>
                <w:rFonts w:ascii="宋体" w:hAnsi="宋体" w:cs="宋体" w:eastAsia="宋体" w:hint="default"/>
                <w:sz w:val="18"/>
                <w:szCs w:val="18"/>
              </w:rPr>
              <w:t>公司实际使用该闲置募集资金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3500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万元暂时性补充流动资金，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 </w:t>
            </w:r>
            <w:r>
              <w:rPr>
                <w:rFonts w:ascii="宋体" w:hAnsi="宋体" w:cs="宋体" w:eastAsia="宋体" w:hint="default"/>
                <w:sz w:val="18"/>
                <w:szCs w:val="18"/>
              </w:rPr>
              <w:t>日，公司将</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3500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万元归还至募集资金专户。</w:t>
            </w:r>
          </w:p>
        </w:tc>
      </w:tr>
      <w:tr>
        <w:trPr>
          <w:trHeight w:val="402" w:hRule="exact"/>
        </w:trPr>
        <w:tc>
          <w:tcPr>
            <w:tcW w:w="17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319" w:lineRule="auto"/>
              <w:ind w:left="22" w:right="117"/>
              <w:jc w:val="left"/>
              <w:rPr>
                <w:rFonts w:ascii="宋体" w:hAnsi="宋体" w:cs="宋体" w:eastAsia="宋体" w:hint="default"/>
                <w:sz w:val="18"/>
                <w:szCs w:val="18"/>
              </w:rPr>
            </w:pPr>
            <w:r>
              <w:rPr>
                <w:rFonts w:ascii="宋体" w:hAnsi="宋体" w:cs="宋体" w:eastAsia="宋体" w:hint="default"/>
                <w:sz w:val="18"/>
                <w:szCs w:val="18"/>
              </w:rPr>
              <w:t>项目实施出现募集资 金结余的金额及原因</w:t>
            </w: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2898" w:hRule="exact"/>
        </w:trPr>
        <w:tc>
          <w:tcPr>
            <w:tcW w:w="1770" w:type="dxa"/>
            <w:vMerge/>
            <w:tcBorders>
              <w:left w:val="single" w:sz="4" w:space="0" w:color="000000"/>
              <w:bottom w:val="single" w:sz="4" w:space="0" w:color="000000"/>
              <w:right w:val="single" w:sz="4" w:space="0" w:color="000000"/>
            </w:tcBorders>
            <w:shd w:val="clear" w:color="auto" w:fill="D2D2D2"/>
          </w:tcPr>
          <w:p>
            <w:pP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51"/>
              <w:ind w:left="22" w:right="-5"/>
              <w:jc w:val="left"/>
              <w:rPr>
                <w:rFonts w:ascii="宋体" w:hAnsi="宋体" w:cs="宋体" w:eastAsia="宋体" w:hint="default"/>
                <w:sz w:val="18"/>
                <w:szCs w:val="18"/>
              </w:rPr>
            </w:pPr>
            <w:r>
              <w:rPr>
                <w:rFonts w:ascii="宋体" w:hAnsi="宋体" w:cs="宋体" w:eastAsia="宋体" w:hint="default"/>
                <w:sz w:val="18"/>
                <w:szCs w:val="18"/>
              </w:rPr>
              <w:t>公司环境监测设施市场化运营服务项目已到期建设完成，结余募集资金</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3,561.63</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万元</w:t>
            </w:r>
            <w:r>
              <w:rPr>
                <w:rFonts w:ascii="Times New Roman" w:hAnsi="Times New Roman" w:cs="Times New Roman" w:eastAsia="Times New Roman" w:hint="default"/>
                <w:sz w:val="18"/>
                <w:szCs w:val="18"/>
              </w:rPr>
              <w:t>,</w:t>
            </w:r>
            <w:r>
              <w:rPr>
                <w:rFonts w:ascii="宋体" w:hAnsi="宋体" w:cs="宋体" w:eastAsia="宋体" w:hint="default"/>
                <w:sz w:val="18"/>
                <w:szCs w:val="18"/>
              </w:rPr>
              <w:t>产生较多结余 </w:t>
            </w:r>
            <w:r>
              <w:rPr>
                <w:rFonts w:ascii="宋体" w:hAnsi="宋体" w:cs="宋体" w:eastAsia="宋体" w:hint="default"/>
                <w:spacing w:val="-1"/>
                <w:sz w:val="18"/>
                <w:szCs w:val="18"/>
              </w:rPr>
              <w:t>募集资金的原因是：</w:t>
            </w:r>
            <w:r>
              <w:rPr>
                <w:rFonts w:ascii="Times New Roman" w:hAnsi="Times New Roman" w:cs="Times New Roman" w:eastAsia="Times New Roman" w:hint="default"/>
                <w:spacing w:val="-1"/>
                <w:sz w:val="18"/>
                <w:szCs w:val="18"/>
              </w:rPr>
              <w:t>(1)</w:t>
            </w:r>
            <w:r>
              <w:rPr>
                <w:rFonts w:ascii="宋体" w:hAnsi="宋体" w:cs="宋体" w:eastAsia="宋体" w:hint="default"/>
                <w:spacing w:val="-1"/>
                <w:sz w:val="18"/>
                <w:szCs w:val="18"/>
              </w:rPr>
              <w:t>环境监测设施市场化运营服务是环境监测行业发展的一个重要方向，公司较</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早就确定了开展运营服务业务的战略方针，在各地原来设立销售办事处及分支机构的基础上，配置 相关人员及设备，大量节省了用于开展运营服务设立办事处的费用；</w:t>
            </w:r>
            <w:r>
              <w:rPr>
                <w:rFonts w:ascii="Times New Roman" w:hAnsi="Times New Roman" w:cs="Times New Roman" w:eastAsia="Times New Roman" w:hint="default"/>
                <w:sz w:val="18"/>
                <w:szCs w:val="18"/>
              </w:rPr>
              <w:t>(2)</w:t>
            </w:r>
            <w:r>
              <w:rPr>
                <w:rFonts w:ascii="宋体" w:hAnsi="宋体" w:cs="宋体" w:eastAsia="宋体" w:hint="default"/>
                <w:sz w:val="18"/>
                <w:szCs w:val="18"/>
              </w:rPr>
              <w:t>河北区域的部分运营项目， 由公司的控股子公司河北先河金瑞负责，由于是控股子公司，公司并未使用募集资金进行资金置换 </w:t>
            </w:r>
            <w:r>
              <w:rPr>
                <w:rFonts w:ascii="宋体" w:hAnsi="宋体" w:cs="宋体" w:eastAsia="宋体" w:hint="default"/>
                <w:spacing w:val="-7"/>
                <w:sz w:val="18"/>
                <w:szCs w:val="18"/>
              </w:rPr>
              <w:t>和投入，该区域由</w:t>
            </w:r>
            <w:r>
              <w:rPr>
                <w:rFonts w:ascii="宋体" w:hAnsi="宋体" w:cs="宋体" w:eastAsia="宋体" w:hint="default"/>
                <w:spacing w:val="4"/>
                <w:sz w:val="18"/>
                <w:szCs w:val="18"/>
              </w:rPr>
              <w:t> </w:t>
            </w:r>
            <w:r>
              <w:rPr>
                <w:rFonts w:ascii="宋体" w:hAnsi="宋体" w:cs="宋体" w:eastAsia="宋体" w:hint="default"/>
                <w:sz w:val="18"/>
                <w:szCs w:val="18"/>
              </w:rPr>
              <w:t>河北先河金瑞累计投入</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700</w:t>
            </w:r>
            <w:r>
              <w:rPr>
                <w:rFonts w:ascii="Times New Roman" w:hAnsi="Times New Roman" w:cs="Times New Roman" w:eastAsia="Times New Roman" w:hint="default"/>
                <w:spacing w:val="4"/>
                <w:sz w:val="18"/>
                <w:szCs w:val="18"/>
              </w:rPr>
              <w:t> </w:t>
            </w:r>
            <w:r>
              <w:rPr>
                <w:rFonts w:ascii="宋体" w:hAnsi="宋体" w:cs="宋体" w:eastAsia="宋体" w:hint="default"/>
                <w:spacing w:val="-10"/>
                <w:w w:val="99"/>
                <w:sz w:val="18"/>
                <w:szCs w:val="18"/>
              </w:rPr>
              <w:t>多万元；（</w:t>
            </w:r>
            <w:r>
              <w:rPr>
                <w:rFonts w:ascii="Times New Roman" w:hAnsi="Times New Roman" w:cs="Times New Roman" w:eastAsia="Times New Roman" w:hint="default"/>
                <w:spacing w:val="-10"/>
                <w:w w:val="99"/>
                <w:sz w:val="18"/>
                <w:szCs w:val="18"/>
              </w:rPr>
              <w:t>3</w:t>
            </w:r>
            <w:r>
              <w:rPr>
                <w:rFonts w:ascii="宋体" w:hAnsi="宋体" w:cs="宋体" w:eastAsia="宋体" w:hint="default"/>
                <w:spacing w:val="-10"/>
                <w:w w:val="99"/>
                <w:sz w:val="18"/>
                <w:szCs w:val="18"/>
              </w:rPr>
              <w:t>）山东运营项目实行了新的运营模式（</w:t>
            </w:r>
            <w:r>
              <w:rPr>
                <w:rFonts w:ascii="Times New Roman" w:hAnsi="Times New Roman" w:cs="Times New Roman" w:eastAsia="Times New Roman" w:hint="default"/>
                <w:spacing w:val="-10"/>
                <w:w w:val="99"/>
                <w:sz w:val="18"/>
                <w:szCs w:val="18"/>
              </w:rPr>
              <w:t>TO</w:t>
            </w:r>
            <w:r>
              <w:rPr>
                <w:rFonts w:ascii="Times New Roman" w:hAnsi="Times New Roman" w:cs="Times New Roman" w:eastAsia="Times New Roman" w:hint="default"/>
                <w:spacing w:val="-43"/>
                <w:w w:val="99"/>
                <w:sz w:val="18"/>
                <w:szCs w:val="18"/>
              </w:rPr>
              <w:t> </w:t>
            </w:r>
            <w:r>
              <w:rPr>
                <w:rFonts w:ascii="宋体" w:hAnsi="宋体" w:cs="宋体" w:eastAsia="宋体" w:hint="default"/>
                <w:spacing w:val="-4"/>
                <w:sz w:val="18"/>
                <w:szCs w:val="18"/>
              </w:rPr>
              <w:t>模式），公司使用超募资金进行了投入，累计投入了</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2,356.69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万元，也从而节省了公司的环境监测</w:t>
            </w:r>
            <w:r>
              <w:rPr>
                <w:rFonts w:ascii="宋体" w:hAnsi="宋体" w:cs="宋体" w:eastAsia="宋体" w:hint="default"/>
                <w:spacing w:val="-87"/>
                <w:sz w:val="18"/>
                <w:szCs w:val="18"/>
              </w:rPr>
              <w:t> </w:t>
            </w:r>
            <w:r>
              <w:rPr>
                <w:rFonts w:ascii="宋体" w:hAnsi="宋体" w:cs="宋体" w:eastAsia="宋体" w:hint="default"/>
                <w:sz w:val="18"/>
                <w:szCs w:val="18"/>
              </w:rPr>
              <w:t>设施市场化运营服务项目所使用的募集资金。</w:t>
            </w:r>
            <w:r>
              <w:rPr>
                <w:rFonts w:ascii="宋体" w:hAnsi="宋体" w:cs="宋体" w:eastAsia="宋体" w:hint="default"/>
                <w:spacing w:val="-68"/>
                <w:sz w:val="18"/>
                <w:szCs w:val="18"/>
              </w:rPr>
              <w:t> </w:t>
            </w:r>
            <w:r>
              <w:rPr>
                <w:rFonts w:ascii="宋体" w:hAnsi="宋体" w:cs="宋体" w:eastAsia="宋体" w:hint="default"/>
                <w:sz w:val="18"/>
                <w:szCs w:val="18"/>
              </w:rPr>
              <w:t>运营业务是公司目前及未来重要的经济增长点，公司</w:t>
            </w:r>
            <w:r>
              <w:rPr>
                <w:rFonts w:ascii="宋体" w:hAnsi="宋体" w:cs="宋体" w:eastAsia="宋体" w:hint="default"/>
                <w:sz w:val="18"/>
                <w:szCs w:val="18"/>
              </w:rPr>
              <w:t> 将继续推进该项业务的增长。</w:t>
            </w:r>
          </w:p>
        </w:tc>
      </w:tr>
      <w:tr>
        <w:trPr>
          <w:trHeight w:val="714"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17"/>
              <w:jc w:val="left"/>
              <w:rPr>
                <w:rFonts w:ascii="宋体" w:hAnsi="宋体" w:cs="宋体" w:eastAsia="宋体" w:hint="default"/>
                <w:sz w:val="18"/>
                <w:szCs w:val="18"/>
              </w:rPr>
            </w:pPr>
            <w:r>
              <w:rPr>
                <w:rFonts w:ascii="宋体" w:hAnsi="宋体" w:cs="宋体" w:eastAsia="宋体" w:hint="default"/>
                <w:sz w:val="18"/>
                <w:szCs w:val="18"/>
              </w:rPr>
              <w:t>尚未使用的募集资金 用途及去向</w:t>
            </w: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截止报告期末，公司募集资金已全部使用完毕。</w:t>
            </w:r>
          </w:p>
        </w:tc>
      </w:tr>
      <w:tr>
        <w:trPr>
          <w:trHeight w:val="1026"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17"/>
              <w:jc w:val="both"/>
              <w:rPr>
                <w:rFonts w:ascii="宋体" w:hAnsi="宋体" w:cs="宋体" w:eastAsia="宋体" w:hint="default"/>
                <w:sz w:val="18"/>
                <w:szCs w:val="18"/>
              </w:rPr>
            </w:pPr>
            <w:r>
              <w:rPr>
                <w:rFonts w:ascii="宋体" w:hAnsi="宋体" w:cs="宋体" w:eastAsia="宋体" w:hint="default"/>
                <w:sz w:val="18"/>
                <w:szCs w:val="18"/>
              </w:rPr>
              <w:t>募集资金使用及披露 中存在的问题或其他 情况</w:t>
            </w: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报告期内公司募集资金使用及披露不存在问题</w:t>
            </w:r>
          </w:p>
        </w:tc>
      </w:tr>
    </w:tbl>
    <w:p>
      <w:pPr>
        <w:spacing w:line="240" w:lineRule="auto" w:before="3"/>
        <w:rPr>
          <w:rFonts w:ascii="宋体" w:hAnsi="宋体" w:cs="宋体" w:eastAsia="宋体" w:hint="default"/>
          <w:sz w:val="19"/>
          <w:szCs w:val="19"/>
        </w:rPr>
      </w:pPr>
    </w:p>
    <w:p>
      <w:pPr>
        <w:pStyle w:val="Heading3"/>
        <w:spacing w:line="240" w:lineRule="auto" w:before="35"/>
        <w:ind w:left="1134" w:right="0"/>
        <w:jc w:val="left"/>
        <w:rPr>
          <w:b w:val="0"/>
          <w:bCs w:val="0"/>
        </w:rPr>
      </w:pPr>
      <w:bookmarkStart w:name="（3）募集资金变更项目情况" w:id="52"/>
      <w:bookmarkEnd w:id="52"/>
      <w:r>
        <w:rPr>
          <w:b w:val="0"/>
          <w:bCs w:val="0"/>
        </w:rPr>
      </w:r>
      <w:r>
        <w:rPr/>
        <w:t>（</w:t>
      </w:r>
      <w:r>
        <w:rPr>
          <w:rFonts w:ascii="Times New Roman" w:hAnsi="Times New Roman" w:cs="Times New Roman" w:eastAsia="Times New Roman" w:hint="default"/>
        </w:rPr>
        <w:t>3</w:t>
      </w:r>
      <w:r>
        <w:rPr/>
        <w:t>）募集资金变更项目情况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13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79" w:top="1060" w:bottom="1160" w:left="0" w:right="0"/>
        </w:sectPr>
      </w:pPr>
    </w:p>
    <w:p>
      <w:pPr>
        <w:spacing w:line="240" w:lineRule="auto" w:before="13"/>
        <w:rPr>
          <w:rFonts w:ascii="宋体" w:hAnsi="宋体" w:cs="宋体" w:eastAsia="宋体" w:hint="default"/>
          <w:sz w:val="25"/>
          <w:szCs w:val="25"/>
        </w:rPr>
      </w:pPr>
    </w:p>
    <w:p>
      <w:pPr>
        <w:pStyle w:val="BodyText"/>
        <w:spacing w:line="240" w:lineRule="auto" w:before="44"/>
        <w:ind w:right="0"/>
        <w:jc w:val="left"/>
      </w:pPr>
      <w:r>
        <w:rPr/>
        <w:t>公司报告期不存在募集资金变更项目情况。</w:t>
      </w:r>
    </w:p>
    <w:p>
      <w:pPr>
        <w:spacing w:line="240" w:lineRule="auto" w:before="13"/>
        <w:rPr>
          <w:rFonts w:ascii="宋体" w:hAnsi="宋体" w:cs="宋体" w:eastAsia="宋体" w:hint="default"/>
          <w:sz w:val="24"/>
          <w:szCs w:val="24"/>
        </w:rPr>
      </w:pPr>
    </w:p>
    <w:p>
      <w:pPr>
        <w:pStyle w:val="Heading2"/>
        <w:spacing w:line="240" w:lineRule="auto"/>
        <w:ind w:right="0"/>
        <w:jc w:val="left"/>
        <w:rPr>
          <w:b w:val="0"/>
          <w:bCs w:val="0"/>
        </w:rPr>
      </w:pPr>
      <w:bookmarkStart w:name="六、重大资产和股权出售" w:id="53"/>
      <w:bookmarkEnd w:id="53"/>
      <w:r>
        <w:rPr>
          <w:b w:val="0"/>
          <w:bCs w:val="0"/>
        </w:rPr>
      </w:r>
      <w:r>
        <w:rPr/>
        <w:t>六、重大资产和股权出售</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出售重大资产情况" w:id="54"/>
      <w:bookmarkEnd w:id="54"/>
      <w:r>
        <w:rPr>
          <w:b w:val="0"/>
          <w:bCs w:val="0"/>
        </w:rPr>
      </w:r>
      <w:r>
        <w:rPr>
          <w:rFonts w:ascii="Times New Roman" w:hAnsi="Times New Roman" w:cs="Times New Roman" w:eastAsia="Times New Roman" w:hint="default"/>
        </w:rPr>
        <w:t>1</w:t>
      </w:r>
      <w:r>
        <w:rPr/>
        <w:t>、出售重大资产情况</w:t>
      </w:r>
      <w:r>
        <w:rPr>
          <w:b w:val="0"/>
          <w:bCs w:val="0"/>
        </w:rPr>
      </w:r>
    </w:p>
    <w:p>
      <w:pPr>
        <w:spacing w:line="240" w:lineRule="auto" w:before="8"/>
        <w:rPr>
          <w:rFonts w:ascii="宋体" w:hAnsi="宋体" w:cs="宋体" w:eastAsia="宋体" w:hint="default"/>
          <w:b/>
          <w:bCs/>
          <w:sz w:val="26"/>
          <w:szCs w:val="26"/>
        </w:rPr>
      </w:pPr>
    </w:p>
    <w:p>
      <w:pPr>
        <w:pStyle w:val="BodyText"/>
        <w:spacing w:line="338" w:lineRule="auto"/>
        <w:ind w:right="84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公司报告期未出售重大资产。</w:t>
      </w:r>
    </w:p>
    <w:p>
      <w:pPr>
        <w:spacing w:line="240" w:lineRule="auto" w:before="2"/>
        <w:rPr>
          <w:rFonts w:ascii="宋体" w:hAnsi="宋体" w:cs="宋体" w:eastAsia="宋体" w:hint="default"/>
          <w:sz w:val="21"/>
          <w:szCs w:val="21"/>
        </w:rPr>
      </w:pPr>
    </w:p>
    <w:p>
      <w:pPr>
        <w:pStyle w:val="Heading3"/>
        <w:spacing w:line="240" w:lineRule="auto"/>
        <w:ind w:right="0"/>
        <w:jc w:val="left"/>
        <w:rPr>
          <w:b w:val="0"/>
          <w:bCs w:val="0"/>
        </w:rPr>
      </w:pPr>
      <w:bookmarkStart w:name="2、出售重大股权情况" w:id="55"/>
      <w:bookmarkEnd w:id="55"/>
      <w:r>
        <w:rPr>
          <w:b w:val="0"/>
          <w:bCs w:val="0"/>
        </w:rPr>
      </w:r>
      <w:r>
        <w:rPr>
          <w:rFonts w:ascii="Times New Roman" w:hAnsi="Times New Roman" w:cs="Times New Roman" w:eastAsia="Times New Roman" w:hint="default"/>
        </w:rPr>
        <w:t>2</w:t>
      </w:r>
      <w:r>
        <w:rPr/>
        <w:t>、出售重大股权情况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七、主要控股参股公司分析" w:id="56"/>
      <w:bookmarkEnd w:id="56"/>
      <w:r>
        <w:rPr>
          <w:b w:val="0"/>
          <w:bCs w:val="0"/>
        </w:rPr>
      </w:r>
      <w:r>
        <w:rPr/>
        <w:t>七、主要控股参股公司分析</w:t>
      </w:r>
      <w:r>
        <w:rPr>
          <w:b w:val="0"/>
          <w:bCs w:val="0"/>
        </w:rPr>
      </w:r>
    </w:p>
    <w:p>
      <w:pPr>
        <w:spacing w:line="240" w:lineRule="auto" w:before="3"/>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79" w:top="1060" w:bottom="1160" w:left="0" w:right="0"/>
        </w:sectPr>
      </w:pPr>
    </w:p>
    <w:p>
      <w:pPr>
        <w:pStyle w:val="BodyText"/>
        <w:spacing w:line="240" w:lineRule="auto" w:before="44"/>
        <w:ind w:right="-1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right="-19"/>
        <w:jc w:val="left"/>
      </w:pPr>
      <w:r>
        <w:rPr/>
        <w:t>主要子公司及对公司净利润影响达</w:t>
      </w:r>
      <w:r>
        <w:rPr>
          <w:spacing w:val="-46"/>
        </w:rPr>
        <w:t> </w:t>
      </w:r>
      <w:r>
        <w:rPr>
          <w:rFonts w:ascii="Times New Roman" w:hAnsi="Times New Roman" w:cs="Times New Roman" w:eastAsia="Times New Roman" w:hint="default"/>
        </w:rPr>
        <w:t>10%</w:t>
      </w:r>
      <w:r>
        <w:rPr/>
        <w:t>以上的参股公司情况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left="1113" w:right="1112"/>
        <w:jc w:val="center"/>
      </w:pPr>
      <w:r>
        <w:rPr/>
        <w:t>单位：元</w:t>
      </w:r>
    </w:p>
    <w:p>
      <w:pPr>
        <w:spacing w:after="0" w:line="240" w:lineRule="auto"/>
        <w:jc w:val="center"/>
        <w:sectPr>
          <w:type w:val="continuous"/>
          <w:pgSz w:w="11910" w:h="16840"/>
          <w:pgMar w:top="1060" w:bottom="1160" w:left="0" w:right="0"/>
          <w:cols w:num="2" w:equalWidth="0">
            <w:col w:w="5829" w:space="3090"/>
            <w:col w:w="2991"/>
          </w:cols>
        </w:sectPr>
      </w:pP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054"/>
        <w:gridCol w:w="1196"/>
        <w:gridCol w:w="1045"/>
        <w:gridCol w:w="1046"/>
        <w:gridCol w:w="1045"/>
        <w:gridCol w:w="1045"/>
        <w:gridCol w:w="1046"/>
        <w:gridCol w:w="1045"/>
        <w:gridCol w:w="1046"/>
      </w:tblGrid>
      <w:tr>
        <w:trPr>
          <w:trHeight w:val="402" w:hRule="exact"/>
        </w:trPr>
        <w:tc>
          <w:tcPr>
            <w:tcW w:w="10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2" w:right="0"/>
              <w:jc w:val="left"/>
              <w:rPr>
                <w:rFonts w:ascii="宋体" w:hAnsi="宋体" w:cs="宋体" w:eastAsia="宋体" w:hint="default"/>
                <w:sz w:val="18"/>
                <w:szCs w:val="18"/>
              </w:rPr>
            </w:pPr>
            <w:r>
              <w:rPr>
                <w:rFonts w:ascii="宋体" w:hAnsi="宋体" w:cs="宋体" w:eastAsia="宋体" w:hint="default"/>
                <w:sz w:val="18"/>
                <w:szCs w:val="18"/>
              </w:rPr>
              <w:t>公司名称</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3" w:right="0"/>
              <w:jc w:val="left"/>
              <w:rPr>
                <w:rFonts w:ascii="宋体" w:hAnsi="宋体" w:cs="宋体" w:eastAsia="宋体" w:hint="default"/>
                <w:sz w:val="18"/>
                <w:szCs w:val="18"/>
              </w:rPr>
            </w:pPr>
            <w:r>
              <w:rPr>
                <w:rFonts w:ascii="宋体" w:hAnsi="宋体" w:cs="宋体" w:eastAsia="宋体" w:hint="default"/>
                <w:sz w:val="18"/>
                <w:szCs w:val="18"/>
              </w:rPr>
              <w:t>公司类型</w:t>
            </w:r>
          </w:p>
        </w:tc>
        <w:tc>
          <w:tcPr>
            <w:tcW w:w="10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57" w:right="0"/>
              <w:jc w:val="left"/>
              <w:rPr>
                <w:rFonts w:ascii="宋体" w:hAnsi="宋体" w:cs="宋体" w:eastAsia="宋体" w:hint="default"/>
                <w:sz w:val="18"/>
                <w:szCs w:val="18"/>
              </w:rPr>
            </w:pPr>
            <w:r>
              <w:rPr>
                <w:rFonts w:ascii="宋体" w:hAnsi="宋体" w:cs="宋体" w:eastAsia="宋体" w:hint="default"/>
                <w:sz w:val="18"/>
                <w:szCs w:val="18"/>
              </w:rPr>
              <w:t>主要业务</w:t>
            </w:r>
          </w:p>
        </w:tc>
        <w:tc>
          <w:tcPr>
            <w:tcW w:w="10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57"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0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7" w:right="0"/>
              <w:jc w:val="left"/>
              <w:rPr>
                <w:rFonts w:ascii="宋体" w:hAnsi="宋体" w:cs="宋体" w:eastAsia="宋体" w:hint="default"/>
                <w:sz w:val="18"/>
                <w:szCs w:val="18"/>
              </w:rPr>
            </w:pPr>
            <w:r>
              <w:rPr>
                <w:rFonts w:ascii="宋体" w:hAnsi="宋体" w:cs="宋体" w:eastAsia="宋体" w:hint="default"/>
                <w:sz w:val="18"/>
                <w:szCs w:val="18"/>
              </w:rPr>
              <w:t>总资产</w:t>
            </w:r>
          </w:p>
        </w:tc>
        <w:tc>
          <w:tcPr>
            <w:tcW w:w="10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8" w:right="0"/>
              <w:jc w:val="left"/>
              <w:rPr>
                <w:rFonts w:ascii="宋体" w:hAnsi="宋体" w:cs="宋体" w:eastAsia="宋体" w:hint="default"/>
                <w:sz w:val="18"/>
                <w:szCs w:val="18"/>
              </w:rPr>
            </w:pPr>
            <w:r>
              <w:rPr>
                <w:rFonts w:ascii="宋体" w:hAnsi="宋体" w:cs="宋体" w:eastAsia="宋体" w:hint="default"/>
                <w:sz w:val="18"/>
                <w:szCs w:val="18"/>
              </w:rPr>
              <w:t>净资产</w:t>
            </w:r>
          </w:p>
        </w:tc>
        <w:tc>
          <w:tcPr>
            <w:tcW w:w="10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57"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57" w:right="0"/>
              <w:jc w:val="left"/>
              <w:rPr>
                <w:rFonts w:ascii="宋体" w:hAnsi="宋体" w:cs="宋体" w:eastAsia="宋体" w:hint="default"/>
                <w:sz w:val="18"/>
                <w:szCs w:val="18"/>
              </w:rPr>
            </w:pPr>
            <w:r>
              <w:rPr>
                <w:rFonts w:ascii="宋体" w:hAnsi="宋体" w:cs="宋体" w:eastAsia="宋体" w:hint="default"/>
                <w:sz w:val="18"/>
                <w:szCs w:val="18"/>
              </w:rPr>
              <w:t>营业利润</w:t>
            </w:r>
          </w:p>
        </w:tc>
        <w:tc>
          <w:tcPr>
            <w:tcW w:w="10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7" w:right="0"/>
              <w:jc w:val="left"/>
              <w:rPr>
                <w:rFonts w:ascii="宋体" w:hAnsi="宋体" w:cs="宋体" w:eastAsia="宋体" w:hint="default"/>
                <w:sz w:val="18"/>
                <w:szCs w:val="18"/>
              </w:rPr>
            </w:pPr>
            <w:r>
              <w:rPr>
                <w:rFonts w:ascii="宋体" w:hAnsi="宋体" w:cs="宋体" w:eastAsia="宋体" w:hint="default"/>
                <w:sz w:val="18"/>
                <w:szCs w:val="18"/>
              </w:rPr>
              <w:t>净利润</w:t>
            </w:r>
          </w:p>
        </w:tc>
      </w:tr>
      <w:tr>
        <w:trPr>
          <w:trHeight w:val="1338"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119"/>
              <w:jc w:val="both"/>
              <w:rPr>
                <w:rFonts w:ascii="宋体" w:hAnsi="宋体" w:cs="宋体" w:eastAsia="宋体" w:hint="default"/>
                <w:sz w:val="18"/>
                <w:szCs w:val="18"/>
              </w:rPr>
            </w:pPr>
            <w:r>
              <w:rPr>
                <w:rFonts w:ascii="宋体" w:hAnsi="宋体" w:cs="宋体" w:eastAsia="宋体" w:hint="default"/>
                <w:sz w:val="18"/>
                <w:szCs w:val="18"/>
              </w:rPr>
              <w:t>广东先河科 迪隆科技有 限公司</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10"/>
              <w:jc w:val="left"/>
              <w:rPr>
                <w:rFonts w:ascii="宋体" w:hAnsi="宋体" w:cs="宋体" w:eastAsia="宋体" w:hint="default"/>
                <w:sz w:val="18"/>
                <w:szCs w:val="18"/>
              </w:rPr>
            </w:pPr>
            <w:r>
              <w:rPr>
                <w:rFonts w:ascii="宋体" w:hAnsi="宋体" w:cs="宋体" w:eastAsia="宋体" w:hint="default"/>
                <w:sz w:val="18"/>
                <w:szCs w:val="18"/>
              </w:rPr>
              <w:t>环境监测专 用仪器销 售、研发及 运营服务</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20000000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183,192,092.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44</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117,184,497.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76</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164,243,086.</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62</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35,244,046.7</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33,327,059.2</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9</w:t>
            </w:r>
          </w:p>
        </w:tc>
      </w:tr>
    </w:tbl>
    <w:p>
      <w:pPr>
        <w:pStyle w:val="BodyText"/>
        <w:spacing w:line="240" w:lineRule="auto" w:before="51"/>
        <w:ind w:left="1134" w:right="0"/>
        <w:jc w:val="left"/>
      </w:pPr>
      <w:r>
        <w:rPr/>
        <w:t>报告期内取得和处置子公司的情况</w:t>
      </w:r>
    </w:p>
    <w:p>
      <w:pPr>
        <w:pStyle w:val="BodyText"/>
        <w:spacing w:line="240" w:lineRule="auto" w:before="117"/>
        <w:ind w:left="113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6"/>
          <w:szCs w:val="6"/>
        </w:rPr>
      </w:pPr>
    </w:p>
    <w:tbl>
      <w:tblPr>
        <w:tblW w:w="0" w:type="auto"/>
        <w:jc w:val="left"/>
        <w:tblInd w:w="1129" w:type="dxa"/>
        <w:tblLayout w:type="fixed"/>
        <w:tblCellMar>
          <w:top w:w="0" w:type="dxa"/>
          <w:left w:w="0" w:type="dxa"/>
          <w:bottom w:w="0" w:type="dxa"/>
          <w:right w:w="0" w:type="dxa"/>
        </w:tblCellMar>
        <w:tblLook w:val="01E0"/>
      </w:tblPr>
      <w:tblGrid>
        <w:gridCol w:w="3189"/>
        <w:gridCol w:w="3190"/>
        <w:gridCol w:w="3191"/>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公司名称</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30" w:right="0"/>
              <w:jc w:val="left"/>
              <w:rPr>
                <w:rFonts w:ascii="宋体" w:hAnsi="宋体" w:cs="宋体" w:eastAsia="宋体" w:hint="default"/>
                <w:sz w:val="18"/>
                <w:szCs w:val="18"/>
              </w:rPr>
            </w:pPr>
            <w:r>
              <w:rPr>
                <w:rFonts w:ascii="宋体" w:hAnsi="宋体" w:cs="宋体" w:eastAsia="宋体" w:hint="default"/>
                <w:sz w:val="18"/>
                <w:szCs w:val="18"/>
              </w:rPr>
              <w:t>报告期内取得和处置子公司方式</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20" w:right="0"/>
              <w:jc w:val="left"/>
              <w:rPr>
                <w:rFonts w:ascii="宋体" w:hAnsi="宋体" w:cs="宋体" w:eastAsia="宋体" w:hint="default"/>
                <w:sz w:val="18"/>
                <w:szCs w:val="18"/>
              </w:rPr>
            </w:pPr>
            <w:r>
              <w:rPr>
                <w:rFonts w:ascii="宋体" w:hAnsi="宋体" w:cs="宋体" w:eastAsia="宋体" w:hint="default"/>
                <w:sz w:val="18"/>
                <w:szCs w:val="18"/>
              </w:rPr>
              <w:t>对整体生产经营和业绩的影响</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广州市汇康仪器设备有限公司</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注销</w:t>
            </w:r>
          </w:p>
        </w:tc>
        <w:tc>
          <w:tcPr>
            <w:tcW w:w="319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四川广迈富宇建设工程有限公司</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非同一控制下企业合并</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快速拥有运营资质，提高竞争力</w:t>
            </w:r>
          </w:p>
        </w:tc>
      </w:tr>
      <w:tr>
        <w:trPr>
          <w:trHeight w:val="714"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SUNSET CES</w:t>
            </w:r>
            <w:r>
              <w:rPr>
                <w:rFonts w:ascii="Times New Roman"/>
                <w:spacing w:val="-28"/>
                <w:sz w:val="18"/>
              </w:rPr>
              <w:t> </w:t>
            </w:r>
            <w:r>
              <w:rPr>
                <w:rFonts w:ascii="Times New Roman"/>
                <w:sz w:val="18"/>
              </w:rPr>
              <w:t>INCORPORATED</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子公司合并成立</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96"/>
              <w:jc w:val="left"/>
              <w:rPr>
                <w:rFonts w:ascii="宋体" w:hAnsi="宋体" w:cs="宋体" w:eastAsia="宋体" w:hint="default"/>
                <w:sz w:val="18"/>
                <w:szCs w:val="18"/>
              </w:rPr>
            </w:pPr>
            <w:r>
              <w:rPr>
                <w:rFonts w:ascii="宋体" w:hAnsi="宋体" w:cs="宋体" w:eastAsia="宋体" w:hint="default"/>
                <w:sz w:val="18"/>
                <w:szCs w:val="18"/>
              </w:rPr>
              <w:t>落实国际化发展战略，优化配置资源， 增强发展合力，提升竞争优势</w:t>
            </w:r>
          </w:p>
        </w:tc>
      </w:tr>
    </w:tbl>
    <w:p>
      <w:pPr>
        <w:pStyle w:val="BodyText"/>
        <w:spacing w:line="240" w:lineRule="auto" w:before="51"/>
        <w:ind w:left="1134" w:right="0"/>
        <w:jc w:val="left"/>
      </w:pPr>
      <w:r>
        <w:rPr/>
        <w:t>主要控股参股公司情况说明</w:t>
      </w:r>
    </w:p>
    <w:p>
      <w:pPr>
        <w:spacing w:line="240" w:lineRule="auto" w:before="1"/>
        <w:rPr>
          <w:rFonts w:ascii="宋体" w:hAnsi="宋体" w:cs="宋体" w:eastAsia="宋体" w:hint="default"/>
          <w:sz w:val="25"/>
          <w:szCs w:val="25"/>
        </w:rPr>
      </w:pPr>
    </w:p>
    <w:p>
      <w:pPr>
        <w:pStyle w:val="Heading2"/>
        <w:spacing w:line="240" w:lineRule="auto"/>
        <w:ind w:left="1134" w:right="0"/>
        <w:jc w:val="left"/>
        <w:rPr>
          <w:b w:val="0"/>
          <w:bCs w:val="0"/>
        </w:rPr>
      </w:pPr>
      <w:bookmarkStart w:name="八、公司控制的结构化主体情况" w:id="57"/>
      <w:bookmarkEnd w:id="57"/>
      <w:r>
        <w:rPr>
          <w:b w:val="0"/>
          <w:bCs w:val="0"/>
        </w:rPr>
      </w:r>
      <w:r>
        <w:rPr/>
        <w:t>八、公司控制的结构化主体情况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九、公司未来发展的展望" w:id="58"/>
      <w:bookmarkEnd w:id="58"/>
      <w:r>
        <w:rPr>
          <w:b w:val="0"/>
          <w:bCs w:val="0"/>
        </w:rPr>
      </w:r>
      <w:r>
        <w:rPr/>
        <w:t>九、公司未来发展的展望</w:t>
      </w:r>
      <w:r>
        <w:rPr>
          <w:b w:val="0"/>
          <w:bCs w:val="0"/>
        </w:rPr>
      </w:r>
    </w:p>
    <w:p>
      <w:pPr>
        <w:spacing w:line="240" w:lineRule="auto" w:before="8"/>
        <w:rPr>
          <w:rFonts w:ascii="宋体" w:hAnsi="宋体" w:cs="宋体" w:eastAsia="宋体" w:hint="default"/>
          <w:b/>
          <w:bCs/>
          <w:sz w:val="26"/>
          <w:szCs w:val="26"/>
        </w:rPr>
      </w:pPr>
    </w:p>
    <w:p>
      <w:pPr>
        <w:pStyle w:val="Heading5"/>
        <w:spacing w:line="240" w:lineRule="auto"/>
        <w:ind w:left="1539" w:right="0"/>
        <w:jc w:val="left"/>
        <w:rPr>
          <w:b w:val="0"/>
          <w:bCs w:val="0"/>
        </w:rPr>
      </w:pPr>
      <w:r>
        <w:rPr/>
        <w:t>（一）公司未来发展战略及经营目标</w:t>
      </w:r>
      <w:r>
        <w:rPr>
          <w:b w:val="0"/>
          <w:bCs w:val="0"/>
        </w:rPr>
      </w:r>
    </w:p>
    <w:p>
      <w:pPr>
        <w:pStyle w:val="BodyText"/>
        <w:spacing w:line="240" w:lineRule="auto" w:before="76"/>
        <w:ind w:left="1553" w:right="0"/>
        <w:jc w:val="left"/>
      </w:pPr>
      <w:r>
        <w:rPr>
          <w:rFonts w:ascii="Times New Roman" w:hAnsi="Times New Roman" w:cs="Times New Roman" w:eastAsia="Times New Roman" w:hint="default"/>
        </w:rPr>
        <w:t>1</w:t>
      </w:r>
      <w:r>
        <w:rPr/>
        <w:t>、以转型升级为统领，带动各业务全面提升</w:t>
      </w:r>
    </w:p>
    <w:p>
      <w:pPr>
        <w:pStyle w:val="BodyText"/>
        <w:spacing w:line="300" w:lineRule="auto" w:before="63"/>
        <w:ind w:left="1134" w:right="0" w:firstLine="420"/>
        <w:jc w:val="left"/>
      </w:pPr>
      <w:r>
        <w:rPr>
          <w:rFonts w:ascii="Times New Roman" w:hAnsi="Times New Roman" w:cs="Times New Roman" w:eastAsia="Times New Roman" w:hint="default"/>
        </w:rPr>
        <w:t>2018</w:t>
      </w:r>
      <w:r>
        <w:rPr/>
        <w:t>年公司要全面推进转型升级，各系统及子公司要以最优势的资源重点推进业务创新和提升。干部和员工要深刻学 </w:t>
      </w:r>
      <w:r>
        <w:rPr>
          <w:spacing w:val="-2"/>
        </w:rPr>
        <w:t>习和领会关于公司发展的相关战略和部署，更新观念和思维方式，提升新业务技能和素养，跟上公司发展步伐；努力打造核</w:t>
      </w:r>
    </w:p>
    <w:p>
      <w:pPr>
        <w:spacing w:after="0" w:line="300" w:lineRule="auto"/>
        <w:jc w:val="left"/>
        <w:sectPr>
          <w:type w:val="continuous"/>
          <w:pgSz w:w="11910" w:h="16840"/>
          <w:pgMar w:top="1060" w:bottom="1160" w:left="0" w:right="0"/>
        </w:sectPr>
      </w:pPr>
    </w:p>
    <w:p>
      <w:pPr>
        <w:spacing w:line="240" w:lineRule="auto" w:before="12"/>
        <w:rPr>
          <w:rFonts w:ascii="宋体" w:hAnsi="宋体" w:cs="宋体" w:eastAsia="宋体" w:hint="default"/>
          <w:sz w:val="25"/>
          <w:szCs w:val="25"/>
        </w:rPr>
      </w:pPr>
    </w:p>
    <w:p>
      <w:pPr>
        <w:pStyle w:val="BodyText"/>
        <w:spacing w:line="240" w:lineRule="auto" w:before="44"/>
        <w:ind w:right="0"/>
        <w:jc w:val="both"/>
      </w:pPr>
      <w:r>
        <w:rPr/>
        <w:t>心竞争力，拉大与对手差距，保持持续领先的发展优势。</w:t>
      </w:r>
    </w:p>
    <w:p>
      <w:pPr>
        <w:pStyle w:val="BodyText"/>
        <w:spacing w:line="240" w:lineRule="auto" w:before="76"/>
        <w:ind w:left="1553" w:right="0"/>
        <w:jc w:val="left"/>
      </w:pPr>
      <w:r>
        <w:rPr>
          <w:rFonts w:ascii="Times New Roman" w:hAnsi="Times New Roman" w:cs="Times New Roman" w:eastAsia="Times New Roman" w:hint="default"/>
        </w:rPr>
        <w:t>2</w:t>
      </w:r>
      <w:r>
        <w:rPr/>
        <w:t>、以提高经营质量为核心，建立长效发展机制</w:t>
      </w:r>
    </w:p>
    <w:p>
      <w:pPr>
        <w:pStyle w:val="BodyText"/>
        <w:spacing w:line="312" w:lineRule="auto" w:before="63"/>
        <w:ind w:right="1033" w:firstLine="420"/>
        <w:jc w:val="left"/>
      </w:pPr>
      <w:r>
        <w:rPr>
          <w:rFonts w:ascii="Times New Roman" w:hAnsi="Times New Roman" w:cs="Times New Roman" w:eastAsia="Times New Roman" w:hint="default"/>
        </w:rPr>
        <w:t>2018</w:t>
      </w:r>
      <w:r>
        <w:rPr/>
        <w:t>年，公司发展总体上要高度重视提高项目质量和经营质量这条主线，在年度经营指标指引下，坚持稳中求进。销 </w:t>
      </w:r>
      <w:r>
        <w:rPr>
          <w:spacing w:val="-2"/>
        </w:rPr>
        <w:t>售部门要注重人才培养，提高员工业务能力，打造学习型组织；生产系统在提高产能上要建立长效机制，高效、高质保障供</w:t>
      </w:r>
      <w:r>
        <w:rPr>
          <w:spacing w:val="-66"/>
        </w:rPr>
        <w:t> </w:t>
      </w:r>
      <w:r>
        <w:rPr>
          <w:spacing w:val="-66"/>
        </w:rPr>
      </w:r>
      <w:r>
        <w:rPr/>
        <w:t>货；售后部门要在经营质量和运维质量两方面下功夫，把每个安装项目打造成精品，把每个站点运维做到用户百分百满意， 树立</w:t>
      </w:r>
      <w:r>
        <w:rPr>
          <w:rFonts w:ascii="Times New Roman" w:hAnsi="Times New Roman" w:cs="Times New Roman" w:eastAsia="Times New Roman" w:hint="default"/>
        </w:rPr>
        <w:t>“</w:t>
      </w:r>
      <w:r>
        <w:rPr/>
        <w:t>先河运维</w:t>
      </w:r>
      <w:r>
        <w:rPr>
          <w:rFonts w:ascii="Times New Roman" w:hAnsi="Times New Roman" w:cs="Times New Roman" w:eastAsia="Times New Roman" w:hint="default"/>
        </w:rPr>
        <w:t>”</w:t>
      </w:r>
      <w:r>
        <w:rPr/>
        <w:t>全新形象。</w:t>
      </w:r>
    </w:p>
    <w:p>
      <w:pPr>
        <w:pStyle w:val="BodyText"/>
        <w:spacing w:line="300" w:lineRule="auto" w:before="3"/>
        <w:ind w:left="1554" w:right="1152"/>
        <w:jc w:val="left"/>
      </w:pPr>
      <w:r>
        <w:rPr>
          <w:rFonts w:ascii="Times New Roman" w:hAnsi="Times New Roman" w:cs="Times New Roman" w:eastAsia="Times New Roman" w:hint="default"/>
        </w:rPr>
        <w:t>3</w:t>
      </w:r>
      <w:r>
        <w:rPr/>
        <w:t>、以制度体系建设为抓手，持续强化公司管控 目前公司子公司分布地域广泛，发展水平参差不齐，一些子公司的管理、盈利和风险防控能力亟待提升。</w:t>
      </w:r>
      <w:r>
        <w:rPr>
          <w:rFonts w:ascii="Times New Roman" w:hAnsi="Times New Roman" w:cs="Times New Roman" w:eastAsia="Times New Roman" w:hint="default"/>
        </w:rPr>
        <w:t>2018</w:t>
      </w:r>
      <w:r>
        <w:rPr/>
        <w:t>年应牢</w:t>
      </w:r>
    </w:p>
    <w:p>
      <w:pPr>
        <w:pStyle w:val="BodyText"/>
        <w:spacing w:line="300" w:lineRule="auto" w:before="13"/>
        <w:ind w:right="0"/>
        <w:jc w:val="left"/>
      </w:pPr>
      <w:r>
        <w:rPr/>
        <w:t>固树立</w:t>
      </w:r>
      <w:r>
        <w:rPr>
          <w:rFonts w:ascii="Times New Roman" w:hAnsi="Times New Roman" w:cs="Times New Roman" w:eastAsia="Times New Roman" w:hint="default"/>
        </w:rPr>
        <w:t>“</w:t>
      </w:r>
      <w:r>
        <w:rPr/>
        <w:t>一盘棋</w:t>
      </w:r>
      <w:r>
        <w:rPr>
          <w:rFonts w:ascii="Times New Roman" w:hAnsi="Times New Roman" w:cs="Times New Roman" w:eastAsia="Times New Roman" w:hint="default"/>
        </w:rPr>
        <w:t>”</w:t>
      </w:r>
      <w:r>
        <w:rPr/>
        <w:t>思想，依托公司发展平台，全面提升资源配置效率，带动子公司共同发展。要以标准化建设和信息化建设为 基础，大力实施</w:t>
      </w:r>
      <w:r>
        <w:rPr>
          <w:rFonts w:ascii="Times New Roman" w:hAnsi="Times New Roman" w:cs="Times New Roman" w:eastAsia="Times New Roman" w:hint="default"/>
        </w:rPr>
        <w:t>“</w:t>
      </w:r>
      <w:r>
        <w:rPr/>
        <w:t>两强化五统一</w:t>
      </w:r>
      <w:r>
        <w:rPr>
          <w:rFonts w:ascii="Times New Roman" w:hAnsi="Times New Roman" w:cs="Times New Roman" w:eastAsia="Times New Roman" w:hint="default"/>
        </w:rPr>
        <w:t>”</w:t>
      </w:r>
      <w:r>
        <w:rPr/>
        <w:t>体系建设，</w:t>
      </w:r>
      <w:r>
        <w:rPr>
          <w:rFonts w:ascii="Times New Roman" w:hAnsi="Times New Roman" w:cs="Times New Roman" w:eastAsia="Times New Roman" w:hint="default"/>
        </w:rPr>
        <w:t>“</w:t>
      </w:r>
      <w:r>
        <w:rPr/>
        <w:t>两强化</w:t>
      </w:r>
      <w:r>
        <w:rPr>
          <w:rFonts w:ascii="Times New Roman" w:hAnsi="Times New Roman" w:cs="Times New Roman" w:eastAsia="Times New Roman" w:hint="default"/>
        </w:rPr>
        <w:t>”</w:t>
      </w:r>
      <w:r>
        <w:rPr/>
        <w:t>即强化人力资源管理和财务管理，实现公司对子公司人、财、物的全面 </w:t>
      </w:r>
      <w:r>
        <w:rPr>
          <w:spacing w:val="-3"/>
        </w:rPr>
        <w:t>管控；</w:t>
      </w:r>
      <w:r>
        <w:rPr>
          <w:rFonts w:ascii="Times New Roman" w:hAnsi="Times New Roman" w:cs="Times New Roman" w:eastAsia="Times New Roman" w:hint="default"/>
          <w:spacing w:val="-3"/>
        </w:rPr>
        <w:t>“</w:t>
      </w:r>
      <w:r>
        <w:rPr>
          <w:spacing w:val="-3"/>
        </w:rPr>
        <w:t>五统一</w:t>
      </w:r>
      <w:r>
        <w:rPr>
          <w:rFonts w:ascii="Times New Roman" w:hAnsi="Times New Roman" w:cs="Times New Roman" w:eastAsia="Times New Roman" w:hint="default"/>
          <w:spacing w:val="-3"/>
        </w:rPr>
        <w:t>”</w:t>
      </w:r>
      <w:r>
        <w:rPr>
          <w:spacing w:val="-3"/>
        </w:rPr>
        <w:t>即推进公司内部研发统一、生产统一、营销统一、服务统一、文化统一，在全公司建成职责明晰、流程顺畅、</w:t>
      </w:r>
      <w:r>
        <w:rPr>
          <w:spacing w:val="-77"/>
        </w:rPr>
        <w:t> </w:t>
      </w:r>
      <w:r>
        <w:rPr>
          <w:spacing w:val="-77"/>
        </w:rPr>
      </w:r>
      <w:r>
        <w:rPr/>
        <w:t>科学高效的现代企业管理体系。</w:t>
      </w:r>
    </w:p>
    <w:p>
      <w:pPr>
        <w:pStyle w:val="BodyText"/>
        <w:spacing w:line="300" w:lineRule="auto" w:before="31"/>
        <w:ind w:left="1553" w:right="1173"/>
        <w:jc w:val="left"/>
        <w:rPr>
          <w:rFonts w:ascii="Times New Roman" w:hAnsi="Times New Roman" w:cs="Times New Roman" w:eastAsia="Times New Roman" w:hint="default"/>
        </w:rPr>
      </w:pPr>
      <w:r>
        <w:rPr>
          <w:rFonts w:ascii="Times New Roman" w:hAnsi="Times New Roman" w:cs="Times New Roman" w:eastAsia="Times New Roman" w:hint="default"/>
        </w:rPr>
        <w:t>4</w:t>
      </w:r>
      <w:r>
        <w:rPr/>
        <w:t>、以持续创新为导向，全面满足市场需求 环境常规监测业务：要全面提升网格化应用成效，继续增强大数据分析研判能力，抢占数据服务龙头；抢抓</w:t>
      </w:r>
      <w:r>
        <w:rPr>
          <w:rFonts w:ascii="Times New Roman" w:hAnsi="Times New Roman" w:cs="Times New Roman" w:eastAsia="Times New Roman" w:hint="default"/>
        </w:rPr>
        <w:t>“</w:t>
      </w:r>
      <w:r>
        <w:rPr/>
        <w:t>河长制</w:t>
      </w:r>
      <w:r>
        <w:rPr>
          <w:rFonts w:ascii="Times New Roman" w:hAnsi="Times New Roman" w:cs="Times New Roman" w:eastAsia="Times New Roman" w:hint="default"/>
        </w:rPr>
        <w:t>”</w:t>
      </w:r>
    </w:p>
    <w:p>
      <w:pPr>
        <w:pStyle w:val="BodyText"/>
        <w:spacing w:line="316" w:lineRule="auto" w:before="13"/>
        <w:ind w:right="1043"/>
        <w:jc w:val="both"/>
      </w:pPr>
      <w:r>
        <w:rPr>
          <w:spacing w:val="-4"/>
        </w:rPr>
        <w:t>全面推行的契机，发挥水质产品线齐全的优势，迅速做大水环境监测业务；要逐渐完善生态环境服务，拓展咨询业务和领域，</w:t>
      </w:r>
      <w:r>
        <w:rPr>
          <w:spacing w:val="-46"/>
        </w:rPr>
        <w:t> </w:t>
      </w:r>
      <w:r>
        <w:rPr>
          <w:spacing w:val="-46"/>
        </w:rPr>
      </w:r>
      <w:r>
        <w:rPr/>
        <w:t>积极向智慧环境、智慧城市发展提升。</w:t>
      </w:r>
    </w:p>
    <w:p>
      <w:pPr>
        <w:pStyle w:val="BodyText"/>
        <w:spacing w:line="300" w:lineRule="auto" w:before="19"/>
        <w:ind w:right="1118" w:firstLine="420"/>
        <w:jc w:val="left"/>
      </w:pPr>
      <w:r>
        <w:rPr>
          <w:spacing w:val="-2"/>
        </w:rPr>
        <w:t>环境治理业务：以先河正源、先河正合为基础，瞄准</w:t>
      </w:r>
      <w:r>
        <w:rPr>
          <w:rFonts w:ascii="Times New Roman" w:hAnsi="Times New Roman" w:cs="Times New Roman" w:eastAsia="Times New Roman" w:hint="default"/>
          <w:spacing w:val="-2"/>
        </w:rPr>
        <w:t>VOCs</w:t>
      </w:r>
      <w:r>
        <w:rPr>
          <w:spacing w:val="-2"/>
        </w:rPr>
        <w:t>治理、农村污水、河道综合整治、厕所革命等机遇，迅速发</w:t>
      </w:r>
      <w:r>
        <w:rPr/>
        <w:t> 展壮大。</w:t>
      </w:r>
    </w:p>
    <w:p>
      <w:pPr>
        <w:pStyle w:val="BodyText"/>
        <w:spacing w:line="300" w:lineRule="auto" w:before="31"/>
        <w:ind w:left="1554" w:right="1152"/>
        <w:jc w:val="left"/>
      </w:pPr>
      <w:r>
        <w:rPr>
          <w:rFonts w:ascii="Times New Roman" w:hAnsi="Times New Roman" w:cs="Times New Roman" w:eastAsia="Times New Roman" w:hint="default"/>
        </w:rPr>
        <w:t>5</w:t>
      </w:r>
      <w:r>
        <w:rPr/>
        <w:t>、以国际化发展为愿景，加快产品向国外出口 坚决落实公司产品向美国子公司</w:t>
      </w:r>
      <w:r>
        <w:rPr>
          <w:rFonts w:ascii="Times New Roman" w:hAnsi="Times New Roman" w:cs="Times New Roman" w:eastAsia="Times New Roman" w:hint="default"/>
        </w:rPr>
        <w:t>SCI</w:t>
      </w:r>
      <w:r>
        <w:rPr/>
        <w:t>转移的战略部署，加速美国</w:t>
      </w:r>
      <w:r>
        <w:rPr>
          <w:rFonts w:ascii="Times New Roman" w:hAnsi="Times New Roman" w:cs="Times New Roman" w:eastAsia="Times New Roman" w:hint="default"/>
        </w:rPr>
        <w:t>EPA</w:t>
      </w:r>
      <w:r>
        <w:rPr/>
        <w:t>认证，加强</w:t>
      </w:r>
      <w:r>
        <w:rPr>
          <w:rFonts w:ascii="Times New Roman" w:hAnsi="Times New Roman" w:cs="Times New Roman" w:eastAsia="Times New Roman" w:hint="default"/>
        </w:rPr>
        <w:t>SCI</w:t>
      </w:r>
      <w:r>
        <w:rPr/>
        <w:t>公司及产品宣传，重点做好代理商</w:t>
      </w:r>
    </w:p>
    <w:p>
      <w:pPr>
        <w:pStyle w:val="BodyText"/>
        <w:spacing w:line="240" w:lineRule="auto" w:before="13"/>
        <w:ind w:right="0"/>
        <w:jc w:val="both"/>
      </w:pPr>
      <w:r>
        <w:rPr/>
        <w:t>体系拓展，建设全球主要目标市场的销售网络，迅速做大做强，逐步将公司产品推向东南亚及南美市场。</w:t>
      </w:r>
    </w:p>
    <w:p>
      <w:pPr>
        <w:pStyle w:val="Heading5"/>
        <w:spacing w:line="240" w:lineRule="auto" w:before="76"/>
        <w:ind w:right="0"/>
        <w:jc w:val="left"/>
        <w:rPr>
          <w:b w:val="0"/>
          <w:bCs w:val="0"/>
        </w:rPr>
      </w:pPr>
      <w:r>
        <w:rPr/>
        <w:t>（二）对公司未来发展战略和经营目标的实现产生不利影响的因素分析</w:t>
      </w:r>
      <w:r>
        <w:rPr>
          <w:b w:val="0"/>
          <w:bCs w:val="0"/>
        </w:rPr>
      </w:r>
    </w:p>
    <w:p>
      <w:pPr>
        <w:pStyle w:val="BodyText"/>
        <w:spacing w:line="340" w:lineRule="auto" w:before="77"/>
        <w:ind w:left="1494" w:right="1118" w:firstLine="1"/>
        <w:jc w:val="left"/>
      </w:pPr>
      <w:r>
        <w:rPr>
          <w:rFonts w:ascii="Times New Roman" w:hAnsi="Times New Roman" w:cs="Times New Roman" w:eastAsia="Times New Roman" w:hint="default"/>
        </w:rPr>
        <w:t>1</w:t>
      </w:r>
      <w:r>
        <w:rPr/>
        <w:t>、管理风险 </w:t>
      </w:r>
      <w:r>
        <w:rPr>
          <w:spacing w:val="-2"/>
        </w:rPr>
        <w:t>公司的业务和规模不断扩张，使得管理的跨度和半径愈来愈大，进而提升了管理的难度；同时双轮驱动发展战略，对公</w:t>
      </w:r>
    </w:p>
    <w:p>
      <w:pPr>
        <w:pStyle w:val="BodyText"/>
        <w:spacing w:line="319" w:lineRule="auto"/>
        <w:ind w:left="1134" w:right="1133"/>
        <w:jc w:val="both"/>
      </w:pPr>
      <w:r>
        <w:rPr>
          <w:spacing w:val="-2"/>
        </w:rPr>
        <w:t>司经营管理层在投资决策、资源整合、资本运作、生产经营、市场开拓等方面提出更高的能力要求。如公司经营管理水平不</w:t>
      </w:r>
      <w:r>
        <w:rPr>
          <w:spacing w:val="-66"/>
        </w:rPr>
        <w:t> </w:t>
      </w:r>
      <w:r>
        <w:rPr>
          <w:spacing w:val="-66"/>
        </w:rPr>
      </w:r>
      <w:r>
        <w:rPr>
          <w:spacing w:val="-2"/>
        </w:rPr>
        <w:t>能适应业务发展需求，可能面临一定的经营管理风险。公司将充分利用上市公司平台，将投资项目纳入上市公司内控管理体</w:t>
      </w:r>
      <w:r>
        <w:rPr>
          <w:spacing w:val="-66"/>
        </w:rPr>
        <w:t> </w:t>
      </w:r>
      <w:r>
        <w:rPr>
          <w:spacing w:val="-66"/>
        </w:rPr>
      </w:r>
      <w:r>
        <w:rPr/>
        <w:t>系，同时公司管理层加强学习，整合行业专家、科研机构等资源，降低经营管理风险。</w:t>
      </w:r>
    </w:p>
    <w:p>
      <w:pPr>
        <w:pStyle w:val="BodyText"/>
        <w:spacing w:line="340" w:lineRule="auto" w:before="56"/>
        <w:ind w:left="1494" w:right="0" w:firstLine="1"/>
        <w:jc w:val="left"/>
      </w:pPr>
      <w:r>
        <w:rPr>
          <w:rFonts w:ascii="Times New Roman" w:hAnsi="Times New Roman" w:cs="Times New Roman" w:eastAsia="Times New Roman" w:hint="default"/>
        </w:rPr>
        <w:t>2</w:t>
      </w:r>
      <w:r>
        <w:rPr/>
        <w:t>、市场竞争风险 </w:t>
      </w:r>
      <w:r>
        <w:rPr>
          <w:spacing w:val="-2"/>
        </w:rPr>
        <w:t>公司产品的性能和质量处于国内领先水平，但近年来行业进入者增多，市场竞争日趋激烈；虽然大部分竞争对手从经营</w:t>
      </w:r>
    </w:p>
    <w:p>
      <w:pPr>
        <w:pStyle w:val="BodyText"/>
        <w:spacing w:line="319" w:lineRule="auto"/>
        <w:ind w:left="1134" w:right="1133"/>
        <w:jc w:val="both"/>
      </w:pPr>
      <w:r>
        <w:rPr>
          <w:spacing w:val="-2"/>
        </w:rPr>
        <w:t>规模、技术水准等方面对公司的长远发展不构成影响，但短期内可能对公司的经营业绩造成一定冲击；而且与国际竞争对手</w:t>
      </w:r>
      <w:r>
        <w:rPr>
          <w:spacing w:val="-66"/>
        </w:rPr>
        <w:t> </w:t>
      </w:r>
      <w:r>
        <w:rPr>
          <w:spacing w:val="-66"/>
        </w:rPr>
      </w:r>
      <w:r>
        <w:rPr>
          <w:spacing w:val="-2"/>
        </w:rPr>
        <w:t>相比，公司存在起步相对较晚，技术上仍须完善提高等不利因素。公司将导入卓越绩效管理模式，增强技术、产品和管理优</w:t>
      </w:r>
      <w:r>
        <w:rPr>
          <w:spacing w:val="-66"/>
        </w:rPr>
        <w:t> </w:t>
      </w:r>
      <w:r>
        <w:rPr>
          <w:spacing w:val="-66"/>
        </w:rPr>
      </w:r>
      <w:r>
        <w:rPr/>
        <w:t>势，同时加强与国际先进企业实施合作，技术逐步突破国际先进水平。</w:t>
      </w:r>
    </w:p>
    <w:p>
      <w:pPr>
        <w:pStyle w:val="BodyText"/>
        <w:spacing w:line="340" w:lineRule="auto" w:before="55"/>
        <w:ind w:left="1494" w:right="0" w:firstLine="1"/>
        <w:jc w:val="left"/>
      </w:pPr>
      <w:r>
        <w:rPr>
          <w:rFonts w:ascii="Times New Roman" w:hAnsi="Times New Roman" w:cs="Times New Roman" w:eastAsia="Times New Roman" w:hint="default"/>
        </w:rPr>
        <w:t>3</w:t>
      </w:r>
      <w:r>
        <w:rPr/>
        <w:t>、产业政策风险 </w:t>
      </w:r>
      <w:r>
        <w:rPr>
          <w:spacing w:val="-2"/>
        </w:rPr>
        <w:t>随着中国经济的高速增长，环境污染问题日趋严重，面对迫切的环境压力，政府对环境保护越来越重视。国家产业政策</w:t>
      </w:r>
    </w:p>
    <w:p>
      <w:pPr>
        <w:pStyle w:val="BodyText"/>
        <w:spacing w:line="319" w:lineRule="auto" w:before="1"/>
        <w:ind w:right="1131"/>
        <w:jc w:val="both"/>
      </w:pPr>
      <w:r>
        <w:rPr>
          <w:spacing w:val="-2"/>
        </w:rPr>
        <w:t>出台的时间和执行力度和以及环保投资规模直接影响着公司业务拓展。因此产业相关支持政策能否有效落实并得到有效的执</w:t>
      </w:r>
      <w:r>
        <w:rPr>
          <w:spacing w:val="-64"/>
        </w:rPr>
        <w:t> </w:t>
      </w:r>
      <w:r>
        <w:rPr>
          <w:spacing w:val="-64"/>
        </w:rPr>
      </w:r>
      <w:r>
        <w:rPr/>
        <w:t>行将会对公司产生经营产生较大影响。对此 公司将密切关注国家相关政策的变化，并对其进行分析研究，加强与地方政府</w:t>
      </w:r>
      <w:r>
        <w:rPr>
          <w:spacing w:val="-88"/>
        </w:rPr>
        <w:t> </w:t>
      </w:r>
      <w:r>
        <w:rPr>
          <w:spacing w:val="-88"/>
        </w:rPr>
      </w:r>
      <w:r>
        <w:rPr/>
        <w:t>的沟通和联系，提高公司应变能力和抗风险水平。</w:t>
      </w:r>
    </w:p>
    <w:p>
      <w:pPr>
        <w:pStyle w:val="BodyText"/>
        <w:spacing w:line="340" w:lineRule="auto" w:before="55"/>
        <w:ind w:left="1494" w:right="1032" w:firstLine="1"/>
        <w:jc w:val="left"/>
      </w:pPr>
      <w:r>
        <w:rPr>
          <w:rFonts w:ascii="Times New Roman" w:hAnsi="Times New Roman" w:cs="Times New Roman" w:eastAsia="Times New Roman" w:hint="default"/>
        </w:rPr>
        <w:t>4</w:t>
      </w:r>
      <w:r>
        <w:rPr/>
        <w:t>、行政许可的风险 按照《中华人民共和国计量法》，环境监测仪器属于计量器具，应符合《制造计量器具许可证考核规范》的考核要求，</w:t>
      </w:r>
    </w:p>
    <w:p>
      <w:pPr>
        <w:pStyle w:val="BodyText"/>
        <w:spacing w:line="307" w:lineRule="auto"/>
        <w:ind w:right="1089"/>
        <w:jc w:val="both"/>
      </w:pPr>
      <w:r>
        <w:rPr/>
        <w:t>生产厂家按照法律规定须向质量技术监督局提出申请，并经计量行政主管部门对生产厂家组织考核合格后，才能取得</w:t>
      </w:r>
      <w:r>
        <w:rPr>
          <w:rFonts w:ascii="Times New Roman" w:hAnsi="Times New Roman" w:cs="Times New Roman" w:eastAsia="Times New Roman" w:hint="default"/>
        </w:rPr>
        <w:t>“</w:t>
      </w:r>
      <w:r>
        <w:rPr>
          <w:rFonts w:ascii="Times New Roman" w:hAnsi="Times New Roman" w:cs="Times New Roman" w:eastAsia="Times New Roman" w:hint="default"/>
          <w:spacing w:val="-10"/>
        </w:rPr>
        <w:t> </w:t>
      </w:r>
      <w:r>
        <w:rPr/>
        <w:t>制造 计量器具许可证</w:t>
      </w:r>
      <w:r>
        <w:rPr>
          <w:rFonts w:ascii="Times New Roman" w:hAnsi="Times New Roman" w:cs="Times New Roman" w:eastAsia="Times New Roman" w:hint="default"/>
        </w:rPr>
        <w:t>”</w:t>
      </w:r>
      <w:r>
        <w:rPr>
          <w:rFonts w:ascii="Times New Roman" w:hAnsi="Times New Roman" w:cs="Times New Roman" w:eastAsia="Times New Roman" w:hint="default"/>
          <w:spacing w:val="14"/>
        </w:rPr>
        <w:t> </w:t>
      </w:r>
      <w:r>
        <w:rPr/>
        <w:t>。《制造计量器具许可证考核规范》》是强制性规定，环保主管部门对技术标准的规定属于规范性要求。 </w:t>
      </w:r>
      <w:r>
        <w:rPr>
          <w:spacing w:val="-2"/>
        </w:rPr>
        <w:t>公司虽然已经取得以上运营许可资质，并且采取了积极的资质展期申请准备措施，但是如果以上资质管理办法与技术规范性</w:t>
      </w:r>
      <w:r>
        <w:rPr>
          <w:spacing w:val="-64"/>
        </w:rPr>
        <w:t> </w:t>
      </w:r>
      <w:r>
        <w:rPr>
          <w:spacing w:val="-64"/>
        </w:rPr>
      </w:r>
      <w:r>
        <w:rPr>
          <w:spacing w:val="-2"/>
        </w:rPr>
        <w:t>要求发生变化，可能会对公司产生一定影响。公司将继续强化技术优势，加强国内外技术交流及引进，对技术前瞻性和实用</w:t>
      </w:r>
    </w:p>
    <w:p>
      <w:pPr>
        <w:spacing w:after="0" w:line="307" w:lineRule="auto"/>
        <w:jc w:val="both"/>
        <w:sectPr>
          <w:pgSz w:w="11910" w:h="16840"/>
          <w:pgMar w:header="747" w:footer="979" w:top="1060" w:bottom="1160" w:left="0" w:right="0"/>
        </w:sectPr>
      </w:pPr>
    </w:p>
    <w:p>
      <w:pPr>
        <w:spacing w:line="240" w:lineRule="auto" w:before="13"/>
        <w:rPr>
          <w:rFonts w:ascii="宋体" w:hAnsi="宋体" w:cs="宋体" w:eastAsia="宋体" w:hint="default"/>
          <w:sz w:val="25"/>
          <w:szCs w:val="25"/>
        </w:rPr>
      </w:pPr>
    </w:p>
    <w:p>
      <w:pPr>
        <w:pStyle w:val="BodyText"/>
        <w:spacing w:line="240" w:lineRule="auto" w:before="44"/>
        <w:ind w:right="0"/>
        <w:jc w:val="left"/>
      </w:pPr>
      <w:r>
        <w:rPr/>
        <w:t>性并重，争取在关键领域保持领先。</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2"/>
        <w:rPr>
          <w:rFonts w:ascii="宋体" w:hAnsi="宋体" w:cs="宋体" w:eastAsia="宋体" w:hint="default"/>
          <w:sz w:val="15"/>
          <w:szCs w:val="15"/>
        </w:rPr>
      </w:pPr>
    </w:p>
    <w:p>
      <w:pPr>
        <w:pStyle w:val="Heading2"/>
        <w:spacing w:line="240" w:lineRule="auto"/>
        <w:ind w:right="0"/>
        <w:jc w:val="left"/>
        <w:rPr>
          <w:b w:val="0"/>
          <w:bCs w:val="0"/>
        </w:rPr>
      </w:pPr>
      <w:bookmarkStart w:name="十、接待调研、沟通、采访等活动登记表" w:id="59"/>
      <w:bookmarkEnd w:id="59"/>
      <w:r>
        <w:rPr>
          <w:b w:val="0"/>
          <w:bCs w:val="0"/>
        </w:rPr>
      </w:r>
      <w:r>
        <w:rPr/>
        <w:t>十、接待调研、沟通、采访等活动登记表</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1、报告期内接待调研、沟通、采访等活动登记表" w:id="60"/>
      <w:bookmarkEnd w:id="60"/>
      <w:r>
        <w:rPr>
          <w:b w:val="0"/>
          <w:bCs w:val="0"/>
        </w:rPr>
      </w:r>
      <w:r>
        <w:rPr>
          <w:rFonts w:ascii="Times New Roman" w:hAnsi="Times New Roman" w:cs="Times New Roman" w:eastAsia="Times New Roman" w:hint="default"/>
        </w:rPr>
        <w:t>1</w:t>
      </w:r>
      <w:r>
        <w:rPr/>
        <w:t>、报告期内接待调研、沟通、采访等活动登记表</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2178"/>
        <w:gridCol w:w="2177"/>
        <w:gridCol w:w="2177"/>
        <w:gridCol w:w="3038"/>
      </w:tblGrid>
      <w:tr>
        <w:trPr>
          <w:trHeight w:val="402" w:hRule="exact"/>
        </w:trPr>
        <w:tc>
          <w:tcPr>
            <w:tcW w:w="21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接待时间</w:t>
            </w:r>
          </w:p>
        </w:tc>
        <w:tc>
          <w:tcPr>
            <w:tcW w:w="2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接待方式</w:t>
            </w:r>
          </w:p>
        </w:tc>
        <w:tc>
          <w:tcPr>
            <w:tcW w:w="2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43" w:right="0"/>
              <w:jc w:val="left"/>
              <w:rPr>
                <w:rFonts w:ascii="宋体" w:hAnsi="宋体" w:cs="宋体" w:eastAsia="宋体" w:hint="default"/>
                <w:sz w:val="18"/>
                <w:szCs w:val="18"/>
              </w:rPr>
            </w:pPr>
            <w:r>
              <w:rPr>
                <w:rFonts w:ascii="宋体" w:hAnsi="宋体" w:cs="宋体" w:eastAsia="宋体" w:hint="default"/>
                <w:sz w:val="18"/>
                <w:szCs w:val="18"/>
              </w:rPr>
              <w:t>接待对象类型</w:t>
            </w:r>
          </w:p>
        </w:tc>
        <w:tc>
          <w:tcPr>
            <w:tcW w:w="30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04" w:right="0"/>
              <w:jc w:val="left"/>
              <w:rPr>
                <w:rFonts w:ascii="宋体" w:hAnsi="宋体" w:cs="宋体" w:eastAsia="宋体" w:hint="default"/>
                <w:sz w:val="18"/>
                <w:szCs w:val="18"/>
              </w:rPr>
            </w:pPr>
            <w:r>
              <w:rPr>
                <w:rFonts w:ascii="宋体" w:hAnsi="宋体" w:cs="宋体" w:eastAsia="宋体" w:hint="default"/>
                <w:sz w:val="18"/>
                <w:szCs w:val="18"/>
              </w:rPr>
              <w:t>调研的基本情况索引</w:t>
            </w:r>
          </w:p>
        </w:tc>
      </w:tr>
      <w:tr>
        <w:trPr>
          <w:trHeight w:val="402" w:hRule="exact"/>
        </w:trPr>
        <w:tc>
          <w:tcPr>
            <w:tcW w:w="2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402" w:hRule="exact"/>
        </w:trPr>
        <w:tc>
          <w:tcPr>
            <w:tcW w:w="2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402" w:hRule="exact"/>
        </w:trPr>
        <w:tc>
          <w:tcPr>
            <w:tcW w:w="2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402" w:hRule="exact"/>
        </w:trPr>
        <w:tc>
          <w:tcPr>
            <w:tcW w:w="2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402" w:hRule="exact"/>
        </w:trPr>
        <w:tc>
          <w:tcPr>
            <w:tcW w:w="2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402" w:hRule="exact"/>
        </w:trPr>
        <w:tc>
          <w:tcPr>
            <w:tcW w:w="2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bl>
    <w:p>
      <w:pPr>
        <w:spacing w:after="0" w:line="240"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right="816"/>
        <w:jc w:val="center"/>
        <w:rPr>
          <w:b w:val="0"/>
          <w:bCs w:val="0"/>
        </w:rPr>
      </w:pPr>
      <w:bookmarkStart w:name="第五节 重要事项" w:id="61"/>
      <w:bookmarkEnd w:id="61"/>
      <w:r>
        <w:rPr>
          <w:b w:val="0"/>
          <w:bCs w:val="0"/>
        </w:rPr>
      </w:r>
      <w:bookmarkStart w:name="_bookmark4" w:id="62"/>
      <w:bookmarkEnd w:id="62"/>
      <w:r>
        <w:rPr>
          <w:b w:val="0"/>
          <w:bCs w:val="0"/>
        </w:rPr>
      </w:r>
      <w:r>
        <w:rPr/>
        <w:t>第五节</w:t>
      </w:r>
      <w:r>
        <w:rPr>
          <w:spacing w:val="-5"/>
        </w:rPr>
        <w:t> </w:t>
      </w:r>
      <w:r>
        <w:rPr/>
        <w:t>重要事项</w:t>
      </w:r>
      <w:r>
        <w:rPr>
          <w:b w:val="0"/>
          <w:bCs w:val="0"/>
        </w:rPr>
      </w:r>
    </w:p>
    <w:p>
      <w:pPr>
        <w:spacing w:line="240" w:lineRule="auto" w:before="12"/>
        <w:rPr>
          <w:rFonts w:ascii="宋体" w:hAnsi="宋体" w:cs="宋体" w:eastAsia="宋体" w:hint="default"/>
          <w:b/>
          <w:bCs/>
          <w:sz w:val="38"/>
          <w:szCs w:val="38"/>
        </w:rPr>
      </w:pPr>
    </w:p>
    <w:p>
      <w:pPr>
        <w:pStyle w:val="Heading2"/>
        <w:spacing w:line="240" w:lineRule="auto"/>
        <w:ind w:right="0"/>
        <w:jc w:val="left"/>
        <w:rPr>
          <w:b w:val="0"/>
          <w:bCs w:val="0"/>
        </w:rPr>
      </w:pPr>
      <w:bookmarkStart w:name="一、公司普通股利润分配及资本公积金转增股本情况" w:id="63"/>
      <w:bookmarkEnd w:id="63"/>
      <w:r>
        <w:rPr>
          <w:b w:val="0"/>
          <w:bCs w:val="0"/>
        </w:rPr>
      </w:r>
      <w:r>
        <w:rPr/>
        <w:t>一、公司普通股利润分配及资本公积金转增股本情况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报告期内普通股利润分配政策，特别是现金分红政策的制定、执行或调整情况</w:t>
      </w:r>
    </w:p>
    <w:p>
      <w:pPr>
        <w:pStyle w:val="BodyText"/>
        <w:spacing w:line="240" w:lineRule="auto" w:before="117"/>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300" w:lineRule="auto" w:before="101"/>
        <w:ind w:right="1123" w:firstLine="360"/>
        <w:jc w:val="left"/>
      </w:pPr>
      <w:r>
        <w:rPr>
          <w:rFonts w:ascii="Times New Roman" w:hAnsi="Times New Roman" w:cs="Times New Roman" w:eastAsia="Times New Roman" w:hint="default"/>
        </w:rPr>
        <w:t>2017</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22</w:t>
      </w:r>
      <w:r>
        <w:rPr/>
        <w:t>日召开的</w:t>
      </w:r>
      <w:r>
        <w:rPr>
          <w:rFonts w:ascii="Times New Roman" w:hAnsi="Times New Roman" w:cs="Times New Roman" w:eastAsia="Times New Roman" w:hint="default"/>
        </w:rPr>
        <w:t>2016</w:t>
      </w:r>
      <w:r>
        <w:rPr/>
        <w:t>年度股东大会审议通过</w:t>
      </w:r>
      <w:r>
        <w:rPr>
          <w:rFonts w:ascii="Times New Roman" w:hAnsi="Times New Roman" w:cs="Times New Roman" w:eastAsia="Times New Roman" w:hint="default"/>
        </w:rPr>
        <w:t>2016</w:t>
      </w:r>
      <w:r>
        <w:rPr/>
        <w:t>年年度权益分派方案，以公司现有总股本</w:t>
      </w:r>
      <w:r>
        <w:rPr>
          <w:rFonts w:ascii="Times New Roman" w:hAnsi="Times New Roman" w:cs="Times New Roman" w:eastAsia="Times New Roman" w:hint="default"/>
        </w:rPr>
        <w:t>344,395,344</w:t>
      </w:r>
      <w:r>
        <w:rPr/>
        <w:t>股为基数， 向全体股东每</w:t>
      </w:r>
      <w:r>
        <w:rPr>
          <w:rFonts w:ascii="Times New Roman" w:hAnsi="Times New Roman" w:cs="Times New Roman" w:eastAsia="Times New Roman" w:hint="default"/>
        </w:rPr>
        <w:t>10</w:t>
      </w:r>
      <w:r>
        <w:rPr/>
        <w:t>股派</w:t>
      </w:r>
      <w:r>
        <w:rPr>
          <w:rFonts w:ascii="Times New Roman" w:hAnsi="Times New Roman" w:cs="Times New Roman" w:eastAsia="Times New Roman" w:hint="default"/>
        </w:rPr>
        <w:t>1.00</w:t>
      </w:r>
      <w:r>
        <w:rPr/>
        <w:t>元</w:t>
      </w:r>
      <w:r>
        <w:rPr>
          <w:rFonts w:ascii="Times New Roman" w:hAnsi="Times New Roman" w:cs="Times New Roman" w:eastAsia="Times New Roman" w:hint="default"/>
        </w:rPr>
        <w:t>(</w:t>
      </w:r>
      <w:r>
        <w:rPr/>
        <w:t>含税）人民币现金。公司于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3</w:t>
      </w:r>
      <w:r>
        <w:rPr/>
        <w:t>日将该权益分派方案实施完毕。</w:t>
      </w:r>
    </w:p>
    <w:p>
      <w:pPr>
        <w:spacing w:line="240" w:lineRule="auto" w:before="0"/>
        <w:rPr>
          <w:rFonts w:ascii="宋体" w:hAnsi="宋体" w:cs="宋体" w:eastAsia="宋体" w:hint="default"/>
          <w:sz w:val="24"/>
          <w:szCs w:val="24"/>
        </w:rPr>
      </w:pPr>
    </w:p>
    <w:tbl>
      <w:tblPr>
        <w:tblW w:w="0" w:type="auto"/>
        <w:jc w:val="left"/>
        <w:tblInd w:w="1140" w:type="dxa"/>
        <w:tblLayout w:type="fixed"/>
        <w:tblCellMar>
          <w:top w:w="0" w:type="dxa"/>
          <w:left w:w="0" w:type="dxa"/>
          <w:bottom w:w="0" w:type="dxa"/>
          <w:right w:w="0" w:type="dxa"/>
        </w:tblCellMar>
        <w:tblLook w:val="01E0"/>
      </w:tblPr>
      <w:tblGrid>
        <w:gridCol w:w="4762"/>
        <w:gridCol w:w="4796"/>
      </w:tblGrid>
      <w:tr>
        <w:trPr>
          <w:trHeight w:val="397" w:hRule="exact"/>
        </w:trPr>
        <w:tc>
          <w:tcPr>
            <w:tcW w:w="955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0"/>
              <w:jc w:val="center"/>
              <w:rPr>
                <w:rFonts w:ascii="宋体" w:hAnsi="宋体" w:cs="宋体" w:eastAsia="宋体" w:hint="default"/>
                <w:sz w:val="18"/>
                <w:szCs w:val="18"/>
              </w:rPr>
            </w:pPr>
            <w:r>
              <w:rPr>
                <w:rFonts w:ascii="宋体" w:hAnsi="宋体" w:cs="宋体" w:eastAsia="宋体" w:hint="default"/>
                <w:sz w:val="18"/>
                <w:szCs w:val="18"/>
              </w:rPr>
              <w:t>现金分红政策的专项说明</w:t>
            </w:r>
          </w:p>
        </w:tc>
      </w:tr>
      <w:tr>
        <w:trPr>
          <w:trHeight w:val="407"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1" w:right="0"/>
              <w:jc w:val="left"/>
              <w:rPr>
                <w:rFonts w:ascii="宋体" w:hAnsi="宋体" w:cs="宋体" w:eastAsia="宋体" w:hint="default"/>
                <w:sz w:val="18"/>
                <w:szCs w:val="18"/>
              </w:rPr>
            </w:pPr>
            <w:r>
              <w:rPr>
                <w:rFonts w:ascii="宋体" w:hAnsi="宋体" w:cs="宋体" w:eastAsia="宋体" w:hint="default"/>
                <w:sz w:val="18"/>
                <w:szCs w:val="18"/>
              </w:rPr>
              <w:t>是否符合公司章程的规定或股东大会决议的要求：</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6"/>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分红标准和比例是否明确和清晰：</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相关的决策程序和机制是否完备：</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独立董事是否履职尽责并发挥了应有的作用：</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58"/>
              <w:jc w:val="left"/>
              <w:rPr>
                <w:rFonts w:ascii="宋体" w:hAnsi="宋体" w:cs="宋体" w:eastAsia="宋体" w:hint="default"/>
                <w:sz w:val="18"/>
                <w:szCs w:val="18"/>
              </w:rPr>
            </w:pPr>
            <w:r>
              <w:rPr>
                <w:rFonts w:ascii="宋体" w:hAnsi="宋体" w:cs="宋体" w:eastAsia="宋体" w:hint="default"/>
                <w:sz w:val="18"/>
                <w:szCs w:val="18"/>
              </w:rPr>
              <w:t>中小股东是否有充分表达意见和诉求的机会，其合法权益是 否得到了充分保护：</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58"/>
              <w:jc w:val="left"/>
              <w:rPr>
                <w:rFonts w:ascii="宋体" w:hAnsi="宋体" w:cs="宋体" w:eastAsia="宋体" w:hint="default"/>
                <w:sz w:val="18"/>
                <w:szCs w:val="18"/>
              </w:rPr>
            </w:pPr>
            <w:r>
              <w:rPr>
                <w:rFonts w:ascii="宋体" w:hAnsi="宋体" w:cs="宋体" w:eastAsia="宋体" w:hint="default"/>
                <w:sz w:val="18"/>
                <w:szCs w:val="18"/>
              </w:rPr>
              <w:t>现金分红政策进行调整或变更的，条件及程序是否合规、透 明：</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报告期内现金分红政策未调整或变更</w:t>
            </w:r>
          </w:p>
        </w:tc>
      </w:tr>
    </w:tbl>
    <w:p>
      <w:pPr>
        <w:pStyle w:val="BodyText"/>
        <w:spacing w:line="240" w:lineRule="auto" w:before="51"/>
        <w:ind w:left="1134" w:right="0"/>
        <w:jc w:val="left"/>
      </w:pPr>
      <w:r>
        <w:rPr/>
        <w:t>公司报告期利润分配预案及资本公积金转增股本预案与公司章程和分红管理办法等的相关规定一致</w:t>
      </w:r>
    </w:p>
    <w:p>
      <w:pPr>
        <w:pStyle w:val="BodyText"/>
        <w:spacing w:line="348" w:lineRule="auto" w:before="117"/>
        <w:ind w:right="427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t>否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 公司报告期利润分配预案及资本公积金转增股本预案符合公司章程等的相关规定。 本年度利润分配及资本公积金转增股本预案</w:t>
      </w:r>
    </w:p>
    <w:tbl>
      <w:tblPr>
        <w:tblW w:w="0" w:type="auto"/>
        <w:jc w:val="left"/>
        <w:tblInd w:w="1140" w:type="dxa"/>
        <w:tblLayout w:type="fixed"/>
        <w:tblCellMar>
          <w:top w:w="0" w:type="dxa"/>
          <w:left w:w="0" w:type="dxa"/>
          <w:bottom w:w="0" w:type="dxa"/>
          <w:right w:w="0" w:type="dxa"/>
        </w:tblCellMar>
        <w:tblLook w:val="01E0"/>
      </w:tblPr>
      <w:tblGrid>
        <w:gridCol w:w="3695"/>
        <w:gridCol w:w="5863"/>
      </w:tblGrid>
      <w:tr>
        <w:trPr>
          <w:trHeight w:val="402" w:hRule="exact"/>
        </w:trPr>
        <w:tc>
          <w:tcPr>
            <w:tcW w:w="36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股送红股数（股）</w:t>
            </w:r>
          </w:p>
        </w:tc>
        <w:tc>
          <w:tcPr>
            <w:tcW w:w="58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6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股派息</w:t>
            </w:r>
            <w:r>
              <w:rPr>
                <w:rFonts w:ascii="宋体" w:hAnsi="宋体" w:cs="宋体" w:eastAsia="宋体" w:hint="default"/>
                <w:spacing w:val="1"/>
                <w:sz w:val="18"/>
                <w:szCs w:val="18"/>
              </w:rPr>
              <w:t>数</w:t>
            </w:r>
            <w:r>
              <w:rPr>
                <w:rFonts w:ascii="宋体" w:hAnsi="宋体" w:cs="宋体" w:eastAsia="宋体" w:hint="default"/>
                <w:sz w:val="18"/>
                <w:szCs w:val="18"/>
              </w:rPr>
              <w:t>（元</w:t>
            </w:r>
            <w:r>
              <w:rPr>
                <w:rFonts w:ascii="宋体" w:hAnsi="宋体" w:cs="宋体" w:eastAsia="宋体" w:hint="default"/>
                <w:spacing w:val="-90"/>
                <w:sz w:val="18"/>
                <w:szCs w:val="18"/>
              </w:rPr>
              <w:t>）</w:t>
            </w:r>
            <w:r>
              <w:rPr>
                <w:rFonts w:ascii="宋体" w:hAnsi="宋体" w:cs="宋体" w:eastAsia="宋体" w:hint="default"/>
                <w:sz w:val="18"/>
                <w:szCs w:val="18"/>
              </w:rPr>
              <w:t>（含税）</w:t>
            </w:r>
          </w:p>
        </w:tc>
        <w:tc>
          <w:tcPr>
            <w:tcW w:w="58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0.50</w:t>
            </w:r>
          </w:p>
        </w:tc>
      </w:tr>
      <w:tr>
        <w:trPr>
          <w:trHeight w:val="402" w:hRule="exact"/>
        </w:trPr>
        <w:tc>
          <w:tcPr>
            <w:tcW w:w="36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股转增数（股）</w:t>
            </w:r>
          </w:p>
        </w:tc>
        <w:tc>
          <w:tcPr>
            <w:tcW w:w="58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w:t>
            </w:r>
          </w:p>
        </w:tc>
      </w:tr>
      <w:tr>
        <w:trPr>
          <w:trHeight w:val="402" w:hRule="exact"/>
        </w:trPr>
        <w:tc>
          <w:tcPr>
            <w:tcW w:w="36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分配预案的股本基数（股）</w:t>
            </w:r>
          </w:p>
        </w:tc>
        <w:tc>
          <w:tcPr>
            <w:tcW w:w="58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344,395,344</w:t>
            </w:r>
          </w:p>
        </w:tc>
      </w:tr>
      <w:tr>
        <w:trPr>
          <w:trHeight w:val="402" w:hRule="exact"/>
        </w:trPr>
        <w:tc>
          <w:tcPr>
            <w:tcW w:w="36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现金分红总额（元</w:t>
            </w:r>
            <w:r>
              <w:rPr>
                <w:rFonts w:ascii="宋体" w:hAnsi="宋体" w:cs="宋体" w:eastAsia="宋体" w:hint="default"/>
                <w:spacing w:val="-90"/>
                <w:sz w:val="18"/>
                <w:szCs w:val="18"/>
              </w:rPr>
              <w:t>）</w:t>
            </w:r>
            <w:r>
              <w:rPr>
                <w:rFonts w:ascii="宋体" w:hAnsi="宋体" w:cs="宋体" w:eastAsia="宋体" w:hint="default"/>
                <w:sz w:val="18"/>
                <w:szCs w:val="18"/>
              </w:rPr>
              <w:t>（含税）</w:t>
            </w:r>
          </w:p>
        </w:tc>
        <w:tc>
          <w:tcPr>
            <w:tcW w:w="58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17,219,767.20</w:t>
            </w:r>
          </w:p>
        </w:tc>
      </w:tr>
      <w:tr>
        <w:trPr>
          <w:trHeight w:val="402" w:hRule="exact"/>
        </w:trPr>
        <w:tc>
          <w:tcPr>
            <w:tcW w:w="36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可分配利润（元）</w:t>
            </w:r>
          </w:p>
        </w:tc>
        <w:tc>
          <w:tcPr>
            <w:tcW w:w="58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499,501,496.89</w:t>
            </w:r>
          </w:p>
        </w:tc>
      </w:tr>
      <w:tr>
        <w:trPr>
          <w:trHeight w:val="402" w:hRule="exact"/>
        </w:trPr>
        <w:tc>
          <w:tcPr>
            <w:tcW w:w="36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现金分红占利润分配总额的比例</w:t>
            </w:r>
          </w:p>
        </w:tc>
        <w:tc>
          <w:tcPr>
            <w:tcW w:w="58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955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0"/>
              <w:jc w:val="center"/>
              <w:rPr>
                <w:rFonts w:ascii="宋体" w:hAnsi="宋体" w:cs="宋体" w:eastAsia="宋体" w:hint="default"/>
                <w:sz w:val="18"/>
                <w:szCs w:val="18"/>
              </w:rPr>
            </w:pPr>
            <w:r>
              <w:rPr>
                <w:rFonts w:ascii="宋体" w:hAnsi="宋体" w:cs="宋体" w:eastAsia="宋体" w:hint="default"/>
                <w:sz w:val="18"/>
                <w:szCs w:val="18"/>
              </w:rPr>
              <w:t>本次现金分红情况</w:t>
            </w:r>
          </w:p>
        </w:tc>
      </w:tr>
      <w:tr>
        <w:trPr>
          <w:trHeight w:val="402" w:hRule="exact"/>
        </w:trPr>
        <w:tc>
          <w:tcPr>
            <w:tcW w:w="955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2"/>
                <w:sz w:val="18"/>
                <w:szCs w:val="18"/>
              </w:rPr>
              <w:t>公司发展阶段属成长期且有重大资金支出安排的，进行利润分配时，现金分红在本次利润分配中所占比例最低应达到</w:t>
            </w:r>
            <w:r>
              <w:rPr>
                <w:rFonts w:ascii="宋体" w:hAnsi="宋体" w:cs="宋体" w:eastAsia="宋体" w:hint="default"/>
                <w:spacing w:val="-15"/>
                <w:sz w:val="18"/>
                <w:szCs w:val="18"/>
              </w:rPr>
              <w:t> </w:t>
            </w:r>
            <w:r>
              <w:rPr>
                <w:rFonts w:ascii="Times New Roman" w:hAnsi="Times New Roman" w:cs="Times New Roman" w:eastAsia="Times New Roman" w:hint="default"/>
                <w:sz w:val="18"/>
                <w:szCs w:val="18"/>
              </w:rPr>
              <w:t>20</w:t>
            </w:r>
            <w:r>
              <w:rPr>
                <w:rFonts w:ascii="宋体" w:hAnsi="宋体" w:cs="宋体" w:eastAsia="宋体" w:hint="default"/>
                <w:sz w:val="18"/>
                <w:szCs w:val="18"/>
              </w:rPr>
              <w:t>％</w:t>
            </w:r>
          </w:p>
        </w:tc>
      </w:tr>
      <w:tr>
        <w:trPr>
          <w:trHeight w:val="402" w:hRule="exact"/>
        </w:trPr>
        <w:tc>
          <w:tcPr>
            <w:tcW w:w="955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77" w:right="0"/>
              <w:jc w:val="left"/>
              <w:rPr>
                <w:rFonts w:ascii="宋体" w:hAnsi="宋体" w:cs="宋体" w:eastAsia="宋体" w:hint="default"/>
                <w:sz w:val="18"/>
                <w:szCs w:val="18"/>
              </w:rPr>
            </w:pPr>
            <w:r>
              <w:rPr>
                <w:rFonts w:ascii="宋体" w:hAnsi="宋体" w:cs="宋体" w:eastAsia="宋体" w:hint="default"/>
                <w:sz w:val="18"/>
                <w:szCs w:val="18"/>
              </w:rPr>
              <w:t>利润分配或资本公积金转增预案的详细情况说明</w:t>
            </w:r>
          </w:p>
        </w:tc>
      </w:tr>
      <w:tr>
        <w:trPr>
          <w:trHeight w:val="1299" w:hRule="exact"/>
        </w:trPr>
        <w:tc>
          <w:tcPr>
            <w:tcW w:w="9557" w:type="dxa"/>
            <w:gridSpan w:val="2"/>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11" w:right="22"/>
              <w:jc w:val="left"/>
              <w:rPr>
                <w:rFonts w:ascii="宋体" w:hAnsi="宋体" w:cs="宋体" w:eastAsia="宋体" w:hint="default"/>
                <w:sz w:val="18"/>
                <w:szCs w:val="18"/>
              </w:rPr>
            </w:pPr>
            <w:r>
              <w:rPr>
                <w:rFonts w:ascii="宋体" w:hAnsi="宋体" w:cs="宋体" w:eastAsia="宋体" w:hint="default"/>
                <w:sz w:val="18"/>
                <w:szCs w:val="18"/>
              </w:rPr>
              <w:t>经利安达会计师事务所（特殊普通合伙）出具的利安达审字</w:t>
            </w:r>
            <w:r>
              <w:rPr>
                <w:rFonts w:ascii="Times New Roman" w:hAnsi="Times New Roman" w:cs="Times New Roman" w:eastAsia="Times New Roman" w:hint="default"/>
                <w:sz w:val="18"/>
                <w:szCs w:val="18"/>
              </w:rPr>
              <w:t>[2018]</w:t>
            </w:r>
            <w:r>
              <w:rPr>
                <w:rFonts w:ascii="宋体" w:hAnsi="宋体" w:cs="宋体" w:eastAsia="宋体" w:hint="default"/>
                <w:sz w:val="18"/>
                <w:szCs w:val="18"/>
              </w:rPr>
              <w:t>第</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2286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号审计报告，</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年度母公司实现净利润为人 民币</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195,797,217.97</w:t>
            </w:r>
            <w:r>
              <w:rPr>
                <w:rFonts w:ascii="Times New Roman" w:hAnsi="Times New Roman" w:cs="Times New Roman" w:eastAsia="Times New Roman" w:hint="default"/>
                <w:spacing w:val="-1"/>
                <w:sz w:val="18"/>
                <w:szCs w:val="18"/>
              </w:rPr>
              <w:t> </w:t>
            </w:r>
            <w:r>
              <w:rPr>
                <w:rFonts w:ascii="宋体" w:hAnsi="宋体" w:cs="宋体" w:eastAsia="宋体" w:hint="default"/>
                <w:spacing w:val="-4"/>
                <w:sz w:val="18"/>
                <w:szCs w:val="18"/>
              </w:rPr>
              <w:t>元。根据《公司法》和《公司章程》的有关规定，按</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年度母公司实现净利润的</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r>
              <w:rPr>
                <w:rFonts w:ascii="宋体" w:hAnsi="宋体" w:cs="宋体" w:eastAsia="宋体" w:hint="default"/>
                <w:sz w:val="18"/>
                <w:szCs w:val="18"/>
              </w:rPr>
              <w:t>提取法定盈余</w:t>
            </w:r>
          </w:p>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公积金</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19,579,721.80</w:t>
            </w:r>
            <w:r>
              <w:rPr>
                <w:rFonts w:ascii="Times New Roman" w:hAnsi="Times New Roman" w:cs="Times New Roman" w:eastAsia="Times New Roman" w:hint="default"/>
                <w:spacing w:val="2"/>
                <w:sz w:val="18"/>
                <w:szCs w:val="18"/>
              </w:rPr>
              <w:t> </w:t>
            </w:r>
            <w:r>
              <w:rPr>
                <w:rFonts w:ascii="宋体" w:hAnsi="宋体" w:cs="宋体" w:eastAsia="宋体" w:hint="default"/>
                <w:spacing w:val="-3"/>
                <w:sz w:val="18"/>
                <w:szCs w:val="18"/>
              </w:rPr>
              <w:t>元，加上年初未分配利润</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357,723,535.12</w:t>
            </w:r>
            <w:r>
              <w:rPr>
                <w:rFonts w:ascii="Times New Roman" w:hAnsi="Times New Roman" w:cs="Times New Roman" w:eastAsia="Times New Roman" w:hint="default"/>
                <w:spacing w:val="2"/>
                <w:sz w:val="18"/>
                <w:szCs w:val="18"/>
              </w:rPr>
              <w:t> </w:t>
            </w:r>
            <w:r>
              <w:rPr>
                <w:rFonts w:ascii="宋体" w:hAnsi="宋体" w:cs="宋体" w:eastAsia="宋体" w:hint="default"/>
                <w:spacing w:val="-3"/>
                <w:sz w:val="18"/>
                <w:szCs w:val="18"/>
              </w:rPr>
              <w:t>元，扣除向股东分配的</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34,439,534.40</w:t>
            </w:r>
            <w:r>
              <w:rPr>
                <w:rFonts w:ascii="Times New Roman" w:hAnsi="Times New Roman" w:cs="Times New Roman" w:eastAsia="Times New Roman" w:hint="default"/>
                <w:spacing w:val="2"/>
                <w:sz w:val="18"/>
                <w:szCs w:val="18"/>
              </w:rPr>
              <w:t> </w:t>
            </w:r>
            <w:r>
              <w:rPr>
                <w:rFonts w:ascii="宋体" w:hAnsi="宋体" w:cs="宋体" w:eastAsia="宋体" w:hint="default"/>
                <w:spacing w:val="-3"/>
                <w:sz w:val="18"/>
                <w:szCs w:val="18"/>
              </w:rPr>
              <w:t>元，公司年末可供股东</w:t>
            </w:r>
          </w:p>
          <w:p>
            <w:pPr>
              <w:pStyle w:val="TableParagraph"/>
              <w:spacing w:line="240" w:lineRule="auto" w:before="63"/>
              <w:ind w:left="11" w:right="0"/>
              <w:jc w:val="left"/>
              <w:rPr>
                <w:rFonts w:ascii="宋体" w:hAnsi="宋体" w:cs="宋体" w:eastAsia="宋体" w:hint="default"/>
                <w:sz w:val="18"/>
                <w:szCs w:val="18"/>
              </w:rPr>
            </w:pPr>
            <w:r>
              <w:rPr>
                <w:rFonts w:ascii="宋体" w:hAnsi="宋体" w:cs="宋体" w:eastAsia="宋体" w:hint="default"/>
                <w:sz w:val="18"/>
                <w:szCs w:val="18"/>
              </w:rPr>
              <w:t>分配的利润为</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499,501,496.89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元，公司年末资本公积金余额</w:t>
            </w:r>
            <w:r>
              <w:rPr>
                <w:rFonts w:ascii="宋体" w:hAnsi="宋体" w:cs="宋体" w:eastAsia="宋体" w:hint="default"/>
                <w:spacing w:val="-2"/>
                <w:sz w:val="18"/>
                <w:szCs w:val="18"/>
              </w:rPr>
              <w:t> </w:t>
            </w:r>
            <w:r>
              <w:rPr>
                <w:rFonts w:ascii="Times New Roman" w:hAnsi="Times New Roman" w:cs="Times New Roman" w:eastAsia="Times New Roman" w:hint="default"/>
                <w:sz w:val="18"/>
                <w:szCs w:val="18"/>
              </w:rPr>
              <w:t>677,770,058.81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元。鉴于目前公司盈利状况稳定，根据中国证</w:t>
            </w:r>
          </w:p>
        </w:tc>
      </w:tr>
    </w:tbl>
    <w:p>
      <w:pPr>
        <w:spacing w:after="0" w:line="240"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11"/>
        <w:rPr>
          <w:rFonts w:ascii="宋体" w:hAnsi="宋体" w:cs="宋体" w:eastAsia="宋体" w:hint="default"/>
          <w:sz w:val="28"/>
          <w:szCs w:val="28"/>
        </w:rPr>
      </w:pPr>
    </w:p>
    <w:p>
      <w:pPr>
        <w:spacing w:line="1298" w:lineRule="exact"/>
        <w:ind w:left="1134" w:right="0" w:firstLine="0"/>
        <w:rPr>
          <w:rFonts w:ascii="宋体" w:hAnsi="宋体" w:cs="宋体" w:eastAsia="宋体" w:hint="default"/>
          <w:sz w:val="20"/>
          <w:szCs w:val="20"/>
        </w:rPr>
      </w:pPr>
      <w:r>
        <w:rPr>
          <w:rFonts w:ascii="宋体" w:hAnsi="宋体" w:cs="宋体" w:eastAsia="宋体" w:hint="default"/>
          <w:position w:val="-25"/>
          <w:sz w:val="20"/>
          <w:szCs w:val="20"/>
        </w:rPr>
        <w:pict>
          <v:shape style="width:478.45pt;height:64.95pt;mso-position-horizontal-relative:char;mso-position-vertical-relative:line" type="#_x0000_t202" filled="false" stroked="true" strokeweight=".48pt" strokecolor="#000000">
            <w10:anchorlock/>
            <v:textbox inset="0,0,0,0">
              <w:txbxContent>
                <w:p>
                  <w:pPr>
                    <w:pStyle w:val="BodyText"/>
                    <w:spacing w:line="316" w:lineRule="auto" w:before="10"/>
                    <w:ind w:left="22" w:right="22"/>
                    <w:jc w:val="left"/>
                  </w:pPr>
                  <w:r>
                    <w:rPr>
                      <w:spacing w:val="-1"/>
                    </w:rPr>
                    <w:t>监会鼓励上市公司现金分红给予投资者稳定、合理回报的指导意见，在符合利润分配原则、保证公司正常经营和长远发展</w:t>
                  </w:r>
                  <w:r>
                    <w:rPr>
                      <w:spacing w:val="-67"/>
                    </w:rPr>
                    <w:t> </w:t>
                  </w:r>
                  <w:r>
                    <w:rPr>
                      <w:spacing w:val="-67"/>
                    </w:rPr>
                  </w:r>
                  <w:r>
                    <w:rPr/>
                    <w:t>的前提下，为了更好的兼顾股东利益，根据《公司法》和《公司章程》有关规定，董事会拟提议公司</w:t>
                  </w:r>
                  <w:r>
                    <w:rPr>
                      <w:spacing w:val="-45"/>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年度利润分配</w:t>
                  </w:r>
                </w:p>
                <w:p>
                  <w:pPr>
                    <w:pStyle w:val="BodyText"/>
                    <w:spacing w:line="248" w:lineRule="exact"/>
                    <w:ind w:left="22" w:right="0"/>
                    <w:jc w:val="left"/>
                  </w:pPr>
                  <w:r>
                    <w:rPr/>
                    <w:t>预案为：向全体股东每</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spacing w:val="1"/>
                    </w:rPr>
                    <w:t>股</w:t>
                  </w:r>
                  <w:r>
                    <w:rPr/>
                    <w:t>派发现金红利人民币</w:t>
                  </w:r>
                  <w:r>
                    <w:rPr>
                      <w:spacing w:val="-46"/>
                    </w:rPr>
                    <w:t> </w:t>
                  </w:r>
                  <w:r>
                    <w:rPr>
                      <w:rFonts w:ascii="Times New Roman" w:hAnsi="Times New Roman" w:cs="Times New Roman" w:eastAsia="Times New Roman" w:hint="default"/>
                    </w:rPr>
                    <w:t>0.5</w:t>
                  </w:r>
                  <w:r>
                    <w:rPr>
                      <w:rFonts w:ascii="Times New Roman" w:hAnsi="Times New Roman" w:cs="Times New Roman" w:eastAsia="Times New Roman" w:hint="default"/>
                      <w:spacing w:val="-1"/>
                    </w:rPr>
                    <w:t> </w:t>
                  </w:r>
                  <w:r>
                    <w:rPr/>
                    <w:t>元（含税</w:t>
                  </w:r>
                  <w:r>
                    <w:rPr>
                      <w:spacing w:val="-90"/>
                    </w:rPr>
                    <w:t>）</w:t>
                  </w:r>
                  <w:r>
                    <w:rPr/>
                    <w:t>，合计派发现金红利</w:t>
                  </w:r>
                  <w:r>
                    <w:rPr>
                      <w:spacing w:val="-46"/>
                    </w:rPr>
                    <w:t> </w:t>
                  </w:r>
                  <w:r>
                    <w:rPr>
                      <w:rFonts w:ascii="Times New Roman" w:hAnsi="Times New Roman" w:cs="Times New Roman" w:eastAsia="Times New Roman" w:hint="default"/>
                    </w:rPr>
                    <w:t>17,219,767.20 </w:t>
                  </w:r>
                  <w:r>
                    <w:rPr/>
                    <w:t>元</w:t>
                  </w:r>
                  <w:r>
                    <w:rPr>
                      <w:spacing w:val="-2"/>
                    </w:rPr>
                    <w:t>（</w:t>
                  </w:r>
                  <w:r>
                    <w:rPr/>
                    <w:t>含税</w:t>
                  </w:r>
                  <w:r>
                    <w:rPr>
                      <w:spacing w:val="-90"/>
                    </w:rPr>
                    <w:t>）</w:t>
                  </w:r>
                  <w:r>
                    <w:rPr/>
                    <w:t>；同时以资</w:t>
                  </w:r>
                </w:p>
                <w:p>
                  <w:pPr>
                    <w:pStyle w:val="BodyText"/>
                    <w:spacing w:line="240" w:lineRule="auto" w:before="64"/>
                    <w:ind w:left="22" w:right="0"/>
                    <w:jc w:val="left"/>
                  </w:pPr>
                  <w:r>
                    <w:rPr/>
                    <w:t>本公积金转增股本，每</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股转增</w:t>
                  </w:r>
                  <w:r>
                    <w:rPr>
                      <w:spacing w:val="-46"/>
                    </w:rPr>
                    <w:t> </w:t>
                  </w:r>
                  <w:r>
                    <w:rPr>
                      <w:rFonts w:ascii="Times New Roman" w:hAnsi="Times New Roman" w:cs="Times New Roman" w:eastAsia="Times New Roman" w:hint="default"/>
                    </w:rPr>
                    <w:t>6</w:t>
                  </w:r>
                  <w:r>
                    <w:rPr>
                      <w:rFonts w:ascii="Times New Roman" w:hAnsi="Times New Roman" w:cs="Times New Roman" w:eastAsia="Times New Roman" w:hint="default"/>
                      <w:spacing w:val="-1"/>
                    </w:rPr>
                    <w:t> </w:t>
                  </w:r>
                  <w:r>
                    <w:rPr/>
                    <w:t>股，共计转增</w:t>
                  </w:r>
                  <w:r>
                    <w:rPr>
                      <w:spacing w:val="-46"/>
                    </w:rPr>
                    <w:t> </w:t>
                  </w:r>
                  <w:r>
                    <w:rPr>
                      <w:rFonts w:ascii="Times New Roman" w:hAnsi="Times New Roman" w:cs="Times New Roman" w:eastAsia="Times New Roman" w:hint="default"/>
                    </w:rPr>
                    <w:t>206,637,206</w:t>
                  </w:r>
                  <w:r>
                    <w:rPr>
                      <w:rFonts w:ascii="Times New Roman" w:hAnsi="Times New Roman" w:cs="Times New Roman" w:eastAsia="Times New Roman" w:hint="default"/>
                      <w:spacing w:val="-1"/>
                    </w:rPr>
                    <w:t> </w:t>
                  </w:r>
                  <w:r>
                    <w:rPr/>
                    <w:t>股，转增完毕后，公司总股本变更为</w:t>
                  </w:r>
                  <w:r>
                    <w:rPr>
                      <w:spacing w:val="-46"/>
                    </w:rPr>
                    <w:t> </w:t>
                  </w:r>
                  <w:r>
                    <w:rPr>
                      <w:rFonts w:ascii="Times New Roman" w:hAnsi="Times New Roman" w:cs="Times New Roman" w:eastAsia="Times New Roman" w:hint="default"/>
                    </w:rPr>
                    <w:t>551,032,550</w:t>
                  </w:r>
                  <w:r>
                    <w:rPr>
                      <w:rFonts w:ascii="Times New Roman" w:hAnsi="Times New Roman" w:cs="Times New Roman" w:eastAsia="Times New Roman" w:hint="default"/>
                      <w:spacing w:val="-1"/>
                    </w:rPr>
                    <w:t> </w:t>
                  </w:r>
                  <w:r>
                    <w:rPr/>
                    <w:t>股。</w:t>
                  </w:r>
                </w:p>
              </w:txbxContent>
            </v:textbox>
          </v:shape>
        </w:pict>
      </w:r>
      <w:r>
        <w:rPr>
          <w:rFonts w:ascii="宋体" w:hAnsi="宋体" w:cs="宋体" w:eastAsia="宋体" w:hint="default"/>
          <w:position w:val="-25"/>
          <w:sz w:val="20"/>
          <w:szCs w:val="20"/>
        </w:rPr>
      </w:r>
    </w:p>
    <w:p>
      <w:pPr>
        <w:pStyle w:val="BodyText"/>
        <w:spacing w:line="240" w:lineRule="auto" w:before="57"/>
        <w:ind w:left="1134" w:right="0"/>
        <w:jc w:val="left"/>
      </w:pPr>
      <w:r>
        <w:rPr/>
        <w:t>公司近</w:t>
      </w:r>
      <w:r>
        <w:rPr>
          <w:spacing w:val="-46"/>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年</w:t>
      </w:r>
      <w:r>
        <w:rPr>
          <w:spacing w:val="1"/>
        </w:rPr>
        <w:t>（</w:t>
      </w:r>
      <w:r>
        <w:rPr/>
        <w:t>包括本报告期）的普通股股利分配方案（预案</w:t>
      </w:r>
      <w:r>
        <w:rPr>
          <w:spacing w:val="-90"/>
        </w:rPr>
        <w:t>）</w:t>
      </w:r>
      <w:r>
        <w:rPr/>
        <w:t>、资本公积金转增股本方案（预案）情况</w:t>
      </w:r>
    </w:p>
    <w:p>
      <w:pPr>
        <w:pStyle w:val="BodyText"/>
        <w:spacing w:line="300" w:lineRule="auto" w:before="102"/>
        <w:ind w:right="1184" w:firstLine="360"/>
        <w:jc w:val="both"/>
      </w:pPr>
      <w:r>
        <w:rPr/>
        <w:t>（</w:t>
      </w:r>
      <w:r>
        <w:rPr>
          <w:rFonts w:ascii="Times New Roman" w:hAnsi="Times New Roman" w:cs="Times New Roman" w:eastAsia="Times New Roman" w:hint="default"/>
        </w:rPr>
        <w:t>1</w:t>
      </w:r>
      <w:r>
        <w:rPr/>
        <w:t>）公司</w:t>
      </w:r>
      <w:r>
        <w:rPr>
          <w:spacing w:val="-20"/>
        </w:rPr>
        <w:t> </w:t>
      </w:r>
      <w:r>
        <w:rPr>
          <w:rFonts w:ascii="Times New Roman" w:hAnsi="Times New Roman" w:cs="Times New Roman" w:eastAsia="Times New Roman" w:hint="default"/>
        </w:rPr>
        <w:t>2017</w:t>
      </w:r>
      <w:r>
        <w:rPr/>
        <w:t>年度利润分配及资本公积金转增股本预案为：向全体股东每</w:t>
      </w:r>
      <w:r>
        <w:rPr>
          <w:rFonts w:ascii="Times New Roman" w:hAnsi="Times New Roman" w:cs="Times New Roman" w:eastAsia="Times New Roman" w:hint="default"/>
        </w:rPr>
        <w:t>10</w:t>
      </w:r>
      <w:r>
        <w:rPr/>
        <w:t>股派发现金红利人民币</w:t>
      </w:r>
      <w:r>
        <w:rPr>
          <w:rFonts w:ascii="Times New Roman" w:hAnsi="Times New Roman" w:cs="Times New Roman" w:eastAsia="Times New Roman" w:hint="default"/>
        </w:rPr>
        <w:t>0.5</w:t>
      </w:r>
      <w:r>
        <w:rPr/>
        <w:t>元（含税）， 合计派发现金红利</w:t>
      </w:r>
      <w:r>
        <w:rPr>
          <w:rFonts w:ascii="Times New Roman" w:hAnsi="Times New Roman" w:cs="Times New Roman" w:eastAsia="Times New Roman" w:hint="default"/>
        </w:rPr>
        <w:t>17,219,767.20</w:t>
      </w:r>
      <w:r>
        <w:rPr/>
        <w:t>元（含税）；同时以资本公积金转增股本，每</w:t>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6</w:t>
      </w:r>
      <w:r>
        <w:rPr/>
        <w:t>股，共计转增</w:t>
      </w:r>
      <w:r>
        <w:rPr>
          <w:rFonts w:ascii="Times New Roman" w:hAnsi="Times New Roman" w:cs="Times New Roman" w:eastAsia="Times New Roman" w:hint="default"/>
        </w:rPr>
        <w:t>206,637,206</w:t>
      </w:r>
      <w:r>
        <w:rPr/>
        <w:t>股，转增 完毕后，公司总股本变更为</w:t>
      </w:r>
      <w:r>
        <w:rPr>
          <w:rFonts w:ascii="Times New Roman" w:hAnsi="Times New Roman" w:cs="Times New Roman" w:eastAsia="Times New Roman" w:hint="default"/>
        </w:rPr>
        <w:t>551,032,550</w:t>
      </w:r>
      <w:r>
        <w:rPr/>
        <w:t>股。</w:t>
      </w:r>
    </w:p>
    <w:p>
      <w:pPr>
        <w:pStyle w:val="BodyText"/>
        <w:spacing w:line="300" w:lineRule="auto" w:before="13"/>
        <w:ind w:right="1130" w:firstLine="360"/>
        <w:jc w:val="both"/>
      </w:pPr>
      <w:r>
        <w:rPr>
          <w:spacing w:val="-12"/>
        </w:rPr>
        <w:t>（</w:t>
      </w:r>
      <w:r>
        <w:rPr>
          <w:rFonts w:ascii="Times New Roman" w:hAnsi="Times New Roman" w:cs="Times New Roman" w:eastAsia="Times New Roman" w:hint="default"/>
          <w:spacing w:val="-12"/>
        </w:rPr>
        <w:t>2</w:t>
      </w:r>
      <w:r>
        <w:rPr>
          <w:spacing w:val="-12"/>
        </w:rPr>
        <w:t>）公司</w:t>
      </w:r>
      <w:r>
        <w:rPr>
          <w:spacing w:val="-28"/>
        </w:rPr>
        <w:t> </w:t>
      </w:r>
      <w:r>
        <w:rPr>
          <w:rFonts w:ascii="Times New Roman" w:hAnsi="Times New Roman" w:cs="Times New Roman" w:eastAsia="Times New Roman" w:hint="default"/>
        </w:rPr>
        <w:t>2016</w:t>
      </w:r>
      <w:r>
        <w:rPr/>
        <w:t>年度利润分配及资本公积金转增股本方案为：以公司总股本</w:t>
      </w:r>
      <w:r>
        <w:rPr>
          <w:spacing w:val="-28"/>
        </w:rPr>
        <w:t> </w:t>
      </w:r>
      <w:r>
        <w:rPr>
          <w:rFonts w:ascii="Times New Roman" w:hAnsi="Times New Roman" w:cs="Times New Roman" w:eastAsia="Times New Roman" w:hint="default"/>
        </w:rPr>
        <w:t>344,395,344</w:t>
      </w:r>
      <w:r>
        <w:rPr>
          <w:rFonts w:ascii="Times New Roman" w:hAnsi="Times New Roman" w:cs="Times New Roman" w:eastAsia="Times New Roman" w:hint="default"/>
          <w:spacing w:val="16"/>
        </w:rPr>
        <w:t> </w:t>
      </w:r>
      <w:r>
        <w:rPr>
          <w:spacing w:val="-6"/>
        </w:rPr>
        <w:t>股为基数，向全体股东每</w:t>
      </w:r>
      <w:r>
        <w:rPr>
          <w:spacing w:val="-28"/>
        </w:rPr>
        <w:t> </w:t>
      </w:r>
      <w:r>
        <w:rPr>
          <w:rFonts w:ascii="Times New Roman" w:hAnsi="Times New Roman" w:cs="Times New Roman" w:eastAsia="Times New Roman" w:hint="default"/>
        </w:rPr>
        <w:t>10</w:t>
      </w:r>
      <w:r>
        <w:rPr>
          <w:rFonts w:ascii="Times New Roman" w:hAnsi="Times New Roman" w:cs="Times New Roman" w:eastAsia="Times New Roman" w:hint="default"/>
          <w:spacing w:val="16"/>
        </w:rPr>
        <w:t> </w:t>
      </w:r>
      <w:r>
        <w:rPr/>
        <w:t>股 派发现金股利</w:t>
      </w:r>
      <w:r>
        <w:rPr>
          <w:rFonts w:ascii="Times New Roman" w:hAnsi="Times New Roman" w:cs="Times New Roman" w:eastAsia="Times New Roman" w:hint="default"/>
        </w:rPr>
        <w:t>1</w:t>
      </w:r>
      <w:r>
        <w:rPr/>
        <w:t>元</w:t>
      </w:r>
      <w:r>
        <w:rPr>
          <w:rFonts w:ascii="Times New Roman" w:hAnsi="Times New Roman" w:cs="Times New Roman" w:eastAsia="Times New Roman" w:hint="default"/>
        </w:rPr>
        <w:t>(</w:t>
      </w:r>
      <w:r>
        <w:rPr/>
        <w:t>含税</w:t>
      </w:r>
      <w:r>
        <w:rPr>
          <w:rFonts w:ascii="Times New Roman" w:hAnsi="Times New Roman" w:cs="Times New Roman" w:eastAsia="Times New Roman" w:hint="default"/>
        </w:rPr>
        <w:t>)</w:t>
      </w:r>
      <w:r>
        <w:rPr/>
        <w:t>，合计派发现金</w:t>
      </w:r>
      <w:r>
        <w:rPr>
          <w:rFonts w:ascii="Times New Roman" w:hAnsi="Times New Roman" w:cs="Times New Roman" w:eastAsia="Times New Roman" w:hint="default"/>
        </w:rPr>
        <w:t>34,439,534.40</w:t>
      </w:r>
      <w:r>
        <w:rPr/>
        <w:t>元；不转增股本及送红股；</w:t>
      </w:r>
    </w:p>
    <w:p>
      <w:pPr>
        <w:pStyle w:val="BodyText"/>
        <w:spacing w:line="300" w:lineRule="auto" w:before="13"/>
        <w:ind w:right="1130" w:firstLine="360"/>
        <w:jc w:val="both"/>
      </w:pPr>
      <w:r>
        <w:rPr>
          <w:spacing w:val="-12"/>
        </w:rPr>
        <w:t>（</w:t>
      </w:r>
      <w:r>
        <w:rPr>
          <w:rFonts w:ascii="Times New Roman" w:hAnsi="Times New Roman" w:cs="Times New Roman" w:eastAsia="Times New Roman" w:hint="default"/>
          <w:spacing w:val="-12"/>
        </w:rPr>
        <w:t>3</w:t>
      </w:r>
      <w:r>
        <w:rPr>
          <w:spacing w:val="-12"/>
        </w:rPr>
        <w:t>）公司</w:t>
      </w:r>
      <w:r>
        <w:rPr>
          <w:spacing w:val="-28"/>
        </w:rPr>
        <w:t> </w:t>
      </w:r>
      <w:r>
        <w:rPr>
          <w:rFonts w:ascii="Times New Roman" w:hAnsi="Times New Roman" w:cs="Times New Roman" w:eastAsia="Times New Roman" w:hint="default"/>
        </w:rPr>
        <w:t>2015</w:t>
      </w:r>
      <w:r>
        <w:rPr/>
        <w:t>年度利润分配及资本公积金转增股本方案为：以公司总股本</w:t>
      </w:r>
      <w:r>
        <w:rPr>
          <w:spacing w:val="-28"/>
        </w:rPr>
        <w:t> </w:t>
      </w:r>
      <w:r>
        <w:rPr>
          <w:rFonts w:ascii="Times New Roman" w:hAnsi="Times New Roman" w:cs="Times New Roman" w:eastAsia="Times New Roman" w:hint="default"/>
        </w:rPr>
        <w:t>344,395,344</w:t>
      </w:r>
      <w:r>
        <w:rPr>
          <w:rFonts w:ascii="Times New Roman" w:hAnsi="Times New Roman" w:cs="Times New Roman" w:eastAsia="Times New Roman" w:hint="default"/>
          <w:spacing w:val="16"/>
        </w:rPr>
        <w:t> </w:t>
      </w:r>
      <w:r>
        <w:rPr>
          <w:spacing w:val="-6"/>
        </w:rPr>
        <w:t>股为基数，向全体股东每</w:t>
      </w:r>
      <w:r>
        <w:rPr>
          <w:spacing w:val="-28"/>
        </w:rPr>
        <w:t> </w:t>
      </w:r>
      <w:r>
        <w:rPr>
          <w:rFonts w:ascii="Times New Roman" w:hAnsi="Times New Roman" w:cs="Times New Roman" w:eastAsia="Times New Roman" w:hint="default"/>
        </w:rPr>
        <w:t>10</w:t>
      </w:r>
      <w:r>
        <w:rPr>
          <w:rFonts w:ascii="Times New Roman" w:hAnsi="Times New Roman" w:cs="Times New Roman" w:eastAsia="Times New Roman" w:hint="default"/>
          <w:spacing w:val="16"/>
        </w:rPr>
        <w:t> </w:t>
      </w:r>
      <w:r>
        <w:rPr/>
        <w:t>股 派发现金股利</w:t>
      </w:r>
      <w:r>
        <w:rPr>
          <w:rFonts w:ascii="Times New Roman" w:hAnsi="Times New Roman" w:cs="Times New Roman" w:eastAsia="Times New Roman" w:hint="default"/>
        </w:rPr>
        <w:t>0.5</w:t>
      </w:r>
      <w:r>
        <w:rPr/>
        <w:t>元</w:t>
      </w:r>
      <w:r>
        <w:rPr>
          <w:rFonts w:ascii="Times New Roman" w:hAnsi="Times New Roman" w:cs="Times New Roman" w:eastAsia="Times New Roman" w:hint="default"/>
        </w:rPr>
        <w:t>(</w:t>
      </w:r>
      <w:r>
        <w:rPr/>
        <w:t>含税</w:t>
      </w:r>
      <w:r>
        <w:rPr>
          <w:rFonts w:ascii="Times New Roman" w:hAnsi="Times New Roman" w:cs="Times New Roman" w:eastAsia="Times New Roman" w:hint="default"/>
        </w:rPr>
        <w:t>)</w:t>
      </w:r>
      <w:r>
        <w:rPr/>
        <w:t>，合计派发现金</w:t>
      </w:r>
      <w:r>
        <w:rPr>
          <w:rFonts w:ascii="Times New Roman" w:hAnsi="Times New Roman" w:cs="Times New Roman" w:eastAsia="Times New Roman" w:hint="default"/>
        </w:rPr>
        <w:t>17,219,767.20</w:t>
      </w:r>
      <w:r>
        <w:rPr/>
        <w:t>元；不转增股本及送红股；</w:t>
      </w:r>
    </w:p>
    <w:p>
      <w:pPr>
        <w:spacing w:line="240" w:lineRule="auto" w:before="7"/>
        <w:rPr>
          <w:rFonts w:ascii="宋体" w:hAnsi="宋体" w:cs="宋体" w:eastAsia="宋体" w:hint="default"/>
          <w:sz w:val="24"/>
          <w:szCs w:val="24"/>
        </w:rPr>
      </w:pPr>
    </w:p>
    <w:p>
      <w:pPr>
        <w:pStyle w:val="BodyText"/>
        <w:spacing w:line="240" w:lineRule="auto" w:before="44"/>
        <w:ind w:left="1134" w:right="0"/>
        <w:jc w:val="left"/>
      </w:pPr>
      <w:r>
        <w:rPr/>
        <w:t>公司近三年（包括本报告期）普通股现金分红情况表</w:t>
      </w:r>
    </w:p>
    <w:p>
      <w:pPr>
        <w:pStyle w:val="BodyText"/>
        <w:spacing w:line="240" w:lineRule="auto" w:before="116"/>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317" w:hRule="exact"/>
        </w:trPr>
        <w:tc>
          <w:tcPr>
            <w:tcW w:w="1596" w:type="dxa"/>
            <w:vMerge w:val="restart"/>
            <w:tcBorders>
              <w:top w:val="single" w:sz="4" w:space="0" w:color="000000"/>
              <w:left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5"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73" w:right="70"/>
              <w:jc w:val="center"/>
              <w:rPr>
                <w:rFonts w:ascii="宋体" w:hAnsi="宋体" w:cs="宋体" w:eastAsia="宋体" w:hint="default"/>
                <w:sz w:val="18"/>
                <w:szCs w:val="18"/>
              </w:rPr>
            </w:pPr>
            <w:r>
              <w:rPr>
                <w:rFonts w:ascii="宋体" w:hAnsi="宋体" w:cs="宋体" w:eastAsia="宋体" w:hint="default"/>
                <w:sz w:val="18"/>
                <w:szCs w:val="18"/>
              </w:rPr>
              <w:t>分红年度合并报表 中归属于上市公司 普通股股东的净利 润</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71" w:right="71"/>
              <w:jc w:val="center"/>
              <w:rPr>
                <w:rFonts w:ascii="宋体" w:hAnsi="宋体" w:cs="宋体" w:eastAsia="宋体" w:hint="default"/>
                <w:sz w:val="18"/>
                <w:szCs w:val="18"/>
              </w:rPr>
            </w:pPr>
            <w:r>
              <w:rPr>
                <w:rFonts w:ascii="宋体" w:hAnsi="宋体" w:cs="宋体" w:eastAsia="宋体" w:hint="default"/>
                <w:sz w:val="18"/>
                <w:szCs w:val="18"/>
              </w:rPr>
              <w:t>占合并报表中归属 于上市公司普通股 股东的净利润的比 率</w:t>
            </w:r>
          </w:p>
        </w:tc>
        <w:tc>
          <w:tcPr>
            <w:tcW w:w="1594"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5"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6" w:hRule="exact"/>
        </w:trPr>
        <w:tc>
          <w:tcPr>
            <w:tcW w:w="1596" w:type="dxa"/>
            <w:vMerge/>
            <w:tcBorders>
              <w:left w:val="single" w:sz="4" w:space="0" w:color="000000"/>
              <w:bottom w:val="nil" w:sz="6" w:space="0" w:color="auto"/>
              <w:right w:val="single" w:sz="4" w:space="0" w:color="000000"/>
            </w:tcBorders>
            <w:shd w:val="clear" w:color="auto" w:fill="D2D2D2"/>
          </w:tcPr>
          <w:p>
            <w:pPr/>
          </w:p>
        </w:tc>
        <w:tc>
          <w:tcPr>
            <w:tcW w:w="1594"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612" w:right="71" w:hanging="540"/>
              <w:jc w:val="left"/>
              <w:rPr>
                <w:rFonts w:ascii="宋体" w:hAnsi="宋体" w:cs="宋体" w:eastAsia="宋体" w:hint="default"/>
                <w:sz w:val="18"/>
                <w:szCs w:val="18"/>
              </w:rPr>
            </w:pPr>
            <w:r>
              <w:rPr>
                <w:rFonts w:ascii="宋体" w:hAnsi="宋体" w:cs="宋体" w:eastAsia="宋体" w:hint="default"/>
                <w:sz w:val="18"/>
                <w:szCs w:val="18"/>
              </w:rPr>
              <w:t>现金分红金额（含 税）</w:t>
            </w:r>
          </w:p>
        </w:tc>
        <w:tc>
          <w:tcPr>
            <w:tcW w:w="1595" w:type="dxa"/>
            <w:vMerge/>
            <w:tcBorders>
              <w:left w:val="single" w:sz="4" w:space="0" w:color="000000"/>
              <w:right w:val="single" w:sz="4" w:space="0" w:color="000000"/>
            </w:tcBorders>
            <w:shd w:val="clear" w:color="auto" w:fill="D2D2D2"/>
          </w:tcPr>
          <w:p>
            <w:pPr/>
          </w:p>
        </w:tc>
        <w:tc>
          <w:tcPr>
            <w:tcW w:w="1594" w:type="dxa"/>
            <w:vMerge/>
            <w:tcBorders>
              <w:left w:val="single" w:sz="4" w:space="0" w:color="000000"/>
              <w:right w:val="single" w:sz="4" w:space="0" w:color="000000"/>
            </w:tcBorders>
            <w:shd w:val="clear" w:color="auto" w:fill="D2D2D2"/>
          </w:tcPr>
          <w:p>
            <w:pPr/>
          </w:p>
        </w:tc>
        <w:tc>
          <w:tcPr>
            <w:tcW w:w="1594"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432" w:right="70" w:hanging="360"/>
              <w:jc w:val="left"/>
              <w:rPr>
                <w:rFonts w:ascii="宋体" w:hAnsi="宋体" w:cs="宋体" w:eastAsia="宋体" w:hint="default"/>
                <w:sz w:val="18"/>
                <w:szCs w:val="18"/>
              </w:rPr>
            </w:pPr>
            <w:r>
              <w:rPr>
                <w:rFonts w:ascii="宋体" w:hAnsi="宋体" w:cs="宋体" w:eastAsia="宋体" w:hint="default"/>
                <w:sz w:val="18"/>
                <w:szCs w:val="18"/>
              </w:rPr>
              <w:t>以其他方式现金分 红的金额</w:t>
            </w:r>
          </w:p>
        </w:tc>
        <w:tc>
          <w:tcPr>
            <w:tcW w:w="159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433" w:right="71" w:hanging="360"/>
              <w:jc w:val="left"/>
              <w:rPr>
                <w:rFonts w:ascii="宋体" w:hAnsi="宋体" w:cs="宋体" w:eastAsia="宋体" w:hint="default"/>
                <w:sz w:val="18"/>
                <w:szCs w:val="18"/>
              </w:rPr>
            </w:pPr>
            <w:r>
              <w:rPr>
                <w:rFonts w:ascii="宋体" w:hAnsi="宋体" w:cs="宋体" w:eastAsia="宋体" w:hint="default"/>
                <w:sz w:val="18"/>
                <w:szCs w:val="18"/>
              </w:rPr>
              <w:t>以其他方式现金分 红的比例</w:t>
            </w:r>
          </w:p>
        </w:tc>
      </w:tr>
      <w:tr>
        <w:trPr>
          <w:trHeight w:val="392" w:hRule="exact"/>
        </w:trPr>
        <w:tc>
          <w:tcPr>
            <w:tcW w:w="15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分红年度</w:t>
            </w:r>
          </w:p>
        </w:tc>
        <w:tc>
          <w:tcPr>
            <w:tcW w:w="1594" w:type="dxa"/>
            <w:vMerge/>
            <w:tcBorders>
              <w:left w:val="single" w:sz="4" w:space="0" w:color="000000"/>
              <w:right w:val="single" w:sz="4" w:space="0" w:color="000000"/>
            </w:tcBorders>
            <w:shd w:val="clear" w:color="auto" w:fill="D2D2D2"/>
          </w:tcPr>
          <w:p>
            <w:pPr/>
          </w:p>
        </w:tc>
        <w:tc>
          <w:tcPr>
            <w:tcW w:w="1595" w:type="dxa"/>
            <w:vMerge/>
            <w:tcBorders>
              <w:left w:val="single" w:sz="4" w:space="0" w:color="000000"/>
              <w:right w:val="single" w:sz="4" w:space="0" w:color="000000"/>
            </w:tcBorders>
            <w:shd w:val="clear" w:color="auto" w:fill="D2D2D2"/>
          </w:tcPr>
          <w:p>
            <w:pPr/>
          </w:p>
        </w:tc>
        <w:tc>
          <w:tcPr>
            <w:tcW w:w="1594" w:type="dxa"/>
            <w:vMerge/>
            <w:tcBorders>
              <w:left w:val="single" w:sz="4" w:space="0" w:color="000000"/>
              <w:right w:val="single" w:sz="4" w:space="0" w:color="000000"/>
            </w:tcBorders>
            <w:shd w:val="clear" w:color="auto" w:fill="D2D2D2"/>
          </w:tcPr>
          <w:p>
            <w:pPr/>
          </w:p>
        </w:tc>
        <w:tc>
          <w:tcPr>
            <w:tcW w:w="1594" w:type="dxa"/>
            <w:vMerge/>
            <w:tcBorders>
              <w:left w:val="single" w:sz="4" w:space="0" w:color="000000"/>
              <w:right w:val="single" w:sz="4" w:space="0" w:color="000000"/>
            </w:tcBorders>
            <w:shd w:val="clear" w:color="auto" w:fill="D2D2D2"/>
          </w:tcPr>
          <w:p>
            <w:pPr/>
          </w:p>
        </w:tc>
        <w:tc>
          <w:tcPr>
            <w:tcW w:w="1595" w:type="dxa"/>
            <w:vMerge/>
            <w:tcBorders>
              <w:left w:val="single" w:sz="4" w:space="0" w:color="000000"/>
              <w:right w:val="single" w:sz="4" w:space="0" w:color="000000"/>
            </w:tcBorders>
            <w:shd w:val="clear" w:color="auto" w:fill="D2D2D2"/>
          </w:tcPr>
          <w:p>
            <w:pPr/>
          </w:p>
        </w:tc>
      </w:tr>
      <w:tr>
        <w:trPr>
          <w:trHeight w:val="156" w:hRule="exact"/>
        </w:trPr>
        <w:tc>
          <w:tcPr>
            <w:tcW w:w="1596" w:type="dxa"/>
            <w:vMerge w:val="restart"/>
            <w:tcBorders>
              <w:top w:val="nil" w:sz="6" w:space="0" w:color="auto"/>
              <w:left w:val="single" w:sz="4" w:space="0" w:color="000000"/>
              <w:right w:val="single" w:sz="4" w:space="0" w:color="000000"/>
            </w:tcBorders>
            <w:shd w:val="clear" w:color="auto" w:fill="D2D2D2"/>
          </w:tcPr>
          <w:p>
            <w:pPr/>
          </w:p>
        </w:tc>
        <w:tc>
          <w:tcPr>
            <w:tcW w:w="1594" w:type="dxa"/>
            <w:vMerge/>
            <w:tcBorders>
              <w:left w:val="single" w:sz="4" w:space="0" w:color="000000"/>
              <w:bottom w:val="nil" w:sz="6" w:space="0" w:color="auto"/>
              <w:right w:val="single" w:sz="4" w:space="0" w:color="000000"/>
            </w:tcBorders>
            <w:shd w:val="clear" w:color="auto" w:fill="D2D2D2"/>
          </w:tcPr>
          <w:p>
            <w:pPr/>
          </w:p>
        </w:tc>
        <w:tc>
          <w:tcPr>
            <w:tcW w:w="1595" w:type="dxa"/>
            <w:vMerge/>
            <w:tcBorders>
              <w:left w:val="single" w:sz="4" w:space="0" w:color="000000"/>
              <w:right w:val="single" w:sz="4" w:space="0" w:color="000000"/>
            </w:tcBorders>
            <w:shd w:val="clear" w:color="auto" w:fill="D2D2D2"/>
          </w:tcPr>
          <w:p>
            <w:pPr/>
          </w:p>
        </w:tc>
        <w:tc>
          <w:tcPr>
            <w:tcW w:w="1594" w:type="dxa"/>
            <w:vMerge/>
            <w:tcBorders>
              <w:left w:val="single" w:sz="4" w:space="0" w:color="000000"/>
              <w:right w:val="single" w:sz="4" w:space="0" w:color="000000"/>
            </w:tcBorders>
            <w:shd w:val="clear" w:color="auto" w:fill="D2D2D2"/>
          </w:tcPr>
          <w:p>
            <w:pPr/>
          </w:p>
        </w:tc>
        <w:tc>
          <w:tcPr>
            <w:tcW w:w="1594" w:type="dxa"/>
            <w:vMerge/>
            <w:tcBorders>
              <w:left w:val="single" w:sz="4" w:space="0" w:color="000000"/>
              <w:bottom w:val="nil" w:sz="6" w:space="0" w:color="auto"/>
              <w:right w:val="single" w:sz="4" w:space="0" w:color="000000"/>
            </w:tcBorders>
            <w:shd w:val="clear" w:color="auto" w:fill="D2D2D2"/>
          </w:tcPr>
          <w:p>
            <w:pPr/>
          </w:p>
        </w:tc>
        <w:tc>
          <w:tcPr>
            <w:tcW w:w="1595" w:type="dxa"/>
            <w:vMerge/>
            <w:tcBorders>
              <w:left w:val="single" w:sz="4" w:space="0" w:color="000000"/>
              <w:bottom w:val="nil" w:sz="6" w:space="0" w:color="auto"/>
              <w:right w:val="single" w:sz="4" w:space="0" w:color="000000"/>
            </w:tcBorders>
            <w:shd w:val="clear" w:color="auto" w:fill="D2D2D2"/>
          </w:tcPr>
          <w:p>
            <w:pPr/>
          </w:p>
        </w:tc>
      </w:tr>
      <w:tr>
        <w:trPr>
          <w:trHeight w:val="317" w:hRule="exact"/>
        </w:trPr>
        <w:tc>
          <w:tcPr>
            <w:tcW w:w="1596"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5" w:type="dxa"/>
            <w:vMerge/>
            <w:tcBorders>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5"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17,219,767.20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188,169,290.74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9.15%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34,439,534.40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105,311,976.46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32.70%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17,219,767.20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81,766,786.51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21.06%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51"/>
        <w:ind w:left="1134" w:right="0"/>
        <w:jc w:val="left"/>
      </w:pPr>
      <w:r>
        <w:rPr/>
        <w:t>公司报告期内盈利且母公司可供普通股股东分配利润为正但未提出普通股现金红利分配预案</w:t>
      </w:r>
    </w:p>
    <w:p>
      <w:pPr>
        <w:pStyle w:val="BodyText"/>
        <w:spacing w:line="240" w:lineRule="auto" w:before="117"/>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二、承诺事项履行情况" w:id="64"/>
      <w:bookmarkEnd w:id="64"/>
      <w:r>
        <w:rPr>
          <w:b w:val="0"/>
          <w:bCs w:val="0"/>
        </w:rPr>
      </w:r>
      <w:r>
        <w:rPr/>
        <w:t>二、承诺事项履行情况</w:t>
      </w:r>
      <w:r>
        <w:rPr>
          <w:b w:val="0"/>
          <w:bCs w:val="0"/>
        </w:rPr>
      </w:r>
    </w:p>
    <w:p>
      <w:pPr>
        <w:spacing w:line="240" w:lineRule="auto" w:before="9"/>
        <w:rPr>
          <w:rFonts w:ascii="宋体" w:hAnsi="宋体" w:cs="宋体" w:eastAsia="宋体" w:hint="default"/>
          <w:b/>
          <w:bCs/>
          <w:sz w:val="24"/>
          <w:szCs w:val="24"/>
        </w:rPr>
      </w:pPr>
    </w:p>
    <w:p>
      <w:pPr>
        <w:pStyle w:val="Heading3"/>
        <w:spacing w:line="259" w:lineRule="auto"/>
        <w:ind w:right="0"/>
        <w:jc w:val="left"/>
        <w:rPr>
          <w:b w:val="0"/>
          <w:bCs w:val="0"/>
        </w:rPr>
      </w:pPr>
      <w:bookmarkStart w:name="1、公司实际控制人、股东、关联方、收购人以及公司等承诺相关方在报告期内履行完毕及" w:id="65"/>
      <w:bookmarkEnd w:id="65"/>
      <w:r>
        <w:rPr>
          <w:b w:val="0"/>
          <w:bCs w:val="0"/>
        </w:rPr>
      </w:r>
      <w:r>
        <w:rPr>
          <w:rFonts w:ascii="Times New Roman" w:hAnsi="Times New Roman" w:cs="Times New Roman" w:eastAsia="Times New Roman" w:hint="default"/>
        </w:rPr>
        <w:t>1</w:t>
      </w:r>
      <w:r>
        <w:rPr/>
        <w:t>、公司实际控制人、股东、关联方、收购人以及公司等承诺相关方在报告期内履行完毕及截至报告期末</w:t>
      </w:r>
      <w:r>
        <w:rPr>
          <w:spacing w:val="-74"/>
        </w:rPr>
        <w:t> </w:t>
      </w:r>
      <w:r>
        <w:rPr>
          <w:spacing w:val="-74"/>
        </w:rPr>
      </w:r>
      <w:r>
        <w:rPr/>
        <w:t>尚未履行完毕的承诺事项</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6"/>
          <w:szCs w:val="6"/>
        </w:rPr>
      </w:pPr>
    </w:p>
    <w:tbl>
      <w:tblPr>
        <w:tblW w:w="0" w:type="auto"/>
        <w:jc w:val="left"/>
        <w:tblInd w:w="1129" w:type="dxa"/>
        <w:tblLayout w:type="fixed"/>
        <w:tblCellMar>
          <w:top w:w="0" w:type="dxa"/>
          <w:left w:w="0" w:type="dxa"/>
          <w:bottom w:w="0" w:type="dxa"/>
          <w:right w:w="0" w:type="dxa"/>
        </w:tblCellMar>
        <w:tblLook w:val="01E0"/>
      </w:tblPr>
      <w:tblGrid>
        <w:gridCol w:w="1560"/>
        <w:gridCol w:w="850"/>
        <w:gridCol w:w="992"/>
        <w:gridCol w:w="3829"/>
        <w:gridCol w:w="850"/>
        <w:gridCol w:w="709"/>
        <w:gridCol w:w="779"/>
      </w:tblGrid>
      <w:tr>
        <w:trPr>
          <w:trHeight w:val="161" w:hRule="exact"/>
        </w:trPr>
        <w:tc>
          <w:tcPr>
            <w:tcW w:w="1560" w:type="dxa"/>
            <w:tcBorders>
              <w:top w:val="single" w:sz="4" w:space="0" w:color="000000"/>
              <w:left w:val="single" w:sz="4" w:space="0" w:color="000000"/>
              <w:bottom w:val="nil" w:sz="6" w:space="0" w:color="auto"/>
              <w:right w:val="single" w:sz="4" w:space="0" w:color="000000"/>
            </w:tcBorders>
            <w:shd w:val="clear" w:color="auto" w:fill="D2D2D2"/>
          </w:tcPr>
          <w:p>
            <w:pPr/>
          </w:p>
        </w:tc>
        <w:tc>
          <w:tcPr>
            <w:tcW w:w="850" w:type="dxa"/>
            <w:tcBorders>
              <w:top w:val="single" w:sz="4" w:space="0" w:color="000000"/>
              <w:left w:val="single" w:sz="4" w:space="0" w:color="000000"/>
              <w:bottom w:val="nil" w:sz="6" w:space="0" w:color="auto"/>
              <w:right w:val="single" w:sz="4" w:space="0" w:color="000000"/>
            </w:tcBorders>
            <w:shd w:val="clear" w:color="auto" w:fill="D2D2D2"/>
          </w:tcPr>
          <w:p>
            <w:pPr/>
          </w:p>
        </w:tc>
        <w:tc>
          <w:tcPr>
            <w:tcW w:w="992" w:type="dxa"/>
            <w:tcBorders>
              <w:top w:val="single" w:sz="4" w:space="0" w:color="000000"/>
              <w:left w:val="single" w:sz="4" w:space="0" w:color="000000"/>
              <w:bottom w:val="nil" w:sz="6" w:space="0" w:color="auto"/>
              <w:right w:val="single" w:sz="4" w:space="0" w:color="000000"/>
            </w:tcBorders>
            <w:shd w:val="clear" w:color="auto" w:fill="D2D2D2"/>
          </w:tcPr>
          <w:p>
            <w:pPr/>
          </w:p>
        </w:tc>
        <w:tc>
          <w:tcPr>
            <w:tcW w:w="3829" w:type="dxa"/>
            <w:tcBorders>
              <w:top w:val="single" w:sz="4" w:space="0" w:color="000000"/>
              <w:left w:val="single" w:sz="4" w:space="0" w:color="000000"/>
              <w:bottom w:val="nil" w:sz="6" w:space="0" w:color="auto"/>
              <w:right w:val="single" w:sz="4" w:space="0" w:color="000000"/>
            </w:tcBorders>
            <w:shd w:val="clear" w:color="auto" w:fill="D2D2D2"/>
          </w:tcPr>
          <w:p>
            <w:pPr/>
          </w:p>
        </w:tc>
        <w:tc>
          <w:tcPr>
            <w:tcW w:w="850" w:type="dxa"/>
            <w:tcBorders>
              <w:top w:val="single" w:sz="4" w:space="0" w:color="000000"/>
              <w:left w:val="single" w:sz="4" w:space="0" w:color="000000"/>
              <w:bottom w:val="nil" w:sz="6" w:space="0" w:color="auto"/>
              <w:right w:val="single" w:sz="4" w:space="0" w:color="000000"/>
            </w:tcBorders>
            <w:shd w:val="clear" w:color="auto" w:fill="D2D2D2"/>
          </w:tcPr>
          <w:p>
            <w:pPr/>
          </w:p>
        </w:tc>
        <w:tc>
          <w:tcPr>
            <w:tcW w:w="709"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260" w:right="77" w:hanging="180"/>
              <w:jc w:val="left"/>
              <w:rPr>
                <w:rFonts w:ascii="宋体" w:hAnsi="宋体" w:cs="宋体" w:eastAsia="宋体" w:hint="default"/>
                <w:sz w:val="18"/>
                <w:szCs w:val="18"/>
              </w:rPr>
            </w:pPr>
            <w:r>
              <w:rPr>
                <w:rFonts w:ascii="宋体" w:hAnsi="宋体" w:cs="宋体" w:eastAsia="宋体" w:hint="default"/>
                <w:sz w:val="18"/>
                <w:szCs w:val="18"/>
              </w:rPr>
              <w:t>承诺期 限</w:t>
            </w:r>
          </w:p>
        </w:tc>
        <w:tc>
          <w:tcPr>
            <w:tcW w:w="779"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1" w:hRule="exact"/>
        </w:trPr>
        <w:tc>
          <w:tcPr>
            <w:tcW w:w="156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414" w:right="0"/>
              <w:jc w:val="left"/>
              <w:rPr>
                <w:rFonts w:ascii="宋体" w:hAnsi="宋体" w:cs="宋体" w:eastAsia="宋体" w:hint="default"/>
                <w:sz w:val="18"/>
                <w:szCs w:val="18"/>
              </w:rPr>
            </w:pPr>
            <w:r>
              <w:rPr>
                <w:rFonts w:ascii="宋体" w:hAnsi="宋体" w:cs="宋体" w:eastAsia="宋体" w:hint="default"/>
                <w:sz w:val="18"/>
                <w:szCs w:val="18"/>
              </w:rPr>
              <w:t>承诺来源</w:t>
            </w:r>
          </w:p>
        </w:tc>
        <w:tc>
          <w:tcPr>
            <w:tcW w:w="85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50" w:right="0"/>
              <w:jc w:val="left"/>
              <w:rPr>
                <w:rFonts w:ascii="宋体" w:hAnsi="宋体" w:cs="宋体" w:eastAsia="宋体" w:hint="default"/>
                <w:sz w:val="18"/>
                <w:szCs w:val="18"/>
              </w:rPr>
            </w:pPr>
            <w:r>
              <w:rPr>
                <w:rFonts w:ascii="宋体" w:hAnsi="宋体" w:cs="宋体" w:eastAsia="宋体" w:hint="default"/>
                <w:sz w:val="18"/>
                <w:szCs w:val="18"/>
              </w:rPr>
              <w:t>承诺方</w:t>
            </w:r>
          </w:p>
        </w:tc>
        <w:tc>
          <w:tcPr>
            <w:tcW w:w="99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31" w:right="0"/>
              <w:jc w:val="left"/>
              <w:rPr>
                <w:rFonts w:ascii="宋体" w:hAnsi="宋体" w:cs="宋体" w:eastAsia="宋体" w:hint="default"/>
                <w:sz w:val="18"/>
                <w:szCs w:val="18"/>
              </w:rPr>
            </w:pPr>
            <w:r>
              <w:rPr>
                <w:rFonts w:ascii="宋体" w:hAnsi="宋体" w:cs="宋体" w:eastAsia="宋体" w:hint="default"/>
                <w:sz w:val="18"/>
                <w:szCs w:val="18"/>
              </w:rPr>
              <w:t>承诺类型</w:t>
            </w:r>
          </w:p>
        </w:tc>
        <w:tc>
          <w:tcPr>
            <w:tcW w:w="382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承诺内容</w:t>
            </w:r>
          </w:p>
        </w:tc>
        <w:tc>
          <w:tcPr>
            <w:tcW w:w="85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60" w:right="0"/>
              <w:jc w:val="left"/>
              <w:rPr>
                <w:rFonts w:ascii="宋体" w:hAnsi="宋体" w:cs="宋体" w:eastAsia="宋体" w:hint="default"/>
                <w:sz w:val="18"/>
                <w:szCs w:val="18"/>
              </w:rPr>
            </w:pPr>
            <w:r>
              <w:rPr>
                <w:rFonts w:ascii="宋体" w:hAnsi="宋体" w:cs="宋体" w:eastAsia="宋体" w:hint="default"/>
                <w:sz w:val="18"/>
                <w:szCs w:val="18"/>
              </w:rPr>
              <w:t>承诺时间</w:t>
            </w:r>
          </w:p>
        </w:tc>
        <w:tc>
          <w:tcPr>
            <w:tcW w:w="709" w:type="dxa"/>
            <w:vMerge/>
            <w:tcBorders>
              <w:left w:val="single" w:sz="4" w:space="0" w:color="000000"/>
              <w:right w:val="single" w:sz="4" w:space="0" w:color="000000"/>
            </w:tcBorders>
            <w:shd w:val="clear" w:color="auto" w:fill="D2D2D2"/>
          </w:tcPr>
          <w:p>
            <w:pPr/>
          </w:p>
        </w:tc>
        <w:tc>
          <w:tcPr>
            <w:tcW w:w="77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履行情况</w:t>
            </w:r>
          </w:p>
        </w:tc>
      </w:tr>
      <w:tr>
        <w:trPr>
          <w:trHeight w:val="161" w:hRule="exact"/>
        </w:trPr>
        <w:tc>
          <w:tcPr>
            <w:tcW w:w="1560" w:type="dxa"/>
            <w:tcBorders>
              <w:top w:val="nil" w:sz="6" w:space="0" w:color="auto"/>
              <w:left w:val="single" w:sz="4" w:space="0" w:color="000000"/>
              <w:bottom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single" w:sz="4" w:space="0" w:color="000000"/>
              <w:right w:val="single" w:sz="4" w:space="0" w:color="000000"/>
            </w:tcBorders>
            <w:shd w:val="clear" w:color="auto" w:fill="D2D2D2"/>
          </w:tcPr>
          <w:p>
            <w:pPr/>
          </w:p>
        </w:tc>
        <w:tc>
          <w:tcPr>
            <w:tcW w:w="992" w:type="dxa"/>
            <w:tcBorders>
              <w:top w:val="nil" w:sz="6" w:space="0" w:color="auto"/>
              <w:left w:val="single" w:sz="4" w:space="0" w:color="000000"/>
              <w:bottom w:val="single" w:sz="4" w:space="0" w:color="000000"/>
              <w:right w:val="single" w:sz="4" w:space="0" w:color="000000"/>
            </w:tcBorders>
            <w:shd w:val="clear" w:color="auto" w:fill="D2D2D2"/>
          </w:tcPr>
          <w:p>
            <w:pPr/>
          </w:p>
        </w:tc>
        <w:tc>
          <w:tcPr>
            <w:tcW w:w="3829" w:type="dxa"/>
            <w:tcBorders>
              <w:top w:val="nil" w:sz="6" w:space="0" w:color="auto"/>
              <w:left w:val="single" w:sz="4" w:space="0" w:color="000000"/>
              <w:bottom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single" w:sz="4" w:space="0" w:color="000000"/>
              <w:right w:val="single" w:sz="4" w:space="0" w:color="000000"/>
            </w:tcBorders>
            <w:shd w:val="clear" w:color="auto" w:fill="D2D2D2"/>
          </w:tcPr>
          <w:p>
            <w:pPr/>
          </w:p>
        </w:tc>
        <w:tc>
          <w:tcPr>
            <w:tcW w:w="709" w:type="dxa"/>
            <w:vMerge/>
            <w:tcBorders>
              <w:left w:val="single" w:sz="4" w:space="0" w:color="000000"/>
              <w:bottom w:val="single" w:sz="4" w:space="0" w:color="000000"/>
              <w:right w:val="single" w:sz="4" w:space="0" w:color="000000"/>
            </w:tcBorders>
            <w:shd w:val="clear" w:color="auto" w:fill="D2D2D2"/>
          </w:tcPr>
          <w:p>
            <w:pPr/>
          </w:p>
        </w:tc>
        <w:tc>
          <w:tcPr>
            <w:tcW w:w="779"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1026" w:hRule="exact"/>
        </w:trPr>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87"/>
              <w:jc w:val="both"/>
              <w:rPr>
                <w:rFonts w:ascii="宋体" w:hAnsi="宋体" w:cs="宋体" w:eastAsia="宋体" w:hint="default"/>
                <w:sz w:val="18"/>
                <w:szCs w:val="18"/>
              </w:rPr>
            </w:pPr>
            <w:r>
              <w:rPr>
                <w:rFonts w:ascii="宋体" w:hAnsi="宋体" w:cs="宋体" w:eastAsia="宋体" w:hint="default"/>
                <w:sz w:val="18"/>
                <w:szCs w:val="18"/>
              </w:rPr>
              <w:t>收购报告书或权益 变动报告书中所作 承诺</w:t>
            </w:r>
          </w:p>
        </w:tc>
        <w:tc>
          <w:tcPr>
            <w:tcW w:w="850" w:type="dxa"/>
            <w:tcBorders>
              <w:top w:val="single" w:sz="4" w:space="0" w:color="000000"/>
              <w:left w:val="single" w:sz="9" w:space="0" w:color="D2D2D2"/>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3829"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79" w:type="dxa"/>
            <w:tcBorders>
              <w:top w:val="single" w:sz="4" w:space="0" w:color="000000"/>
              <w:left w:val="single" w:sz="4" w:space="0" w:color="000000"/>
              <w:bottom w:val="single" w:sz="4" w:space="0" w:color="000000"/>
              <w:right w:val="single" w:sz="4" w:space="0" w:color="000000"/>
            </w:tcBorders>
          </w:tcPr>
          <w:p>
            <w:pPr/>
          </w:p>
        </w:tc>
      </w:tr>
      <w:tr>
        <w:trPr>
          <w:trHeight w:val="454" w:hRule="exact"/>
        </w:trPr>
        <w:tc>
          <w:tcPr>
            <w:tcW w:w="1560" w:type="dxa"/>
            <w:tcBorders>
              <w:top w:val="single" w:sz="4" w:space="0" w:color="000000"/>
              <w:left w:val="single" w:sz="4" w:space="0" w:color="000000"/>
              <w:bottom w:val="nil" w:sz="6" w:space="0" w:color="auto"/>
              <w:right w:val="single" w:sz="4" w:space="0" w:color="000000"/>
            </w:tcBorders>
            <w:shd w:val="clear" w:color="auto" w:fill="D2D2D2"/>
          </w:tcPr>
          <w:p>
            <w:pPr/>
          </w:p>
        </w:tc>
        <w:tc>
          <w:tcPr>
            <w:tcW w:w="850" w:type="dxa"/>
            <w:vMerge w:val="restart"/>
            <w:tcBorders>
              <w:top w:val="single" w:sz="4" w:space="0" w:color="000000"/>
              <w:left w:val="single" w:sz="9"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16" w:right="0"/>
              <w:jc w:val="left"/>
              <w:rPr>
                <w:rFonts w:ascii="宋体" w:hAnsi="宋体" w:cs="宋体" w:eastAsia="宋体" w:hint="default"/>
                <w:sz w:val="18"/>
                <w:szCs w:val="18"/>
              </w:rPr>
            </w:pPr>
            <w:r>
              <w:rPr>
                <w:rFonts w:ascii="宋体" w:hAnsi="宋体" w:cs="宋体" w:eastAsia="宋体" w:hint="default"/>
                <w:sz w:val="18"/>
                <w:szCs w:val="18"/>
              </w:rPr>
              <w:t>粱常清</w:t>
            </w:r>
          </w:p>
        </w:tc>
        <w:tc>
          <w:tcPr>
            <w:tcW w:w="99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0"/>
                <w:szCs w:val="20"/>
              </w:rPr>
            </w:pPr>
          </w:p>
          <w:p>
            <w:pPr>
              <w:pStyle w:val="TableParagraph"/>
              <w:spacing w:line="316" w:lineRule="auto"/>
              <w:ind w:left="23" w:right="56"/>
              <w:jc w:val="left"/>
              <w:rPr>
                <w:rFonts w:ascii="宋体" w:hAnsi="宋体" w:cs="宋体" w:eastAsia="宋体" w:hint="default"/>
                <w:sz w:val="18"/>
                <w:szCs w:val="18"/>
              </w:rPr>
            </w:pPr>
            <w:r>
              <w:rPr>
                <w:rFonts w:ascii="宋体" w:hAnsi="宋体" w:cs="宋体" w:eastAsia="宋体" w:hint="default"/>
                <w:sz w:val="18"/>
                <w:szCs w:val="18"/>
              </w:rPr>
              <w:t>股份限售承 诺</w:t>
            </w:r>
          </w:p>
        </w:tc>
        <w:tc>
          <w:tcPr>
            <w:tcW w:w="3829" w:type="dxa"/>
            <w:vMerge w:val="restart"/>
            <w:tcBorders>
              <w:top w:val="single" w:sz="4" w:space="0" w:color="000000"/>
              <w:left w:val="single" w:sz="4" w:space="0" w:color="000000"/>
              <w:right w:val="single" w:sz="4" w:space="0" w:color="000000"/>
            </w:tcBorders>
          </w:tcPr>
          <w:p>
            <w:pPr>
              <w:pStyle w:val="TableParagraph"/>
              <w:spacing w:line="314"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本次发行股份购买资产获得的上市公司股份，自 股份发行结束之日起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个月内不得转让，上述 限售期届满后分三次解禁，解禁额度分别为梁常 清因本次交易所获得的先河环保股份总数的 </w:t>
            </w:r>
            <w:r>
              <w:rPr>
                <w:rFonts w:ascii="Times New Roman" w:hAnsi="Times New Roman" w:cs="Times New Roman" w:eastAsia="Times New Roman" w:hint="default"/>
                <w:sz w:val="18"/>
                <w:szCs w:val="18"/>
              </w:rPr>
              <w:t>35%</w:t>
            </w:r>
            <w:r>
              <w:rPr>
                <w:rFonts w:ascii="宋体" w:hAnsi="宋体" w:cs="宋体" w:eastAsia="宋体" w:hint="default"/>
                <w:sz w:val="18"/>
                <w:szCs w:val="18"/>
              </w:rPr>
              <w:t>、</w:t>
            </w:r>
            <w:r>
              <w:rPr>
                <w:rFonts w:ascii="Times New Roman" w:hAnsi="Times New Roman" w:cs="Times New Roman" w:eastAsia="Times New Roman" w:hint="default"/>
                <w:sz w:val="18"/>
                <w:szCs w:val="18"/>
              </w:rPr>
              <w:t>40%</w:t>
            </w:r>
            <w:r>
              <w:rPr>
                <w:rFonts w:ascii="宋体" w:hAnsi="宋体" w:cs="宋体" w:eastAsia="宋体" w:hint="default"/>
                <w:sz w:val="18"/>
                <w:szCs w:val="18"/>
              </w:rPr>
              <w:t>以及</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宋体" w:hAnsi="宋体" w:cs="宋体" w:eastAsia="宋体" w:hint="default"/>
                <w:sz w:val="18"/>
                <w:szCs w:val="18"/>
              </w:rPr>
              <w:t>。首次解锁时间以下列日期</w:t>
            </w:r>
          </w:p>
        </w:tc>
        <w:tc>
          <w:tcPr>
            <w:tcW w:w="85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0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3"/>
                <w:szCs w:val="23"/>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2018-08</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-15</w:t>
            </w:r>
          </w:p>
        </w:tc>
        <w:tc>
          <w:tcPr>
            <w:tcW w:w="779" w:type="dxa"/>
            <w:vMerge w:val="restart"/>
            <w:tcBorders>
              <w:top w:val="single" w:sz="4" w:space="0" w:color="000000"/>
              <w:left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319" w:lineRule="auto"/>
              <w:ind w:left="22" w:right="24"/>
              <w:jc w:val="left"/>
              <w:rPr>
                <w:rFonts w:ascii="宋体" w:hAnsi="宋体" w:cs="宋体" w:eastAsia="宋体" w:hint="default"/>
                <w:sz w:val="18"/>
                <w:szCs w:val="18"/>
              </w:rPr>
            </w:pPr>
            <w:r>
              <w:rPr>
                <w:rFonts w:ascii="宋体" w:hAnsi="宋体" w:cs="宋体" w:eastAsia="宋体" w:hint="default"/>
                <w:sz w:val="18"/>
                <w:szCs w:val="18"/>
              </w:rPr>
              <w:t>恪守承 诺，未发 生违反承 诺的情形</w:t>
            </w:r>
          </w:p>
        </w:tc>
      </w:tr>
      <w:tr>
        <w:trPr>
          <w:trHeight w:val="703" w:hRule="exact"/>
        </w:trPr>
        <w:tc>
          <w:tcPr>
            <w:tcW w:w="156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51"/>
              <w:ind w:left="22" w:right="87"/>
              <w:jc w:val="left"/>
              <w:rPr>
                <w:rFonts w:ascii="宋体" w:hAnsi="宋体" w:cs="宋体" w:eastAsia="宋体" w:hint="default"/>
                <w:sz w:val="18"/>
                <w:szCs w:val="18"/>
              </w:rPr>
            </w:pPr>
            <w:r>
              <w:rPr>
                <w:rFonts w:ascii="宋体" w:hAnsi="宋体" w:cs="宋体" w:eastAsia="宋体" w:hint="default"/>
                <w:sz w:val="18"/>
                <w:szCs w:val="18"/>
              </w:rPr>
              <w:t>资产重组时所作承 诺</w:t>
            </w:r>
          </w:p>
        </w:tc>
        <w:tc>
          <w:tcPr>
            <w:tcW w:w="850" w:type="dxa"/>
            <w:vMerge/>
            <w:tcBorders>
              <w:left w:val="single" w:sz="9" w:space="0" w:color="D2D2D2"/>
              <w:right w:val="single" w:sz="4" w:space="0" w:color="000000"/>
            </w:tcBorders>
          </w:tcPr>
          <w:p>
            <w:pPr/>
          </w:p>
        </w:tc>
        <w:tc>
          <w:tcPr>
            <w:tcW w:w="992" w:type="dxa"/>
            <w:vMerge/>
            <w:tcBorders>
              <w:left w:val="single" w:sz="4" w:space="0" w:color="000000"/>
              <w:right w:val="single" w:sz="4" w:space="0" w:color="000000"/>
            </w:tcBorders>
          </w:tcPr>
          <w:p>
            <w:pPr/>
          </w:p>
        </w:tc>
        <w:tc>
          <w:tcPr>
            <w:tcW w:w="3829"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709"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454" w:hRule="exact"/>
        </w:trPr>
        <w:tc>
          <w:tcPr>
            <w:tcW w:w="1560" w:type="dxa"/>
            <w:tcBorders>
              <w:top w:val="nil" w:sz="6" w:space="0" w:color="auto"/>
              <w:left w:val="single" w:sz="4" w:space="0" w:color="000000"/>
              <w:bottom w:val="single" w:sz="4" w:space="0" w:color="000000"/>
              <w:right w:val="single" w:sz="4" w:space="0" w:color="000000"/>
            </w:tcBorders>
            <w:shd w:val="clear" w:color="auto" w:fill="D2D2D2"/>
          </w:tcPr>
          <w:p>
            <w:pPr/>
          </w:p>
        </w:tc>
        <w:tc>
          <w:tcPr>
            <w:tcW w:w="850" w:type="dxa"/>
            <w:vMerge/>
            <w:tcBorders>
              <w:left w:val="single" w:sz="9" w:space="0" w:color="D2D2D2"/>
              <w:bottom w:val="single" w:sz="4" w:space="0" w:color="000000"/>
              <w:right w:val="single" w:sz="4" w:space="0" w:color="000000"/>
            </w:tcBorders>
          </w:tcPr>
          <w:p>
            <w:pPr/>
          </w:p>
        </w:tc>
        <w:tc>
          <w:tcPr>
            <w:tcW w:w="992" w:type="dxa"/>
            <w:vMerge/>
            <w:tcBorders>
              <w:left w:val="single" w:sz="4" w:space="0" w:color="000000"/>
              <w:bottom w:val="single" w:sz="4" w:space="0" w:color="000000"/>
              <w:right w:val="single" w:sz="4" w:space="0" w:color="000000"/>
            </w:tcBorders>
          </w:tcPr>
          <w:p>
            <w:pPr/>
          </w:p>
        </w:tc>
        <w:tc>
          <w:tcPr>
            <w:tcW w:w="3829" w:type="dxa"/>
            <w:vMerge/>
            <w:tcBorders>
              <w:left w:val="single" w:sz="4" w:space="0" w:color="000000"/>
              <w:bottom w:val="single" w:sz="4" w:space="0" w:color="000000"/>
              <w:right w:val="single" w:sz="4" w:space="0" w:color="000000"/>
            </w:tcBorders>
          </w:tcPr>
          <w:p>
            <w:pPr/>
          </w:p>
        </w:tc>
        <w:tc>
          <w:tcPr>
            <w:tcW w:w="850" w:type="dxa"/>
            <w:vMerge/>
            <w:tcBorders>
              <w:left w:val="single" w:sz="4" w:space="0" w:color="000000"/>
              <w:bottom w:val="single" w:sz="4" w:space="0" w:color="000000"/>
              <w:right w:val="single" w:sz="4" w:space="0" w:color="000000"/>
            </w:tcBorders>
          </w:tcPr>
          <w:p>
            <w:pPr/>
          </w:p>
        </w:tc>
        <w:tc>
          <w:tcPr>
            <w:tcW w:w="709" w:type="dxa"/>
            <w:vMerge/>
            <w:tcBorders>
              <w:left w:val="single" w:sz="4" w:space="0" w:color="000000"/>
              <w:bottom w:val="single" w:sz="4" w:space="0" w:color="000000"/>
              <w:right w:val="single" w:sz="4" w:space="0" w:color="000000"/>
            </w:tcBorders>
          </w:tcPr>
          <w:p>
            <w:pPr/>
          </w:p>
        </w:tc>
        <w:tc>
          <w:tcPr>
            <w:tcW w:w="779"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r>
        <w:rPr/>
        <w:pict>
          <v:shape style="position:absolute;margin-left:385.286011pt;margin-top:72.47998pt;width:75.25pt;height:407.7pt;mso-position-horizontal-relative:page;mso-position-vertical-relative:page;z-index:-985792"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6"/>
                    <w:rPr>
                      <w:rFonts w:ascii="Times New Roman" w:hAnsi="Times New Roman" w:cs="Times New Roman" w:eastAsia="Times New Roman" w:hint="default"/>
                      <w:sz w:val="19"/>
                      <w:szCs w:val="19"/>
                    </w:rPr>
                  </w:pPr>
                </w:p>
                <w:p>
                  <w:pPr>
                    <w:pStyle w:val="BodyText"/>
                    <w:spacing w:line="240" w:lineRule="auto"/>
                    <w:ind w:left="0" w:right="0"/>
                    <w:jc w:val="left"/>
                  </w:pPr>
                  <w:r>
                    <w:rPr/>
                    <w:t>（如需）</w:t>
                  </w:r>
                </w:p>
              </w:txbxContent>
            </v:textbox>
            <w10:wrap type="none"/>
          </v:shape>
        </w:pict>
      </w:r>
      <w:r>
        <w:rPr/>
        <w:pict>
          <v:group style="position:absolute;margin-left:419.640015pt;margin-top:622.059998pt;width:39.75pt;height:17.6pt;mso-position-horizontal-relative:page;mso-position-vertical-relative:page;z-index:-985768" coordorigin="8393,12441" coordsize="795,352">
            <v:shape style="position:absolute;left:8393;top:12441;width:795;height:352" coordorigin="8393,12441" coordsize="795,352" path="m8393,12793l9187,12793,9187,12441,8393,12441,8393,12793xe" filled="true" fillcolor="#ffffff" stroked="false">
              <v:path arrowok="t"/>
              <v:fill type="solid"/>
            </v:shape>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1560"/>
        <w:gridCol w:w="850"/>
        <w:gridCol w:w="992"/>
        <w:gridCol w:w="3829"/>
        <w:gridCol w:w="850"/>
        <w:gridCol w:w="709"/>
        <w:gridCol w:w="779"/>
      </w:tblGrid>
      <w:tr>
        <w:trPr>
          <w:trHeight w:val="317" w:hRule="exact"/>
        </w:trPr>
        <w:tc>
          <w:tcPr>
            <w:tcW w:w="1560" w:type="dxa"/>
            <w:vMerge w:val="restart"/>
            <w:tcBorders>
              <w:top w:val="single" w:sz="4" w:space="0" w:color="000000"/>
              <w:left w:val="single" w:sz="4" w:space="0" w:color="000000"/>
              <w:right w:val="single" w:sz="4" w:space="0" w:color="000000"/>
            </w:tcBorders>
            <w:shd w:val="clear" w:color="auto" w:fill="D2D2D2"/>
          </w:tcPr>
          <w:p>
            <w:pPr/>
          </w:p>
        </w:tc>
        <w:tc>
          <w:tcPr>
            <w:tcW w:w="850" w:type="dxa"/>
            <w:vMerge w:val="restart"/>
            <w:tcBorders>
              <w:top w:val="single" w:sz="4" w:space="0" w:color="000000"/>
              <w:left w:val="single" w:sz="4" w:space="0" w:color="000000"/>
              <w:right w:val="single" w:sz="4" w:space="0" w:color="000000"/>
            </w:tcBorders>
          </w:tcPr>
          <w:p>
            <w:pPr/>
          </w:p>
        </w:tc>
        <w:tc>
          <w:tcPr>
            <w:tcW w:w="992" w:type="dxa"/>
            <w:vMerge w:val="restart"/>
            <w:tcBorders>
              <w:top w:val="single" w:sz="4" w:space="0" w:color="000000"/>
              <w:left w:val="single" w:sz="4" w:space="0" w:color="000000"/>
              <w:right w:val="single" w:sz="4" w:space="0" w:color="000000"/>
            </w:tcBorders>
          </w:tcPr>
          <w:p>
            <w:pPr/>
          </w:p>
        </w:tc>
        <w:tc>
          <w:tcPr>
            <w:tcW w:w="382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中最晚日期确定：具有证券业务资格的会计师事</w:t>
            </w:r>
          </w:p>
        </w:tc>
        <w:tc>
          <w:tcPr>
            <w:tcW w:w="850" w:type="dxa"/>
            <w:vMerge w:val="restart"/>
            <w:tcBorders>
              <w:top w:val="single" w:sz="4" w:space="0" w:color="000000"/>
              <w:left w:val="single" w:sz="4" w:space="0" w:color="000000"/>
              <w:right w:val="single" w:sz="4" w:space="0" w:color="000000"/>
            </w:tcBorders>
          </w:tcPr>
          <w:p>
            <w:pPr>
              <w:pStyle w:val="TableParagraph"/>
              <w:spacing w:line="8153" w:lineRule="exact"/>
              <w:ind w:right="-5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62"/>
                <w:sz w:val="20"/>
                <w:szCs w:val="20"/>
              </w:rPr>
              <w:pict>
                <v:group style="width:42pt;height:407.7pt;mso-position-horizontal-relative:char;mso-position-vertical-relative:line" coordorigin="0,0" coordsize="840,8154">
                  <v:group style="position:absolute;left:0;top:0;width:840;height:8154" coordorigin="0,0" coordsize="840,8154">
                    <v:shape style="position:absolute;left:0;top:0;width:840;height:8154" coordorigin="0,0" coordsize="840,8154" path="m0,8154l840,8154,840,0,0,0,0,8154xe" filled="true" fillcolor="#ffffff" stroked="false">
                      <v:path arrowok="t"/>
                      <v:fill type="solid"/>
                    </v:shape>
                  </v:group>
                </v:group>
              </w:pict>
            </w:r>
            <w:r>
              <w:rPr>
                <w:rFonts w:ascii="Times New Roman" w:hAnsi="Times New Roman" w:cs="Times New Roman" w:eastAsia="Times New Roman" w:hint="default"/>
                <w:position w:val="-162"/>
                <w:sz w:val="20"/>
                <w:szCs w:val="20"/>
              </w:rPr>
            </w:r>
          </w:p>
        </w:tc>
        <w:tc>
          <w:tcPr>
            <w:tcW w:w="709" w:type="dxa"/>
            <w:vMerge w:val="restart"/>
            <w:tcBorders>
              <w:top w:val="single" w:sz="4" w:space="0" w:color="000000"/>
              <w:left w:val="single" w:sz="4" w:space="0" w:color="000000"/>
              <w:right w:val="single" w:sz="4" w:space="0" w:color="000000"/>
            </w:tcBorders>
          </w:tcPr>
          <w:p>
            <w:pPr/>
          </w:p>
        </w:tc>
        <w:tc>
          <w:tcPr>
            <w:tcW w:w="779" w:type="dxa"/>
            <w:vMerge w:val="restart"/>
            <w:tcBorders>
              <w:top w:val="single" w:sz="4" w:space="0" w:color="000000"/>
              <w:left w:val="single" w:sz="4" w:space="0" w:color="000000"/>
              <w:right w:val="single" w:sz="4" w:space="0" w:color="000000"/>
            </w:tcBorders>
          </w:tcPr>
          <w:p>
            <w:pPr/>
          </w:p>
        </w:tc>
      </w:tr>
      <w:tr>
        <w:trPr>
          <w:trHeight w:val="312" w:hRule="exact"/>
        </w:trPr>
        <w:tc>
          <w:tcPr>
            <w:tcW w:w="1560"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382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务所对标的公司截至盈利承诺年度第一年期末</w:t>
            </w:r>
          </w:p>
        </w:tc>
        <w:tc>
          <w:tcPr>
            <w:tcW w:w="850" w:type="dxa"/>
            <w:vMerge/>
            <w:tcBorders>
              <w:left w:val="single" w:sz="4" w:space="0" w:color="000000"/>
              <w:right w:val="single" w:sz="4" w:space="0" w:color="000000"/>
            </w:tcBorders>
          </w:tcPr>
          <w:p>
            <w:pPr/>
          </w:p>
        </w:tc>
        <w:tc>
          <w:tcPr>
            <w:tcW w:w="709"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12" w:hRule="exact"/>
        </w:trPr>
        <w:tc>
          <w:tcPr>
            <w:tcW w:w="1560"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382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累计实际净利润与累计承诺净利润的差异情况</w:t>
            </w:r>
          </w:p>
        </w:tc>
        <w:tc>
          <w:tcPr>
            <w:tcW w:w="850" w:type="dxa"/>
            <w:vMerge/>
            <w:tcBorders>
              <w:left w:val="single" w:sz="4" w:space="0" w:color="000000"/>
              <w:right w:val="single" w:sz="4" w:space="0" w:color="000000"/>
            </w:tcBorders>
          </w:tcPr>
          <w:p>
            <w:pPr/>
          </w:p>
        </w:tc>
        <w:tc>
          <w:tcPr>
            <w:tcW w:w="709"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12" w:hRule="exact"/>
        </w:trPr>
        <w:tc>
          <w:tcPr>
            <w:tcW w:w="1560"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382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出具专项审核报告之日后的第五日；依据《盈利</w:t>
            </w:r>
          </w:p>
        </w:tc>
        <w:tc>
          <w:tcPr>
            <w:tcW w:w="850" w:type="dxa"/>
            <w:vMerge/>
            <w:tcBorders>
              <w:left w:val="single" w:sz="4" w:space="0" w:color="000000"/>
              <w:right w:val="single" w:sz="4" w:space="0" w:color="000000"/>
            </w:tcBorders>
          </w:tcPr>
          <w:p>
            <w:pPr/>
          </w:p>
        </w:tc>
        <w:tc>
          <w:tcPr>
            <w:tcW w:w="709"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12" w:hRule="exact"/>
        </w:trPr>
        <w:tc>
          <w:tcPr>
            <w:tcW w:w="1560"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382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3"/>
                <w:sz w:val="18"/>
                <w:szCs w:val="18"/>
              </w:rPr>
              <w:t>预测补偿协议》的约定履行完毕补偿义务</w:t>
            </w:r>
          </w:p>
        </w:tc>
        <w:tc>
          <w:tcPr>
            <w:tcW w:w="850" w:type="dxa"/>
            <w:vMerge/>
            <w:tcBorders>
              <w:left w:val="single" w:sz="4" w:space="0" w:color="000000"/>
              <w:right w:val="single" w:sz="4" w:space="0" w:color="000000"/>
            </w:tcBorders>
          </w:tcPr>
          <w:p>
            <w:pPr/>
          </w:p>
        </w:tc>
        <w:tc>
          <w:tcPr>
            <w:tcW w:w="709"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12" w:hRule="exact"/>
        </w:trPr>
        <w:tc>
          <w:tcPr>
            <w:tcW w:w="1560"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382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之后的第五日；自梁常清获取的上市公司股份登</w:t>
            </w:r>
          </w:p>
        </w:tc>
        <w:tc>
          <w:tcPr>
            <w:tcW w:w="850" w:type="dxa"/>
            <w:vMerge/>
            <w:tcBorders>
              <w:left w:val="single" w:sz="4" w:space="0" w:color="000000"/>
              <w:right w:val="single" w:sz="4" w:space="0" w:color="000000"/>
            </w:tcBorders>
          </w:tcPr>
          <w:p>
            <w:pPr/>
          </w:p>
        </w:tc>
        <w:tc>
          <w:tcPr>
            <w:tcW w:w="709"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12" w:hRule="exact"/>
        </w:trPr>
        <w:tc>
          <w:tcPr>
            <w:tcW w:w="1560"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382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记日起已满十二个月后的第五日。第二次解锁时</w:t>
            </w:r>
          </w:p>
        </w:tc>
        <w:tc>
          <w:tcPr>
            <w:tcW w:w="850" w:type="dxa"/>
            <w:vMerge/>
            <w:tcBorders>
              <w:left w:val="single" w:sz="4" w:space="0" w:color="000000"/>
              <w:right w:val="single" w:sz="4" w:space="0" w:color="000000"/>
            </w:tcBorders>
          </w:tcPr>
          <w:p>
            <w:pPr/>
          </w:p>
        </w:tc>
        <w:tc>
          <w:tcPr>
            <w:tcW w:w="709"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12" w:hRule="exact"/>
        </w:trPr>
        <w:tc>
          <w:tcPr>
            <w:tcW w:w="1560"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382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间以下列日期中最晚日期确定：具有证券业务资</w:t>
            </w:r>
          </w:p>
        </w:tc>
        <w:tc>
          <w:tcPr>
            <w:tcW w:w="850" w:type="dxa"/>
            <w:vMerge/>
            <w:tcBorders>
              <w:left w:val="single" w:sz="4" w:space="0" w:color="000000"/>
              <w:right w:val="single" w:sz="4" w:space="0" w:color="000000"/>
            </w:tcBorders>
          </w:tcPr>
          <w:p>
            <w:pPr/>
          </w:p>
        </w:tc>
        <w:tc>
          <w:tcPr>
            <w:tcW w:w="709"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12" w:hRule="exact"/>
        </w:trPr>
        <w:tc>
          <w:tcPr>
            <w:tcW w:w="1560"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382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格的会计师事务所对标的公司截至盈利承诺年</w:t>
            </w:r>
          </w:p>
        </w:tc>
        <w:tc>
          <w:tcPr>
            <w:tcW w:w="850" w:type="dxa"/>
            <w:vMerge/>
            <w:tcBorders>
              <w:left w:val="single" w:sz="4" w:space="0" w:color="000000"/>
              <w:right w:val="single" w:sz="4" w:space="0" w:color="000000"/>
            </w:tcBorders>
          </w:tcPr>
          <w:p>
            <w:pPr/>
          </w:p>
        </w:tc>
        <w:tc>
          <w:tcPr>
            <w:tcW w:w="709"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12" w:hRule="exact"/>
        </w:trPr>
        <w:tc>
          <w:tcPr>
            <w:tcW w:w="1560"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382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度第二年期末累计实际净利润与累计承诺净利</w:t>
            </w:r>
          </w:p>
        </w:tc>
        <w:tc>
          <w:tcPr>
            <w:tcW w:w="850" w:type="dxa"/>
            <w:vMerge/>
            <w:tcBorders>
              <w:left w:val="single" w:sz="4" w:space="0" w:color="000000"/>
              <w:right w:val="single" w:sz="4" w:space="0" w:color="000000"/>
            </w:tcBorders>
          </w:tcPr>
          <w:p>
            <w:pPr/>
          </w:p>
        </w:tc>
        <w:tc>
          <w:tcPr>
            <w:tcW w:w="709"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12" w:hRule="exact"/>
        </w:trPr>
        <w:tc>
          <w:tcPr>
            <w:tcW w:w="1560"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382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润的差异情况出具专项审核报告之日后的第五</w:t>
            </w:r>
          </w:p>
        </w:tc>
        <w:tc>
          <w:tcPr>
            <w:tcW w:w="850" w:type="dxa"/>
            <w:vMerge/>
            <w:tcBorders>
              <w:left w:val="single" w:sz="4" w:space="0" w:color="000000"/>
              <w:right w:val="single" w:sz="4" w:space="0" w:color="000000"/>
            </w:tcBorders>
          </w:tcPr>
          <w:p>
            <w:pPr/>
          </w:p>
        </w:tc>
        <w:tc>
          <w:tcPr>
            <w:tcW w:w="709"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12" w:hRule="exact"/>
        </w:trPr>
        <w:tc>
          <w:tcPr>
            <w:tcW w:w="1560"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382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日；依据《盈利预测补偿协议》的约定履行完毕</w:t>
            </w:r>
          </w:p>
        </w:tc>
        <w:tc>
          <w:tcPr>
            <w:tcW w:w="850" w:type="dxa"/>
            <w:vMerge/>
            <w:tcBorders>
              <w:left w:val="single" w:sz="4" w:space="0" w:color="000000"/>
              <w:right w:val="single" w:sz="4" w:space="0" w:color="000000"/>
            </w:tcBorders>
          </w:tcPr>
          <w:p>
            <w:pPr/>
          </w:p>
        </w:tc>
        <w:tc>
          <w:tcPr>
            <w:tcW w:w="709"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12" w:hRule="exact"/>
        </w:trPr>
        <w:tc>
          <w:tcPr>
            <w:tcW w:w="1560"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382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补偿义务（如需）之后的第五日；自梁常清获取</w:t>
            </w:r>
          </w:p>
        </w:tc>
        <w:tc>
          <w:tcPr>
            <w:tcW w:w="850" w:type="dxa"/>
            <w:vMerge/>
            <w:tcBorders>
              <w:left w:val="single" w:sz="4" w:space="0" w:color="000000"/>
              <w:right w:val="single" w:sz="4" w:space="0" w:color="000000"/>
            </w:tcBorders>
          </w:tcPr>
          <w:p>
            <w:pPr/>
          </w:p>
        </w:tc>
        <w:tc>
          <w:tcPr>
            <w:tcW w:w="709"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12" w:hRule="exact"/>
        </w:trPr>
        <w:tc>
          <w:tcPr>
            <w:tcW w:w="1560"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382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的上市公司股份登记日起已满二十四个月后的</w:t>
            </w:r>
          </w:p>
        </w:tc>
        <w:tc>
          <w:tcPr>
            <w:tcW w:w="850" w:type="dxa"/>
            <w:vMerge/>
            <w:tcBorders>
              <w:left w:val="single" w:sz="4" w:space="0" w:color="000000"/>
              <w:right w:val="single" w:sz="4" w:space="0" w:color="000000"/>
            </w:tcBorders>
          </w:tcPr>
          <w:p>
            <w:pPr/>
          </w:p>
        </w:tc>
        <w:tc>
          <w:tcPr>
            <w:tcW w:w="709"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12" w:hRule="exact"/>
        </w:trPr>
        <w:tc>
          <w:tcPr>
            <w:tcW w:w="1560"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382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第五日。第三次解锁时间以下列日期中最晚日期</w:t>
            </w:r>
          </w:p>
        </w:tc>
        <w:tc>
          <w:tcPr>
            <w:tcW w:w="850" w:type="dxa"/>
            <w:vMerge/>
            <w:tcBorders>
              <w:left w:val="single" w:sz="4" w:space="0" w:color="000000"/>
              <w:right w:val="single" w:sz="4" w:space="0" w:color="000000"/>
            </w:tcBorders>
          </w:tcPr>
          <w:p>
            <w:pPr/>
          </w:p>
        </w:tc>
        <w:tc>
          <w:tcPr>
            <w:tcW w:w="709"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12" w:hRule="exact"/>
        </w:trPr>
        <w:tc>
          <w:tcPr>
            <w:tcW w:w="1560"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382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确定：具有证券业务资格的会计师事务所对标的</w:t>
            </w:r>
          </w:p>
        </w:tc>
        <w:tc>
          <w:tcPr>
            <w:tcW w:w="850" w:type="dxa"/>
            <w:vMerge/>
            <w:tcBorders>
              <w:left w:val="single" w:sz="4" w:space="0" w:color="000000"/>
              <w:right w:val="single" w:sz="4" w:space="0" w:color="000000"/>
            </w:tcBorders>
          </w:tcPr>
          <w:p>
            <w:pPr/>
          </w:p>
        </w:tc>
        <w:tc>
          <w:tcPr>
            <w:tcW w:w="709"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12" w:hRule="exact"/>
        </w:trPr>
        <w:tc>
          <w:tcPr>
            <w:tcW w:w="1560"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382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公司截至盈利承诺年度第三年期末累计实际净</w:t>
            </w:r>
          </w:p>
        </w:tc>
        <w:tc>
          <w:tcPr>
            <w:tcW w:w="850" w:type="dxa"/>
            <w:vMerge/>
            <w:tcBorders>
              <w:left w:val="single" w:sz="4" w:space="0" w:color="000000"/>
              <w:right w:val="single" w:sz="4" w:space="0" w:color="000000"/>
            </w:tcBorders>
          </w:tcPr>
          <w:p>
            <w:pPr/>
          </w:p>
        </w:tc>
        <w:tc>
          <w:tcPr>
            <w:tcW w:w="709"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12" w:hRule="exact"/>
        </w:trPr>
        <w:tc>
          <w:tcPr>
            <w:tcW w:w="1560"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382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利润与累计承诺净利润的差异情况出具专项审</w:t>
            </w:r>
          </w:p>
        </w:tc>
        <w:tc>
          <w:tcPr>
            <w:tcW w:w="850" w:type="dxa"/>
            <w:vMerge/>
            <w:tcBorders>
              <w:left w:val="single" w:sz="4" w:space="0" w:color="000000"/>
              <w:right w:val="single" w:sz="4" w:space="0" w:color="000000"/>
            </w:tcBorders>
          </w:tcPr>
          <w:p>
            <w:pPr/>
          </w:p>
        </w:tc>
        <w:tc>
          <w:tcPr>
            <w:tcW w:w="709"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12" w:hRule="exact"/>
        </w:trPr>
        <w:tc>
          <w:tcPr>
            <w:tcW w:w="1560"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382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核报告之日后的第五日；依据《盈利预测补偿协</w:t>
            </w:r>
          </w:p>
        </w:tc>
        <w:tc>
          <w:tcPr>
            <w:tcW w:w="850" w:type="dxa"/>
            <w:vMerge/>
            <w:tcBorders>
              <w:left w:val="single" w:sz="4" w:space="0" w:color="000000"/>
              <w:right w:val="single" w:sz="4" w:space="0" w:color="000000"/>
            </w:tcBorders>
          </w:tcPr>
          <w:p>
            <w:pPr/>
          </w:p>
        </w:tc>
        <w:tc>
          <w:tcPr>
            <w:tcW w:w="709"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12" w:hRule="exact"/>
        </w:trPr>
        <w:tc>
          <w:tcPr>
            <w:tcW w:w="1560"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382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议》的约定履行完毕补偿义务（如需）之后的第</w:t>
            </w:r>
          </w:p>
        </w:tc>
        <w:tc>
          <w:tcPr>
            <w:tcW w:w="850" w:type="dxa"/>
            <w:vMerge/>
            <w:tcBorders>
              <w:left w:val="single" w:sz="4" w:space="0" w:color="000000"/>
              <w:right w:val="single" w:sz="4" w:space="0" w:color="000000"/>
            </w:tcBorders>
          </w:tcPr>
          <w:p>
            <w:pPr/>
          </w:p>
        </w:tc>
        <w:tc>
          <w:tcPr>
            <w:tcW w:w="709"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12" w:hRule="exact"/>
        </w:trPr>
        <w:tc>
          <w:tcPr>
            <w:tcW w:w="1560"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382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五日；自梁常清获取的上市公司股份登记日起已</w:t>
            </w:r>
          </w:p>
        </w:tc>
        <w:tc>
          <w:tcPr>
            <w:tcW w:w="850" w:type="dxa"/>
            <w:vMerge/>
            <w:tcBorders>
              <w:left w:val="single" w:sz="4" w:space="0" w:color="000000"/>
              <w:right w:val="single" w:sz="4" w:space="0" w:color="000000"/>
            </w:tcBorders>
          </w:tcPr>
          <w:p>
            <w:pPr/>
          </w:p>
        </w:tc>
        <w:tc>
          <w:tcPr>
            <w:tcW w:w="709"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17" w:hRule="exact"/>
        </w:trPr>
        <w:tc>
          <w:tcPr>
            <w:tcW w:w="1560"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382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满三十六个月后的第五日。</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6"/>
                <w:sz w:val="18"/>
                <w:szCs w:val="18"/>
              </w:rPr>
              <w:t> </w:t>
            </w:r>
            <w:r>
              <w:rPr>
                <w:rFonts w:ascii="宋体" w:hAnsi="宋体" w:cs="宋体" w:eastAsia="宋体" w:hint="default"/>
                <w:spacing w:val="-9"/>
                <w:sz w:val="18"/>
                <w:szCs w:val="18"/>
              </w:rPr>
              <w:t>日，梁</w:t>
            </w:r>
          </w:p>
        </w:tc>
        <w:tc>
          <w:tcPr>
            <w:tcW w:w="850" w:type="dxa"/>
            <w:vMerge/>
            <w:tcBorders>
              <w:left w:val="single" w:sz="4" w:space="0" w:color="000000"/>
              <w:right w:val="single" w:sz="4" w:space="0" w:color="000000"/>
            </w:tcBorders>
          </w:tcPr>
          <w:p>
            <w:pPr/>
          </w:p>
        </w:tc>
        <w:tc>
          <w:tcPr>
            <w:tcW w:w="709"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07" w:hRule="exact"/>
        </w:trPr>
        <w:tc>
          <w:tcPr>
            <w:tcW w:w="1560"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382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常清将其首发后限售股份最后一次解除限售的</w:t>
            </w:r>
          </w:p>
        </w:tc>
        <w:tc>
          <w:tcPr>
            <w:tcW w:w="850" w:type="dxa"/>
            <w:vMerge/>
            <w:tcBorders>
              <w:left w:val="single" w:sz="4" w:space="0" w:color="000000"/>
              <w:right w:val="single" w:sz="4" w:space="0" w:color="000000"/>
            </w:tcBorders>
          </w:tcPr>
          <w:p>
            <w:pPr/>
          </w:p>
        </w:tc>
        <w:tc>
          <w:tcPr>
            <w:tcW w:w="709"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17" w:hRule="exact"/>
        </w:trPr>
        <w:tc>
          <w:tcPr>
            <w:tcW w:w="1560"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382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股票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3,190,255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股限售期延长</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个月，即解锁时</w:t>
            </w:r>
          </w:p>
        </w:tc>
        <w:tc>
          <w:tcPr>
            <w:tcW w:w="850" w:type="dxa"/>
            <w:vMerge/>
            <w:tcBorders>
              <w:left w:val="single" w:sz="4" w:space="0" w:color="000000"/>
              <w:right w:val="single" w:sz="4" w:space="0" w:color="000000"/>
            </w:tcBorders>
          </w:tcPr>
          <w:p>
            <w:pPr/>
          </w:p>
        </w:tc>
        <w:tc>
          <w:tcPr>
            <w:tcW w:w="709"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13" w:hRule="exact"/>
        </w:trPr>
        <w:tc>
          <w:tcPr>
            <w:tcW w:w="1560"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382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间由原来的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日延迟至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8</w:t>
            </w:r>
          </w:p>
        </w:tc>
        <w:tc>
          <w:tcPr>
            <w:tcW w:w="850" w:type="dxa"/>
            <w:vMerge/>
            <w:tcBorders>
              <w:left w:val="single" w:sz="4" w:space="0" w:color="000000"/>
              <w:right w:val="single" w:sz="4" w:space="0" w:color="000000"/>
            </w:tcBorders>
          </w:tcPr>
          <w:p>
            <w:pPr/>
          </w:p>
        </w:tc>
        <w:tc>
          <w:tcPr>
            <w:tcW w:w="709"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52" w:hRule="exact"/>
        </w:trPr>
        <w:tc>
          <w:tcPr>
            <w:tcW w:w="1560" w:type="dxa"/>
            <w:vMerge/>
            <w:tcBorders>
              <w:left w:val="single" w:sz="4" w:space="0" w:color="000000"/>
              <w:right w:val="single" w:sz="4" w:space="0" w:color="000000"/>
            </w:tcBorders>
            <w:shd w:val="clear" w:color="auto" w:fill="D2D2D2"/>
          </w:tcPr>
          <w:p>
            <w:pPr/>
          </w:p>
        </w:tc>
        <w:tc>
          <w:tcPr>
            <w:tcW w:w="850" w:type="dxa"/>
            <w:vMerge/>
            <w:tcBorders>
              <w:left w:val="single" w:sz="4" w:space="0" w:color="000000"/>
              <w:bottom w:val="single" w:sz="4" w:space="0" w:color="000000"/>
              <w:right w:val="single" w:sz="4" w:space="0" w:color="000000"/>
            </w:tcBorders>
          </w:tcPr>
          <w:p>
            <w:pPr/>
          </w:p>
        </w:tc>
        <w:tc>
          <w:tcPr>
            <w:tcW w:w="992" w:type="dxa"/>
            <w:vMerge/>
            <w:tcBorders>
              <w:left w:val="single" w:sz="4" w:space="0" w:color="000000"/>
              <w:bottom w:val="single" w:sz="4" w:space="0" w:color="000000"/>
              <w:right w:val="single" w:sz="4" w:space="0" w:color="000000"/>
            </w:tcBorders>
          </w:tcPr>
          <w:p>
            <w:pPr/>
          </w:p>
        </w:tc>
        <w:tc>
          <w:tcPr>
            <w:tcW w:w="382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0" w:type="dxa"/>
            <w:vMerge/>
            <w:tcBorders>
              <w:left w:val="single" w:sz="4" w:space="0" w:color="000000"/>
              <w:bottom w:val="single" w:sz="4" w:space="0" w:color="000000"/>
              <w:right w:val="single" w:sz="4" w:space="0" w:color="000000"/>
            </w:tcBorders>
          </w:tcPr>
          <w:p>
            <w:pPr/>
          </w:p>
        </w:tc>
        <w:tc>
          <w:tcPr>
            <w:tcW w:w="709" w:type="dxa"/>
            <w:vMerge/>
            <w:tcBorders>
              <w:left w:val="single" w:sz="4" w:space="0" w:color="000000"/>
              <w:bottom w:val="single" w:sz="4" w:space="0" w:color="000000"/>
              <w:right w:val="single" w:sz="4" w:space="0" w:color="000000"/>
            </w:tcBorders>
          </w:tcPr>
          <w:p>
            <w:pPr/>
          </w:p>
        </w:tc>
        <w:tc>
          <w:tcPr>
            <w:tcW w:w="779" w:type="dxa"/>
            <w:vMerge/>
            <w:tcBorders>
              <w:left w:val="single" w:sz="4" w:space="0" w:color="000000"/>
              <w:bottom w:val="single" w:sz="4" w:space="0" w:color="000000"/>
              <w:right w:val="single" w:sz="4" w:space="0" w:color="000000"/>
            </w:tcBorders>
          </w:tcPr>
          <w:p>
            <w:pPr/>
          </w:p>
        </w:tc>
      </w:tr>
      <w:tr>
        <w:trPr>
          <w:trHeight w:val="362" w:hRule="exact"/>
        </w:trPr>
        <w:tc>
          <w:tcPr>
            <w:tcW w:w="1560" w:type="dxa"/>
            <w:vMerge/>
            <w:tcBorders>
              <w:left w:val="single" w:sz="4" w:space="0" w:color="000000"/>
              <w:right w:val="single" w:sz="4" w:space="0" w:color="000000"/>
            </w:tcBorders>
            <w:shd w:val="clear" w:color="auto" w:fill="D2D2D2"/>
          </w:tcPr>
          <w:p>
            <w:pPr/>
          </w:p>
        </w:tc>
        <w:tc>
          <w:tcPr>
            <w:tcW w:w="850" w:type="dxa"/>
            <w:tcBorders>
              <w:top w:val="single" w:sz="4" w:space="0" w:color="000000"/>
              <w:left w:val="single" w:sz="4" w:space="0" w:color="000000"/>
              <w:bottom w:val="nil" w:sz="6" w:space="0" w:color="auto"/>
              <w:right w:val="single" w:sz="4" w:space="0" w:color="000000"/>
            </w:tcBorders>
          </w:tcPr>
          <w:p>
            <w:pPr/>
          </w:p>
        </w:tc>
        <w:tc>
          <w:tcPr>
            <w:tcW w:w="992" w:type="dxa"/>
            <w:tcBorders>
              <w:top w:val="single" w:sz="4" w:space="0" w:color="000000"/>
              <w:left w:val="single" w:sz="4" w:space="0" w:color="000000"/>
              <w:bottom w:val="nil" w:sz="6" w:space="0" w:color="auto"/>
              <w:right w:val="single" w:sz="4" w:space="0" w:color="000000"/>
            </w:tcBorders>
          </w:tcPr>
          <w:p>
            <w:pPr/>
          </w:p>
        </w:tc>
        <w:tc>
          <w:tcPr>
            <w:tcW w:w="382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一、关于避免同业竞争的承诺（</w:t>
            </w:r>
            <w:r>
              <w:rPr>
                <w:rFonts w:ascii="Times New Roman" w:hAnsi="Times New Roman" w:cs="Times New Roman" w:eastAsia="Times New Roman" w:hint="default"/>
                <w:sz w:val="18"/>
                <w:szCs w:val="18"/>
              </w:rPr>
              <w:t>1</w:t>
            </w:r>
            <w:r>
              <w:rPr>
                <w:rFonts w:ascii="宋体" w:hAnsi="宋体" w:cs="宋体" w:eastAsia="宋体" w:hint="default"/>
                <w:sz w:val="18"/>
                <w:szCs w:val="18"/>
              </w:rPr>
              <w:t>）承诺内容为</w:t>
            </w:r>
          </w:p>
        </w:tc>
        <w:tc>
          <w:tcPr>
            <w:tcW w:w="850" w:type="dxa"/>
            <w:tcBorders>
              <w:top w:val="single" w:sz="4" w:space="0" w:color="000000"/>
              <w:left w:val="single" w:sz="4" w:space="0" w:color="000000"/>
              <w:bottom w:val="nil" w:sz="6" w:space="0" w:color="auto"/>
              <w:right w:val="single" w:sz="4" w:space="0" w:color="000000"/>
            </w:tcBorders>
          </w:tcPr>
          <w:p>
            <w:pPr/>
          </w:p>
        </w:tc>
        <w:tc>
          <w:tcPr>
            <w:tcW w:w="709" w:type="dxa"/>
            <w:tcBorders>
              <w:top w:val="single" w:sz="4" w:space="0" w:color="000000"/>
              <w:left w:val="single" w:sz="4" w:space="0" w:color="000000"/>
              <w:bottom w:val="nil" w:sz="6" w:space="0" w:color="auto"/>
              <w:right w:val="single" w:sz="4" w:space="0" w:color="000000"/>
            </w:tcBorders>
          </w:tcPr>
          <w:p>
            <w:pPr/>
          </w:p>
        </w:tc>
        <w:tc>
          <w:tcPr>
            <w:tcW w:w="779" w:type="dxa"/>
            <w:tcBorders>
              <w:top w:val="single" w:sz="4" w:space="0" w:color="000000"/>
              <w:left w:val="single" w:sz="4" w:space="0" w:color="000000"/>
              <w:bottom w:val="nil" w:sz="6" w:space="0" w:color="auto"/>
              <w:right w:val="single" w:sz="4" w:space="0" w:color="000000"/>
            </w:tcBorders>
          </w:tcPr>
          <w:p>
            <w:pPr/>
          </w:p>
        </w:tc>
      </w:tr>
      <w:tr>
        <w:trPr>
          <w:trHeight w:val="306" w:hRule="exact"/>
        </w:trPr>
        <w:tc>
          <w:tcPr>
            <w:tcW w:w="1560" w:type="dxa"/>
            <w:vMerge/>
            <w:tcBorders>
              <w:left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382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了维护先河环保及其他股东的合法权益，避免交</w:t>
            </w:r>
          </w:p>
        </w:tc>
        <w:tc>
          <w:tcPr>
            <w:tcW w:w="850" w:type="dxa"/>
            <w:tcBorders>
              <w:top w:val="nil" w:sz="6" w:space="0" w:color="auto"/>
              <w:left w:val="single" w:sz="4" w:space="0" w:color="000000"/>
              <w:bottom w:val="nil" w:sz="6" w:space="0" w:color="auto"/>
              <w:right w:val="single" w:sz="4" w:space="0" w:color="000000"/>
            </w:tcBorders>
          </w:tcPr>
          <w:p>
            <w:pPr/>
          </w:p>
        </w:tc>
        <w:tc>
          <w:tcPr>
            <w:tcW w:w="709" w:type="dxa"/>
            <w:tcBorders>
              <w:top w:val="nil" w:sz="6" w:space="0" w:color="auto"/>
              <w:left w:val="single" w:sz="4" w:space="0" w:color="000000"/>
              <w:bottom w:val="nil" w:sz="6" w:space="0" w:color="auto"/>
              <w:right w:val="single" w:sz="4" w:space="0" w:color="000000"/>
            </w:tcBorders>
          </w:tcPr>
          <w:p>
            <w:pPr/>
          </w:p>
        </w:tc>
        <w:tc>
          <w:tcPr>
            <w:tcW w:w="779"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560" w:type="dxa"/>
            <w:vMerge/>
            <w:tcBorders>
              <w:left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382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易对方梁常清及梁宝欣与先河环保、科迪隆及广</w:t>
            </w:r>
          </w:p>
        </w:tc>
        <w:tc>
          <w:tcPr>
            <w:tcW w:w="850" w:type="dxa"/>
            <w:tcBorders>
              <w:top w:val="nil" w:sz="6" w:space="0" w:color="auto"/>
              <w:left w:val="single" w:sz="4" w:space="0" w:color="000000"/>
              <w:bottom w:val="nil" w:sz="6" w:space="0" w:color="auto"/>
              <w:right w:val="single" w:sz="4" w:space="0" w:color="000000"/>
            </w:tcBorders>
          </w:tcPr>
          <w:p>
            <w:pPr/>
          </w:p>
        </w:tc>
        <w:tc>
          <w:tcPr>
            <w:tcW w:w="709" w:type="dxa"/>
            <w:tcBorders>
              <w:top w:val="nil" w:sz="6" w:space="0" w:color="auto"/>
              <w:left w:val="single" w:sz="4" w:space="0" w:color="000000"/>
              <w:bottom w:val="nil" w:sz="6" w:space="0" w:color="auto"/>
              <w:right w:val="single" w:sz="4" w:space="0" w:color="000000"/>
            </w:tcBorders>
          </w:tcPr>
          <w:p>
            <w:pPr/>
          </w:p>
        </w:tc>
        <w:tc>
          <w:tcPr>
            <w:tcW w:w="779"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560" w:type="dxa"/>
            <w:vMerge/>
            <w:tcBorders>
              <w:left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382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西先得（包括其各自的子公司，下同）之间产生</w:t>
            </w:r>
          </w:p>
        </w:tc>
        <w:tc>
          <w:tcPr>
            <w:tcW w:w="850" w:type="dxa"/>
            <w:tcBorders>
              <w:top w:val="nil" w:sz="6" w:space="0" w:color="auto"/>
              <w:left w:val="single" w:sz="4" w:space="0" w:color="000000"/>
              <w:bottom w:val="nil" w:sz="6" w:space="0" w:color="auto"/>
              <w:right w:val="single" w:sz="4" w:space="0" w:color="000000"/>
            </w:tcBorders>
          </w:tcPr>
          <w:p>
            <w:pPr/>
          </w:p>
        </w:tc>
        <w:tc>
          <w:tcPr>
            <w:tcW w:w="709" w:type="dxa"/>
            <w:tcBorders>
              <w:top w:val="nil" w:sz="6" w:space="0" w:color="auto"/>
              <w:left w:val="single" w:sz="4" w:space="0" w:color="000000"/>
              <w:bottom w:val="nil" w:sz="6" w:space="0" w:color="auto"/>
              <w:right w:val="single" w:sz="4" w:space="0" w:color="000000"/>
            </w:tcBorders>
          </w:tcPr>
          <w:p>
            <w:pPr/>
          </w:p>
        </w:tc>
        <w:tc>
          <w:tcPr>
            <w:tcW w:w="779"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560" w:type="dxa"/>
            <w:vMerge/>
            <w:tcBorders>
              <w:left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382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同业竞争，梁常清与梁宝欣作出如下郑重承诺：</w:t>
            </w:r>
          </w:p>
        </w:tc>
        <w:tc>
          <w:tcPr>
            <w:tcW w:w="850" w:type="dxa"/>
            <w:tcBorders>
              <w:top w:val="nil" w:sz="6" w:space="0" w:color="auto"/>
              <w:left w:val="single" w:sz="4" w:space="0" w:color="000000"/>
              <w:bottom w:val="nil" w:sz="6" w:space="0" w:color="auto"/>
              <w:right w:val="single" w:sz="4" w:space="0" w:color="000000"/>
            </w:tcBorders>
          </w:tcPr>
          <w:p>
            <w:pPr/>
          </w:p>
        </w:tc>
        <w:tc>
          <w:tcPr>
            <w:tcW w:w="709" w:type="dxa"/>
            <w:tcBorders>
              <w:top w:val="nil" w:sz="6" w:space="0" w:color="auto"/>
              <w:left w:val="single" w:sz="4" w:space="0" w:color="000000"/>
              <w:bottom w:val="nil" w:sz="6" w:space="0" w:color="auto"/>
              <w:right w:val="single" w:sz="4" w:space="0" w:color="000000"/>
            </w:tcBorders>
          </w:tcPr>
          <w:p>
            <w:pPr/>
          </w:p>
        </w:tc>
        <w:tc>
          <w:tcPr>
            <w:tcW w:w="779"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1560" w:type="dxa"/>
            <w:vMerge/>
            <w:tcBorders>
              <w:left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382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、承诺人目前经营的环境质量在线监测系统建</w:t>
            </w:r>
          </w:p>
        </w:tc>
        <w:tc>
          <w:tcPr>
            <w:tcW w:w="850" w:type="dxa"/>
            <w:tcBorders>
              <w:top w:val="nil" w:sz="6" w:space="0" w:color="auto"/>
              <w:left w:val="single" w:sz="4" w:space="0" w:color="000000"/>
              <w:bottom w:val="nil" w:sz="6" w:space="0" w:color="auto"/>
              <w:right w:val="single" w:sz="4" w:space="0" w:color="000000"/>
            </w:tcBorders>
          </w:tcPr>
          <w:p>
            <w:pPr/>
          </w:p>
        </w:tc>
        <w:tc>
          <w:tcPr>
            <w:tcW w:w="709" w:type="dxa"/>
            <w:tcBorders>
              <w:top w:val="nil" w:sz="6" w:space="0" w:color="auto"/>
              <w:left w:val="single" w:sz="4" w:space="0" w:color="000000"/>
              <w:bottom w:val="nil" w:sz="6" w:space="0" w:color="auto"/>
              <w:right w:val="single" w:sz="4" w:space="0" w:color="000000"/>
            </w:tcBorders>
          </w:tcPr>
          <w:p>
            <w:pPr/>
          </w:p>
        </w:tc>
        <w:tc>
          <w:tcPr>
            <w:tcW w:w="779" w:type="dxa"/>
            <w:tcBorders>
              <w:top w:val="nil" w:sz="6" w:space="0" w:color="auto"/>
              <w:left w:val="single" w:sz="4" w:space="0" w:color="000000"/>
              <w:bottom w:val="nil" w:sz="6" w:space="0" w:color="auto"/>
              <w:right w:val="single" w:sz="4" w:space="0" w:color="000000"/>
            </w:tcBorders>
          </w:tcPr>
          <w:p>
            <w:pPr/>
          </w:p>
        </w:tc>
      </w:tr>
      <w:tr>
        <w:trPr>
          <w:trHeight w:val="1867" w:hRule="exact"/>
        </w:trPr>
        <w:tc>
          <w:tcPr>
            <w:tcW w:w="1560" w:type="dxa"/>
            <w:vMerge/>
            <w:tcBorders>
              <w:left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302" w:lineRule="auto"/>
              <w:ind w:left="22" w:right="44"/>
              <w:jc w:val="left"/>
              <w:rPr>
                <w:rFonts w:ascii="宋体" w:hAnsi="宋体" w:cs="宋体" w:eastAsia="宋体" w:hint="default"/>
                <w:sz w:val="18"/>
                <w:szCs w:val="18"/>
              </w:rPr>
            </w:pPr>
            <w:r>
              <w:rPr>
                <w:rFonts w:ascii="宋体" w:hAnsi="宋体" w:cs="宋体" w:eastAsia="宋体" w:hint="default"/>
                <w:sz w:val="18"/>
                <w:szCs w:val="18"/>
              </w:rPr>
              <w:t>梁常清</w:t>
            </w:r>
            <w:r>
              <w:rPr>
                <w:rFonts w:ascii="Times New Roman" w:hAnsi="Times New Roman" w:cs="Times New Roman" w:eastAsia="Times New Roman" w:hint="default"/>
                <w:sz w:val="18"/>
                <w:szCs w:val="18"/>
              </w:rPr>
              <w:t>;</w:t>
            </w:r>
            <w:r>
              <w:rPr>
                <w:rFonts w:ascii="宋体" w:hAnsi="宋体" w:cs="宋体" w:eastAsia="宋体" w:hint="default"/>
                <w:sz w:val="18"/>
                <w:szCs w:val="18"/>
              </w:rPr>
              <w:t>梁 宝欣</w:t>
            </w:r>
          </w:p>
        </w:tc>
        <w:tc>
          <w:tcPr>
            <w:tcW w:w="992" w:type="dxa"/>
            <w:tcBorders>
              <w:top w:val="nil" w:sz="6" w:space="0" w:color="auto"/>
              <w:left w:val="single" w:sz="4" w:space="0" w:color="000000"/>
              <w:bottom w:val="nil" w:sz="6" w:space="0" w:color="auto"/>
              <w:right w:val="single" w:sz="4" w:space="0" w:color="000000"/>
            </w:tcBorders>
          </w:tcPr>
          <w:p>
            <w:pPr>
              <w:pStyle w:val="TableParagraph"/>
              <w:spacing w:line="319" w:lineRule="auto" w:before="142"/>
              <w:ind w:left="23" w:right="56"/>
              <w:jc w:val="both"/>
              <w:rPr>
                <w:rFonts w:ascii="宋体" w:hAnsi="宋体" w:cs="宋体" w:eastAsia="宋体" w:hint="default"/>
                <w:sz w:val="18"/>
                <w:szCs w:val="18"/>
              </w:rPr>
            </w:pPr>
            <w:r>
              <w:rPr>
                <w:rFonts w:ascii="宋体" w:hAnsi="宋体" w:cs="宋体" w:eastAsia="宋体" w:hint="default"/>
                <w:sz w:val="18"/>
                <w:szCs w:val="18"/>
              </w:rPr>
              <w:t>关于同业竞 争、关联交 易、资金占 用方面的承 诺</w:t>
            </w:r>
          </w:p>
        </w:tc>
        <w:tc>
          <w:tcPr>
            <w:tcW w:w="3829" w:type="dxa"/>
            <w:tcBorders>
              <w:top w:val="nil" w:sz="6" w:space="0" w:color="auto"/>
              <w:left w:val="single" w:sz="4" w:space="0" w:color="000000"/>
              <w:bottom w:val="nil" w:sz="6" w:space="0" w:color="auto"/>
              <w:right w:val="single" w:sz="13" w:space="0" w:color="FFFFFF"/>
            </w:tcBorders>
          </w:tcPr>
          <w:p>
            <w:pPr>
              <w:pStyle w:val="TableParagraph"/>
              <w:spacing w:line="314" w:lineRule="auto" w:before="5"/>
              <w:ind w:left="22" w:right="-44"/>
              <w:jc w:val="left"/>
              <w:rPr>
                <w:rFonts w:ascii="宋体" w:hAnsi="宋体" w:cs="宋体" w:eastAsia="宋体" w:hint="default"/>
                <w:sz w:val="18"/>
                <w:szCs w:val="18"/>
              </w:rPr>
            </w:pPr>
            <w:r>
              <w:rPr>
                <w:rFonts w:ascii="宋体" w:hAnsi="宋体" w:cs="宋体" w:eastAsia="宋体" w:hint="default"/>
                <w:sz w:val="18"/>
                <w:szCs w:val="18"/>
              </w:rPr>
              <w:t>设和环境监测设备的运营维护业务均是通过科 迪隆及广西先得进行的，没有直接或间接通过承 诺人直接或间接控制的其他经营主体（以下简称 </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承诺人的关联企业</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，不包括科迪隆和广西先得）</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或以自然人名义直接从事与先河环保、科迪隆及</w:t>
            </w:r>
            <w:r>
              <w:rPr>
                <w:rFonts w:ascii="宋体" w:hAnsi="宋体" w:cs="宋体" w:eastAsia="宋体" w:hint="default"/>
                <w:sz w:val="18"/>
                <w:szCs w:val="18"/>
              </w:rPr>
              <w:t> 广西先得现有业务相同或类似的业务，也没有在</w:t>
            </w:r>
          </w:p>
        </w:tc>
        <w:tc>
          <w:tcPr>
            <w:tcW w:w="850" w:type="dxa"/>
            <w:tcBorders>
              <w:top w:val="nil" w:sz="6" w:space="0" w:color="auto"/>
              <w:left w:val="single" w:sz="13" w:space="0" w:color="FFFFFF"/>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1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12</w:t>
            </w:r>
          </w:p>
          <w:p>
            <w:pPr>
              <w:pStyle w:val="TableParagraph"/>
              <w:spacing w:line="240" w:lineRule="auto" w:before="64"/>
              <w:ind w:left="1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09"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9999-12</w:t>
            </w:r>
          </w:p>
          <w:p>
            <w:pPr>
              <w:pStyle w:val="TableParagraph"/>
              <w:spacing w:line="240" w:lineRule="auto" w:before="106"/>
              <w:ind w:left="23" w:right="0"/>
              <w:jc w:val="left"/>
              <w:rPr>
                <w:rFonts w:ascii="Times New Roman" w:hAnsi="Times New Roman" w:cs="Times New Roman" w:eastAsia="Times New Roman" w:hint="default"/>
                <w:sz w:val="18"/>
                <w:szCs w:val="18"/>
              </w:rPr>
            </w:pPr>
            <w:r>
              <w:rPr>
                <w:rFonts w:ascii="Times New Roman"/>
                <w:sz w:val="18"/>
              </w:rPr>
              <w:t>-31</w:t>
            </w:r>
          </w:p>
        </w:tc>
        <w:tc>
          <w:tcPr>
            <w:tcW w:w="779"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25"/>
                <w:szCs w:val="25"/>
              </w:rPr>
            </w:pPr>
          </w:p>
          <w:p>
            <w:pPr>
              <w:pStyle w:val="TableParagraph"/>
              <w:spacing w:line="319" w:lineRule="auto"/>
              <w:ind w:left="22" w:right="24"/>
              <w:jc w:val="both"/>
              <w:rPr>
                <w:rFonts w:ascii="宋体" w:hAnsi="宋体" w:cs="宋体" w:eastAsia="宋体" w:hint="default"/>
                <w:sz w:val="18"/>
                <w:szCs w:val="18"/>
              </w:rPr>
            </w:pPr>
            <w:r>
              <w:rPr>
                <w:rFonts w:ascii="宋体" w:hAnsi="宋体" w:cs="宋体" w:eastAsia="宋体" w:hint="default"/>
                <w:sz w:val="18"/>
                <w:szCs w:val="18"/>
              </w:rPr>
              <w:t>未发生违 反承诺的 事项和行 为。</w:t>
            </w:r>
          </w:p>
        </w:tc>
      </w:tr>
      <w:tr>
        <w:trPr>
          <w:trHeight w:val="312" w:hRule="exact"/>
        </w:trPr>
        <w:tc>
          <w:tcPr>
            <w:tcW w:w="1560" w:type="dxa"/>
            <w:vMerge/>
            <w:tcBorders>
              <w:left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382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经营与先河环保（包括其合并范围内子公司，下</w:t>
            </w:r>
          </w:p>
        </w:tc>
        <w:tc>
          <w:tcPr>
            <w:tcW w:w="850" w:type="dxa"/>
            <w:tcBorders>
              <w:top w:val="nil" w:sz="6" w:space="0" w:color="auto"/>
              <w:left w:val="single" w:sz="4" w:space="0" w:color="000000"/>
              <w:bottom w:val="nil" w:sz="6" w:space="0" w:color="auto"/>
              <w:right w:val="single" w:sz="4" w:space="0" w:color="000000"/>
            </w:tcBorders>
          </w:tcPr>
          <w:p>
            <w:pPr/>
          </w:p>
        </w:tc>
        <w:tc>
          <w:tcPr>
            <w:tcW w:w="709" w:type="dxa"/>
            <w:tcBorders>
              <w:top w:val="nil" w:sz="6" w:space="0" w:color="auto"/>
              <w:left w:val="single" w:sz="4" w:space="0" w:color="000000"/>
              <w:bottom w:val="nil" w:sz="6" w:space="0" w:color="auto"/>
              <w:right w:val="single" w:sz="4" w:space="0" w:color="000000"/>
            </w:tcBorders>
          </w:tcPr>
          <w:p>
            <w:pPr/>
          </w:p>
        </w:tc>
        <w:tc>
          <w:tcPr>
            <w:tcW w:w="779"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560" w:type="dxa"/>
            <w:vMerge/>
            <w:tcBorders>
              <w:left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382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同</w:t>
            </w:r>
            <w:r>
              <w:rPr>
                <w:rFonts w:ascii="宋体" w:hAnsi="宋体" w:cs="宋体" w:eastAsia="宋体" w:hint="default"/>
                <w:spacing w:val="-90"/>
                <w:sz w:val="18"/>
                <w:szCs w:val="18"/>
              </w:rPr>
              <w:t>）</w:t>
            </w:r>
            <w:r>
              <w:rPr>
                <w:rFonts w:ascii="宋体" w:hAnsi="宋体" w:cs="宋体" w:eastAsia="宋体" w:hint="default"/>
                <w:sz w:val="18"/>
                <w:szCs w:val="18"/>
              </w:rPr>
              <w:t>、科迪隆或广西先得的现有业务相同或类似</w:t>
            </w:r>
          </w:p>
        </w:tc>
        <w:tc>
          <w:tcPr>
            <w:tcW w:w="850" w:type="dxa"/>
            <w:tcBorders>
              <w:top w:val="nil" w:sz="6" w:space="0" w:color="auto"/>
              <w:left w:val="single" w:sz="4" w:space="0" w:color="000000"/>
              <w:bottom w:val="nil" w:sz="6" w:space="0" w:color="auto"/>
              <w:right w:val="single" w:sz="4" w:space="0" w:color="000000"/>
            </w:tcBorders>
          </w:tcPr>
          <w:p>
            <w:pPr/>
          </w:p>
        </w:tc>
        <w:tc>
          <w:tcPr>
            <w:tcW w:w="709" w:type="dxa"/>
            <w:tcBorders>
              <w:top w:val="nil" w:sz="6" w:space="0" w:color="auto"/>
              <w:left w:val="single" w:sz="4" w:space="0" w:color="000000"/>
              <w:bottom w:val="nil" w:sz="6" w:space="0" w:color="auto"/>
              <w:right w:val="single" w:sz="4" w:space="0" w:color="000000"/>
            </w:tcBorders>
          </w:tcPr>
          <w:p>
            <w:pPr/>
          </w:p>
        </w:tc>
        <w:tc>
          <w:tcPr>
            <w:tcW w:w="779"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560" w:type="dxa"/>
            <w:vMerge/>
            <w:tcBorders>
              <w:left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382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业务的任何经营实体中任职或担任任何形式的</w:t>
            </w:r>
          </w:p>
        </w:tc>
        <w:tc>
          <w:tcPr>
            <w:tcW w:w="850" w:type="dxa"/>
            <w:tcBorders>
              <w:top w:val="nil" w:sz="6" w:space="0" w:color="auto"/>
              <w:left w:val="single" w:sz="4" w:space="0" w:color="000000"/>
              <w:bottom w:val="nil" w:sz="6" w:space="0" w:color="auto"/>
              <w:right w:val="single" w:sz="4" w:space="0" w:color="000000"/>
            </w:tcBorders>
          </w:tcPr>
          <w:p>
            <w:pPr/>
          </w:p>
        </w:tc>
        <w:tc>
          <w:tcPr>
            <w:tcW w:w="709" w:type="dxa"/>
            <w:tcBorders>
              <w:top w:val="nil" w:sz="6" w:space="0" w:color="auto"/>
              <w:left w:val="single" w:sz="4" w:space="0" w:color="000000"/>
              <w:bottom w:val="nil" w:sz="6" w:space="0" w:color="auto"/>
              <w:right w:val="single" w:sz="4" w:space="0" w:color="000000"/>
            </w:tcBorders>
          </w:tcPr>
          <w:p>
            <w:pPr/>
          </w:p>
        </w:tc>
        <w:tc>
          <w:tcPr>
            <w:tcW w:w="779"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560" w:type="dxa"/>
            <w:vMerge/>
            <w:tcBorders>
              <w:left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382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顾问，没有以其他方式协助其他主体经营与先河</w:t>
            </w:r>
          </w:p>
        </w:tc>
        <w:tc>
          <w:tcPr>
            <w:tcW w:w="850" w:type="dxa"/>
            <w:tcBorders>
              <w:top w:val="nil" w:sz="6" w:space="0" w:color="auto"/>
              <w:left w:val="single" w:sz="4" w:space="0" w:color="000000"/>
              <w:bottom w:val="nil" w:sz="6" w:space="0" w:color="auto"/>
              <w:right w:val="single" w:sz="4" w:space="0" w:color="000000"/>
            </w:tcBorders>
          </w:tcPr>
          <w:p>
            <w:pPr/>
          </w:p>
        </w:tc>
        <w:tc>
          <w:tcPr>
            <w:tcW w:w="709" w:type="dxa"/>
            <w:tcBorders>
              <w:top w:val="nil" w:sz="6" w:space="0" w:color="auto"/>
              <w:left w:val="single" w:sz="4" w:space="0" w:color="000000"/>
              <w:bottom w:val="nil" w:sz="6" w:space="0" w:color="auto"/>
              <w:right w:val="single" w:sz="4" w:space="0" w:color="000000"/>
            </w:tcBorders>
          </w:tcPr>
          <w:p>
            <w:pPr/>
          </w:p>
        </w:tc>
        <w:tc>
          <w:tcPr>
            <w:tcW w:w="779"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560" w:type="dxa"/>
            <w:vMerge/>
            <w:tcBorders>
              <w:left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382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环保、科迪隆或广西先得的现有业务相同或相类</w:t>
            </w:r>
          </w:p>
        </w:tc>
        <w:tc>
          <w:tcPr>
            <w:tcW w:w="850" w:type="dxa"/>
            <w:tcBorders>
              <w:top w:val="nil" w:sz="6" w:space="0" w:color="auto"/>
              <w:left w:val="single" w:sz="4" w:space="0" w:color="000000"/>
              <w:bottom w:val="nil" w:sz="6" w:space="0" w:color="auto"/>
              <w:right w:val="single" w:sz="4" w:space="0" w:color="000000"/>
            </w:tcBorders>
          </w:tcPr>
          <w:p>
            <w:pPr/>
          </w:p>
        </w:tc>
        <w:tc>
          <w:tcPr>
            <w:tcW w:w="709" w:type="dxa"/>
            <w:tcBorders>
              <w:top w:val="nil" w:sz="6" w:space="0" w:color="auto"/>
              <w:left w:val="single" w:sz="4" w:space="0" w:color="000000"/>
              <w:bottom w:val="nil" w:sz="6" w:space="0" w:color="auto"/>
              <w:right w:val="single" w:sz="4" w:space="0" w:color="000000"/>
            </w:tcBorders>
          </w:tcPr>
          <w:p>
            <w:pPr/>
          </w:p>
        </w:tc>
        <w:tc>
          <w:tcPr>
            <w:tcW w:w="779" w:type="dxa"/>
            <w:tcBorders>
              <w:top w:val="nil" w:sz="6" w:space="0" w:color="auto"/>
              <w:left w:val="single" w:sz="4" w:space="0" w:color="000000"/>
              <w:bottom w:val="nil" w:sz="6" w:space="0" w:color="auto"/>
              <w:right w:val="single" w:sz="4" w:space="0" w:color="000000"/>
            </w:tcBorders>
          </w:tcPr>
          <w:p>
            <w:pPr/>
          </w:p>
        </w:tc>
      </w:tr>
      <w:tr>
        <w:trPr>
          <w:trHeight w:val="318" w:hRule="exact"/>
        </w:trPr>
        <w:tc>
          <w:tcPr>
            <w:tcW w:w="1560" w:type="dxa"/>
            <w:vMerge/>
            <w:tcBorders>
              <w:left w:val="single" w:sz="4" w:space="0" w:color="000000"/>
              <w:bottom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single" w:sz="4" w:space="0" w:color="000000"/>
              <w:right w:val="single" w:sz="4" w:space="0" w:color="000000"/>
            </w:tcBorders>
          </w:tcPr>
          <w:p>
            <w:pPr/>
          </w:p>
        </w:tc>
        <w:tc>
          <w:tcPr>
            <w:tcW w:w="992" w:type="dxa"/>
            <w:tcBorders>
              <w:top w:val="nil" w:sz="6" w:space="0" w:color="auto"/>
              <w:left w:val="single" w:sz="4" w:space="0" w:color="000000"/>
              <w:bottom w:val="single" w:sz="4" w:space="0" w:color="000000"/>
              <w:right w:val="single" w:sz="4" w:space="0" w:color="000000"/>
            </w:tcBorders>
          </w:tcPr>
          <w:p>
            <w:pPr/>
          </w:p>
        </w:tc>
        <w:tc>
          <w:tcPr>
            <w:tcW w:w="382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似的业务。</w:t>
            </w:r>
            <w:r>
              <w:rPr>
                <w:rFonts w:ascii="Times New Roman" w:hAnsi="Times New Roman" w:cs="Times New Roman" w:eastAsia="Times New Roman" w:hint="default"/>
                <w:sz w:val="18"/>
                <w:szCs w:val="18"/>
              </w:rPr>
              <w:t>2</w:t>
            </w:r>
            <w:r>
              <w:rPr>
                <w:rFonts w:ascii="宋体" w:hAnsi="宋体" w:cs="宋体" w:eastAsia="宋体" w:hint="default"/>
                <w:sz w:val="18"/>
                <w:szCs w:val="18"/>
              </w:rPr>
              <w:t>、承诺人保证，本次交易完成后，</w:t>
            </w:r>
          </w:p>
        </w:tc>
        <w:tc>
          <w:tcPr>
            <w:tcW w:w="850" w:type="dxa"/>
            <w:tcBorders>
              <w:top w:val="nil" w:sz="6" w:space="0" w:color="auto"/>
              <w:left w:val="single" w:sz="4" w:space="0" w:color="000000"/>
              <w:bottom w:val="single" w:sz="4" w:space="0" w:color="000000"/>
              <w:right w:val="single" w:sz="4" w:space="0" w:color="000000"/>
            </w:tcBorders>
          </w:tcPr>
          <w:p>
            <w:pPr/>
          </w:p>
        </w:tc>
        <w:tc>
          <w:tcPr>
            <w:tcW w:w="709" w:type="dxa"/>
            <w:tcBorders>
              <w:top w:val="nil" w:sz="6" w:space="0" w:color="auto"/>
              <w:left w:val="single" w:sz="4" w:space="0" w:color="000000"/>
              <w:bottom w:val="single" w:sz="4" w:space="0" w:color="000000"/>
              <w:right w:val="single" w:sz="4" w:space="0" w:color="000000"/>
            </w:tcBorders>
          </w:tcPr>
          <w:p>
            <w:pPr/>
          </w:p>
        </w:tc>
        <w:tc>
          <w:tcPr>
            <w:tcW w:w="779" w:type="dxa"/>
            <w:tcBorders>
              <w:top w:val="nil" w:sz="6" w:space="0" w:color="auto"/>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1560"/>
        <w:gridCol w:w="850"/>
        <w:gridCol w:w="992"/>
        <w:gridCol w:w="3829"/>
        <w:gridCol w:w="850"/>
        <w:gridCol w:w="709"/>
        <w:gridCol w:w="779"/>
      </w:tblGrid>
      <w:tr>
        <w:trPr>
          <w:trHeight w:val="317" w:hRule="exact"/>
        </w:trPr>
        <w:tc>
          <w:tcPr>
            <w:tcW w:w="1560" w:type="dxa"/>
            <w:vMerge w:val="restart"/>
            <w:tcBorders>
              <w:top w:val="single" w:sz="4" w:space="0" w:color="000000"/>
              <w:left w:val="single" w:sz="4" w:space="0" w:color="000000"/>
              <w:right w:val="single" w:sz="4" w:space="0" w:color="000000"/>
            </w:tcBorders>
            <w:shd w:val="clear" w:color="auto" w:fill="D2D2D2"/>
          </w:tcPr>
          <w:p>
            <w:pPr/>
          </w:p>
        </w:tc>
        <w:tc>
          <w:tcPr>
            <w:tcW w:w="850" w:type="dxa"/>
            <w:vMerge w:val="restart"/>
            <w:tcBorders>
              <w:top w:val="single" w:sz="4" w:space="0" w:color="000000"/>
              <w:left w:val="single" w:sz="4" w:space="0" w:color="000000"/>
              <w:right w:val="single" w:sz="4" w:space="0" w:color="000000"/>
            </w:tcBorders>
          </w:tcPr>
          <w:p>
            <w:pPr/>
          </w:p>
        </w:tc>
        <w:tc>
          <w:tcPr>
            <w:tcW w:w="992" w:type="dxa"/>
            <w:vMerge w:val="restart"/>
            <w:tcBorders>
              <w:top w:val="single" w:sz="4" w:space="0" w:color="000000"/>
              <w:left w:val="single" w:sz="4" w:space="0" w:color="000000"/>
              <w:right w:val="single" w:sz="4" w:space="0" w:color="000000"/>
            </w:tcBorders>
          </w:tcPr>
          <w:p>
            <w:pPr/>
          </w:p>
        </w:tc>
        <w:tc>
          <w:tcPr>
            <w:tcW w:w="382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承诺人将不会以自营方式、直接或间接通过承诺</w:t>
            </w:r>
          </w:p>
        </w:tc>
        <w:tc>
          <w:tcPr>
            <w:tcW w:w="850" w:type="dxa"/>
            <w:vMerge w:val="restart"/>
            <w:tcBorders>
              <w:top w:val="single" w:sz="4" w:space="0" w:color="000000"/>
              <w:left w:val="single" w:sz="4" w:space="0" w:color="000000"/>
              <w:right w:val="single" w:sz="4" w:space="0" w:color="000000"/>
            </w:tcBorders>
          </w:tcPr>
          <w:p>
            <w:pPr/>
          </w:p>
        </w:tc>
        <w:tc>
          <w:tcPr>
            <w:tcW w:w="709" w:type="dxa"/>
            <w:vMerge w:val="restart"/>
            <w:tcBorders>
              <w:top w:val="single" w:sz="4" w:space="0" w:color="000000"/>
              <w:left w:val="single" w:sz="4" w:space="0" w:color="000000"/>
              <w:right w:val="single" w:sz="4" w:space="0" w:color="000000"/>
            </w:tcBorders>
          </w:tcPr>
          <w:p>
            <w:pPr/>
          </w:p>
        </w:tc>
        <w:tc>
          <w:tcPr>
            <w:tcW w:w="779" w:type="dxa"/>
            <w:vMerge w:val="restart"/>
            <w:tcBorders>
              <w:top w:val="single" w:sz="4" w:space="0" w:color="000000"/>
              <w:left w:val="single" w:sz="4" w:space="0" w:color="000000"/>
              <w:right w:val="single" w:sz="4" w:space="0" w:color="000000"/>
            </w:tcBorders>
          </w:tcPr>
          <w:p>
            <w:pPr/>
          </w:p>
        </w:tc>
      </w:tr>
      <w:tr>
        <w:trPr>
          <w:trHeight w:val="312" w:hRule="exact"/>
        </w:trPr>
        <w:tc>
          <w:tcPr>
            <w:tcW w:w="1560"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382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人的关联企业开展、经营与先河环保、科迪隆或</w:t>
            </w:r>
          </w:p>
        </w:tc>
        <w:tc>
          <w:tcPr>
            <w:tcW w:w="850" w:type="dxa"/>
            <w:vMerge/>
            <w:tcBorders>
              <w:left w:val="single" w:sz="4" w:space="0" w:color="000000"/>
              <w:right w:val="single" w:sz="4" w:space="0" w:color="000000"/>
            </w:tcBorders>
          </w:tcPr>
          <w:p>
            <w:pPr/>
          </w:p>
        </w:tc>
        <w:tc>
          <w:tcPr>
            <w:tcW w:w="709"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12" w:hRule="exact"/>
        </w:trPr>
        <w:tc>
          <w:tcPr>
            <w:tcW w:w="1560"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382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广西先得业务相同或相似的业务；不在经营与先</w:t>
            </w:r>
          </w:p>
        </w:tc>
        <w:tc>
          <w:tcPr>
            <w:tcW w:w="850" w:type="dxa"/>
            <w:vMerge/>
            <w:tcBorders>
              <w:left w:val="single" w:sz="4" w:space="0" w:color="000000"/>
              <w:right w:val="single" w:sz="4" w:space="0" w:color="000000"/>
            </w:tcBorders>
          </w:tcPr>
          <w:p>
            <w:pPr/>
          </w:p>
        </w:tc>
        <w:tc>
          <w:tcPr>
            <w:tcW w:w="709"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12" w:hRule="exact"/>
        </w:trPr>
        <w:tc>
          <w:tcPr>
            <w:tcW w:w="1560"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382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河环保、科迪隆或广西先得业务相同或者类似业</w:t>
            </w:r>
          </w:p>
        </w:tc>
        <w:tc>
          <w:tcPr>
            <w:tcW w:w="850" w:type="dxa"/>
            <w:vMerge/>
            <w:tcBorders>
              <w:left w:val="single" w:sz="4" w:space="0" w:color="000000"/>
              <w:right w:val="single" w:sz="4" w:space="0" w:color="000000"/>
            </w:tcBorders>
          </w:tcPr>
          <w:p>
            <w:pPr/>
          </w:p>
        </w:tc>
        <w:tc>
          <w:tcPr>
            <w:tcW w:w="709"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12" w:hRule="exact"/>
        </w:trPr>
        <w:tc>
          <w:tcPr>
            <w:tcW w:w="1560"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382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务的任何经营实体中任职或者担任任何形式的</w:t>
            </w:r>
          </w:p>
        </w:tc>
        <w:tc>
          <w:tcPr>
            <w:tcW w:w="850" w:type="dxa"/>
            <w:vMerge/>
            <w:tcBorders>
              <w:left w:val="single" w:sz="4" w:space="0" w:color="000000"/>
              <w:right w:val="single" w:sz="4" w:space="0" w:color="000000"/>
            </w:tcBorders>
          </w:tcPr>
          <w:p>
            <w:pPr/>
          </w:p>
        </w:tc>
        <w:tc>
          <w:tcPr>
            <w:tcW w:w="709"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12" w:hRule="exact"/>
        </w:trPr>
        <w:tc>
          <w:tcPr>
            <w:tcW w:w="1560"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382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顾问；不以其他方式协助其他主体经营与先河环</w:t>
            </w:r>
          </w:p>
        </w:tc>
        <w:tc>
          <w:tcPr>
            <w:tcW w:w="850" w:type="dxa"/>
            <w:vMerge/>
            <w:tcBorders>
              <w:left w:val="single" w:sz="4" w:space="0" w:color="000000"/>
              <w:right w:val="single" w:sz="4" w:space="0" w:color="000000"/>
            </w:tcBorders>
          </w:tcPr>
          <w:p>
            <w:pPr/>
          </w:p>
        </w:tc>
        <w:tc>
          <w:tcPr>
            <w:tcW w:w="709"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12" w:hRule="exact"/>
        </w:trPr>
        <w:tc>
          <w:tcPr>
            <w:tcW w:w="1560"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382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保、科迪隆或广西先得的业务相同或相类似的业</w:t>
            </w:r>
          </w:p>
        </w:tc>
        <w:tc>
          <w:tcPr>
            <w:tcW w:w="850" w:type="dxa"/>
            <w:vMerge/>
            <w:tcBorders>
              <w:left w:val="single" w:sz="4" w:space="0" w:color="000000"/>
              <w:right w:val="single" w:sz="4" w:space="0" w:color="000000"/>
            </w:tcBorders>
          </w:tcPr>
          <w:p>
            <w:pPr/>
          </w:p>
        </w:tc>
        <w:tc>
          <w:tcPr>
            <w:tcW w:w="709"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17" w:hRule="exact"/>
        </w:trPr>
        <w:tc>
          <w:tcPr>
            <w:tcW w:w="1560"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382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务。</w:t>
            </w:r>
            <w:r>
              <w:rPr>
                <w:rFonts w:ascii="Times New Roman" w:hAnsi="Times New Roman" w:cs="Times New Roman" w:eastAsia="Times New Roman" w:hint="default"/>
                <w:sz w:val="18"/>
                <w:szCs w:val="18"/>
              </w:rPr>
              <w:t>3</w:t>
            </w:r>
            <w:r>
              <w:rPr>
                <w:rFonts w:ascii="宋体" w:hAnsi="宋体" w:cs="宋体" w:eastAsia="宋体" w:hint="default"/>
                <w:sz w:val="18"/>
                <w:szCs w:val="18"/>
              </w:rPr>
              <w:t>、如承诺人或承诺人的关联企业有任何商</w:t>
            </w:r>
          </w:p>
        </w:tc>
        <w:tc>
          <w:tcPr>
            <w:tcW w:w="850" w:type="dxa"/>
            <w:vMerge/>
            <w:tcBorders>
              <w:left w:val="single" w:sz="4" w:space="0" w:color="000000"/>
              <w:right w:val="single" w:sz="4" w:space="0" w:color="000000"/>
            </w:tcBorders>
          </w:tcPr>
          <w:p>
            <w:pPr/>
          </w:p>
        </w:tc>
        <w:tc>
          <w:tcPr>
            <w:tcW w:w="709"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07" w:hRule="exact"/>
        </w:trPr>
        <w:tc>
          <w:tcPr>
            <w:tcW w:w="1560"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382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业机会可从事或参与任何可能与先河环保、科迪</w:t>
            </w:r>
          </w:p>
        </w:tc>
        <w:tc>
          <w:tcPr>
            <w:tcW w:w="850" w:type="dxa"/>
            <w:vMerge/>
            <w:tcBorders>
              <w:left w:val="single" w:sz="4" w:space="0" w:color="000000"/>
              <w:right w:val="single" w:sz="4" w:space="0" w:color="000000"/>
            </w:tcBorders>
          </w:tcPr>
          <w:p>
            <w:pPr/>
          </w:p>
        </w:tc>
        <w:tc>
          <w:tcPr>
            <w:tcW w:w="709"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12" w:hRule="exact"/>
        </w:trPr>
        <w:tc>
          <w:tcPr>
            <w:tcW w:w="1560"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382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隆或广西先得的生产经营构成竞争的经营活动，</w:t>
            </w:r>
          </w:p>
        </w:tc>
        <w:tc>
          <w:tcPr>
            <w:tcW w:w="850" w:type="dxa"/>
            <w:vMerge/>
            <w:tcBorders>
              <w:left w:val="single" w:sz="4" w:space="0" w:color="000000"/>
              <w:right w:val="single" w:sz="4" w:space="0" w:color="000000"/>
            </w:tcBorders>
          </w:tcPr>
          <w:p>
            <w:pPr/>
          </w:p>
        </w:tc>
        <w:tc>
          <w:tcPr>
            <w:tcW w:w="709"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12" w:hRule="exact"/>
        </w:trPr>
        <w:tc>
          <w:tcPr>
            <w:tcW w:w="1560"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382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则承诺人将亲自或促使承诺人的关联企业于知</w:t>
            </w:r>
          </w:p>
        </w:tc>
        <w:tc>
          <w:tcPr>
            <w:tcW w:w="850" w:type="dxa"/>
            <w:vMerge/>
            <w:tcBorders>
              <w:left w:val="single" w:sz="4" w:space="0" w:color="000000"/>
              <w:right w:val="single" w:sz="4" w:space="0" w:color="000000"/>
            </w:tcBorders>
          </w:tcPr>
          <w:p>
            <w:pPr/>
          </w:p>
        </w:tc>
        <w:tc>
          <w:tcPr>
            <w:tcW w:w="709"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12" w:hRule="exact"/>
        </w:trPr>
        <w:tc>
          <w:tcPr>
            <w:tcW w:w="1560"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382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悉该等商业机会之日起的三日内将上述商业机</w:t>
            </w:r>
          </w:p>
        </w:tc>
        <w:tc>
          <w:tcPr>
            <w:tcW w:w="850" w:type="dxa"/>
            <w:vMerge/>
            <w:tcBorders>
              <w:left w:val="single" w:sz="4" w:space="0" w:color="000000"/>
              <w:right w:val="single" w:sz="4" w:space="0" w:color="000000"/>
            </w:tcBorders>
          </w:tcPr>
          <w:p>
            <w:pPr/>
          </w:p>
        </w:tc>
        <w:tc>
          <w:tcPr>
            <w:tcW w:w="709"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12" w:hRule="exact"/>
        </w:trPr>
        <w:tc>
          <w:tcPr>
            <w:tcW w:w="1560"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382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会书面通知先河环保、科迪隆或广西先得，如在</w:t>
            </w:r>
          </w:p>
        </w:tc>
        <w:tc>
          <w:tcPr>
            <w:tcW w:w="850" w:type="dxa"/>
            <w:vMerge/>
            <w:tcBorders>
              <w:left w:val="single" w:sz="4" w:space="0" w:color="000000"/>
              <w:right w:val="single" w:sz="4" w:space="0" w:color="000000"/>
            </w:tcBorders>
          </w:tcPr>
          <w:p>
            <w:pPr/>
          </w:p>
        </w:tc>
        <w:tc>
          <w:tcPr>
            <w:tcW w:w="709"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12" w:hRule="exact"/>
        </w:trPr>
        <w:tc>
          <w:tcPr>
            <w:tcW w:w="1560"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382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书面通知所指定的合理期间内，先河环保、科迪</w:t>
            </w:r>
          </w:p>
        </w:tc>
        <w:tc>
          <w:tcPr>
            <w:tcW w:w="850" w:type="dxa"/>
            <w:vMerge/>
            <w:tcBorders>
              <w:left w:val="single" w:sz="4" w:space="0" w:color="000000"/>
              <w:right w:val="single" w:sz="4" w:space="0" w:color="000000"/>
            </w:tcBorders>
          </w:tcPr>
          <w:p>
            <w:pPr/>
          </w:p>
        </w:tc>
        <w:tc>
          <w:tcPr>
            <w:tcW w:w="709"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12" w:hRule="exact"/>
        </w:trPr>
        <w:tc>
          <w:tcPr>
            <w:tcW w:w="1560"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382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隆或广西先得书面作出愿意利用该商业机会的</w:t>
            </w:r>
          </w:p>
        </w:tc>
        <w:tc>
          <w:tcPr>
            <w:tcW w:w="850" w:type="dxa"/>
            <w:vMerge/>
            <w:tcBorders>
              <w:left w:val="single" w:sz="4" w:space="0" w:color="000000"/>
              <w:right w:val="single" w:sz="4" w:space="0" w:color="000000"/>
            </w:tcBorders>
          </w:tcPr>
          <w:p>
            <w:pPr/>
          </w:p>
        </w:tc>
        <w:tc>
          <w:tcPr>
            <w:tcW w:w="709"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12" w:hRule="exact"/>
        </w:trPr>
        <w:tc>
          <w:tcPr>
            <w:tcW w:w="1560"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382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肯定答复，则承诺人应尽力（包括促使承诺人的</w:t>
            </w:r>
          </w:p>
        </w:tc>
        <w:tc>
          <w:tcPr>
            <w:tcW w:w="850" w:type="dxa"/>
            <w:vMerge/>
            <w:tcBorders>
              <w:left w:val="single" w:sz="4" w:space="0" w:color="000000"/>
              <w:right w:val="single" w:sz="4" w:space="0" w:color="000000"/>
            </w:tcBorders>
          </w:tcPr>
          <w:p>
            <w:pPr/>
          </w:p>
        </w:tc>
        <w:tc>
          <w:tcPr>
            <w:tcW w:w="709"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12" w:hRule="exact"/>
        </w:trPr>
        <w:tc>
          <w:tcPr>
            <w:tcW w:w="1560"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382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关联企业）将该商业机会优先提供给先河环保、</w:t>
            </w:r>
          </w:p>
        </w:tc>
        <w:tc>
          <w:tcPr>
            <w:tcW w:w="850" w:type="dxa"/>
            <w:vMerge/>
            <w:tcBorders>
              <w:left w:val="single" w:sz="4" w:space="0" w:color="000000"/>
              <w:right w:val="single" w:sz="4" w:space="0" w:color="000000"/>
            </w:tcBorders>
          </w:tcPr>
          <w:p>
            <w:pPr/>
          </w:p>
        </w:tc>
        <w:tc>
          <w:tcPr>
            <w:tcW w:w="709"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17" w:hRule="exact"/>
        </w:trPr>
        <w:tc>
          <w:tcPr>
            <w:tcW w:w="1560"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382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科迪隆或广西先得。</w:t>
            </w:r>
            <w:r>
              <w:rPr>
                <w:rFonts w:ascii="Times New Roman" w:hAnsi="Times New Roman" w:cs="Times New Roman" w:eastAsia="Times New Roman" w:hint="default"/>
                <w:sz w:val="18"/>
                <w:szCs w:val="18"/>
              </w:rPr>
              <w:t>4</w:t>
            </w:r>
            <w:r>
              <w:rPr>
                <w:rFonts w:ascii="宋体" w:hAnsi="宋体" w:cs="宋体" w:eastAsia="宋体" w:hint="default"/>
                <w:sz w:val="18"/>
                <w:szCs w:val="18"/>
              </w:rPr>
              <w:t>、如果承诺人违反上述承</w:t>
            </w:r>
          </w:p>
        </w:tc>
        <w:tc>
          <w:tcPr>
            <w:tcW w:w="850" w:type="dxa"/>
            <w:vMerge/>
            <w:tcBorders>
              <w:left w:val="single" w:sz="4" w:space="0" w:color="000000"/>
              <w:right w:val="single" w:sz="4" w:space="0" w:color="000000"/>
            </w:tcBorders>
          </w:tcPr>
          <w:p>
            <w:pPr/>
          </w:p>
        </w:tc>
        <w:tc>
          <w:tcPr>
            <w:tcW w:w="709"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07" w:hRule="exact"/>
        </w:trPr>
        <w:tc>
          <w:tcPr>
            <w:tcW w:w="1560"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382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诺，先河环保、科迪隆或广西先得有权要求承诺</w:t>
            </w:r>
          </w:p>
        </w:tc>
        <w:tc>
          <w:tcPr>
            <w:tcW w:w="850" w:type="dxa"/>
            <w:vMerge/>
            <w:tcBorders>
              <w:left w:val="single" w:sz="4" w:space="0" w:color="000000"/>
              <w:right w:val="single" w:sz="4" w:space="0" w:color="000000"/>
            </w:tcBorders>
          </w:tcPr>
          <w:p>
            <w:pPr/>
          </w:p>
        </w:tc>
        <w:tc>
          <w:tcPr>
            <w:tcW w:w="709"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12" w:hRule="exact"/>
        </w:trPr>
        <w:tc>
          <w:tcPr>
            <w:tcW w:w="1560"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382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人及承诺人的关联企业停止相应的经济活动或</w:t>
            </w:r>
          </w:p>
        </w:tc>
        <w:tc>
          <w:tcPr>
            <w:tcW w:w="850" w:type="dxa"/>
            <w:vMerge/>
            <w:tcBorders>
              <w:left w:val="single" w:sz="4" w:space="0" w:color="000000"/>
              <w:right w:val="single" w:sz="4" w:space="0" w:color="000000"/>
            </w:tcBorders>
          </w:tcPr>
          <w:p>
            <w:pPr/>
          </w:p>
        </w:tc>
        <w:tc>
          <w:tcPr>
            <w:tcW w:w="709"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12" w:hRule="exact"/>
        </w:trPr>
        <w:tc>
          <w:tcPr>
            <w:tcW w:w="1560"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382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行为，并将已经形成的有关权益、可得利益或者</w:t>
            </w:r>
          </w:p>
        </w:tc>
        <w:tc>
          <w:tcPr>
            <w:tcW w:w="850" w:type="dxa"/>
            <w:vMerge/>
            <w:tcBorders>
              <w:left w:val="single" w:sz="4" w:space="0" w:color="000000"/>
              <w:right w:val="single" w:sz="4" w:space="0" w:color="000000"/>
            </w:tcBorders>
          </w:tcPr>
          <w:p>
            <w:pPr/>
          </w:p>
        </w:tc>
        <w:tc>
          <w:tcPr>
            <w:tcW w:w="709"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12" w:hRule="exact"/>
        </w:trPr>
        <w:tc>
          <w:tcPr>
            <w:tcW w:w="1560"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382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合同项下的权利义务转让给独立第三方或者按</w:t>
            </w:r>
          </w:p>
        </w:tc>
        <w:tc>
          <w:tcPr>
            <w:tcW w:w="850" w:type="dxa"/>
            <w:vMerge/>
            <w:tcBorders>
              <w:left w:val="single" w:sz="4" w:space="0" w:color="000000"/>
              <w:right w:val="single" w:sz="4" w:space="0" w:color="000000"/>
            </w:tcBorders>
          </w:tcPr>
          <w:p>
            <w:pPr/>
          </w:p>
        </w:tc>
        <w:tc>
          <w:tcPr>
            <w:tcW w:w="709"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12" w:hRule="exact"/>
        </w:trPr>
        <w:tc>
          <w:tcPr>
            <w:tcW w:w="1560"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382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照公允价值转让给先河环保、科迪隆或广西先得</w:t>
            </w:r>
          </w:p>
        </w:tc>
        <w:tc>
          <w:tcPr>
            <w:tcW w:w="850" w:type="dxa"/>
            <w:vMerge/>
            <w:tcBorders>
              <w:left w:val="single" w:sz="4" w:space="0" w:color="000000"/>
              <w:right w:val="single" w:sz="4" w:space="0" w:color="000000"/>
            </w:tcBorders>
          </w:tcPr>
          <w:p>
            <w:pPr/>
          </w:p>
        </w:tc>
        <w:tc>
          <w:tcPr>
            <w:tcW w:w="709"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12" w:hRule="exact"/>
        </w:trPr>
        <w:tc>
          <w:tcPr>
            <w:tcW w:w="1560"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382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或者其指定的第三方，承诺人将促使承诺人的关</w:t>
            </w:r>
          </w:p>
        </w:tc>
        <w:tc>
          <w:tcPr>
            <w:tcW w:w="850" w:type="dxa"/>
            <w:vMerge/>
            <w:tcBorders>
              <w:left w:val="single" w:sz="4" w:space="0" w:color="000000"/>
              <w:right w:val="single" w:sz="4" w:space="0" w:color="000000"/>
            </w:tcBorders>
          </w:tcPr>
          <w:p>
            <w:pPr/>
          </w:p>
        </w:tc>
        <w:tc>
          <w:tcPr>
            <w:tcW w:w="709"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12" w:hRule="exact"/>
        </w:trPr>
        <w:tc>
          <w:tcPr>
            <w:tcW w:w="1560"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382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联企业（如需）按照先河环保、科迪隆或广西先</w:t>
            </w:r>
          </w:p>
        </w:tc>
        <w:tc>
          <w:tcPr>
            <w:tcW w:w="850" w:type="dxa"/>
            <w:vMerge/>
            <w:tcBorders>
              <w:left w:val="single" w:sz="4" w:space="0" w:color="000000"/>
              <w:right w:val="single" w:sz="4" w:space="0" w:color="000000"/>
            </w:tcBorders>
          </w:tcPr>
          <w:p>
            <w:pPr/>
          </w:p>
        </w:tc>
        <w:tc>
          <w:tcPr>
            <w:tcW w:w="709"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12" w:hRule="exact"/>
        </w:trPr>
        <w:tc>
          <w:tcPr>
            <w:tcW w:w="1560"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382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得的要求实施相关行为；如因违反上述承诺造成</w:t>
            </w:r>
          </w:p>
        </w:tc>
        <w:tc>
          <w:tcPr>
            <w:tcW w:w="850" w:type="dxa"/>
            <w:vMerge/>
            <w:tcBorders>
              <w:left w:val="single" w:sz="4" w:space="0" w:color="000000"/>
              <w:right w:val="single" w:sz="4" w:space="0" w:color="000000"/>
            </w:tcBorders>
          </w:tcPr>
          <w:p>
            <w:pPr/>
          </w:p>
        </w:tc>
        <w:tc>
          <w:tcPr>
            <w:tcW w:w="709"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12" w:hRule="exact"/>
        </w:trPr>
        <w:tc>
          <w:tcPr>
            <w:tcW w:w="1560"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382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先河环保、科迪隆或广西先得经济损失的，承诺</w:t>
            </w:r>
          </w:p>
        </w:tc>
        <w:tc>
          <w:tcPr>
            <w:tcW w:w="850" w:type="dxa"/>
            <w:vMerge/>
            <w:tcBorders>
              <w:left w:val="single" w:sz="4" w:space="0" w:color="000000"/>
              <w:right w:val="single" w:sz="4" w:space="0" w:color="000000"/>
            </w:tcBorders>
          </w:tcPr>
          <w:p>
            <w:pPr/>
          </w:p>
        </w:tc>
        <w:tc>
          <w:tcPr>
            <w:tcW w:w="709"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12" w:hRule="exact"/>
        </w:trPr>
        <w:tc>
          <w:tcPr>
            <w:tcW w:w="1560"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382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人将赔偿先河环保、科迪隆或广西先得因此受到</w:t>
            </w:r>
          </w:p>
        </w:tc>
        <w:tc>
          <w:tcPr>
            <w:tcW w:w="850" w:type="dxa"/>
            <w:vMerge/>
            <w:tcBorders>
              <w:left w:val="single" w:sz="4" w:space="0" w:color="000000"/>
              <w:right w:val="single" w:sz="4" w:space="0" w:color="000000"/>
            </w:tcBorders>
          </w:tcPr>
          <w:p>
            <w:pPr/>
          </w:p>
        </w:tc>
        <w:tc>
          <w:tcPr>
            <w:tcW w:w="709"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12" w:hRule="exact"/>
        </w:trPr>
        <w:tc>
          <w:tcPr>
            <w:tcW w:w="1560"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382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的全部损失，且承诺人之间将相互连带地承担该</w:t>
            </w:r>
          </w:p>
        </w:tc>
        <w:tc>
          <w:tcPr>
            <w:tcW w:w="850" w:type="dxa"/>
            <w:vMerge/>
            <w:tcBorders>
              <w:left w:val="single" w:sz="4" w:space="0" w:color="000000"/>
              <w:right w:val="single" w:sz="4" w:space="0" w:color="000000"/>
            </w:tcBorders>
          </w:tcPr>
          <w:p>
            <w:pPr/>
          </w:p>
        </w:tc>
        <w:tc>
          <w:tcPr>
            <w:tcW w:w="709"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17" w:hRule="exact"/>
        </w:trPr>
        <w:tc>
          <w:tcPr>
            <w:tcW w:w="1560"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382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等赔偿责任。</w:t>
            </w:r>
            <w:r>
              <w:rPr>
                <w:rFonts w:ascii="Times New Roman" w:hAnsi="Times New Roman" w:cs="Times New Roman" w:eastAsia="Times New Roman" w:hint="default"/>
                <w:sz w:val="18"/>
                <w:szCs w:val="18"/>
              </w:rPr>
              <w:t>5</w:t>
            </w:r>
            <w:r>
              <w:rPr>
                <w:rFonts w:ascii="宋体" w:hAnsi="宋体" w:cs="宋体" w:eastAsia="宋体" w:hint="default"/>
                <w:sz w:val="18"/>
                <w:szCs w:val="18"/>
              </w:rPr>
              <w:t>、在触发上述第（</w:t>
            </w:r>
            <w:r>
              <w:rPr>
                <w:rFonts w:ascii="Times New Roman" w:hAnsi="Times New Roman" w:cs="Times New Roman" w:eastAsia="Times New Roman" w:hint="default"/>
                <w:sz w:val="18"/>
                <w:szCs w:val="18"/>
              </w:rPr>
              <w:t>4</w:t>
            </w:r>
            <w:r>
              <w:rPr>
                <w:rFonts w:ascii="宋体" w:hAnsi="宋体" w:cs="宋体" w:eastAsia="宋体" w:hint="default"/>
                <w:sz w:val="18"/>
                <w:szCs w:val="18"/>
              </w:rPr>
              <w:t>）项承诺情况</w:t>
            </w:r>
          </w:p>
        </w:tc>
        <w:tc>
          <w:tcPr>
            <w:tcW w:w="850" w:type="dxa"/>
            <w:vMerge/>
            <w:tcBorders>
              <w:left w:val="single" w:sz="4" w:space="0" w:color="000000"/>
              <w:right w:val="single" w:sz="4" w:space="0" w:color="000000"/>
            </w:tcBorders>
          </w:tcPr>
          <w:p>
            <w:pPr/>
          </w:p>
        </w:tc>
        <w:tc>
          <w:tcPr>
            <w:tcW w:w="709"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07" w:hRule="exact"/>
        </w:trPr>
        <w:tc>
          <w:tcPr>
            <w:tcW w:w="1560"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382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发生后，承诺人未能履行相应承诺的，则先河环</w:t>
            </w:r>
          </w:p>
        </w:tc>
        <w:tc>
          <w:tcPr>
            <w:tcW w:w="850" w:type="dxa"/>
            <w:vMerge/>
            <w:tcBorders>
              <w:left w:val="single" w:sz="4" w:space="0" w:color="000000"/>
              <w:right w:val="single" w:sz="4" w:space="0" w:color="000000"/>
            </w:tcBorders>
          </w:tcPr>
          <w:p>
            <w:pPr/>
          </w:p>
        </w:tc>
        <w:tc>
          <w:tcPr>
            <w:tcW w:w="709"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12" w:hRule="exact"/>
        </w:trPr>
        <w:tc>
          <w:tcPr>
            <w:tcW w:w="1560"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382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保、科迪隆或广西先得有权相应扣减应付承诺人</w:t>
            </w:r>
          </w:p>
        </w:tc>
        <w:tc>
          <w:tcPr>
            <w:tcW w:w="850" w:type="dxa"/>
            <w:vMerge/>
            <w:tcBorders>
              <w:left w:val="single" w:sz="4" w:space="0" w:color="000000"/>
              <w:right w:val="single" w:sz="4" w:space="0" w:color="000000"/>
            </w:tcBorders>
          </w:tcPr>
          <w:p>
            <w:pPr/>
          </w:p>
        </w:tc>
        <w:tc>
          <w:tcPr>
            <w:tcW w:w="709"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12" w:hRule="exact"/>
        </w:trPr>
        <w:tc>
          <w:tcPr>
            <w:tcW w:w="1560"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382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的现金分红和应付承诺人的税后薪酬。在相应的</w:t>
            </w:r>
          </w:p>
        </w:tc>
        <w:tc>
          <w:tcPr>
            <w:tcW w:w="850" w:type="dxa"/>
            <w:vMerge/>
            <w:tcBorders>
              <w:left w:val="single" w:sz="4" w:space="0" w:color="000000"/>
              <w:right w:val="single" w:sz="4" w:space="0" w:color="000000"/>
            </w:tcBorders>
          </w:tcPr>
          <w:p>
            <w:pPr/>
          </w:p>
        </w:tc>
        <w:tc>
          <w:tcPr>
            <w:tcW w:w="709"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12" w:hRule="exact"/>
        </w:trPr>
        <w:tc>
          <w:tcPr>
            <w:tcW w:w="1560"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382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承诺履行前，承诺人亦不转让承诺人所直接或间</w:t>
            </w:r>
          </w:p>
        </w:tc>
        <w:tc>
          <w:tcPr>
            <w:tcW w:w="850" w:type="dxa"/>
            <w:vMerge/>
            <w:tcBorders>
              <w:left w:val="single" w:sz="4" w:space="0" w:color="000000"/>
              <w:right w:val="single" w:sz="4" w:space="0" w:color="000000"/>
            </w:tcBorders>
          </w:tcPr>
          <w:p>
            <w:pPr/>
          </w:p>
        </w:tc>
        <w:tc>
          <w:tcPr>
            <w:tcW w:w="709"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12" w:hRule="exact"/>
        </w:trPr>
        <w:tc>
          <w:tcPr>
            <w:tcW w:w="1560"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382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接所持的先河环保的股份，但为履行上述承诺而</w:t>
            </w:r>
          </w:p>
        </w:tc>
        <w:tc>
          <w:tcPr>
            <w:tcW w:w="850" w:type="dxa"/>
            <w:vMerge/>
            <w:tcBorders>
              <w:left w:val="single" w:sz="4" w:space="0" w:color="000000"/>
              <w:right w:val="single" w:sz="4" w:space="0" w:color="000000"/>
            </w:tcBorders>
          </w:tcPr>
          <w:p>
            <w:pPr/>
          </w:p>
        </w:tc>
        <w:tc>
          <w:tcPr>
            <w:tcW w:w="709"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17" w:hRule="exact"/>
        </w:trPr>
        <w:tc>
          <w:tcPr>
            <w:tcW w:w="1560"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382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进行转让的除外。</w:t>
            </w:r>
            <w:r>
              <w:rPr>
                <w:rFonts w:ascii="Times New Roman" w:hAnsi="Times New Roman" w:cs="Times New Roman" w:eastAsia="Times New Roman" w:hint="default"/>
                <w:sz w:val="18"/>
                <w:szCs w:val="18"/>
              </w:rPr>
              <w:t>6</w:t>
            </w:r>
            <w:r>
              <w:rPr>
                <w:rFonts w:ascii="宋体" w:hAnsi="宋体" w:cs="宋体" w:eastAsia="宋体" w:hint="default"/>
                <w:sz w:val="18"/>
                <w:szCs w:val="18"/>
              </w:rPr>
              <w:t>、本承诺函所述承诺事项已</w:t>
            </w:r>
          </w:p>
        </w:tc>
        <w:tc>
          <w:tcPr>
            <w:tcW w:w="850" w:type="dxa"/>
            <w:vMerge/>
            <w:tcBorders>
              <w:left w:val="single" w:sz="4" w:space="0" w:color="000000"/>
              <w:right w:val="single" w:sz="4" w:space="0" w:color="000000"/>
            </w:tcBorders>
          </w:tcPr>
          <w:p>
            <w:pPr/>
          </w:p>
        </w:tc>
        <w:tc>
          <w:tcPr>
            <w:tcW w:w="709"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07" w:hRule="exact"/>
        </w:trPr>
        <w:tc>
          <w:tcPr>
            <w:tcW w:w="1560"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382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经承诺人确认，为承诺人的真实意思表示，对承</w:t>
            </w:r>
          </w:p>
        </w:tc>
        <w:tc>
          <w:tcPr>
            <w:tcW w:w="850" w:type="dxa"/>
            <w:vMerge/>
            <w:tcBorders>
              <w:left w:val="single" w:sz="4" w:space="0" w:color="000000"/>
              <w:right w:val="single" w:sz="4" w:space="0" w:color="000000"/>
            </w:tcBorders>
          </w:tcPr>
          <w:p>
            <w:pPr/>
          </w:p>
        </w:tc>
        <w:tc>
          <w:tcPr>
            <w:tcW w:w="709"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12" w:hRule="exact"/>
        </w:trPr>
        <w:tc>
          <w:tcPr>
            <w:tcW w:w="1560"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382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诺人具有法律约束力。承诺人自愿接受监管机</w:t>
            </w:r>
          </w:p>
        </w:tc>
        <w:tc>
          <w:tcPr>
            <w:tcW w:w="850" w:type="dxa"/>
            <w:vMerge/>
            <w:tcBorders>
              <w:left w:val="single" w:sz="4" w:space="0" w:color="000000"/>
              <w:right w:val="single" w:sz="4" w:space="0" w:color="000000"/>
            </w:tcBorders>
          </w:tcPr>
          <w:p>
            <w:pPr/>
          </w:p>
        </w:tc>
        <w:tc>
          <w:tcPr>
            <w:tcW w:w="709"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12" w:hRule="exact"/>
        </w:trPr>
        <w:tc>
          <w:tcPr>
            <w:tcW w:w="1560"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382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关、社会公众及投资者的监督，积极采取合法措</w:t>
            </w:r>
          </w:p>
        </w:tc>
        <w:tc>
          <w:tcPr>
            <w:tcW w:w="850" w:type="dxa"/>
            <w:vMerge/>
            <w:tcBorders>
              <w:left w:val="single" w:sz="4" w:space="0" w:color="000000"/>
              <w:right w:val="single" w:sz="4" w:space="0" w:color="000000"/>
            </w:tcBorders>
          </w:tcPr>
          <w:p>
            <w:pPr/>
          </w:p>
        </w:tc>
        <w:tc>
          <w:tcPr>
            <w:tcW w:w="709"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17" w:hRule="exact"/>
        </w:trPr>
        <w:tc>
          <w:tcPr>
            <w:tcW w:w="1560"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382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施履行本承诺，并依法承担相应责任。</w:t>
            </w:r>
            <w:r>
              <w:rPr>
                <w:rFonts w:ascii="Times New Roman" w:hAnsi="Times New Roman" w:cs="Times New Roman" w:eastAsia="Times New Roman" w:hint="default"/>
                <w:sz w:val="18"/>
                <w:szCs w:val="18"/>
              </w:rPr>
              <w:t>7</w:t>
            </w:r>
            <w:r>
              <w:rPr>
                <w:rFonts w:ascii="宋体" w:hAnsi="宋体" w:cs="宋体" w:eastAsia="宋体" w:hint="default"/>
                <w:sz w:val="18"/>
                <w:szCs w:val="18"/>
              </w:rPr>
              <w:t>、本承</w:t>
            </w:r>
          </w:p>
        </w:tc>
        <w:tc>
          <w:tcPr>
            <w:tcW w:w="850" w:type="dxa"/>
            <w:vMerge/>
            <w:tcBorders>
              <w:left w:val="single" w:sz="4" w:space="0" w:color="000000"/>
              <w:right w:val="single" w:sz="4" w:space="0" w:color="000000"/>
            </w:tcBorders>
          </w:tcPr>
          <w:p>
            <w:pPr/>
          </w:p>
        </w:tc>
        <w:tc>
          <w:tcPr>
            <w:tcW w:w="709"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07" w:hRule="exact"/>
        </w:trPr>
        <w:tc>
          <w:tcPr>
            <w:tcW w:w="1560"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382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诺持续有效且不可变更或撤销。二、关于规范关</w:t>
            </w:r>
          </w:p>
        </w:tc>
        <w:tc>
          <w:tcPr>
            <w:tcW w:w="850" w:type="dxa"/>
            <w:vMerge/>
            <w:tcBorders>
              <w:left w:val="single" w:sz="4" w:space="0" w:color="000000"/>
              <w:right w:val="single" w:sz="4" w:space="0" w:color="000000"/>
            </w:tcBorders>
          </w:tcPr>
          <w:p>
            <w:pPr/>
          </w:p>
        </w:tc>
        <w:tc>
          <w:tcPr>
            <w:tcW w:w="709"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17" w:hRule="exact"/>
        </w:trPr>
        <w:tc>
          <w:tcPr>
            <w:tcW w:w="1560"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382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联交易的承诺（</w:t>
            </w:r>
            <w:r>
              <w:rPr>
                <w:rFonts w:ascii="Times New Roman" w:hAnsi="Times New Roman" w:cs="Times New Roman" w:eastAsia="Times New Roman" w:hint="default"/>
                <w:sz w:val="18"/>
                <w:szCs w:val="18"/>
              </w:rPr>
              <w:t>1</w:t>
            </w:r>
            <w:r>
              <w:rPr>
                <w:rFonts w:ascii="宋体" w:hAnsi="宋体" w:cs="宋体" w:eastAsia="宋体" w:hint="default"/>
                <w:sz w:val="18"/>
                <w:szCs w:val="18"/>
              </w:rPr>
              <w:t>）承诺内容本次交易实施前，</w:t>
            </w:r>
          </w:p>
        </w:tc>
        <w:tc>
          <w:tcPr>
            <w:tcW w:w="850" w:type="dxa"/>
            <w:vMerge/>
            <w:tcBorders>
              <w:left w:val="single" w:sz="4" w:space="0" w:color="000000"/>
              <w:right w:val="single" w:sz="4" w:space="0" w:color="000000"/>
            </w:tcBorders>
          </w:tcPr>
          <w:p>
            <w:pPr/>
          </w:p>
        </w:tc>
        <w:tc>
          <w:tcPr>
            <w:tcW w:w="709"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07" w:hRule="exact"/>
        </w:trPr>
        <w:tc>
          <w:tcPr>
            <w:tcW w:w="1560"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382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科迪隆和广西先得与上市公司不构成关联方关</w:t>
            </w:r>
          </w:p>
        </w:tc>
        <w:tc>
          <w:tcPr>
            <w:tcW w:w="850" w:type="dxa"/>
            <w:vMerge/>
            <w:tcBorders>
              <w:left w:val="single" w:sz="4" w:space="0" w:color="000000"/>
              <w:right w:val="single" w:sz="4" w:space="0" w:color="000000"/>
            </w:tcBorders>
          </w:tcPr>
          <w:p>
            <w:pPr/>
          </w:p>
        </w:tc>
        <w:tc>
          <w:tcPr>
            <w:tcW w:w="709"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18" w:hRule="exact"/>
        </w:trPr>
        <w:tc>
          <w:tcPr>
            <w:tcW w:w="1560" w:type="dxa"/>
            <w:vMerge/>
            <w:tcBorders>
              <w:left w:val="single" w:sz="4" w:space="0" w:color="000000"/>
              <w:bottom w:val="single" w:sz="4" w:space="0" w:color="000000"/>
              <w:right w:val="single" w:sz="4" w:space="0" w:color="000000"/>
            </w:tcBorders>
            <w:shd w:val="clear" w:color="auto" w:fill="D2D2D2"/>
          </w:tcPr>
          <w:p>
            <w:pPr/>
          </w:p>
        </w:tc>
        <w:tc>
          <w:tcPr>
            <w:tcW w:w="850" w:type="dxa"/>
            <w:vMerge/>
            <w:tcBorders>
              <w:left w:val="single" w:sz="4" w:space="0" w:color="000000"/>
              <w:bottom w:val="single" w:sz="4" w:space="0" w:color="000000"/>
              <w:right w:val="single" w:sz="4" w:space="0" w:color="000000"/>
            </w:tcBorders>
          </w:tcPr>
          <w:p>
            <w:pPr/>
          </w:p>
        </w:tc>
        <w:tc>
          <w:tcPr>
            <w:tcW w:w="992" w:type="dxa"/>
            <w:vMerge/>
            <w:tcBorders>
              <w:left w:val="single" w:sz="4" w:space="0" w:color="000000"/>
              <w:bottom w:val="single" w:sz="4" w:space="0" w:color="000000"/>
              <w:right w:val="single" w:sz="4" w:space="0" w:color="000000"/>
            </w:tcBorders>
          </w:tcPr>
          <w:p>
            <w:pPr/>
          </w:p>
        </w:tc>
        <w:tc>
          <w:tcPr>
            <w:tcW w:w="382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系，亦不存在关联交易情形，科迪隆与上市公司</w:t>
            </w:r>
          </w:p>
        </w:tc>
        <w:tc>
          <w:tcPr>
            <w:tcW w:w="850" w:type="dxa"/>
            <w:vMerge/>
            <w:tcBorders>
              <w:left w:val="single" w:sz="4" w:space="0" w:color="000000"/>
              <w:bottom w:val="single" w:sz="4" w:space="0" w:color="000000"/>
              <w:right w:val="single" w:sz="4" w:space="0" w:color="000000"/>
            </w:tcBorders>
          </w:tcPr>
          <w:p>
            <w:pPr/>
          </w:p>
        </w:tc>
        <w:tc>
          <w:tcPr>
            <w:tcW w:w="709" w:type="dxa"/>
            <w:vMerge/>
            <w:tcBorders>
              <w:left w:val="single" w:sz="4" w:space="0" w:color="000000"/>
              <w:bottom w:val="single" w:sz="4" w:space="0" w:color="000000"/>
              <w:right w:val="single" w:sz="4" w:space="0" w:color="000000"/>
            </w:tcBorders>
          </w:tcPr>
          <w:p>
            <w:pPr/>
          </w:p>
        </w:tc>
        <w:tc>
          <w:tcPr>
            <w:tcW w:w="779"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r>
        <w:rPr/>
        <w:pict>
          <v:shape style="position:absolute;margin-left:349.365997pt;margin-top:72.47998pt;width:111.15pt;height:686.5pt;mso-position-horizontal-relative:page;mso-position-vertical-relative:page;z-index:-985720"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1"/>
                    <w:rPr>
                      <w:rFonts w:ascii="Times New Roman" w:hAnsi="Times New Roman" w:cs="Times New Roman" w:eastAsia="Times New Roman" w:hint="default"/>
                      <w:sz w:val="21"/>
                      <w:szCs w:val="21"/>
                    </w:rPr>
                  </w:pPr>
                </w:p>
                <w:p>
                  <w:pPr>
                    <w:pStyle w:val="BodyText"/>
                    <w:spacing w:line="240" w:lineRule="auto"/>
                    <w:ind w:left="0" w:right="0"/>
                    <w:jc w:val="left"/>
                  </w:pPr>
                  <w:r>
                    <w:rPr/>
                    <w:t>本次交易完成后，</w:t>
                  </w:r>
                </w:p>
              </w:txbxContent>
            </v:textbox>
            <w10:wrap type="none"/>
          </v:shape>
        </w:pict>
      </w: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1560"/>
        <w:gridCol w:w="850"/>
        <w:gridCol w:w="992"/>
        <w:gridCol w:w="3829"/>
        <w:gridCol w:w="850"/>
        <w:gridCol w:w="709"/>
        <w:gridCol w:w="779"/>
      </w:tblGrid>
      <w:tr>
        <w:trPr>
          <w:trHeight w:val="317" w:hRule="exact"/>
        </w:trPr>
        <w:tc>
          <w:tcPr>
            <w:tcW w:w="1560" w:type="dxa"/>
            <w:vMerge w:val="restart"/>
            <w:tcBorders>
              <w:top w:val="single" w:sz="4" w:space="0" w:color="000000"/>
              <w:left w:val="single" w:sz="4" w:space="0" w:color="000000"/>
              <w:right w:val="single" w:sz="4" w:space="0" w:color="000000"/>
            </w:tcBorders>
            <w:shd w:val="clear" w:color="auto" w:fill="D2D2D2"/>
          </w:tcPr>
          <w:p>
            <w:pPr/>
          </w:p>
        </w:tc>
        <w:tc>
          <w:tcPr>
            <w:tcW w:w="850" w:type="dxa"/>
            <w:vMerge w:val="restart"/>
            <w:tcBorders>
              <w:top w:val="single" w:sz="4" w:space="0" w:color="000000"/>
              <w:left w:val="single" w:sz="4" w:space="0" w:color="000000"/>
              <w:right w:val="single" w:sz="4" w:space="0" w:color="000000"/>
            </w:tcBorders>
          </w:tcPr>
          <w:p>
            <w:pPr/>
          </w:p>
        </w:tc>
        <w:tc>
          <w:tcPr>
            <w:tcW w:w="992" w:type="dxa"/>
            <w:vMerge w:val="restart"/>
            <w:tcBorders>
              <w:top w:val="single" w:sz="4" w:space="0" w:color="000000"/>
              <w:left w:val="single" w:sz="4" w:space="0" w:color="000000"/>
              <w:right w:val="single" w:sz="4" w:space="0" w:color="000000"/>
            </w:tcBorders>
          </w:tcPr>
          <w:p>
            <w:pPr/>
          </w:p>
        </w:tc>
        <w:tc>
          <w:tcPr>
            <w:tcW w:w="382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之间仅存在正常的购销业务；本次交易完成后，</w:t>
            </w:r>
          </w:p>
        </w:tc>
        <w:tc>
          <w:tcPr>
            <w:tcW w:w="850" w:type="dxa"/>
            <w:vMerge w:val="restart"/>
            <w:tcBorders>
              <w:top w:val="single" w:sz="4" w:space="0" w:color="000000"/>
              <w:left w:val="single" w:sz="4" w:space="0" w:color="000000"/>
              <w:right w:val="single" w:sz="4" w:space="0" w:color="000000"/>
            </w:tcBorders>
          </w:tcPr>
          <w:p>
            <w:pPr>
              <w:pStyle w:val="TableParagraph"/>
              <w:spacing w:line="13729" w:lineRule="exact"/>
              <w:ind w:right="-5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274"/>
                <w:sz w:val="20"/>
                <w:szCs w:val="20"/>
              </w:rPr>
              <w:pict>
                <v:group style="width:42pt;height:686.5pt;mso-position-horizontal-relative:char;mso-position-vertical-relative:line" coordorigin="0,0" coordsize="840,13730">
                  <v:group style="position:absolute;left:0;top:0;width:840;height:13730" coordorigin="0,0" coordsize="840,13730">
                    <v:shape style="position:absolute;left:0;top:0;width:840;height:13730" coordorigin="0,0" coordsize="840,13730" path="m0,13729l840,13729,840,0,0,0,0,13729xe" filled="true" fillcolor="#ffffff" stroked="false">
                      <v:path arrowok="t"/>
                      <v:fill type="solid"/>
                    </v:shape>
                  </v:group>
                </v:group>
              </w:pict>
            </w:r>
            <w:r>
              <w:rPr>
                <w:rFonts w:ascii="Times New Roman" w:hAnsi="Times New Roman" w:cs="Times New Roman" w:eastAsia="Times New Roman" w:hint="default"/>
                <w:position w:val="-274"/>
                <w:sz w:val="20"/>
                <w:szCs w:val="20"/>
              </w:rPr>
            </w:r>
          </w:p>
        </w:tc>
        <w:tc>
          <w:tcPr>
            <w:tcW w:w="709" w:type="dxa"/>
            <w:vMerge w:val="restart"/>
            <w:tcBorders>
              <w:top w:val="single" w:sz="4" w:space="0" w:color="000000"/>
              <w:left w:val="single" w:sz="4" w:space="0" w:color="000000"/>
              <w:right w:val="single" w:sz="4" w:space="0" w:color="000000"/>
            </w:tcBorders>
          </w:tcPr>
          <w:p>
            <w:pPr/>
          </w:p>
        </w:tc>
        <w:tc>
          <w:tcPr>
            <w:tcW w:w="779" w:type="dxa"/>
            <w:vMerge w:val="restart"/>
            <w:tcBorders>
              <w:top w:val="single" w:sz="4" w:space="0" w:color="000000"/>
              <w:left w:val="single" w:sz="4" w:space="0" w:color="000000"/>
              <w:right w:val="single" w:sz="4" w:space="0" w:color="000000"/>
            </w:tcBorders>
          </w:tcPr>
          <w:p>
            <w:pPr/>
          </w:p>
        </w:tc>
      </w:tr>
      <w:tr>
        <w:trPr>
          <w:trHeight w:val="317" w:hRule="exact"/>
        </w:trPr>
        <w:tc>
          <w:tcPr>
            <w:tcW w:w="1560"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382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科迪隆和广西先得将成为上市公司持股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80%</w:t>
            </w:r>
            <w:r>
              <w:rPr>
                <w:rFonts w:ascii="宋体" w:hAnsi="宋体" w:cs="宋体" w:eastAsia="宋体" w:hint="default"/>
                <w:sz w:val="18"/>
                <w:szCs w:val="18"/>
              </w:rPr>
              <w:t>的</w:t>
            </w:r>
          </w:p>
        </w:tc>
        <w:tc>
          <w:tcPr>
            <w:tcW w:w="850" w:type="dxa"/>
            <w:vMerge/>
            <w:tcBorders>
              <w:left w:val="single" w:sz="4" w:space="0" w:color="000000"/>
              <w:right w:val="single" w:sz="4" w:space="0" w:color="000000"/>
            </w:tcBorders>
          </w:tcPr>
          <w:p>
            <w:pPr/>
          </w:p>
        </w:tc>
        <w:tc>
          <w:tcPr>
            <w:tcW w:w="709"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07" w:hRule="exact"/>
        </w:trPr>
        <w:tc>
          <w:tcPr>
            <w:tcW w:w="1560"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382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控股子公司，交易对方梁常清、梁宝欣作出《关</w:t>
            </w:r>
          </w:p>
        </w:tc>
        <w:tc>
          <w:tcPr>
            <w:tcW w:w="850" w:type="dxa"/>
            <w:vMerge/>
            <w:tcBorders>
              <w:left w:val="single" w:sz="4" w:space="0" w:color="000000"/>
              <w:right w:val="single" w:sz="4" w:space="0" w:color="000000"/>
            </w:tcBorders>
          </w:tcPr>
          <w:p>
            <w:pPr/>
          </w:p>
        </w:tc>
        <w:tc>
          <w:tcPr>
            <w:tcW w:w="709"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17" w:hRule="exact"/>
        </w:trPr>
        <w:tc>
          <w:tcPr>
            <w:tcW w:w="1560"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382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于规范关联交易的承诺函</w:t>
            </w:r>
            <w:r>
              <w:rPr>
                <w:rFonts w:ascii="宋体" w:hAnsi="宋体" w:cs="宋体" w:eastAsia="宋体" w:hint="default"/>
                <w:spacing w:val="-90"/>
                <w:sz w:val="18"/>
                <w:szCs w:val="18"/>
              </w:rPr>
              <w:t>》</w:t>
            </w:r>
            <w:r>
              <w:rPr>
                <w:rFonts w:ascii="宋体" w:hAnsi="宋体" w:cs="宋体" w:eastAsia="宋体" w:hint="default"/>
                <w:spacing w:val="-3"/>
                <w:sz w:val="18"/>
                <w:szCs w:val="18"/>
              </w:rPr>
              <w:t>，</w:t>
            </w:r>
            <w:r>
              <w:rPr>
                <w:rFonts w:ascii="宋体" w:hAnsi="宋体" w:cs="宋体" w:eastAsia="宋体" w:hint="default"/>
                <w:sz w:val="18"/>
                <w:szCs w:val="18"/>
              </w:rPr>
              <w:t>承诺</w:t>
            </w:r>
            <w:r>
              <w:rPr>
                <w:rFonts w:ascii="宋体" w:hAnsi="宋体" w:cs="宋体" w:eastAsia="宋体" w:hint="default"/>
                <w:spacing w:val="-3"/>
                <w:sz w:val="18"/>
                <w:szCs w:val="18"/>
              </w:rPr>
              <w:t>：</w:t>
            </w:r>
            <w:r>
              <w:rPr>
                <w:rFonts w:ascii="Times New Roman" w:hAnsi="Times New Roman" w:cs="Times New Roman" w:eastAsia="Times New Roman" w:hint="default"/>
                <w:sz w:val="18"/>
                <w:szCs w:val="18"/>
              </w:rPr>
              <w:t>1</w:t>
            </w:r>
            <w:r>
              <w:rPr>
                <w:rFonts w:ascii="宋体" w:hAnsi="宋体" w:cs="宋体" w:eastAsia="宋体" w:hint="default"/>
                <w:spacing w:val="-3"/>
                <w:sz w:val="18"/>
                <w:szCs w:val="18"/>
              </w:rPr>
              <w:t>、</w:t>
            </w:r>
            <w:r>
              <w:rPr>
                <w:rFonts w:ascii="宋体" w:hAnsi="宋体" w:cs="宋体" w:eastAsia="宋体" w:hint="default"/>
                <w:sz w:val="18"/>
                <w:szCs w:val="18"/>
              </w:rPr>
              <w:t>承诺人保</w:t>
            </w:r>
          </w:p>
        </w:tc>
        <w:tc>
          <w:tcPr>
            <w:tcW w:w="850" w:type="dxa"/>
            <w:vMerge/>
            <w:tcBorders>
              <w:left w:val="single" w:sz="4" w:space="0" w:color="000000"/>
              <w:right w:val="single" w:sz="4" w:space="0" w:color="000000"/>
            </w:tcBorders>
          </w:tcPr>
          <w:p>
            <w:pPr/>
          </w:p>
        </w:tc>
        <w:tc>
          <w:tcPr>
            <w:tcW w:w="709"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07" w:hRule="exact"/>
        </w:trPr>
        <w:tc>
          <w:tcPr>
            <w:tcW w:w="1560"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382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证，本次交易完成后，将善意行使和履行作为科</w:t>
            </w:r>
          </w:p>
        </w:tc>
        <w:tc>
          <w:tcPr>
            <w:tcW w:w="850" w:type="dxa"/>
            <w:vMerge/>
            <w:tcBorders>
              <w:left w:val="single" w:sz="4" w:space="0" w:color="000000"/>
              <w:right w:val="single" w:sz="4" w:space="0" w:color="000000"/>
            </w:tcBorders>
          </w:tcPr>
          <w:p>
            <w:pPr/>
          </w:p>
        </w:tc>
        <w:tc>
          <w:tcPr>
            <w:tcW w:w="709"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12" w:hRule="exact"/>
        </w:trPr>
        <w:tc>
          <w:tcPr>
            <w:tcW w:w="1560"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382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迪隆及广西先得的股东、董事、监事或高级管理</w:t>
            </w:r>
          </w:p>
        </w:tc>
        <w:tc>
          <w:tcPr>
            <w:tcW w:w="850" w:type="dxa"/>
            <w:vMerge/>
            <w:tcBorders>
              <w:left w:val="single" w:sz="4" w:space="0" w:color="000000"/>
              <w:right w:val="single" w:sz="4" w:space="0" w:color="000000"/>
            </w:tcBorders>
          </w:tcPr>
          <w:p>
            <w:pPr/>
          </w:p>
        </w:tc>
        <w:tc>
          <w:tcPr>
            <w:tcW w:w="709"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12" w:hRule="exact"/>
        </w:trPr>
        <w:tc>
          <w:tcPr>
            <w:tcW w:w="1560"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382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人员的权利和义务，充分尊重科迪隆及广西先得</w:t>
            </w:r>
          </w:p>
        </w:tc>
        <w:tc>
          <w:tcPr>
            <w:tcW w:w="850" w:type="dxa"/>
            <w:vMerge/>
            <w:tcBorders>
              <w:left w:val="single" w:sz="4" w:space="0" w:color="000000"/>
              <w:right w:val="single" w:sz="4" w:space="0" w:color="000000"/>
            </w:tcBorders>
          </w:tcPr>
          <w:p>
            <w:pPr/>
          </w:p>
        </w:tc>
        <w:tc>
          <w:tcPr>
            <w:tcW w:w="709"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12" w:hRule="exact"/>
        </w:trPr>
        <w:tc>
          <w:tcPr>
            <w:tcW w:w="1560"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382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的独立法人地位，保障科迪隆及广西先得独立经</w:t>
            </w:r>
          </w:p>
        </w:tc>
        <w:tc>
          <w:tcPr>
            <w:tcW w:w="850" w:type="dxa"/>
            <w:vMerge/>
            <w:tcBorders>
              <w:left w:val="single" w:sz="4" w:space="0" w:color="000000"/>
              <w:right w:val="single" w:sz="4" w:space="0" w:color="000000"/>
            </w:tcBorders>
          </w:tcPr>
          <w:p>
            <w:pPr/>
          </w:p>
        </w:tc>
        <w:tc>
          <w:tcPr>
            <w:tcW w:w="709"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12" w:hRule="exact"/>
        </w:trPr>
        <w:tc>
          <w:tcPr>
            <w:tcW w:w="1560"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382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营、自主决策。在科迪隆或广西先得的股东会、</w:t>
            </w:r>
          </w:p>
        </w:tc>
        <w:tc>
          <w:tcPr>
            <w:tcW w:w="850" w:type="dxa"/>
            <w:vMerge/>
            <w:tcBorders>
              <w:left w:val="single" w:sz="4" w:space="0" w:color="000000"/>
              <w:right w:val="single" w:sz="4" w:space="0" w:color="000000"/>
            </w:tcBorders>
          </w:tcPr>
          <w:p>
            <w:pPr/>
          </w:p>
        </w:tc>
        <w:tc>
          <w:tcPr>
            <w:tcW w:w="709"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12" w:hRule="exact"/>
        </w:trPr>
        <w:tc>
          <w:tcPr>
            <w:tcW w:w="1560"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382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董事会、管理层会议对涉及承诺人的关联交易进</w:t>
            </w:r>
          </w:p>
        </w:tc>
        <w:tc>
          <w:tcPr>
            <w:tcW w:w="850" w:type="dxa"/>
            <w:vMerge/>
            <w:tcBorders>
              <w:left w:val="single" w:sz="4" w:space="0" w:color="000000"/>
              <w:right w:val="single" w:sz="4" w:space="0" w:color="000000"/>
            </w:tcBorders>
          </w:tcPr>
          <w:p>
            <w:pPr/>
          </w:p>
        </w:tc>
        <w:tc>
          <w:tcPr>
            <w:tcW w:w="709"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17" w:hRule="exact"/>
        </w:trPr>
        <w:tc>
          <w:tcPr>
            <w:tcW w:w="1560"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382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行表决时，本人将回避表决。</w:t>
            </w:r>
            <w:r>
              <w:rPr>
                <w:rFonts w:ascii="Times New Roman" w:hAnsi="Times New Roman" w:cs="Times New Roman" w:eastAsia="Times New Roman" w:hint="default"/>
                <w:sz w:val="18"/>
                <w:szCs w:val="18"/>
              </w:rPr>
              <w:t>2</w:t>
            </w:r>
            <w:r>
              <w:rPr>
                <w:rFonts w:ascii="宋体" w:hAnsi="宋体" w:cs="宋体" w:eastAsia="宋体" w:hint="default"/>
                <w:sz w:val="18"/>
                <w:szCs w:val="18"/>
              </w:rPr>
              <w:t>、承诺人保证，</w:t>
            </w:r>
          </w:p>
        </w:tc>
        <w:tc>
          <w:tcPr>
            <w:tcW w:w="850" w:type="dxa"/>
            <w:vMerge/>
            <w:tcBorders>
              <w:left w:val="single" w:sz="4" w:space="0" w:color="000000"/>
              <w:right w:val="single" w:sz="4" w:space="0" w:color="000000"/>
            </w:tcBorders>
          </w:tcPr>
          <w:p>
            <w:pPr/>
          </w:p>
        </w:tc>
        <w:tc>
          <w:tcPr>
            <w:tcW w:w="709"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07" w:hRule="exact"/>
        </w:trPr>
        <w:tc>
          <w:tcPr>
            <w:tcW w:w="1560"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382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本次交易完成后，将避免一切非法占用科迪隆或</w:t>
            </w:r>
          </w:p>
        </w:tc>
        <w:tc>
          <w:tcPr>
            <w:tcW w:w="850" w:type="dxa"/>
            <w:vMerge/>
            <w:tcBorders>
              <w:left w:val="single" w:sz="4" w:space="0" w:color="000000"/>
              <w:right w:val="single" w:sz="4" w:space="0" w:color="000000"/>
            </w:tcBorders>
          </w:tcPr>
          <w:p>
            <w:pPr/>
          </w:p>
        </w:tc>
        <w:tc>
          <w:tcPr>
            <w:tcW w:w="709"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12" w:hRule="exact"/>
        </w:trPr>
        <w:tc>
          <w:tcPr>
            <w:tcW w:w="1560"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382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广西先得的资金、资产的行为，在任何情况下，</w:t>
            </w:r>
          </w:p>
        </w:tc>
        <w:tc>
          <w:tcPr>
            <w:tcW w:w="850" w:type="dxa"/>
            <w:vMerge/>
            <w:tcBorders>
              <w:left w:val="single" w:sz="4" w:space="0" w:color="000000"/>
              <w:right w:val="single" w:sz="4" w:space="0" w:color="000000"/>
            </w:tcBorders>
          </w:tcPr>
          <w:p>
            <w:pPr/>
          </w:p>
        </w:tc>
        <w:tc>
          <w:tcPr>
            <w:tcW w:w="709"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12" w:hRule="exact"/>
        </w:trPr>
        <w:tc>
          <w:tcPr>
            <w:tcW w:w="1560"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382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不要求科迪隆或广西先得向承诺人及承诺人控</w:t>
            </w:r>
          </w:p>
        </w:tc>
        <w:tc>
          <w:tcPr>
            <w:tcW w:w="850" w:type="dxa"/>
            <w:vMerge/>
            <w:tcBorders>
              <w:left w:val="single" w:sz="4" w:space="0" w:color="000000"/>
              <w:right w:val="single" w:sz="4" w:space="0" w:color="000000"/>
            </w:tcBorders>
          </w:tcPr>
          <w:p>
            <w:pPr/>
          </w:p>
        </w:tc>
        <w:tc>
          <w:tcPr>
            <w:tcW w:w="709"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12" w:hRule="exact"/>
        </w:trPr>
        <w:tc>
          <w:tcPr>
            <w:tcW w:w="1560"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382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股或实际控制的其他公司或者其他企业或经济</w:t>
            </w:r>
          </w:p>
        </w:tc>
        <w:tc>
          <w:tcPr>
            <w:tcW w:w="850" w:type="dxa"/>
            <w:vMerge/>
            <w:tcBorders>
              <w:left w:val="single" w:sz="4" w:space="0" w:color="000000"/>
              <w:right w:val="single" w:sz="4" w:space="0" w:color="000000"/>
            </w:tcBorders>
          </w:tcPr>
          <w:p>
            <w:pPr/>
          </w:p>
        </w:tc>
        <w:tc>
          <w:tcPr>
            <w:tcW w:w="709"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17" w:hRule="exact"/>
        </w:trPr>
        <w:tc>
          <w:tcPr>
            <w:tcW w:w="1560"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382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组织（以下简称</w:t>
            </w:r>
            <w:r>
              <w:rPr>
                <w:rFonts w:ascii="Times New Roman" w:hAnsi="Times New Roman" w:cs="Times New Roman" w:eastAsia="Times New Roman" w:hint="default"/>
                <w:sz w:val="18"/>
                <w:szCs w:val="18"/>
              </w:rPr>
              <w:t>"</w:t>
            </w:r>
            <w:r>
              <w:rPr>
                <w:rFonts w:ascii="宋体" w:hAnsi="宋体" w:cs="宋体" w:eastAsia="宋体" w:hint="default"/>
                <w:sz w:val="18"/>
                <w:szCs w:val="18"/>
              </w:rPr>
              <w:t>承诺人的关联企业</w:t>
            </w:r>
            <w:r>
              <w:rPr>
                <w:rFonts w:ascii="Times New Roman" w:hAnsi="Times New Roman" w:cs="Times New Roman" w:eastAsia="Times New Roman" w:hint="default"/>
                <w:sz w:val="18"/>
                <w:szCs w:val="18"/>
              </w:rPr>
              <w:t>"</w:t>
            </w:r>
            <w:r>
              <w:rPr>
                <w:rFonts w:ascii="宋体" w:hAnsi="宋体" w:cs="宋体" w:eastAsia="宋体" w:hint="default"/>
                <w:sz w:val="18"/>
                <w:szCs w:val="18"/>
              </w:rPr>
              <w:t>）提供任何</w:t>
            </w:r>
          </w:p>
        </w:tc>
        <w:tc>
          <w:tcPr>
            <w:tcW w:w="850" w:type="dxa"/>
            <w:vMerge/>
            <w:tcBorders>
              <w:left w:val="single" w:sz="4" w:space="0" w:color="000000"/>
              <w:right w:val="single" w:sz="4" w:space="0" w:color="000000"/>
            </w:tcBorders>
          </w:tcPr>
          <w:p>
            <w:pPr/>
          </w:p>
        </w:tc>
        <w:tc>
          <w:tcPr>
            <w:tcW w:w="709"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12" w:hRule="exact"/>
        </w:trPr>
        <w:tc>
          <w:tcPr>
            <w:tcW w:w="1560"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382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形式的担保。</w:t>
            </w:r>
            <w:r>
              <w:rPr>
                <w:rFonts w:ascii="Times New Roman" w:hAnsi="Times New Roman" w:cs="Times New Roman" w:eastAsia="Times New Roman" w:hint="default"/>
                <w:sz w:val="18"/>
                <w:szCs w:val="18"/>
              </w:rPr>
              <w:t>3</w:t>
            </w:r>
            <w:r>
              <w:rPr>
                <w:rFonts w:ascii="宋体" w:hAnsi="宋体" w:cs="宋体" w:eastAsia="宋体" w:hint="default"/>
                <w:sz w:val="18"/>
                <w:szCs w:val="18"/>
              </w:rPr>
              <w:t>、承诺人保证，</w:t>
            </w:r>
          </w:p>
        </w:tc>
        <w:tc>
          <w:tcPr>
            <w:tcW w:w="850" w:type="dxa"/>
            <w:vMerge/>
            <w:tcBorders>
              <w:left w:val="single" w:sz="4" w:space="0" w:color="000000"/>
              <w:right w:val="single" w:sz="4" w:space="0" w:color="000000"/>
            </w:tcBorders>
          </w:tcPr>
          <w:p>
            <w:pPr/>
          </w:p>
        </w:tc>
        <w:tc>
          <w:tcPr>
            <w:tcW w:w="709"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07" w:hRule="exact"/>
        </w:trPr>
        <w:tc>
          <w:tcPr>
            <w:tcW w:w="1560"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382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将尽可能地避免和减少承诺人及承诺人的关联</w:t>
            </w:r>
          </w:p>
        </w:tc>
        <w:tc>
          <w:tcPr>
            <w:tcW w:w="850" w:type="dxa"/>
            <w:vMerge/>
            <w:tcBorders>
              <w:left w:val="single" w:sz="4" w:space="0" w:color="000000"/>
              <w:right w:val="single" w:sz="4" w:space="0" w:color="000000"/>
            </w:tcBorders>
          </w:tcPr>
          <w:p>
            <w:pPr/>
          </w:p>
        </w:tc>
        <w:tc>
          <w:tcPr>
            <w:tcW w:w="709"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12" w:hRule="exact"/>
        </w:trPr>
        <w:tc>
          <w:tcPr>
            <w:tcW w:w="1560"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382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企业与科迪隆或广西先得的关联交易；对无法避</w:t>
            </w:r>
          </w:p>
        </w:tc>
        <w:tc>
          <w:tcPr>
            <w:tcW w:w="850" w:type="dxa"/>
            <w:vMerge/>
            <w:tcBorders>
              <w:left w:val="single" w:sz="4" w:space="0" w:color="000000"/>
              <w:right w:val="single" w:sz="4" w:space="0" w:color="000000"/>
            </w:tcBorders>
          </w:tcPr>
          <w:p>
            <w:pPr/>
          </w:p>
        </w:tc>
        <w:tc>
          <w:tcPr>
            <w:tcW w:w="709"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12" w:hRule="exact"/>
        </w:trPr>
        <w:tc>
          <w:tcPr>
            <w:tcW w:w="1560"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382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免或者有合理原因而发生的关联交易，承诺人及</w:t>
            </w:r>
          </w:p>
        </w:tc>
        <w:tc>
          <w:tcPr>
            <w:tcW w:w="850" w:type="dxa"/>
            <w:vMerge/>
            <w:tcBorders>
              <w:left w:val="single" w:sz="4" w:space="0" w:color="000000"/>
              <w:right w:val="single" w:sz="4" w:space="0" w:color="000000"/>
            </w:tcBorders>
          </w:tcPr>
          <w:p>
            <w:pPr/>
          </w:p>
        </w:tc>
        <w:tc>
          <w:tcPr>
            <w:tcW w:w="709"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12" w:hRule="exact"/>
        </w:trPr>
        <w:tc>
          <w:tcPr>
            <w:tcW w:w="1560"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382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承诺人的关联企业将遵循市场公正、公平、公开</w:t>
            </w:r>
          </w:p>
        </w:tc>
        <w:tc>
          <w:tcPr>
            <w:tcW w:w="850" w:type="dxa"/>
            <w:vMerge/>
            <w:tcBorders>
              <w:left w:val="single" w:sz="4" w:space="0" w:color="000000"/>
              <w:right w:val="single" w:sz="4" w:space="0" w:color="000000"/>
            </w:tcBorders>
          </w:tcPr>
          <w:p>
            <w:pPr/>
          </w:p>
        </w:tc>
        <w:tc>
          <w:tcPr>
            <w:tcW w:w="709"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12" w:hRule="exact"/>
        </w:trPr>
        <w:tc>
          <w:tcPr>
            <w:tcW w:w="1560"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382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的原则，并依法与相关公司签订协议，履行合法</w:t>
            </w:r>
          </w:p>
        </w:tc>
        <w:tc>
          <w:tcPr>
            <w:tcW w:w="850" w:type="dxa"/>
            <w:vMerge/>
            <w:tcBorders>
              <w:left w:val="single" w:sz="4" w:space="0" w:color="000000"/>
              <w:right w:val="single" w:sz="4" w:space="0" w:color="000000"/>
            </w:tcBorders>
          </w:tcPr>
          <w:p>
            <w:pPr/>
          </w:p>
        </w:tc>
        <w:tc>
          <w:tcPr>
            <w:tcW w:w="709"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12" w:hRule="exact"/>
        </w:trPr>
        <w:tc>
          <w:tcPr>
            <w:tcW w:w="1560"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382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程序，按照相关公司的章程、有关法律法规的规</w:t>
            </w:r>
          </w:p>
        </w:tc>
        <w:tc>
          <w:tcPr>
            <w:tcW w:w="850" w:type="dxa"/>
            <w:vMerge/>
            <w:tcBorders>
              <w:left w:val="single" w:sz="4" w:space="0" w:color="000000"/>
              <w:right w:val="single" w:sz="4" w:space="0" w:color="000000"/>
            </w:tcBorders>
          </w:tcPr>
          <w:p>
            <w:pPr/>
          </w:p>
        </w:tc>
        <w:tc>
          <w:tcPr>
            <w:tcW w:w="709"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12" w:hRule="exact"/>
        </w:trPr>
        <w:tc>
          <w:tcPr>
            <w:tcW w:w="1560"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382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定履行信息披露义务和办理有关报批程序。承诺</w:t>
            </w:r>
          </w:p>
        </w:tc>
        <w:tc>
          <w:tcPr>
            <w:tcW w:w="850" w:type="dxa"/>
            <w:vMerge/>
            <w:tcBorders>
              <w:left w:val="single" w:sz="4" w:space="0" w:color="000000"/>
              <w:right w:val="single" w:sz="4" w:space="0" w:color="000000"/>
            </w:tcBorders>
          </w:tcPr>
          <w:p>
            <w:pPr/>
          </w:p>
        </w:tc>
        <w:tc>
          <w:tcPr>
            <w:tcW w:w="709"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12" w:hRule="exact"/>
        </w:trPr>
        <w:tc>
          <w:tcPr>
            <w:tcW w:w="1560"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382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人保证将按照正常的商业条件严格和善意地进</w:t>
            </w:r>
          </w:p>
        </w:tc>
        <w:tc>
          <w:tcPr>
            <w:tcW w:w="850" w:type="dxa"/>
            <w:vMerge/>
            <w:tcBorders>
              <w:left w:val="single" w:sz="4" w:space="0" w:color="000000"/>
              <w:right w:val="single" w:sz="4" w:space="0" w:color="000000"/>
            </w:tcBorders>
          </w:tcPr>
          <w:p>
            <w:pPr/>
          </w:p>
        </w:tc>
        <w:tc>
          <w:tcPr>
            <w:tcW w:w="709"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12" w:hRule="exact"/>
        </w:trPr>
        <w:tc>
          <w:tcPr>
            <w:tcW w:w="1560"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382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行上述关联交易，且承诺人及承诺人的关联企业</w:t>
            </w:r>
          </w:p>
        </w:tc>
        <w:tc>
          <w:tcPr>
            <w:tcW w:w="850" w:type="dxa"/>
            <w:vMerge/>
            <w:tcBorders>
              <w:left w:val="single" w:sz="4" w:space="0" w:color="000000"/>
              <w:right w:val="single" w:sz="4" w:space="0" w:color="000000"/>
            </w:tcBorders>
          </w:tcPr>
          <w:p>
            <w:pPr/>
          </w:p>
        </w:tc>
        <w:tc>
          <w:tcPr>
            <w:tcW w:w="709"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12" w:hRule="exact"/>
        </w:trPr>
        <w:tc>
          <w:tcPr>
            <w:tcW w:w="1560"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382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将不会要求或接受科迪隆或广西先得给予的比</w:t>
            </w:r>
          </w:p>
        </w:tc>
        <w:tc>
          <w:tcPr>
            <w:tcW w:w="850" w:type="dxa"/>
            <w:vMerge/>
            <w:tcBorders>
              <w:left w:val="single" w:sz="4" w:space="0" w:color="000000"/>
              <w:right w:val="single" w:sz="4" w:space="0" w:color="000000"/>
            </w:tcBorders>
          </w:tcPr>
          <w:p>
            <w:pPr/>
          </w:p>
        </w:tc>
        <w:tc>
          <w:tcPr>
            <w:tcW w:w="709"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12" w:hRule="exact"/>
        </w:trPr>
        <w:tc>
          <w:tcPr>
            <w:tcW w:w="1560"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382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在任何一项市场公平交易中第三者更优惠的条</w:t>
            </w:r>
          </w:p>
        </w:tc>
        <w:tc>
          <w:tcPr>
            <w:tcW w:w="850" w:type="dxa"/>
            <w:vMerge/>
            <w:tcBorders>
              <w:left w:val="single" w:sz="4" w:space="0" w:color="000000"/>
              <w:right w:val="single" w:sz="4" w:space="0" w:color="000000"/>
            </w:tcBorders>
          </w:tcPr>
          <w:p>
            <w:pPr/>
          </w:p>
        </w:tc>
        <w:tc>
          <w:tcPr>
            <w:tcW w:w="709"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12" w:hRule="exact"/>
        </w:trPr>
        <w:tc>
          <w:tcPr>
            <w:tcW w:w="1560"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382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件，也不会向科迪隆或广西先得谋求任何超出该</w:t>
            </w:r>
          </w:p>
        </w:tc>
        <w:tc>
          <w:tcPr>
            <w:tcW w:w="850" w:type="dxa"/>
            <w:vMerge/>
            <w:tcBorders>
              <w:left w:val="single" w:sz="4" w:space="0" w:color="000000"/>
              <w:right w:val="single" w:sz="4" w:space="0" w:color="000000"/>
            </w:tcBorders>
          </w:tcPr>
          <w:p>
            <w:pPr/>
          </w:p>
        </w:tc>
        <w:tc>
          <w:tcPr>
            <w:tcW w:w="709"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12" w:hRule="exact"/>
        </w:trPr>
        <w:tc>
          <w:tcPr>
            <w:tcW w:w="1560"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382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等交易以外的利益或收益，保证不通过关联交易</w:t>
            </w:r>
          </w:p>
        </w:tc>
        <w:tc>
          <w:tcPr>
            <w:tcW w:w="850" w:type="dxa"/>
            <w:vMerge/>
            <w:tcBorders>
              <w:left w:val="single" w:sz="4" w:space="0" w:color="000000"/>
              <w:right w:val="single" w:sz="4" w:space="0" w:color="000000"/>
            </w:tcBorders>
          </w:tcPr>
          <w:p>
            <w:pPr/>
          </w:p>
        </w:tc>
        <w:tc>
          <w:tcPr>
            <w:tcW w:w="709"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12" w:hRule="exact"/>
        </w:trPr>
        <w:tc>
          <w:tcPr>
            <w:tcW w:w="1560"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382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损害科迪隆或广西先得及其各自股东的合法权</w:t>
            </w:r>
          </w:p>
        </w:tc>
        <w:tc>
          <w:tcPr>
            <w:tcW w:w="850" w:type="dxa"/>
            <w:vMerge/>
            <w:tcBorders>
              <w:left w:val="single" w:sz="4" w:space="0" w:color="000000"/>
              <w:right w:val="single" w:sz="4" w:space="0" w:color="000000"/>
            </w:tcBorders>
          </w:tcPr>
          <w:p>
            <w:pPr/>
          </w:p>
        </w:tc>
        <w:tc>
          <w:tcPr>
            <w:tcW w:w="709"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17" w:hRule="exact"/>
        </w:trPr>
        <w:tc>
          <w:tcPr>
            <w:tcW w:w="1560"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382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益。</w:t>
            </w:r>
            <w:r>
              <w:rPr>
                <w:rFonts w:ascii="Times New Roman" w:hAnsi="Times New Roman" w:cs="Times New Roman" w:eastAsia="Times New Roman" w:hint="default"/>
                <w:sz w:val="18"/>
                <w:szCs w:val="18"/>
              </w:rPr>
              <w:t>4</w:t>
            </w:r>
            <w:r>
              <w:rPr>
                <w:rFonts w:ascii="宋体" w:hAnsi="宋体" w:cs="宋体" w:eastAsia="宋体" w:hint="default"/>
                <w:sz w:val="18"/>
                <w:szCs w:val="18"/>
              </w:rPr>
              <w:t>、如果承诺人违反上述承诺，科迪隆或广</w:t>
            </w:r>
          </w:p>
        </w:tc>
        <w:tc>
          <w:tcPr>
            <w:tcW w:w="850" w:type="dxa"/>
            <w:vMerge/>
            <w:tcBorders>
              <w:left w:val="single" w:sz="4" w:space="0" w:color="000000"/>
              <w:right w:val="single" w:sz="4" w:space="0" w:color="000000"/>
            </w:tcBorders>
          </w:tcPr>
          <w:p>
            <w:pPr/>
          </w:p>
        </w:tc>
        <w:tc>
          <w:tcPr>
            <w:tcW w:w="709"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07" w:hRule="exact"/>
        </w:trPr>
        <w:tc>
          <w:tcPr>
            <w:tcW w:w="1560"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382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西先得以及其各自的股东有权要求承诺人及承</w:t>
            </w:r>
          </w:p>
        </w:tc>
        <w:tc>
          <w:tcPr>
            <w:tcW w:w="850" w:type="dxa"/>
            <w:vMerge/>
            <w:tcBorders>
              <w:left w:val="single" w:sz="4" w:space="0" w:color="000000"/>
              <w:right w:val="single" w:sz="4" w:space="0" w:color="000000"/>
            </w:tcBorders>
          </w:tcPr>
          <w:p>
            <w:pPr/>
          </w:p>
        </w:tc>
        <w:tc>
          <w:tcPr>
            <w:tcW w:w="709"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12" w:hRule="exact"/>
        </w:trPr>
        <w:tc>
          <w:tcPr>
            <w:tcW w:w="1560"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382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诺人的关联企业规范相应的交易行为，并将已经</w:t>
            </w:r>
          </w:p>
        </w:tc>
        <w:tc>
          <w:tcPr>
            <w:tcW w:w="850" w:type="dxa"/>
            <w:vMerge/>
            <w:tcBorders>
              <w:left w:val="single" w:sz="4" w:space="0" w:color="000000"/>
              <w:right w:val="single" w:sz="4" w:space="0" w:color="000000"/>
            </w:tcBorders>
          </w:tcPr>
          <w:p>
            <w:pPr/>
          </w:p>
        </w:tc>
        <w:tc>
          <w:tcPr>
            <w:tcW w:w="709"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12" w:hRule="exact"/>
        </w:trPr>
        <w:tc>
          <w:tcPr>
            <w:tcW w:w="1560"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382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从交易中获得的利益、收益以现金的方式补偿给</w:t>
            </w:r>
          </w:p>
        </w:tc>
        <w:tc>
          <w:tcPr>
            <w:tcW w:w="850" w:type="dxa"/>
            <w:vMerge/>
            <w:tcBorders>
              <w:left w:val="single" w:sz="4" w:space="0" w:color="000000"/>
              <w:right w:val="single" w:sz="4" w:space="0" w:color="000000"/>
            </w:tcBorders>
          </w:tcPr>
          <w:p>
            <w:pPr/>
          </w:p>
        </w:tc>
        <w:tc>
          <w:tcPr>
            <w:tcW w:w="709"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12" w:hRule="exact"/>
        </w:trPr>
        <w:tc>
          <w:tcPr>
            <w:tcW w:w="1560"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382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科迪隆或广西先得，且承诺人将促使承诺人的关</w:t>
            </w:r>
          </w:p>
        </w:tc>
        <w:tc>
          <w:tcPr>
            <w:tcW w:w="850" w:type="dxa"/>
            <w:vMerge/>
            <w:tcBorders>
              <w:left w:val="single" w:sz="4" w:space="0" w:color="000000"/>
              <w:right w:val="single" w:sz="4" w:space="0" w:color="000000"/>
            </w:tcBorders>
          </w:tcPr>
          <w:p>
            <w:pPr/>
          </w:p>
        </w:tc>
        <w:tc>
          <w:tcPr>
            <w:tcW w:w="709"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12" w:hRule="exact"/>
        </w:trPr>
        <w:tc>
          <w:tcPr>
            <w:tcW w:w="1560"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382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联企业（如需）按照科迪隆或广西先得以及其各</w:t>
            </w:r>
          </w:p>
        </w:tc>
        <w:tc>
          <w:tcPr>
            <w:tcW w:w="850" w:type="dxa"/>
            <w:vMerge/>
            <w:tcBorders>
              <w:left w:val="single" w:sz="4" w:space="0" w:color="000000"/>
              <w:right w:val="single" w:sz="4" w:space="0" w:color="000000"/>
            </w:tcBorders>
          </w:tcPr>
          <w:p>
            <w:pPr/>
          </w:p>
        </w:tc>
        <w:tc>
          <w:tcPr>
            <w:tcW w:w="709"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12" w:hRule="exact"/>
        </w:trPr>
        <w:tc>
          <w:tcPr>
            <w:tcW w:w="1560"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382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自的股东的要求实施补偿；如因违反上述承诺造</w:t>
            </w:r>
          </w:p>
        </w:tc>
        <w:tc>
          <w:tcPr>
            <w:tcW w:w="850" w:type="dxa"/>
            <w:vMerge/>
            <w:tcBorders>
              <w:left w:val="single" w:sz="4" w:space="0" w:color="000000"/>
              <w:right w:val="single" w:sz="4" w:space="0" w:color="000000"/>
            </w:tcBorders>
          </w:tcPr>
          <w:p>
            <w:pPr/>
          </w:p>
        </w:tc>
        <w:tc>
          <w:tcPr>
            <w:tcW w:w="709"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12" w:hRule="exact"/>
        </w:trPr>
        <w:tc>
          <w:tcPr>
            <w:tcW w:w="1560"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382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成科迪隆或广西先得经济损失的，承诺人将赔偿</w:t>
            </w:r>
          </w:p>
        </w:tc>
        <w:tc>
          <w:tcPr>
            <w:tcW w:w="850" w:type="dxa"/>
            <w:vMerge/>
            <w:tcBorders>
              <w:left w:val="single" w:sz="4" w:space="0" w:color="000000"/>
              <w:right w:val="single" w:sz="4" w:space="0" w:color="000000"/>
            </w:tcBorders>
          </w:tcPr>
          <w:p>
            <w:pPr/>
          </w:p>
        </w:tc>
        <w:tc>
          <w:tcPr>
            <w:tcW w:w="709"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12" w:hRule="exact"/>
        </w:trPr>
        <w:tc>
          <w:tcPr>
            <w:tcW w:w="1560"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382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并促使承诺人的关联企业赔偿先河环保、科迪隆</w:t>
            </w:r>
          </w:p>
        </w:tc>
        <w:tc>
          <w:tcPr>
            <w:tcW w:w="850" w:type="dxa"/>
            <w:vMerge/>
            <w:tcBorders>
              <w:left w:val="single" w:sz="4" w:space="0" w:color="000000"/>
              <w:right w:val="single" w:sz="4" w:space="0" w:color="000000"/>
            </w:tcBorders>
          </w:tcPr>
          <w:p>
            <w:pPr/>
          </w:p>
        </w:tc>
        <w:tc>
          <w:tcPr>
            <w:tcW w:w="709"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12" w:hRule="exact"/>
        </w:trPr>
        <w:tc>
          <w:tcPr>
            <w:tcW w:w="1560"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382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或广西先得因此受到的全部损失，且承诺人之间</w:t>
            </w:r>
          </w:p>
        </w:tc>
        <w:tc>
          <w:tcPr>
            <w:tcW w:w="850" w:type="dxa"/>
            <w:vMerge/>
            <w:tcBorders>
              <w:left w:val="single" w:sz="4" w:space="0" w:color="000000"/>
              <w:right w:val="single" w:sz="4" w:space="0" w:color="000000"/>
            </w:tcBorders>
          </w:tcPr>
          <w:p>
            <w:pPr/>
          </w:p>
        </w:tc>
        <w:tc>
          <w:tcPr>
            <w:tcW w:w="709"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17" w:hRule="exact"/>
        </w:trPr>
        <w:tc>
          <w:tcPr>
            <w:tcW w:w="1560"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382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将相互连带地承担该等赔偿责任。</w:t>
            </w:r>
            <w:r>
              <w:rPr>
                <w:rFonts w:ascii="Times New Roman" w:hAnsi="Times New Roman" w:cs="Times New Roman" w:eastAsia="Times New Roman" w:hint="default"/>
                <w:sz w:val="18"/>
                <w:szCs w:val="18"/>
              </w:rPr>
              <w:t>5</w:t>
            </w:r>
            <w:r>
              <w:rPr>
                <w:rFonts w:ascii="宋体" w:hAnsi="宋体" w:cs="宋体" w:eastAsia="宋体" w:hint="default"/>
                <w:sz w:val="18"/>
                <w:szCs w:val="18"/>
              </w:rPr>
              <w:t>、在触发上</w:t>
            </w:r>
          </w:p>
        </w:tc>
        <w:tc>
          <w:tcPr>
            <w:tcW w:w="850" w:type="dxa"/>
            <w:vMerge/>
            <w:tcBorders>
              <w:left w:val="single" w:sz="4" w:space="0" w:color="000000"/>
              <w:right w:val="single" w:sz="4" w:space="0" w:color="000000"/>
            </w:tcBorders>
          </w:tcPr>
          <w:p>
            <w:pPr/>
          </w:p>
        </w:tc>
        <w:tc>
          <w:tcPr>
            <w:tcW w:w="709"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12" w:hRule="exact"/>
        </w:trPr>
        <w:tc>
          <w:tcPr>
            <w:tcW w:w="1560"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382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述第（</w:t>
            </w:r>
            <w:r>
              <w:rPr>
                <w:rFonts w:ascii="Times New Roman" w:hAnsi="Times New Roman" w:cs="Times New Roman" w:eastAsia="Times New Roman" w:hint="default"/>
                <w:sz w:val="18"/>
                <w:szCs w:val="18"/>
              </w:rPr>
              <w:t>4</w:t>
            </w:r>
            <w:r>
              <w:rPr>
                <w:rFonts w:ascii="宋体" w:hAnsi="宋体" w:cs="宋体" w:eastAsia="宋体" w:hint="default"/>
                <w:sz w:val="18"/>
                <w:szCs w:val="18"/>
              </w:rPr>
              <w:t>）项承诺情况发生后，承诺人未能履行</w:t>
            </w:r>
          </w:p>
        </w:tc>
        <w:tc>
          <w:tcPr>
            <w:tcW w:w="850" w:type="dxa"/>
            <w:vMerge/>
            <w:tcBorders>
              <w:left w:val="single" w:sz="4" w:space="0" w:color="000000"/>
              <w:right w:val="single" w:sz="4" w:space="0" w:color="000000"/>
            </w:tcBorders>
          </w:tcPr>
          <w:p>
            <w:pPr/>
          </w:p>
        </w:tc>
        <w:tc>
          <w:tcPr>
            <w:tcW w:w="709"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13" w:hRule="exact"/>
        </w:trPr>
        <w:tc>
          <w:tcPr>
            <w:tcW w:w="1560" w:type="dxa"/>
            <w:vMerge/>
            <w:tcBorders>
              <w:left w:val="single" w:sz="4" w:space="0" w:color="000000"/>
              <w:bottom w:val="single" w:sz="4" w:space="0" w:color="000000"/>
              <w:right w:val="single" w:sz="4" w:space="0" w:color="000000"/>
            </w:tcBorders>
            <w:shd w:val="clear" w:color="auto" w:fill="D2D2D2"/>
          </w:tcPr>
          <w:p>
            <w:pPr/>
          </w:p>
        </w:tc>
        <w:tc>
          <w:tcPr>
            <w:tcW w:w="850" w:type="dxa"/>
            <w:vMerge/>
            <w:tcBorders>
              <w:left w:val="single" w:sz="4" w:space="0" w:color="000000"/>
              <w:bottom w:val="single" w:sz="4" w:space="0" w:color="000000"/>
              <w:right w:val="single" w:sz="4" w:space="0" w:color="000000"/>
            </w:tcBorders>
          </w:tcPr>
          <w:p>
            <w:pPr/>
          </w:p>
        </w:tc>
        <w:tc>
          <w:tcPr>
            <w:tcW w:w="992" w:type="dxa"/>
            <w:vMerge/>
            <w:tcBorders>
              <w:left w:val="single" w:sz="4" w:space="0" w:color="000000"/>
              <w:bottom w:val="single" w:sz="4" w:space="0" w:color="000000"/>
              <w:right w:val="single" w:sz="4" w:space="0" w:color="000000"/>
            </w:tcBorders>
          </w:tcPr>
          <w:p>
            <w:pPr/>
          </w:p>
        </w:tc>
        <w:tc>
          <w:tcPr>
            <w:tcW w:w="382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相应承诺的，则先河环保、科迪隆和广西先得有</w:t>
            </w:r>
          </w:p>
        </w:tc>
        <w:tc>
          <w:tcPr>
            <w:tcW w:w="850" w:type="dxa"/>
            <w:vMerge/>
            <w:tcBorders>
              <w:left w:val="single" w:sz="4" w:space="0" w:color="000000"/>
              <w:bottom w:val="single" w:sz="4" w:space="0" w:color="000000"/>
              <w:right w:val="single" w:sz="4" w:space="0" w:color="000000"/>
            </w:tcBorders>
          </w:tcPr>
          <w:p>
            <w:pPr/>
          </w:p>
        </w:tc>
        <w:tc>
          <w:tcPr>
            <w:tcW w:w="709" w:type="dxa"/>
            <w:vMerge/>
            <w:tcBorders>
              <w:left w:val="single" w:sz="4" w:space="0" w:color="000000"/>
              <w:bottom w:val="single" w:sz="4" w:space="0" w:color="000000"/>
              <w:right w:val="single" w:sz="4" w:space="0" w:color="000000"/>
            </w:tcBorders>
          </w:tcPr>
          <w:p>
            <w:pPr/>
          </w:p>
        </w:tc>
        <w:tc>
          <w:tcPr>
            <w:tcW w:w="779"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1560"/>
        <w:gridCol w:w="850"/>
        <w:gridCol w:w="992"/>
        <w:gridCol w:w="3829"/>
        <w:gridCol w:w="850"/>
        <w:gridCol w:w="709"/>
        <w:gridCol w:w="781"/>
      </w:tblGrid>
      <w:tr>
        <w:trPr>
          <w:trHeight w:val="3171" w:hRule="exact"/>
        </w:trPr>
        <w:tc>
          <w:tcPr>
            <w:tcW w:w="1560" w:type="dxa"/>
            <w:vMerge w:val="restart"/>
            <w:tcBorders>
              <w:top w:val="single" w:sz="4" w:space="0" w:color="000000"/>
              <w:left w:val="single" w:sz="4" w:space="0" w:color="000000"/>
              <w:right w:val="single" w:sz="4" w:space="0" w:color="000000"/>
            </w:tcBorders>
            <w:shd w:val="clear" w:color="auto" w:fill="D2D2D2"/>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3829"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10"/>
              <w:ind w:left="22" w:right="14"/>
              <w:jc w:val="left"/>
              <w:rPr>
                <w:rFonts w:ascii="宋体" w:hAnsi="宋体" w:cs="宋体" w:eastAsia="宋体" w:hint="default"/>
                <w:sz w:val="18"/>
                <w:szCs w:val="18"/>
              </w:rPr>
            </w:pPr>
            <w:r>
              <w:rPr>
                <w:rFonts w:ascii="宋体" w:hAnsi="宋体" w:cs="宋体" w:eastAsia="宋体" w:hint="default"/>
                <w:sz w:val="18"/>
                <w:szCs w:val="18"/>
              </w:rPr>
              <w:t>权相应扣减应付承诺人的现金分红和应付承诺 人的税后薪酬。在相应的承诺履行前，承诺人亦 不转让承诺人所直接或间接所持的先河环保、科 迪隆和广西先得的股份，但为履行上述承诺而进 行转让的除外。</w:t>
            </w:r>
            <w:r>
              <w:rPr>
                <w:rFonts w:ascii="Times New Roman" w:hAnsi="Times New Roman" w:cs="Times New Roman" w:eastAsia="Times New Roman" w:hint="default"/>
                <w:sz w:val="18"/>
                <w:szCs w:val="18"/>
              </w:rPr>
              <w:t>6</w:t>
            </w:r>
            <w:r>
              <w:rPr>
                <w:rFonts w:ascii="宋体" w:hAnsi="宋体" w:cs="宋体" w:eastAsia="宋体" w:hint="default"/>
                <w:sz w:val="18"/>
                <w:szCs w:val="18"/>
              </w:rPr>
              <w:t>、本承诺函所述承诺事项已经 承诺人确认，为承诺人的真实意思表示，对承诺 人具有法律约束力。承诺人自愿接受监管机关、 社会公众及投资者的监督，积极采取合法措施履 行本承诺，并依法承担相应责任。</w:t>
            </w:r>
            <w:r>
              <w:rPr>
                <w:rFonts w:ascii="Times New Roman" w:hAnsi="Times New Roman" w:cs="Times New Roman" w:eastAsia="Times New Roman" w:hint="default"/>
                <w:sz w:val="18"/>
                <w:szCs w:val="18"/>
              </w:rPr>
              <w:t>7</w:t>
            </w:r>
            <w:r>
              <w:rPr>
                <w:rFonts w:ascii="宋体" w:hAnsi="宋体" w:cs="宋体" w:eastAsia="宋体" w:hint="default"/>
                <w:sz w:val="18"/>
                <w:szCs w:val="18"/>
              </w:rPr>
              <w:t>、本承诺持 续有效且不可变更或撤销。</w:t>
            </w:r>
          </w:p>
        </w:tc>
        <w:tc>
          <w:tcPr>
            <w:tcW w:w="850"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659" w:hRule="exact"/>
        </w:trPr>
        <w:tc>
          <w:tcPr>
            <w:tcW w:w="1560" w:type="dxa"/>
            <w:vMerge/>
            <w:tcBorders>
              <w:left w:val="single" w:sz="4" w:space="0" w:color="000000"/>
              <w:bottom w:val="single" w:sz="4" w:space="0" w:color="000000"/>
              <w:right w:val="single" w:sz="4" w:space="0" w:color="000000"/>
            </w:tcBorders>
            <w:shd w:val="clear" w:color="auto" w:fill="D2D2D2"/>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李玉国</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319" w:lineRule="auto"/>
              <w:ind w:left="23" w:right="56"/>
              <w:jc w:val="both"/>
              <w:rPr>
                <w:rFonts w:ascii="宋体" w:hAnsi="宋体" w:cs="宋体" w:eastAsia="宋体" w:hint="default"/>
                <w:sz w:val="18"/>
                <w:szCs w:val="18"/>
              </w:rPr>
            </w:pPr>
            <w:r>
              <w:rPr>
                <w:rFonts w:ascii="宋体" w:hAnsi="宋体" w:cs="宋体" w:eastAsia="宋体" w:hint="default"/>
                <w:sz w:val="18"/>
                <w:szCs w:val="18"/>
              </w:rPr>
              <w:t>关于同业竞 争、关联交 易、资金占 用方面的承 诺</w:t>
            </w:r>
          </w:p>
        </w:tc>
        <w:tc>
          <w:tcPr>
            <w:tcW w:w="3829"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2" w:right="14"/>
              <w:jc w:val="left"/>
              <w:rPr>
                <w:rFonts w:ascii="宋体" w:hAnsi="宋体" w:cs="宋体" w:eastAsia="宋体" w:hint="default"/>
                <w:sz w:val="18"/>
                <w:szCs w:val="18"/>
              </w:rPr>
            </w:pPr>
            <w:r>
              <w:rPr>
                <w:rFonts w:ascii="宋体" w:hAnsi="宋体" w:cs="宋体" w:eastAsia="宋体" w:hint="default"/>
                <w:sz w:val="18"/>
                <w:szCs w:val="18"/>
              </w:rPr>
              <w:t>一、关于避免同业竞争的承诺（</w:t>
            </w:r>
            <w:r>
              <w:rPr>
                <w:rFonts w:ascii="Times New Roman" w:hAnsi="Times New Roman" w:cs="Times New Roman" w:eastAsia="Times New Roman" w:hint="default"/>
                <w:sz w:val="18"/>
                <w:szCs w:val="18"/>
              </w:rPr>
              <w:t>1</w:t>
            </w:r>
            <w:r>
              <w:rPr>
                <w:rFonts w:ascii="宋体" w:hAnsi="宋体" w:cs="宋体" w:eastAsia="宋体" w:hint="default"/>
                <w:sz w:val="18"/>
                <w:szCs w:val="18"/>
              </w:rPr>
              <w:t>）承诺内容为 充分保护上市公司的利益，作为先河环保的控股 股东及实际控制人，李玉国先生承诺：</w:t>
            </w:r>
            <w:r>
              <w:rPr>
                <w:rFonts w:ascii="Times New Roman" w:hAnsi="Times New Roman" w:cs="Times New Roman" w:eastAsia="Times New Roman" w:hint="default"/>
                <w:sz w:val="18"/>
                <w:szCs w:val="18"/>
              </w:rPr>
              <w:t>1</w:t>
            </w:r>
            <w:r>
              <w:rPr>
                <w:rFonts w:ascii="宋体" w:hAnsi="宋体" w:cs="宋体" w:eastAsia="宋体" w:hint="default"/>
                <w:sz w:val="18"/>
                <w:szCs w:val="18"/>
              </w:rPr>
              <w:t>、本人 声明，本人已向先河环保准确、全面地披露本人 直接或间接持有的其他企业和其他经济组织（先 河环保控制的企业和其他经济组织除外）的股权 或权益情况，本人未在与先河环保存在同业竞争 的其他企业、机构或其他经济组织中担任董事、 高级管理人员或核心技术人员；本人及本人直接 或间接控制的其他企业或其他经济组织未以任 何其他方式直接或间接从事与先河环保相竞争 的业务。</w:t>
            </w:r>
            <w:r>
              <w:rPr>
                <w:rFonts w:ascii="Times New Roman" w:hAnsi="Times New Roman" w:cs="Times New Roman" w:eastAsia="Times New Roman" w:hint="default"/>
                <w:sz w:val="18"/>
                <w:szCs w:val="18"/>
              </w:rPr>
              <w:t>2</w:t>
            </w:r>
            <w:r>
              <w:rPr>
                <w:rFonts w:ascii="宋体" w:hAnsi="宋体" w:cs="宋体" w:eastAsia="宋体" w:hint="default"/>
                <w:sz w:val="18"/>
                <w:szCs w:val="18"/>
              </w:rPr>
              <w:t>、本人承诺，在本人作为先河环保的 实际控制人期间，本人及本人现有或将来成立的 全资子公司、控股子公司和其他实质上受本人控 制的企业或经济组织（先河环保控制的企业和其 他经济组织除外，下称本人所控制的其他企业或 经济组织）不会以任何形式从事对先河环保的生 产经营构成或可能构成同业竞争的业务和经营 活动，也不会以任何方式为与先河环保竞争的企 业、机构或其他经济组织提供任何资金、业务、 技术和管理等方面的帮助。</w:t>
            </w:r>
            <w:r>
              <w:rPr>
                <w:rFonts w:ascii="Times New Roman" w:hAnsi="Times New Roman" w:cs="Times New Roman" w:eastAsia="Times New Roman" w:hint="default"/>
                <w:sz w:val="18"/>
                <w:szCs w:val="18"/>
              </w:rPr>
              <w:t>3</w:t>
            </w:r>
            <w:r>
              <w:rPr>
                <w:rFonts w:ascii="宋体" w:hAnsi="宋体" w:cs="宋体" w:eastAsia="宋体" w:hint="default"/>
                <w:sz w:val="18"/>
                <w:szCs w:val="18"/>
              </w:rPr>
              <w:t>、本人承诺，在本 人作为先河环保的实际控制人期间，凡本人及本 人所控制的其他企业或经济组织有任何商业机 会可从事、参与或入股任何可能会与先河环保生 产经营构成竞争的业务，本人将或将促使本人所 控制的其他企业或经济组织按照先河环保的要 求，将该等商业机会让与先河环保，由先河环保 在同等条件下优先收购有关业务所涉及的资产 或股权，以避免与先河环保存在同业竞争。</w:t>
            </w:r>
            <w:r>
              <w:rPr>
                <w:rFonts w:ascii="Times New Roman" w:hAnsi="Times New Roman" w:cs="Times New Roman" w:eastAsia="Times New Roman" w:hint="default"/>
                <w:sz w:val="18"/>
                <w:szCs w:val="18"/>
              </w:rPr>
              <w:t>4</w:t>
            </w:r>
            <w:r>
              <w:rPr>
                <w:rFonts w:ascii="宋体" w:hAnsi="宋体" w:cs="宋体" w:eastAsia="宋体" w:hint="default"/>
                <w:sz w:val="18"/>
                <w:szCs w:val="18"/>
              </w:rPr>
              <w:t>、 本人承诺，如果本人违反上述承诺，先河环保依 据其董事会所作出的决策（关联董事应回避表 决）或者股东大会作出的决策（关联股东应回避 </w:t>
            </w:r>
            <w:r>
              <w:rPr>
                <w:rFonts w:ascii="宋体" w:hAnsi="宋体" w:cs="宋体" w:eastAsia="宋体" w:hint="default"/>
                <w:spacing w:val="-5"/>
                <w:sz w:val="18"/>
                <w:szCs w:val="18"/>
              </w:rPr>
              <w:t>表决），有权要求本人及本人所控制的其他企业</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或经济组织停止相应的经济活动或行为，并将已</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12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9999-12</w:t>
            </w:r>
          </w:p>
          <w:p>
            <w:pPr>
              <w:pStyle w:val="TableParagraph"/>
              <w:spacing w:line="240" w:lineRule="auto" w:before="106"/>
              <w:ind w:left="23" w:right="0"/>
              <w:jc w:val="left"/>
              <w:rPr>
                <w:rFonts w:ascii="Times New Roman" w:hAnsi="Times New Roman" w:cs="Times New Roman" w:eastAsia="Times New Roman" w:hint="default"/>
                <w:sz w:val="18"/>
                <w:szCs w:val="18"/>
              </w:rPr>
            </w:pPr>
            <w:r>
              <w:rPr>
                <w:rFonts w:ascii="Times New Roman"/>
                <w:sz w:val="18"/>
              </w:rPr>
              <w:t>-31</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7"/>
              <w:ind w:left="22" w:right="26"/>
              <w:jc w:val="both"/>
              <w:rPr>
                <w:rFonts w:ascii="宋体" w:hAnsi="宋体" w:cs="宋体" w:eastAsia="宋体" w:hint="default"/>
                <w:sz w:val="18"/>
                <w:szCs w:val="18"/>
              </w:rPr>
            </w:pPr>
            <w:r>
              <w:rPr>
                <w:rFonts w:ascii="宋体" w:hAnsi="宋体" w:cs="宋体" w:eastAsia="宋体" w:hint="default"/>
                <w:sz w:val="18"/>
                <w:szCs w:val="18"/>
              </w:rPr>
              <w:t>未发生违 反承诺的 事项和行 为。</w:t>
            </w:r>
          </w:p>
        </w:tc>
      </w:tr>
    </w:tbl>
    <w:p>
      <w:pPr>
        <w:spacing w:after="0" w:line="319" w:lineRule="auto"/>
        <w:jc w:val="both"/>
        <w:rPr>
          <w:rFonts w:ascii="宋体" w:hAnsi="宋体" w:cs="宋体" w:eastAsia="宋体" w:hint="default"/>
          <w:sz w:val="18"/>
          <w:szCs w:val="18"/>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r>
        <w:rPr/>
        <w:pict>
          <v:shape style="position:absolute;margin-left:295.286011pt;margin-top:72.47998pt;width:165.25pt;height:686.5pt;mso-position-horizontal-relative:page;mso-position-vertical-relative:page;z-index:-985672"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7"/>
                    <w:rPr>
                      <w:rFonts w:ascii="Times New Roman" w:hAnsi="Times New Roman" w:cs="Times New Roman" w:eastAsia="Times New Roman" w:hint="default"/>
                      <w:sz w:val="21"/>
                      <w:szCs w:val="21"/>
                    </w:rPr>
                  </w:pPr>
                </w:p>
                <w:p>
                  <w:pPr>
                    <w:pStyle w:val="BodyText"/>
                    <w:spacing w:line="240" w:lineRule="auto"/>
                    <w:ind w:left="0" w:right="780"/>
                    <w:jc w:val="right"/>
                  </w:pPr>
                  <w:r>
                    <w:rPr/>
                    <w:t>）</w:t>
                  </w: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2"/>
                    <w:rPr>
                      <w:rFonts w:ascii="Times New Roman" w:hAnsi="Times New Roman" w:cs="Times New Roman" w:eastAsia="Times New Roman" w:hint="default"/>
                      <w:sz w:val="25"/>
                      <w:szCs w:val="25"/>
                    </w:rPr>
                  </w:pPr>
                </w:p>
                <w:p>
                  <w:pPr>
                    <w:pStyle w:val="BodyText"/>
                    <w:spacing w:line="240" w:lineRule="auto"/>
                    <w:ind w:left="0" w:right="780"/>
                    <w:jc w:val="right"/>
                  </w:pPr>
                  <w:r>
                    <w:rPr/>
                    <w:t>）</w:t>
                  </w: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4"/>
                    <w:rPr>
                      <w:rFonts w:ascii="Times New Roman" w:hAnsi="Times New Roman" w:cs="Times New Roman" w:eastAsia="Times New Roman" w:hint="default"/>
                      <w:sz w:val="16"/>
                      <w:szCs w:val="16"/>
                    </w:rPr>
                  </w:pPr>
                </w:p>
                <w:p>
                  <w:pPr>
                    <w:pStyle w:val="BodyText"/>
                    <w:spacing w:line="240" w:lineRule="auto"/>
                    <w:ind w:left="0" w:right="782"/>
                    <w:jc w:val="right"/>
                  </w:pPr>
                  <w:r>
                    <w:rPr/>
                    <w:t>以及先河环保公司章程的规定，</w:t>
                  </w:r>
                </w:p>
                <w:p>
                  <w:pPr>
                    <w:spacing w:line="240" w:lineRule="auto" w:before="0"/>
                    <w:rPr>
                      <w:rFonts w:ascii="Times New Roman" w:hAnsi="Times New Roman" w:cs="Times New Roman" w:eastAsia="Times New Roman" w:hint="default"/>
                      <w:sz w:val="18"/>
                      <w:szCs w:val="18"/>
                    </w:rPr>
                  </w:pPr>
                </w:p>
                <w:p>
                  <w:pPr>
                    <w:spacing w:line="240" w:lineRule="auto" w:before="9"/>
                    <w:rPr>
                      <w:rFonts w:ascii="Times New Roman" w:hAnsi="Times New Roman" w:cs="Times New Roman" w:eastAsia="Times New Roman" w:hint="default"/>
                      <w:sz w:val="15"/>
                      <w:szCs w:val="15"/>
                    </w:rPr>
                  </w:pPr>
                </w:p>
                <w:p>
                  <w:pPr>
                    <w:pStyle w:val="BodyText"/>
                    <w:spacing w:line="240" w:lineRule="auto"/>
                    <w:ind w:left="0" w:right="782"/>
                    <w:jc w:val="right"/>
                  </w:pPr>
                  <w:r>
                    <w:rPr/>
                    <w:t>依法行使相应职权，</w:t>
                  </w:r>
                </w:p>
                <w:p>
                  <w:pPr>
                    <w:spacing w:line="240" w:lineRule="auto" w:before="0"/>
                    <w:rPr>
                      <w:rFonts w:ascii="Times New Roman" w:hAnsi="Times New Roman" w:cs="Times New Roman" w:eastAsia="Times New Roman" w:hint="default"/>
                      <w:sz w:val="18"/>
                      <w:szCs w:val="18"/>
                    </w:rPr>
                  </w:pPr>
                </w:p>
                <w:p>
                  <w:pPr>
                    <w:spacing w:line="240" w:lineRule="auto" w:before="9"/>
                    <w:rPr>
                      <w:rFonts w:ascii="Times New Roman" w:hAnsi="Times New Roman" w:cs="Times New Roman" w:eastAsia="Times New Roman" w:hint="default"/>
                      <w:sz w:val="15"/>
                      <w:szCs w:val="15"/>
                    </w:rPr>
                  </w:pPr>
                </w:p>
                <w:p>
                  <w:pPr>
                    <w:pStyle w:val="BodyText"/>
                    <w:spacing w:line="240" w:lineRule="auto"/>
                    <w:ind w:left="0" w:right="781"/>
                    <w:jc w:val="right"/>
                  </w:pPr>
                  <w:r>
                    <w:rPr/>
                    <w:t>、</w:t>
                  </w:r>
                </w:p>
              </w:txbxContent>
            </v:textbox>
            <w10:wrap type="none"/>
          </v:shape>
        </w:pict>
      </w: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1560"/>
        <w:gridCol w:w="850"/>
        <w:gridCol w:w="992"/>
        <w:gridCol w:w="3829"/>
        <w:gridCol w:w="850"/>
        <w:gridCol w:w="709"/>
        <w:gridCol w:w="779"/>
      </w:tblGrid>
      <w:tr>
        <w:trPr>
          <w:trHeight w:val="317" w:hRule="exact"/>
        </w:trPr>
        <w:tc>
          <w:tcPr>
            <w:tcW w:w="1560" w:type="dxa"/>
            <w:vMerge w:val="restart"/>
            <w:tcBorders>
              <w:top w:val="single" w:sz="4" w:space="0" w:color="000000"/>
              <w:left w:val="single" w:sz="4" w:space="0" w:color="000000"/>
              <w:right w:val="single" w:sz="4" w:space="0" w:color="000000"/>
            </w:tcBorders>
            <w:shd w:val="clear" w:color="auto" w:fill="D2D2D2"/>
          </w:tcPr>
          <w:p>
            <w:pPr/>
          </w:p>
        </w:tc>
        <w:tc>
          <w:tcPr>
            <w:tcW w:w="850" w:type="dxa"/>
            <w:vMerge w:val="restart"/>
            <w:tcBorders>
              <w:top w:val="single" w:sz="4" w:space="0" w:color="000000"/>
              <w:left w:val="single" w:sz="4" w:space="0" w:color="000000"/>
              <w:right w:val="single" w:sz="4" w:space="0" w:color="000000"/>
            </w:tcBorders>
          </w:tcPr>
          <w:p>
            <w:pPr/>
          </w:p>
        </w:tc>
        <w:tc>
          <w:tcPr>
            <w:tcW w:w="992" w:type="dxa"/>
            <w:vMerge w:val="restart"/>
            <w:tcBorders>
              <w:top w:val="single" w:sz="4" w:space="0" w:color="000000"/>
              <w:left w:val="single" w:sz="4" w:space="0" w:color="000000"/>
              <w:right w:val="single" w:sz="4" w:space="0" w:color="000000"/>
            </w:tcBorders>
          </w:tcPr>
          <w:p>
            <w:pPr/>
          </w:p>
        </w:tc>
        <w:tc>
          <w:tcPr>
            <w:tcW w:w="382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经形成的有关权益、可得利益或者合同项下的权</w:t>
            </w:r>
          </w:p>
        </w:tc>
        <w:tc>
          <w:tcPr>
            <w:tcW w:w="850" w:type="dxa"/>
            <w:vMerge w:val="restart"/>
            <w:tcBorders>
              <w:top w:val="single" w:sz="4" w:space="0" w:color="000000"/>
              <w:left w:val="single" w:sz="4" w:space="0" w:color="000000"/>
              <w:right w:val="single" w:sz="4" w:space="0" w:color="000000"/>
            </w:tcBorders>
          </w:tcPr>
          <w:p>
            <w:pPr>
              <w:pStyle w:val="TableParagraph"/>
              <w:spacing w:line="13729" w:lineRule="exact"/>
              <w:ind w:right="-5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274"/>
                <w:sz w:val="20"/>
                <w:szCs w:val="20"/>
              </w:rPr>
              <w:pict>
                <v:group style="width:42pt;height:686.5pt;mso-position-horizontal-relative:char;mso-position-vertical-relative:line" coordorigin="0,0" coordsize="840,13730">
                  <v:group style="position:absolute;left:0;top:0;width:840;height:13730" coordorigin="0,0" coordsize="840,13730">
                    <v:shape style="position:absolute;left:0;top:0;width:840;height:13730" coordorigin="0,0" coordsize="840,13730" path="m0,13729l840,13729,840,0,0,0,0,13729xe" filled="true" fillcolor="#ffffff" stroked="false">
                      <v:path arrowok="t"/>
                      <v:fill type="solid"/>
                    </v:shape>
                  </v:group>
                </v:group>
              </w:pict>
            </w:r>
            <w:r>
              <w:rPr>
                <w:rFonts w:ascii="Times New Roman" w:hAnsi="Times New Roman" w:cs="Times New Roman" w:eastAsia="Times New Roman" w:hint="default"/>
                <w:position w:val="-274"/>
                <w:sz w:val="20"/>
                <w:szCs w:val="20"/>
              </w:rPr>
            </w:r>
          </w:p>
        </w:tc>
        <w:tc>
          <w:tcPr>
            <w:tcW w:w="709" w:type="dxa"/>
            <w:vMerge w:val="restart"/>
            <w:tcBorders>
              <w:top w:val="single" w:sz="4" w:space="0" w:color="000000"/>
              <w:left w:val="single" w:sz="4" w:space="0" w:color="000000"/>
              <w:right w:val="single" w:sz="4" w:space="0" w:color="000000"/>
            </w:tcBorders>
          </w:tcPr>
          <w:p>
            <w:pPr/>
          </w:p>
        </w:tc>
        <w:tc>
          <w:tcPr>
            <w:tcW w:w="779" w:type="dxa"/>
            <w:vMerge w:val="restart"/>
            <w:tcBorders>
              <w:top w:val="single" w:sz="4" w:space="0" w:color="000000"/>
              <w:left w:val="single" w:sz="4" w:space="0" w:color="000000"/>
              <w:right w:val="single" w:sz="4" w:space="0" w:color="000000"/>
            </w:tcBorders>
          </w:tcPr>
          <w:p>
            <w:pPr/>
          </w:p>
        </w:tc>
      </w:tr>
      <w:tr>
        <w:trPr>
          <w:trHeight w:val="312" w:hRule="exact"/>
        </w:trPr>
        <w:tc>
          <w:tcPr>
            <w:tcW w:w="1560"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382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利义务转让给独立第三方或者按照公允价值转</w:t>
            </w:r>
          </w:p>
        </w:tc>
        <w:tc>
          <w:tcPr>
            <w:tcW w:w="850" w:type="dxa"/>
            <w:vMerge/>
            <w:tcBorders>
              <w:left w:val="single" w:sz="4" w:space="0" w:color="000000"/>
              <w:right w:val="single" w:sz="4" w:space="0" w:color="000000"/>
            </w:tcBorders>
          </w:tcPr>
          <w:p>
            <w:pPr/>
          </w:p>
        </w:tc>
        <w:tc>
          <w:tcPr>
            <w:tcW w:w="709"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12" w:hRule="exact"/>
        </w:trPr>
        <w:tc>
          <w:tcPr>
            <w:tcW w:w="1560"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382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让给先河环保或者其指定的第三方，本人将并将</w:t>
            </w:r>
          </w:p>
        </w:tc>
        <w:tc>
          <w:tcPr>
            <w:tcW w:w="850" w:type="dxa"/>
            <w:vMerge/>
            <w:tcBorders>
              <w:left w:val="single" w:sz="4" w:space="0" w:color="000000"/>
              <w:right w:val="single" w:sz="4" w:space="0" w:color="000000"/>
            </w:tcBorders>
          </w:tcPr>
          <w:p>
            <w:pPr/>
          </w:p>
        </w:tc>
        <w:tc>
          <w:tcPr>
            <w:tcW w:w="709"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12" w:hRule="exact"/>
        </w:trPr>
        <w:tc>
          <w:tcPr>
            <w:tcW w:w="1560"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382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促使本人所控制的其他企业或经济组织（如需）</w:t>
            </w:r>
          </w:p>
        </w:tc>
        <w:tc>
          <w:tcPr>
            <w:tcW w:w="850" w:type="dxa"/>
            <w:vMerge/>
            <w:tcBorders>
              <w:left w:val="single" w:sz="4" w:space="0" w:color="000000"/>
              <w:right w:val="single" w:sz="4" w:space="0" w:color="000000"/>
            </w:tcBorders>
          </w:tcPr>
          <w:p>
            <w:pPr/>
          </w:p>
        </w:tc>
        <w:tc>
          <w:tcPr>
            <w:tcW w:w="709"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12" w:hRule="exact"/>
        </w:trPr>
        <w:tc>
          <w:tcPr>
            <w:tcW w:w="1560"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382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按照先河环保的要求实施相关行为；造成先河环</w:t>
            </w:r>
          </w:p>
        </w:tc>
        <w:tc>
          <w:tcPr>
            <w:tcW w:w="850" w:type="dxa"/>
            <w:vMerge/>
            <w:tcBorders>
              <w:left w:val="single" w:sz="4" w:space="0" w:color="000000"/>
              <w:right w:val="single" w:sz="4" w:space="0" w:color="000000"/>
            </w:tcBorders>
          </w:tcPr>
          <w:p>
            <w:pPr/>
          </w:p>
        </w:tc>
        <w:tc>
          <w:tcPr>
            <w:tcW w:w="709"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12" w:hRule="exact"/>
        </w:trPr>
        <w:tc>
          <w:tcPr>
            <w:tcW w:w="1560"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382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保经济损失的，本人将赔偿先河环保因此受到的</w:t>
            </w:r>
          </w:p>
        </w:tc>
        <w:tc>
          <w:tcPr>
            <w:tcW w:w="850" w:type="dxa"/>
            <w:vMerge/>
            <w:tcBorders>
              <w:left w:val="single" w:sz="4" w:space="0" w:color="000000"/>
              <w:right w:val="single" w:sz="4" w:space="0" w:color="000000"/>
            </w:tcBorders>
          </w:tcPr>
          <w:p>
            <w:pPr/>
          </w:p>
        </w:tc>
        <w:tc>
          <w:tcPr>
            <w:tcW w:w="709"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17" w:hRule="exact"/>
        </w:trPr>
        <w:tc>
          <w:tcPr>
            <w:tcW w:w="1560"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382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全部损失。</w:t>
            </w:r>
            <w:r>
              <w:rPr>
                <w:rFonts w:ascii="Times New Roman" w:hAnsi="Times New Roman" w:cs="Times New Roman" w:eastAsia="Times New Roman" w:hint="default"/>
                <w:sz w:val="18"/>
                <w:szCs w:val="18"/>
              </w:rPr>
              <w:t>5</w:t>
            </w:r>
            <w:r>
              <w:rPr>
                <w:rFonts w:ascii="宋体" w:hAnsi="宋体" w:cs="宋体" w:eastAsia="宋体" w:hint="default"/>
                <w:sz w:val="18"/>
                <w:szCs w:val="18"/>
              </w:rPr>
              <w:t>、本人未能履行第四项所述的规范</w:t>
            </w:r>
          </w:p>
        </w:tc>
        <w:tc>
          <w:tcPr>
            <w:tcW w:w="850" w:type="dxa"/>
            <w:vMerge/>
            <w:tcBorders>
              <w:left w:val="single" w:sz="4" w:space="0" w:color="000000"/>
              <w:right w:val="single" w:sz="4" w:space="0" w:color="000000"/>
            </w:tcBorders>
          </w:tcPr>
          <w:p>
            <w:pPr/>
          </w:p>
        </w:tc>
        <w:tc>
          <w:tcPr>
            <w:tcW w:w="709"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07" w:hRule="exact"/>
        </w:trPr>
        <w:tc>
          <w:tcPr>
            <w:tcW w:w="1560"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382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同业竞争行为、赔偿损失等承诺的，则先河环保</w:t>
            </w:r>
          </w:p>
        </w:tc>
        <w:tc>
          <w:tcPr>
            <w:tcW w:w="850" w:type="dxa"/>
            <w:vMerge/>
            <w:tcBorders>
              <w:left w:val="single" w:sz="4" w:space="0" w:color="000000"/>
              <w:right w:val="single" w:sz="4" w:space="0" w:color="000000"/>
            </w:tcBorders>
          </w:tcPr>
          <w:p>
            <w:pPr/>
          </w:p>
        </w:tc>
        <w:tc>
          <w:tcPr>
            <w:tcW w:w="709"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12" w:hRule="exact"/>
        </w:trPr>
        <w:tc>
          <w:tcPr>
            <w:tcW w:w="1560"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382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有权相应扣减应付本人的现金分红和应付本人</w:t>
            </w:r>
          </w:p>
        </w:tc>
        <w:tc>
          <w:tcPr>
            <w:tcW w:w="850" w:type="dxa"/>
            <w:vMerge/>
            <w:tcBorders>
              <w:left w:val="single" w:sz="4" w:space="0" w:color="000000"/>
              <w:right w:val="single" w:sz="4" w:space="0" w:color="000000"/>
            </w:tcBorders>
          </w:tcPr>
          <w:p>
            <w:pPr/>
          </w:p>
        </w:tc>
        <w:tc>
          <w:tcPr>
            <w:tcW w:w="709"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12" w:hRule="exact"/>
        </w:trPr>
        <w:tc>
          <w:tcPr>
            <w:tcW w:w="1560"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382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的税后薪酬抵作赔偿或者作为促使本人履行第</w:t>
            </w:r>
          </w:p>
        </w:tc>
        <w:tc>
          <w:tcPr>
            <w:tcW w:w="850" w:type="dxa"/>
            <w:vMerge/>
            <w:tcBorders>
              <w:left w:val="single" w:sz="4" w:space="0" w:color="000000"/>
              <w:right w:val="single" w:sz="4" w:space="0" w:color="000000"/>
            </w:tcBorders>
          </w:tcPr>
          <w:p>
            <w:pPr/>
          </w:p>
        </w:tc>
        <w:tc>
          <w:tcPr>
            <w:tcW w:w="709"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12" w:hRule="exact"/>
        </w:trPr>
        <w:tc>
          <w:tcPr>
            <w:tcW w:w="1560"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382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四项所述承诺的措施，且在第四项所述承诺全部</w:t>
            </w:r>
          </w:p>
        </w:tc>
        <w:tc>
          <w:tcPr>
            <w:tcW w:w="850" w:type="dxa"/>
            <w:vMerge/>
            <w:tcBorders>
              <w:left w:val="single" w:sz="4" w:space="0" w:color="000000"/>
              <w:right w:val="single" w:sz="4" w:space="0" w:color="000000"/>
            </w:tcBorders>
          </w:tcPr>
          <w:p>
            <w:pPr/>
          </w:p>
        </w:tc>
        <w:tc>
          <w:tcPr>
            <w:tcW w:w="709"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12" w:hRule="exact"/>
        </w:trPr>
        <w:tc>
          <w:tcPr>
            <w:tcW w:w="1560"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382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履行完成前，本人亦不转让本人所直接或间接所</w:t>
            </w:r>
          </w:p>
        </w:tc>
        <w:tc>
          <w:tcPr>
            <w:tcW w:w="850" w:type="dxa"/>
            <w:vMerge/>
            <w:tcBorders>
              <w:left w:val="single" w:sz="4" w:space="0" w:color="000000"/>
              <w:right w:val="single" w:sz="4" w:space="0" w:color="000000"/>
            </w:tcBorders>
          </w:tcPr>
          <w:p>
            <w:pPr/>
          </w:p>
        </w:tc>
        <w:tc>
          <w:tcPr>
            <w:tcW w:w="709"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12" w:hRule="exact"/>
        </w:trPr>
        <w:tc>
          <w:tcPr>
            <w:tcW w:w="1560"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382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持的先河环保的股份，但为履行第四项所述承诺</w:t>
            </w:r>
          </w:p>
        </w:tc>
        <w:tc>
          <w:tcPr>
            <w:tcW w:w="850" w:type="dxa"/>
            <w:vMerge/>
            <w:tcBorders>
              <w:left w:val="single" w:sz="4" w:space="0" w:color="000000"/>
              <w:right w:val="single" w:sz="4" w:space="0" w:color="000000"/>
            </w:tcBorders>
          </w:tcPr>
          <w:p>
            <w:pPr/>
          </w:p>
        </w:tc>
        <w:tc>
          <w:tcPr>
            <w:tcW w:w="709"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17" w:hRule="exact"/>
        </w:trPr>
        <w:tc>
          <w:tcPr>
            <w:tcW w:w="1560"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382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而进行转让的除外。</w:t>
            </w:r>
            <w:r>
              <w:rPr>
                <w:rFonts w:ascii="Times New Roman" w:hAnsi="Times New Roman" w:cs="Times New Roman" w:eastAsia="Times New Roman" w:hint="default"/>
                <w:sz w:val="18"/>
                <w:szCs w:val="18"/>
              </w:rPr>
              <w:t>6</w:t>
            </w:r>
            <w:r>
              <w:rPr>
                <w:rFonts w:ascii="宋体" w:hAnsi="宋体" w:cs="宋体" w:eastAsia="宋体" w:hint="default"/>
                <w:sz w:val="18"/>
                <w:szCs w:val="18"/>
              </w:rPr>
              <w:t>、本承诺函所述承诺事项</w:t>
            </w:r>
          </w:p>
        </w:tc>
        <w:tc>
          <w:tcPr>
            <w:tcW w:w="850" w:type="dxa"/>
            <w:vMerge/>
            <w:tcBorders>
              <w:left w:val="single" w:sz="4" w:space="0" w:color="000000"/>
              <w:right w:val="single" w:sz="4" w:space="0" w:color="000000"/>
            </w:tcBorders>
          </w:tcPr>
          <w:p>
            <w:pPr/>
          </w:p>
        </w:tc>
        <w:tc>
          <w:tcPr>
            <w:tcW w:w="709"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07" w:hRule="exact"/>
        </w:trPr>
        <w:tc>
          <w:tcPr>
            <w:tcW w:w="1560"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382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已经本人确认，为本人的真实意思表示，对本人</w:t>
            </w:r>
          </w:p>
        </w:tc>
        <w:tc>
          <w:tcPr>
            <w:tcW w:w="850" w:type="dxa"/>
            <w:vMerge/>
            <w:tcBorders>
              <w:left w:val="single" w:sz="4" w:space="0" w:color="000000"/>
              <w:right w:val="single" w:sz="4" w:space="0" w:color="000000"/>
            </w:tcBorders>
          </w:tcPr>
          <w:p>
            <w:pPr/>
          </w:p>
        </w:tc>
        <w:tc>
          <w:tcPr>
            <w:tcW w:w="709"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12" w:hRule="exact"/>
        </w:trPr>
        <w:tc>
          <w:tcPr>
            <w:tcW w:w="1560"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382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具有法律约束力。本人自愿接受监管机关、社会</w:t>
            </w:r>
          </w:p>
        </w:tc>
        <w:tc>
          <w:tcPr>
            <w:tcW w:w="850" w:type="dxa"/>
            <w:vMerge/>
            <w:tcBorders>
              <w:left w:val="single" w:sz="4" w:space="0" w:color="000000"/>
              <w:right w:val="single" w:sz="4" w:space="0" w:color="000000"/>
            </w:tcBorders>
          </w:tcPr>
          <w:p>
            <w:pPr/>
          </w:p>
        </w:tc>
        <w:tc>
          <w:tcPr>
            <w:tcW w:w="709"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12" w:hRule="exact"/>
        </w:trPr>
        <w:tc>
          <w:tcPr>
            <w:tcW w:w="1560"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382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公众及投资者的监督，积极采取合法措施履行本</w:t>
            </w:r>
          </w:p>
        </w:tc>
        <w:tc>
          <w:tcPr>
            <w:tcW w:w="850" w:type="dxa"/>
            <w:vMerge/>
            <w:tcBorders>
              <w:left w:val="single" w:sz="4" w:space="0" w:color="000000"/>
              <w:right w:val="single" w:sz="4" w:space="0" w:color="000000"/>
            </w:tcBorders>
          </w:tcPr>
          <w:p>
            <w:pPr/>
          </w:p>
        </w:tc>
        <w:tc>
          <w:tcPr>
            <w:tcW w:w="709"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17" w:hRule="exact"/>
        </w:trPr>
        <w:tc>
          <w:tcPr>
            <w:tcW w:w="1560"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382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承诺，并依法承担相应责任。</w:t>
            </w:r>
            <w:r>
              <w:rPr>
                <w:rFonts w:ascii="Times New Roman" w:hAnsi="Times New Roman" w:cs="Times New Roman" w:eastAsia="Times New Roman" w:hint="default"/>
                <w:sz w:val="18"/>
                <w:szCs w:val="18"/>
              </w:rPr>
              <w:t>7</w:t>
            </w:r>
            <w:r>
              <w:rPr>
                <w:rFonts w:ascii="宋体" w:hAnsi="宋体" w:cs="宋体" w:eastAsia="宋体" w:hint="default"/>
                <w:sz w:val="18"/>
                <w:szCs w:val="18"/>
              </w:rPr>
              <w:t>、本承诺函自签</w:t>
            </w:r>
          </w:p>
        </w:tc>
        <w:tc>
          <w:tcPr>
            <w:tcW w:w="850" w:type="dxa"/>
            <w:vMerge/>
            <w:tcBorders>
              <w:left w:val="single" w:sz="4" w:space="0" w:color="000000"/>
              <w:right w:val="single" w:sz="4" w:space="0" w:color="000000"/>
            </w:tcBorders>
          </w:tcPr>
          <w:p>
            <w:pPr/>
          </w:p>
        </w:tc>
        <w:tc>
          <w:tcPr>
            <w:tcW w:w="709"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07" w:hRule="exact"/>
        </w:trPr>
        <w:tc>
          <w:tcPr>
            <w:tcW w:w="1560"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382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署之日起生效并持续有效，自生效之日起，即取</w:t>
            </w:r>
          </w:p>
        </w:tc>
        <w:tc>
          <w:tcPr>
            <w:tcW w:w="850" w:type="dxa"/>
            <w:vMerge/>
            <w:tcBorders>
              <w:left w:val="single" w:sz="4" w:space="0" w:color="000000"/>
              <w:right w:val="single" w:sz="4" w:space="0" w:color="000000"/>
            </w:tcBorders>
          </w:tcPr>
          <w:p>
            <w:pPr/>
          </w:p>
        </w:tc>
        <w:tc>
          <w:tcPr>
            <w:tcW w:w="709"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12" w:hRule="exact"/>
        </w:trPr>
        <w:tc>
          <w:tcPr>
            <w:tcW w:w="1560"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382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代此前本人就本承诺函项下的事项所作出的承</w:t>
            </w:r>
          </w:p>
        </w:tc>
        <w:tc>
          <w:tcPr>
            <w:tcW w:w="850" w:type="dxa"/>
            <w:vMerge/>
            <w:tcBorders>
              <w:left w:val="single" w:sz="4" w:space="0" w:color="000000"/>
              <w:right w:val="single" w:sz="4" w:space="0" w:color="000000"/>
            </w:tcBorders>
          </w:tcPr>
          <w:p>
            <w:pPr/>
          </w:p>
        </w:tc>
        <w:tc>
          <w:tcPr>
            <w:tcW w:w="709"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17" w:hRule="exact"/>
        </w:trPr>
        <w:tc>
          <w:tcPr>
            <w:tcW w:w="1560"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382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诺，但本承诺函自下列较早时间起不再有效：</w:t>
            </w:r>
            <w:r>
              <w:rPr>
                <w:rFonts w:ascii="Times New Roman" w:hAnsi="Times New Roman" w:cs="Times New Roman" w:eastAsia="Times New Roman" w:hint="default"/>
                <w:sz w:val="18"/>
                <w:szCs w:val="18"/>
              </w:rPr>
              <w:t>1</w:t>
            </w:r>
          </w:p>
        </w:tc>
        <w:tc>
          <w:tcPr>
            <w:tcW w:w="850" w:type="dxa"/>
            <w:vMerge/>
            <w:tcBorders>
              <w:left w:val="single" w:sz="4" w:space="0" w:color="000000"/>
              <w:right w:val="single" w:sz="4" w:space="0" w:color="000000"/>
            </w:tcBorders>
          </w:tcPr>
          <w:p>
            <w:pPr/>
          </w:p>
        </w:tc>
        <w:tc>
          <w:tcPr>
            <w:tcW w:w="709"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12" w:hRule="exact"/>
        </w:trPr>
        <w:tc>
          <w:tcPr>
            <w:tcW w:w="1560"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382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先河环保不再是公众公司；</w:t>
            </w:r>
            <w:r>
              <w:rPr>
                <w:rFonts w:ascii="Times New Roman" w:hAnsi="Times New Roman" w:cs="Times New Roman" w:eastAsia="Times New Roman" w:hint="default"/>
                <w:sz w:val="18"/>
                <w:szCs w:val="18"/>
              </w:rPr>
              <w:t>2</w:t>
            </w:r>
            <w:r>
              <w:rPr>
                <w:rFonts w:ascii="宋体" w:hAnsi="宋体" w:cs="宋体" w:eastAsia="宋体" w:hint="default"/>
                <w:sz w:val="18"/>
                <w:szCs w:val="18"/>
              </w:rPr>
              <w:t>）依据本人、本人</w:t>
            </w:r>
          </w:p>
        </w:tc>
        <w:tc>
          <w:tcPr>
            <w:tcW w:w="850" w:type="dxa"/>
            <w:vMerge/>
            <w:tcBorders>
              <w:left w:val="single" w:sz="4" w:space="0" w:color="000000"/>
              <w:right w:val="single" w:sz="4" w:space="0" w:color="000000"/>
            </w:tcBorders>
          </w:tcPr>
          <w:p>
            <w:pPr/>
          </w:p>
        </w:tc>
        <w:tc>
          <w:tcPr>
            <w:tcW w:w="709"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07" w:hRule="exact"/>
        </w:trPr>
        <w:tc>
          <w:tcPr>
            <w:tcW w:w="1560"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382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关系密切的家庭成员及本人实际控制的相关主</w:t>
            </w:r>
          </w:p>
        </w:tc>
        <w:tc>
          <w:tcPr>
            <w:tcW w:w="850" w:type="dxa"/>
            <w:vMerge/>
            <w:tcBorders>
              <w:left w:val="single" w:sz="4" w:space="0" w:color="000000"/>
              <w:right w:val="single" w:sz="4" w:space="0" w:color="000000"/>
            </w:tcBorders>
          </w:tcPr>
          <w:p>
            <w:pPr/>
          </w:p>
        </w:tc>
        <w:tc>
          <w:tcPr>
            <w:tcW w:w="709"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12" w:hRule="exact"/>
        </w:trPr>
        <w:tc>
          <w:tcPr>
            <w:tcW w:w="1560"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382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体所实际持有或控制的先河环保的股份的比例，</w:t>
            </w:r>
          </w:p>
        </w:tc>
        <w:tc>
          <w:tcPr>
            <w:tcW w:w="850" w:type="dxa"/>
            <w:vMerge/>
            <w:tcBorders>
              <w:left w:val="single" w:sz="4" w:space="0" w:color="000000"/>
              <w:right w:val="single" w:sz="4" w:space="0" w:color="000000"/>
            </w:tcBorders>
          </w:tcPr>
          <w:p>
            <w:pPr/>
          </w:p>
        </w:tc>
        <w:tc>
          <w:tcPr>
            <w:tcW w:w="709"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12" w:hRule="exact"/>
        </w:trPr>
        <w:tc>
          <w:tcPr>
            <w:tcW w:w="1560"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382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对先河环保的股东大会的决议的形成不再能产</w:t>
            </w:r>
          </w:p>
        </w:tc>
        <w:tc>
          <w:tcPr>
            <w:tcW w:w="850" w:type="dxa"/>
            <w:vMerge/>
            <w:tcBorders>
              <w:left w:val="single" w:sz="4" w:space="0" w:color="000000"/>
              <w:right w:val="single" w:sz="4" w:space="0" w:color="000000"/>
            </w:tcBorders>
          </w:tcPr>
          <w:p>
            <w:pPr/>
          </w:p>
        </w:tc>
        <w:tc>
          <w:tcPr>
            <w:tcW w:w="709"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17" w:hRule="exact"/>
        </w:trPr>
        <w:tc>
          <w:tcPr>
            <w:tcW w:w="1560"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382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生重大影响。二、关于规范关联交易的承诺（</w:t>
            </w:r>
            <w:r>
              <w:rPr>
                <w:rFonts w:ascii="Times New Roman" w:hAnsi="Times New Roman" w:cs="Times New Roman" w:eastAsia="Times New Roman" w:hint="default"/>
                <w:sz w:val="18"/>
                <w:szCs w:val="18"/>
              </w:rPr>
              <w:t>1</w:t>
            </w:r>
          </w:p>
        </w:tc>
        <w:tc>
          <w:tcPr>
            <w:tcW w:w="850" w:type="dxa"/>
            <w:vMerge/>
            <w:tcBorders>
              <w:left w:val="single" w:sz="4" w:space="0" w:color="000000"/>
              <w:right w:val="single" w:sz="4" w:space="0" w:color="000000"/>
            </w:tcBorders>
          </w:tcPr>
          <w:p>
            <w:pPr/>
          </w:p>
        </w:tc>
        <w:tc>
          <w:tcPr>
            <w:tcW w:w="709"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07" w:hRule="exact"/>
        </w:trPr>
        <w:tc>
          <w:tcPr>
            <w:tcW w:w="1560"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382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承诺内容为充分保护上市公司的利益，作为先河</w:t>
            </w:r>
          </w:p>
        </w:tc>
        <w:tc>
          <w:tcPr>
            <w:tcW w:w="850" w:type="dxa"/>
            <w:vMerge/>
            <w:tcBorders>
              <w:left w:val="single" w:sz="4" w:space="0" w:color="000000"/>
              <w:right w:val="single" w:sz="4" w:space="0" w:color="000000"/>
            </w:tcBorders>
          </w:tcPr>
          <w:p>
            <w:pPr/>
          </w:p>
        </w:tc>
        <w:tc>
          <w:tcPr>
            <w:tcW w:w="709"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12" w:hRule="exact"/>
        </w:trPr>
        <w:tc>
          <w:tcPr>
            <w:tcW w:w="1560"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382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环保的控股股东及实际控制人李玉国先生承诺：</w:t>
            </w:r>
          </w:p>
        </w:tc>
        <w:tc>
          <w:tcPr>
            <w:tcW w:w="850" w:type="dxa"/>
            <w:vMerge/>
            <w:tcBorders>
              <w:left w:val="single" w:sz="4" w:space="0" w:color="000000"/>
              <w:right w:val="single" w:sz="4" w:space="0" w:color="000000"/>
            </w:tcBorders>
          </w:tcPr>
          <w:p>
            <w:pPr/>
          </w:p>
        </w:tc>
        <w:tc>
          <w:tcPr>
            <w:tcW w:w="709"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17" w:hRule="exact"/>
        </w:trPr>
        <w:tc>
          <w:tcPr>
            <w:tcW w:w="1560"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382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、本人将善意履行作为先河环保的实际控制人</w:t>
            </w:r>
          </w:p>
        </w:tc>
        <w:tc>
          <w:tcPr>
            <w:tcW w:w="850" w:type="dxa"/>
            <w:vMerge/>
            <w:tcBorders>
              <w:left w:val="single" w:sz="4" w:space="0" w:color="000000"/>
              <w:right w:val="single" w:sz="4" w:space="0" w:color="000000"/>
            </w:tcBorders>
          </w:tcPr>
          <w:p>
            <w:pPr/>
          </w:p>
        </w:tc>
        <w:tc>
          <w:tcPr>
            <w:tcW w:w="709"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07" w:hRule="exact"/>
        </w:trPr>
        <w:tc>
          <w:tcPr>
            <w:tcW w:w="1560"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382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的义务，充分尊重先河环保的独立法人地位，保</w:t>
            </w:r>
          </w:p>
        </w:tc>
        <w:tc>
          <w:tcPr>
            <w:tcW w:w="850" w:type="dxa"/>
            <w:vMerge/>
            <w:tcBorders>
              <w:left w:val="single" w:sz="4" w:space="0" w:color="000000"/>
              <w:right w:val="single" w:sz="4" w:space="0" w:color="000000"/>
            </w:tcBorders>
          </w:tcPr>
          <w:p>
            <w:pPr/>
          </w:p>
        </w:tc>
        <w:tc>
          <w:tcPr>
            <w:tcW w:w="709"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12" w:hRule="exact"/>
        </w:trPr>
        <w:tc>
          <w:tcPr>
            <w:tcW w:w="1560"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382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障先河环保独立经营、自主决策。本人将严格按</w:t>
            </w:r>
          </w:p>
        </w:tc>
        <w:tc>
          <w:tcPr>
            <w:tcW w:w="850" w:type="dxa"/>
            <w:vMerge/>
            <w:tcBorders>
              <w:left w:val="single" w:sz="4" w:space="0" w:color="000000"/>
              <w:right w:val="single" w:sz="4" w:space="0" w:color="000000"/>
            </w:tcBorders>
          </w:tcPr>
          <w:p>
            <w:pPr/>
          </w:p>
        </w:tc>
        <w:tc>
          <w:tcPr>
            <w:tcW w:w="709"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12" w:hRule="exact"/>
        </w:trPr>
        <w:tc>
          <w:tcPr>
            <w:tcW w:w="1560"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382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7"/>
                <w:sz w:val="18"/>
                <w:szCs w:val="18"/>
              </w:rPr>
              <w:t>照中国《公司法》</w:t>
            </w:r>
          </w:p>
        </w:tc>
        <w:tc>
          <w:tcPr>
            <w:tcW w:w="850" w:type="dxa"/>
            <w:vMerge/>
            <w:tcBorders>
              <w:left w:val="single" w:sz="4" w:space="0" w:color="000000"/>
              <w:right w:val="single" w:sz="4" w:space="0" w:color="000000"/>
            </w:tcBorders>
          </w:tcPr>
          <w:p>
            <w:pPr/>
          </w:p>
        </w:tc>
        <w:tc>
          <w:tcPr>
            <w:tcW w:w="709"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12" w:hRule="exact"/>
        </w:trPr>
        <w:tc>
          <w:tcPr>
            <w:tcW w:w="1560"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382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依法行使本人作为先河环保股东的权利，并按照</w:t>
            </w:r>
          </w:p>
        </w:tc>
        <w:tc>
          <w:tcPr>
            <w:tcW w:w="850" w:type="dxa"/>
            <w:vMerge/>
            <w:tcBorders>
              <w:left w:val="single" w:sz="4" w:space="0" w:color="000000"/>
              <w:right w:val="single" w:sz="4" w:space="0" w:color="000000"/>
            </w:tcBorders>
          </w:tcPr>
          <w:p>
            <w:pPr/>
          </w:p>
        </w:tc>
        <w:tc>
          <w:tcPr>
            <w:tcW w:w="709"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12" w:hRule="exact"/>
        </w:trPr>
        <w:tc>
          <w:tcPr>
            <w:tcW w:w="1560"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382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4"/>
                <w:sz w:val="18"/>
                <w:szCs w:val="18"/>
              </w:rPr>
              <w:t>在先河环保所任职务（如有）</w:t>
            </w:r>
          </w:p>
        </w:tc>
        <w:tc>
          <w:tcPr>
            <w:tcW w:w="850" w:type="dxa"/>
            <w:vMerge/>
            <w:tcBorders>
              <w:left w:val="single" w:sz="4" w:space="0" w:color="000000"/>
              <w:right w:val="single" w:sz="4" w:space="0" w:color="000000"/>
            </w:tcBorders>
          </w:tcPr>
          <w:p>
            <w:pPr/>
          </w:p>
        </w:tc>
        <w:tc>
          <w:tcPr>
            <w:tcW w:w="709"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12" w:hRule="exact"/>
        </w:trPr>
        <w:tc>
          <w:tcPr>
            <w:tcW w:w="1560"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382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履行诚信和勤勉义务，并促使由本人提名的先河</w:t>
            </w:r>
          </w:p>
        </w:tc>
        <w:tc>
          <w:tcPr>
            <w:tcW w:w="850" w:type="dxa"/>
            <w:vMerge/>
            <w:tcBorders>
              <w:left w:val="single" w:sz="4" w:space="0" w:color="000000"/>
              <w:right w:val="single" w:sz="4" w:space="0" w:color="000000"/>
            </w:tcBorders>
          </w:tcPr>
          <w:p>
            <w:pPr/>
          </w:p>
        </w:tc>
        <w:tc>
          <w:tcPr>
            <w:tcW w:w="709"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17" w:hRule="exact"/>
        </w:trPr>
        <w:tc>
          <w:tcPr>
            <w:tcW w:w="1560"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382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环保董事依法履行其应尽的诚信和勤勉义务。</w:t>
            </w:r>
            <w:r>
              <w:rPr>
                <w:rFonts w:ascii="Times New Roman" w:hAnsi="Times New Roman" w:cs="Times New Roman" w:eastAsia="Times New Roman" w:hint="default"/>
                <w:sz w:val="18"/>
                <w:szCs w:val="18"/>
              </w:rPr>
              <w:t>2</w:t>
            </w:r>
          </w:p>
        </w:tc>
        <w:tc>
          <w:tcPr>
            <w:tcW w:w="850" w:type="dxa"/>
            <w:vMerge/>
            <w:tcBorders>
              <w:left w:val="single" w:sz="4" w:space="0" w:color="000000"/>
              <w:right w:val="single" w:sz="4" w:space="0" w:color="000000"/>
            </w:tcBorders>
          </w:tcPr>
          <w:p>
            <w:pPr/>
          </w:p>
        </w:tc>
        <w:tc>
          <w:tcPr>
            <w:tcW w:w="709"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07" w:hRule="exact"/>
        </w:trPr>
        <w:tc>
          <w:tcPr>
            <w:tcW w:w="1560"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382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保证本人以及本人控股或实际控制的公司或者</w:t>
            </w:r>
          </w:p>
        </w:tc>
        <w:tc>
          <w:tcPr>
            <w:tcW w:w="850" w:type="dxa"/>
            <w:vMerge/>
            <w:tcBorders>
              <w:left w:val="single" w:sz="4" w:space="0" w:color="000000"/>
              <w:right w:val="single" w:sz="4" w:space="0" w:color="000000"/>
            </w:tcBorders>
          </w:tcPr>
          <w:p>
            <w:pPr/>
          </w:p>
        </w:tc>
        <w:tc>
          <w:tcPr>
            <w:tcW w:w="709"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12" w:hRule="exact"/>
        </w:trPr>
        <w:tc>
          <w:tcPr>
            <w:tcW w:w="1560"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382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其他企业或经济组织（以下统称本人控制的企</w:t>
            </w:r>
          </w:p>
        </w:tc>
        <w:tc>
          <w:tcPr>
            <w:tcW w:w="850" w:type="dxa"/>
            <w:vMerge/>
            <w:tcBorders>
              <w:left w:val="single" w:sz="4" w:space="0" w:color="000000"/>
              <w:right w:val="single" w:sz="4" w:space="0" w:color="000000"/>
            </w:tcBorders>
          </w:tcPr>
          <w:p>
            <w:pPr/>
          </w:p>
        </w:tc>
        <w:tc>
          <w:tcPr>
            <w:tcW w:w="709"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12" w:hRule="exact"/>
        </w:trPr>
        <w:tc>
          <w:tcPr>
            <w:tcW w:w="1560"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382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业</w:t>
            </w:r>
            <w:r>
              <w:rPr>
                <w:rFonts w:ascii="宋体" w:hAnsi="宋体" w:cs="宋体" w:eastAsia="宋体" w:hint="default"/>
                <w:spacing w:val="-90"/>
                <w:sz w:val="18"/>
                <w:szCs w:val="18"/>
              </w:rPr>
              <w:t>）</w:t>
            </w:r>
            <w:r>
              <w:rPr>
                <w:rFonts w:ascii="宋体" w:hAnsi="宋体" w:cs="宋体" w:eastAsia="宋体" w:hint="default"/>
                <w:sz w:val="18"/>
                <w:szCs w:val="18"/>
              </w:rPr>
              <w:t>，今后原则上不与先河环保发生关联交易。</w:t>
            </w:r>
          </w:p>
        </w:tc>
        <w:tc>
          <w:tcPr>
            <w:tcW w:w="850" w:type="dxa"/>
            <w:vMerge/>
            <w:tcBorders>
              <w:left w:val="single" w:sz="4" w:space="0" w:color="000000"/>
              <w:right w:val="single" w:sz="4" w:space="0" w:color="000000"/>
            </w:tcBorders>
          </w:tcPr>
          <w:p>
            <w:pPr/>
          </w:p>
        </w:tc>
        <w:tc>
          <w:tcPr>
            <w:tcW w:w="709"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12" w:hRule="exact"/>
        </w:trPr>
        <w:tc>
          <w:tcPr>
            <w:tcW w:w="1560"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382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如果先河环保在今后的经营活动中必须与本人</w:t>
            </w:r>
          </w:p>
        </w:tc>
        <w:tc>
          <w:tcPr>
            <w:tcW w:w="850" w:type="dxa"/>
            <w:vMerge/>
            <w:tcBorders>
              <w:left w:val="single" w:sz="4" w:space="0" w:color="000000"/>
              <w:right w:val="single" w:sz="4" w:space="0" w:color="000000"/>
            </w:tcBorders>
          </w:tcPr>
          <w:p>
            <w:pPr/>
          </w:p>
        </w:tc>
        <w:tc>
          <w:tcPr>
            <w:tcW w:w="709"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12" w:hRule="exact"/>
        </w:trPr>
        <w:tc>
          <w:tcPr>
            <w:tcW w:w="1560"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382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或本人控制的企业发生不可避免的关联交易，本</w:t>
            </w:r>
          </w:p>
        </w:tc>
        <w:tc>
          <w:tcPr>
            <w:tcW w:w="850" w:type="dxa"/>
            <w:vMerge/>
            <w:tcBorders>
              <w:left w:val="single" w:sz="4" w:space="0" w:color="000000"/>
              <w:right w:val="single" w:sz="4" w:space="0" w:color="000000"/>
            </w:tcBorders>
          </w:tcPr>
          <w:p>
            <w:pPr/>
          </w:p>
        </w:tc>
        <w:tc>
          <w:tcPr>
            <w:tcW w:w="709"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12" w:hRule="exact"/>
        </w:trPr>
        <w:tc>
          <w:tcPr>
            <w:tcW w:w="1560"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382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人将促使此等交易严格按照国家有关法律法规、</w:t>
            </w:r>
          </w:p>
        </w:tc>
        <w:tc>
          <w:tcPr>
            <w:tcW w:w="850" w:type="dxa"/>
            <w:vMerge/>
            <w:tcBorders>
              <w:left w:val="single" w:sz="4" w:space="0" w:color="000000"/>
              <w:right w:val="single" w:sz="4" w:space="0" w:color="000000"/>
            </w:tcBorders>
          </w:tcPr>
          <w:p>
            <w:pPr/>
          </w:p>
        </w:tc>
        <w:tc>
          <w:tcPr>
            <w:tcW w:w="709"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12" w:hRule="exact"/>
        </w:trPr>
        <w:tc>
          <w:tcPr>
            <w:tcW w:w="1560"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382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先河环保的章程和有关规定履行有关程序，并按</w:t>
            </w:r>
          </w:p>
        </w:tc>
        <w:tc>
          <w:tcPr>
            <w:tcW w:w="850" w:type="dxa"/>
            <w:vMerge/>
            <w:tcBorders>
              <w:left w:val="single" w:sz="4" w:space="0" w:color="000000"/>
              <w:right w:val="single" w:sz="4" w:space="0" w:color="000000"/>
            </w:tcBorders>
          </w:tcPr>
          <w:p>
            <w:pPr/>
          </w:p>
        </w:tc>
        <w:tc>
          <w:tcPr>
            <w:tcW w:w="709"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18" w:hRule="exact"/>
        </w:trPr>
        <w:tc>
          <w:tcPr>
            <w:tcW w:w="1560" w:type="dxa"/>
            <w:vMerge/>
            <w:tcBorders>
              <w:left w:val="single" w:sz="4" w:space="0" w:color="000000"/>
              <w:bottom w:val="single" w:sz="4" w:space="0" w:color="000000"/>
              <w:right w:val="single" w:sz="4" w:space="0" w:color="000000"/>
            </w:tcBorders>
            <w:shd w:val="clear" w:color="auto" w:fill="D2D2D2"/>
          </w:tcPr>
          <w:p>
            <w:pPr/>
          </w:p>
        </w:tc>
        <w:tc>
          <w:tcPr>
            <w:tcW w:w="850" w:type="dxa"/>
            <w:vMerge/>
            <w:tcBorders>
              <w:left w:val="single" w:sz="4" w:space="0" w:color="000000"/>
              <w:bottom w:val="single" w:sz="4" w:space="0" w:color="000000"/>
              <w:right w:val="single" w:sz="4" w:space="0" w:color="000000"/>
            </w:tcBorders>
          </w:tcPr>
          <w:p>
            <w:pPr/>
          </w:p>
        </w:tc>
        <w:tc>
          <w:tcPr>
            <w:tcW w:w="992" w:type="dxa"/>
            <w:vMerge/>
            <w:tcBorders>
              <w:left w:val="single" w:sz="4" w:space="0" w:color="000000"/>
              <w:bottom w:val="single" w:sz="4" w:space="0" w:color="000000"/>
              <w:right w:val="single" w:sz="4" w:space="0" w:color="000000"/>
            </w:tcBorders>
          </w:tcPr>
          <w:p>
            <w:pPr/>
          </w:p>
        </w:tc>
        <w:tc>
          <w:tcPr>
            <w:tcW w:w="382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照正常的商业条件进行，且保证本人及本人控制</w:t>
            </w:r>
          </w:p>
        </w:tc>
        <w:tc>
          <w:tcPr>
            <w:tcW w:w="850" w:type="dxa"/>
            <w:vMerge/>
            <w:tcBorders>
              <w:left w:val="single" w:sz="4" w:space="0" w:color="000000"/>
              <w:bottom w:val="single" w:sz="4" w:space="0" w:color="000000"/>
              <w:right w:val="single" w:sz="4" w:space="0" w:color="000000"/>
            </w:tcBorders>
          </w:tcPr>
          <w:p>
            <w:pPr/>
          </w:p>
        </w:tc>
        <w:tc>
          <w:tcPr>
            <w:tcW w:w="709" w:type="dxa"/>
            <w:vMerge/>
            <w:tcBorders>
              <w:left w:val="single" w:sz="4" w:space="0" w:color="000000"/>
              <w:bottom w:val="single" w:sz="4" w:space="0" w:color="000000"/>
              <w:right w:val="single" w:sz="4" w:space="0" w:color="000000"/>
            </w:tcBorders>
          </w:tcPr>
          <w:p>
            <w:pPr/>
          </w:p>
        </w:tc>
        <w:tc>
          <w:tcPr>
            <w:tcW w:w="779"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1560"/>
        <w:gridCol w:w="850"/>
        <w:gridCol w:w="992"/>
        <w:gridCol w:w="3829"/>
        <w:gridCol w:w="850"/>
        <w:gridCol w:w="709"/>
        <w:gridCol w:w="781"/>
      </w:tblGrid>
      <w:tr>
        <w:trPr>
          <w:trHeight w:val="10659" w:hRule="exact"/>
        </w:trPr>
        <w:tc>
          <w:tcPr>
            <w:tcW w:w="1560" w:type="dxa"/>
            <w:vMerge w:val="restart"/>
            <w:tcBorders>
              <w:top w:val="single" w:sz="4" w:space="0" w:color="000000"/>
              <w:left w:val="single" w:sz="4" w:space="0" w:color="000000"/>
              <w:right w:val="single" w:sz="4" w:space="0" w:color="000000"/>
            </w:tcBorders>
            <w:shd w:val="clear" w:color="auto" w:fill="D2D2D2"/>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3829"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10"/>
              <w:ind w:left="22" w:right="21"/>
              <w:jc w:val="left"/>
              <w:rPr>
                <w:rFonts w:ascii="宋体" w:hAnsi="宋体" w:cs="宋体" w:eastAsia="宋体" w:hint="default"/>
                <w:sz w:val="18"/>
                <w:szCs w:val="18"/>
              </w:rPr>
            </w:pPr>
            <w:r>
              <w:rPr>
                <w:rFonts w:ascii="宋体" w:hAnsi="宋体" w:cs="宋体" w:eastAsia="宋体" w:hint="default"/>
                <w:sz w:val="18"/>
                <w:szCs w:val="18"/>
              </w:rPr>
              <w:t>的企业将不会要求或接受先河环保给予比在任 何一项市场公平交易中第三者更优惠的条件。并 且保证不利用股东地位，就先河环保与本人或本 人控制的企业相关的任何关联交易采取任何行 动，故意促使先河环保的股东大会或董事会作出 侵犯其他股东合法权益的决议。</w:t>
            </w:r>
            <w:r>
              <w:rPr>
                <w:rFonts w:ascii="Times New Roman" w:hAnsi="Times New Roman" w:cs="Times New Roman" w:eastAsia="Times New Roman" w:hint="default"/>
                <w:sz w:val="18"/>
                <w:szCs w:val="18"/>
              </w:rPr>
              <w:t>3</w:t>
            </w:r>
            <w:r>
              <w:rPr>
                <w:rFonts w:ascii="宋体" w:hAnsi="宋体" w:cs="宋体" w:eastAsia="宋体" w:hint="default"/>
                <w:sz w:val="18"/>
                <w:szCs w:val="18"/>
              </w:rPr>
              <w:t>、保证本人及 本人控制的企业将严格和善意地履行其与先河 环保签订的各种关联交易协议。本人及本人控制 的企业将不会向先河环保谋求任何超出该等协 议规定以外的利益或收益。</w:t>
            </w:r>
            <w:r>
              <w:rPr>
                <w:rFonts w:ascii="Times New Roman" w:hAnsi="Times New Roman" w:cs="Times New Roman" w:eastAsia="Times New Roman" w:hint="default"/>
                <w:sz w:val="18"/>
                <w:szCs w:val="18"/>
              </w:rPr>
              <w:t>4</w:t>
            </w:r>
            <w:r>
              <w:rPr>
                <w:rFonts w:ascii="宋体" w:hAnsi="宋体" w:cs="宋体" w:eastAsia="宋体" w:hint="default"/>
                <w:sz w:val="18"/>
                <w:szCs w:val="18"/>
              </w:rPr>
              <w:t>、如果本人违反上 述承诺，先河环保有权要求本人及本人控制的企 业规范相应的交易行为，并将已经从交易中获得 的利益、收益以现金的方式补偿给先河环保，且 本人将促使本人控制的企业（如需）按照先河环 保要求实施补偿；如因违反上述承诺造成先河环 保经济损失的，本人将赔偿并促使本人控制的企 业赔偿先河环保因此受到的全部损失。</w:t>
            </w:r>
            <w:r>
              <w:rPr>
                <w:rFonts w:ascii="Times New Roman" w:hAnsi="Times New Roman" w:cs="Times New Roman" w:eastAsia="Times New Roman" w:hint="default"/>
                <w:sz w:val="18"/>
                <w:szCs w:val="18"/>
              </w:rPr>
              <w:t>5</w:t>
            </w:r>
            <w:r>
              <w:rPr>
                <w:rFonts w:ascii="宋体" w:hAnsi="宋体" w:cs="宋体" w:eastAsia="宋体" w:hint="default"/>
                <w:sz w:val="18"/>
                <w:szCs w:val="18"/>
              </w:rPr>
              <w:t>、本人 未能履行第（</w:t>
            </w:r>
            <w:r>
              <w:rPr>
                <w:rFonts w:ascii="Times New Roman" w:hAnsi="Times New Roman" w:cs="Times New Roman" w:eastAsia="Times New Roman" w:hint="default"/>
                <w:sz w:val="18"/>
                <w:szCs w:val="18"/>
              </w:rPr>
              <w:t>4</w:t>
            </w:r>
            <w:r>
              <w:rPr>
                <w:rFonts w:ascii="宋体" w:hAnsi="宋体" w:cs="宋体" w:eastAsia="宋体" w:hint="default"/>
                <w:sz w:val="18"/>
                <w:szCs w:val="18"/>
              </w:rPr>
              <w:t>）项所述的规范交易、补偿、赔 偿等承诺的，则先河环保有权相应扣减应付本人 的现金分红和应付本人的税后薪酬抵作补偿、赔 偿或者作为促使本人履行第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项所述承诺的措</w:t>
            </w:r>
          </w:p>
          <w:p>
            <w:pPr>
              <w:pStyle w:val="TableParagraph"/>
              <w:spacing w:line="309" w:lineRule="auto" w:before="1"/>
              <w:ind w:left="22" w:right="21"/>
              <w:jc w:val="left"/>
              <w:rPr>
                <w:rFonts w:ascii="宋体" w:hAnsi="宋体" w:cs="宋体" w:eastAsia="宋体" w:hint="default"/>
                <w:sz w:val="18"/>
                <w:szCs w:val="18"/>
              </w:rPr>
            </w:pPr>
            <w:r>
              <w:rPr>
                <w:rFonts w:ascii="宋体" w:hAnsi="宋体" w:cs="宋体" w:eastAsia="宋体" w:hint="default"/>
                <w:sz w:val="18"/>
                <w:szCs w:val="18"/>
              </w:rPr>
              <w:t>施，且在第</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项所述承诺全部履行完成前，本人 亦不转让本人所直接或间接所持的先河环保的 股份，但为履行第</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项所述承诺而进行转让的除 外。</w:t>
            </w:r>
            <w:r>
              <w:rPr>
                <w:rFonts w:ascii="Times New Roman" w:hAnsi="Times New Roman" w:cs="Times New Roman" w:eastAsia="Times New Roman" w:hint="default"/>
                <w:sz w:val="18"/>
                <w:szCs w:val="18"/>
              </w:rPr>
              <w:t>6</w:t>
            </w:r>
            <w:r>
              <w:rPr>
                <w:rFonts w:ascii="宋体" w:hAnsi="宋体" w:cs="宋体" w:eastAsia="宋体" w:hint="default"/>
                <w:sz w:val="18"/>
                <w:szCs w:val="18"/>
              </w:rPr>
              <w:t>、本承诺函所述承诺事项已经本人确认， 为本人的真实意思表示，对本人具有法律约束 力。本人自愿接受监管机关、社会公众及投资者 的监督，积极采取合法措施履行本承诺，并依法 承担相应责任。</w:t>
            </w:r>
            <w:r>
              <w:rPr>
                <w:rFonts w:ascii="Times New Roman" w:hAnsi="Times New Roman" w:cs="Times New Roman" w:eastAsia="Times New Roman" w:hint="default"/>
                <w:sz w:val="18"/>
                <w:szCs w:val="18"/>
              </w:rPr>
              <w:t>7</w:t>
            </w:r>
            <w:r>
              <w:rPr>
                <w:rFonts w:ascii="宋体" w:hAnsi="宋体" w:cs="宋体" w:eastAsia="宋体" w:hint="default"/>
                <w:sz w:val="18"/>
                <w:szCs w:val="18"/>
              </w:rPr>
              <w:t>、本承诺函自签署之日起生效 并持续有效，自生效之日起，即取代此前本人就 本承诺函项下的事项所作出的承诺，但本承诺函 自下列较早时间起不再有效：</w:t>
            </w:r>
            <w:r>
              <w:rPr>
                <w:rFonts w:ascii="Times New Roman" w:hAnsi="Times New Roman" w:cs="Times New Roman" w:eastAsia="Times New Roman" w:hint="default"/>
                <w:sz w:val="18"/>
                <w:szCs w:val="18"/>
              </w:rPr>
              <w:t>1</w:t>
            </w:r>
            <w:r>
              <w:rPr>
                <w:rFonts w:ascii="宋体" w:hAnsi="宋体" w:cs="宋体" w:eastAsia="宋体" w:hint="default"/>
                <w:sz w:val="18"/>
                <w:szCs w:val="18"/>
              </w:rPr>
              <w:t>）先河环保不再 是公众公司；</w:t>
            </w:r>
            <w:r>
              <w:rPr>
                <w:rFonts w:ascii="Times New Roman" w:hAnsi="Times New Roman" w:cs="Times New Roman" w:eastAsia="Times New Roman" w:hint="default"/>
                <w:sz w:val="18"/>
                <w:szCs w:val="18"/>
              </w:rPr>
              <w:t>2</w:t>
            </w:r>
            <w:r>
              <w:rPr>
                <w:rFonts w:ascii="宋体" w:hAnsi="宋体" w:cs="宋体" w:eastAsia="宋体" w:hint="default"/>
                <w:sz w:val="18"/>
                <w:szCs w:val="18"/>
              </w:rPr>
              <w:t>）依据先河环保所应遵守的相关 规则，本人不再是先河环保的关联方。</w:t>
            </w:r>
          </w:p>
        </w:tc>
        <w:tc>
          <w:tcPr>
            <w:tcW w:w="850"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2898" w:hRule="exact"/>
        </w:trPr>
        <w:tc>
          <w:tcPr>
            <w:tcW w:w="1560" w:type="dxa"/>
            <w:vMerge/>
            <w:tcBorders>
              <w:left w:val="single" w:sz="4" w:space="0" w:color="000000"/>
              <w:bottom w:val="single" w:sz="4" w:space="0" w:color="000000"/>
              <w:right w:val="single" w:sz="4" w:space="0" w:color="000000"/>
            </w:tcBorders>
            <w:shd w:val="clear" w:color="auto" w:fill="D2D2D2"/>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00" w:lineRule="auto" w:before="108"/>
              <w:ind w:left="22" w:right="44"/>
              <w:jc w:val="left"/>
              <w:rPr>
                <w:rFonts w:ascii="宋体" w:hAnsi="宋体" w:cs="宋体" w:eastAsia="宋体" w:hint="default"/>
                <w:sz w:val="18"/>
                <w:szCs w:val="18"/>
              </w:rPr>
            </w:pPr>
            <w:r>
              <w:rPr>
                <w:rFonts w:ascii="宋体" w:hAnsi="宋体" w:cs="宋体" w:eastAsia="宋体" w:hint="default"/>
                <w:sz w:val="18"/>
                <w:szCs w:val="18"/>
              </w:rPr>
              <w:t>梁常清</w:t>
            </w:r>
            <w:r>
              <w:rPr>
                <w:rFonts w:ascii="Times New Roman" w:hAnsi="Times New Roman" w:cs="Times New Roman" w:eastAsia="Times New Roman" w:hint="default"/>
                <w:sz w:val="18"/>
                <w:szCs w:val="18"/>
              </w:rPr>
              <w:t>;</w:t>
            </w:r>
            <w:r>
              <w:rPr>
                <w:rFonts w:ascii="宋体" w:hAnsi="宋体" w:cs="宋体" w:eastAsia="宋体" w:hint="default"/>
                <w:sz w:val="18"/>
                <w:szCs w:val="18"/>
              </w:rPr>
              <w:t>梁 宝欣</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3829"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2" w:right="14"/>
              <w:jc w:val="left"/>
              <w:rPr>
                <w:rFonts w:ascii="宋体" w:hAnsi="宋体" w:cs="宋体" w:eastAsia="宋体" w:hint="default"/>
                <w:sz w:val="18"/>
                <w:szCs w:val="18"/>
              </w:rPr>
            </w:pPr>
            <w:r>
              <w:rPr>
                <w:rFonts w:ascii="宋体" w:hAnsi="宋体" w:cs="宋体" w:eastAsia="宋体" w:hint="default"/>
                <w:sz w:val="18"/>
                <w:szCs w:val="18"/>
              </w:rPr>
              <w:t>一、若政府主管部门追缴科迪隆及其子公司、广 西先得及其子公司在科迪隆以及广西先得</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80% </w:t>
            </w:r>
            <w:r>
              <w:rPr>
                <w:rFonts w:ascii="宋体" w:hAnsi="宋体" w:cs="宋体" w:eastAsia="宋体" w:hint="default"/>
                <w:sz w:val="18"/>
                <w:szCs w:val="18"/>
              </w:rPr>
              <w:t>股权交割日（科迪隆以及广西先得</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80%</w:t>
            </w:r>
            <w:r>
              <w:rPr>
                <w:rFonts w:ascii="宋体" w:hAnsi="宋体" w:cs="宋体" w:eastAsia="宋体" w:hint="default"/>
                <w:sz w:val="18"/>
                <w:szCs w:val="18"/>
              </w:rPr>
              <w:t>股权办理 完毕过户至先河环保的工商变更登记手续之日） 前发生的应缴税款，科迪隆及其子公司、广西先 得及其子公司缴纳上述税款及相应滞纳金、罚金 后，由梁常清、梁宝欣按照各自的持股比例给予 科迪隆及其子公司、广西先得及其子公司足额补 偿。</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left="23" w:right="0"/>
              <w:jc w:val="left"/>
              <w:rPr>
                <w:rFonts w:ascii="Times New Roman" w:hAnsi="Times New Roman" w:cs="Times New Roman" w:eastAsia="Times New Roman" w:hint="default"/>
                <w:sz w:val="18"/>
                <w:szCs w:val="18"/>
              </w:rPr>
            </w:pPr>
            <w:r>
              <w:rPr>
                <w:rFonts w:ascii="Times New Roman"/>
                <w:sz w:val="18"/>
              </w:rPr>
              <w:t>9999-12</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-31</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319" w:lineRule="auto"/>
              <w:ind w:left="22" w:right="26"/>
              <w:jc w:val="both"/>
              <w:rPr>
                <w:rFonts w:ascii="宋体" w:hAnsi="宋体" w:cs="宋体" w:eastAsia="宋体" w:hint="default"/>
                <w:sz w:val="18"/>
                <w:szCs w:val="18"/>
              </w:rPr>
            </w:pPr>
            <w:r>
              <w:rPr>
                <w:rFonts w:ascii="宋体" w:hAnsi="宋体" w:cs="宋体" w:eastAsia="宋体" w:hint="default"/>
                <w:sz w:val="18"/>
                <w:szCs w:val="18"/>
              </w:rPr>
              <w:t>未发生违 反承诺的 事项和行 为。</w:t>
            </w:r>
          </w:p>
        </w:tc>
      </w:tr>
    </w:tbl>
    <w:p>
      <w:pPr>
        <w:spacing w:after="0" w:line="319" w:lineRule="auto"/>
        <w:jc w:val="both"/>
        <w:rPr>
          <w:rFonts w:ascii="宋体" w:hAnsi="宋体" w:cs="宋体" w:eastAsia="宋体" w:hint="default"/>
          <w:sz w:val="18"/>
          <w:szCs w:val="18"/>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r>
        <w:rPr/>
        <w:pict>
          <v:shape style="position:absolute;margin-left:56.459999pt;margin-top:71.999985pt;width:479.2pt;height:691.9pt;mso-position-horizontal-relative:page;mso-position-vertical-relative:page;z-index:140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560"/>
                    <w:gridCol w:w="850"/>
                    <w:gridCol w:w="992"/>
                    <w:gridCol w:w="3829"/>
                    <w:gridCol w:w="850"/>
                    <w:gridCol w:w="709"/>
                    <w:gridCol w:w="779"/>
                  </w:tblGrid>
                  <w:tr>
                    <w:trPr>
                      <w:trHeight w:val="3210" w:hRule="exact"/>
                    </w:trPr>
                    <w:tc>
                      <w:tcPr>
                        <w:tcW w:w="156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9"/>
                            <w:szCs w:val="19"/>
                          </w:rPr>
                        </w:pPr>
                      </w:p>
                      <w:p>
                        <w:pPr>
                          <w:pStyle w:val="TableParagraph"/>
                          <w:spacing w:line="319" w:lineRule="auto"/>
                          <w:ind w:left="22" w:right="87"/>
                          <w:jc w:val="left"/>
                          <w:rPr>
                            <w:rFonts w:ascii="宋体" w:hAnsi="宋体" w:cs="宋体" w:eastAsia="宋体" w:hint="default"/>
                            <w:sz w:val="18"/>
                            <w:szCs w:val="18"/>
                          </w:rPr>
                        </w:pPr>
                        <w:r>
                          <w:rPr>
                            <w:rFonts w:ascii="宋体" w:hAnsi="宋体" w:cs="宋体" w:eastAsia="宋体" w:hint="default"/>
                            <w:sz w:val="18"/>
                            <w:szCs w:val="18"/>
                          </w:rPr>
                          <w:t>首次公开发行或再 融资时所作承诺</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李玉国</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2"/>
                          <w:ind w:left="23" w:right="56"/>
                          <w:jc w:val="left"/>
                          <w:rPr>
                            <w:rFonts w:ascii="宋体" w:hAnsi="宋体" w:cs="宋体" w:eastAsia="宋体" w:hint="default"/>
                            <w:sz w:val="18"/>
                            <w:szCs w:val="18"/>
                          </w:rPr>
                        </w:pPr>
                        <w:r>
                          <w:rPr>
                            <w:rFonts w:ascii="宋体" w:hAnsi="宋体" w:cs="宋体" w:eastAsia="宋体" w:hint="default"/>
                            <w:sz w:val="18"/>
                            <w:szCs w:val="18"/>
                          </w:rPr>
                          <w:t>股份限售承 诺</w:t>
                        </w:r>
                      </w:p>
                    </w:tc>
                    <w:tc>
                      <w:tcPr>
                        <w:tcW w:w="3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4" w:lineRule="auto"/>
                          <w:ind w:left="22" w:right="14"/>
                          <w:jc w:val="left"/>
                          <w:rPr>
                            <w:rFonts w:ascii="宋体" w:hAnsi="宋体" w:cs="宋体" w:eastAsia="宋体" w:hint="default"/>
                            <w:sz w:val="18"/>
                            <w:szCs w:val="18"/>
                          </w:rPr>
                        </w:pPr>
                        <w:r>
                          <w:rPr>
                            <w:rFonts w:ascii="宋体" w:hAnsi="宋体" w:cs="宋体" w:eastAsia="宋体" w:hint="default"/>
                            <w:sz w:val="18"/>
                            <w:szCs w:val="18"/>
                          </w:rPr>
                          <w:t>本公司实际控制人、控股股东李玉国承诺：自发 行人股票上市交易之日起 </w:t>
                        </w: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个月内，不转让或 者委托他人管理其直接和间接持有的发行人股 份，也不由发行人收购该部分股份；在其任职期 间每年转让的股份不超过其直接或间接持有的 发行人股份总数的百分之二十五，离职后半年 内，不转让其直接或者间接持有的发行人股份。</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2"/>
                          <w:ind w:left="23" w:right="0"/>
                          <w:jc w:val="left"/>
                          <w:rPr>
                            <w:rFonts w:ascii="Times New Roman" w:hAnsi="Times New Roman" w:cs="Times New Roman" w:eastAsia="Times New Roman" w:hint="default"/>
                            <w:sz w:val="18"/>
                            <w:szCs w:val="18"/>
                          </w:rPr>
                        </w:pPr>
                        <w:r>
                          <w:rPr>
                            <w:rFonts w:ascii="Times New Roman"/>
                            <w:spacing w:val="-3"/>
                            <w:sz w:val="18"/>
                          </w:rPr>
                          <w:t>2013-11</w:t>
                        </w:r>
                        <w:r>
                          <w:rPr>
                            <w:rFonts w:ascii="Times New Roman"/>
                            <w:sz w:val="18"/>
                          </w:rPr>
                        </w:r>
                      </w:p>
                      <w:p>
                        <w:pPr>
                          <w:pStyle w:val="TableParagraph"/>
                          <w:spacing w:line="240" w:lineRule="auto" w:before="106"/>
                          <w:ind w:left="23" w:right="0"/>
                          <w:jc w:val="left"/>
                          <w:rPr>
                            <w:rFonts w:ascii="Times New Roman" w:hAnsi="Times New Roman" w:cs="Times New Roman" w:eastAsia="Times New Roman" w:hint="default"/>
                            <w:sz w:val="18"/>
                            <w:szCs w:val="18"/>
                          </w:rPr>
                        </w:pPr>
                        <w:r>
                          <w:rPr>
                            <w:rFonts w:ascii="Times New Roman"/>
                            <w:sz w:val="18"/>
                          </w:rPr>
                          <w:t>-05</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4"/>
                          <w:jc w:val="left"/>
                          <w:rPr>
                            <w:rFonts w:ascii="宋体" w:hAnsi="宋体" w:cs="宋体" w:eastAsia="宋体" w:hint="default"/>
                            <w:sz w:val="18"/>
                            <w:szCs w:val="18"/>
                          </w:rPr>
                        </w:pPr>
                        <w:r>
                          <w:rPr>
                            <w:rFonts w:ascii="宋体" w:hAnsi="宋体" w:cs="宋体" w:eastAsia="宋体" w:hint="default"/>
                            <w:sz w:val="18"/>
                            <w:szCs w:val="18"/>
                          </w:rPr>
                          <w:t>本公司实 际控制 人、控股 股东李玉 国严格遵 守上述承 诺，未发 现违反上 述承诺情 况。</w:t>
                        </w:r>
                      </w:p>
                    </w:tc>
                  </w:tr>
                  <w:tr>
                    <w:trPr>
                      <w:trHeight w:val="2274" w:hRule="exact"/>
                    </w:trPr>
                    <w:tc>
                      <w:tcPr>
                        <w:tcW w:w="1560" w:type="dxa"/>
                        <w:vMerge/>
                        <w:tcBorders>
                          <w:left w:val="single" w:sz="4" w:space="0" w:color="000000"/>
                          <w:right w:val="single" w:sz="4" w:space="0" w:color="000000"/>
                        </w:tcBorders>
                        <w:shd w:val="clear" w:color="auto" w:fill="D2D2D2"/>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范朝</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4"/>
                          <w:ind w:left="23" w:right="56"/>
                          <w:jc w:val="left"/>
                          <w:rPr>
                            <w:rFonts w:ascii="宋体" w:hAnsi="宋体" w:cs="宋体" w:eastAsia="宋体" w:hint="default"/>
                            <w:sz w:val="18"/>
                            <w:szCs w:val="18"/>
                          </w:rPr>
                        </w:pPr>
                        <w:r>
                          <w:rPr>
                            <w:rFonts w:ascii="宋体" w:hAnsi="宋体" w:cs="宋体" w:eastAsia="宋体" w:hint="default"/>
                            <w:sz w:val="18"/>
                            <w:szCs w:val="18"/>
                          </w:rPr>
                          <w:t>股份限售承 诺</w:t>
                        </w:r>
                      </w:p>
                    </w:tc>
                    <w:tc>
                      <w:tcPr>
                        <w:tcW w:w="3829"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2" w:right="14"/>
                          <w:jc w:val="left"/>
                          <w:rPr>
                            <w:rFonts w:ascii="宋体" w:hAnsi="宋体" w:cs="宋体" w:eastAsia="宋体" w:hint="default"/>
                            <w:sz w:val="18"/>
                            <w:szCs w:val="18"/>
                          </w:rPr>
                        </w:pPr>
                        <w:r>
                          <w:rPr>
                            <w:rFonts w:ascii="宋体" w:hAnsi="宋体" w:cs="宋体" w:eastAsia="宋体" w:hint="default"/>
                            <w:sz w:val="18"/>
                            <w:szCs w:val="18"/>
                          </w:rPr>
                          <w:t>范朝承诺：自发行人股票上市交易之日起 </w:t>
                        </w: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 月内，不转让或者委托他人管理其直接和间接持 有的发行人股份，也不由发行人收购该部分股 份；在其任职期间每年转让的股份不超过其直接 或间接持有的发行人股份总数的百分之二十五， 离职后半年内，不转让其直接或者间接持有的发 行人股份。</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pacing w:val="-3"/>
                            <w:sz w:val="18"/>
                          </w:rPr>
                          <w:t>2013-11</w:t>
                        </w:r>
                        <w:r>
                          <w:rPr>
                            <w:rFonts w:ascii="Times New Roman"/>
                            <w:sz w:val="18"/>
                          </w:rPr>
                        </w:r>
                      </w:p>
                      <w:p>
                        <w:pPr>
                          <w:pStyle w:val="TableParagraph"/>
                          <w:spacing w:line="240" w:lineRule="auto" w:before="106"/>
                          <w:ind w:left="23" w:right="0"/>
                          <w:jc w:val="left"/>
                          <w:rPr>
                            <w:rFonts w:ascii="Times New Roman" w:hAnsi="Times New Roman" w:cs="Times New Roman" w:eastAsia="Times New Roman" w:hint="default"/>
                            <w:sz w:val="18"/>
                            <w:szCs w:val="18"/>
                          </w:rPr>
                        </w:pPr>
                        <w:r>
                          <w:rPr>
                            <w:rFonts w:ascii="Times New Roman"/>
                            <w:sz w:val="18"/>
                          </w:rPr>
                          <w:t>-05</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24"/>
                          <w:jc w:val="both"/>
                          <w:rPr>
                            <w:rFonts w:ascii="宋体" w:hAnsi="宋体" w:cs="宋体" w:eastAsia="宋体" w:hint="default"/>
                            <w:sz w:val="18"/>
                            <w:szCs w:val="18"/>
                          </w:rPr>
                        </w:pPr>
                        <w:r>
                          <w:rPr>
                            <w:rFonts w:ascii="宋体" w:hAnsi="宋体" w:cs="宋体" w:eastAsia="宋体" w:hint="default"/>
                            <w:sz w:val="18"/>
                            <w:szCs w:val="18"/>
                          </w:rPr>
                          <w:t>范朝严格 遵守上述 承诺，未 发现违反 上述承诺 情况</w:t>
                        </w:r>
                      </w:p>
                    </w:tc>
                  </w:tr>
                  <w:tr>
                    <w:trPr>
                      <w:trHeight w:val="2274" w:hRule="exact"/>
                    </w:trPr>
                    <w:tc>
                      <w:tcPr>
                        <w:tcW w:w="1560" w:type="dxa"/>
                        <w:vMerge/>
                        <w:tcBorders>
                          <w:left w:val="single" w:sz="4" w:space="0" w:color="000000"/>
                          <w:right w:val="single" w:sz="4" w:space="0" w:color="000000"/>
                        </w:tcBorders>
                        <w:shd w:val="clear" w:color="auto" w:fill="D2D2D2"/>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陈荣强</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4"/>
                          <w:ind w:left="23" w:right="56"/>
                          <w:jc w:val="left"/>
                          <w:rPr>
                            <w:rFonts w:ascii="宋体" w:hAnsi="宋体" w:cs="宋体" w:eastAsia="宋体" w:hint="default"/>
                            <w:sz w:val="18"/>
                            <w:szCs w:val="18"/>
                          </w:rPr>
                        </w:pPr>
                        <w:r>
                          <w:rPr>
                            <w:rFonts w:ascii="宋体" w:hAnsi="宋体" w:cs="宋体" w:eastAsia="宋体" w:hint="default"/>
                            <w:sz w:val="18"/>
                            <w:szCs w:val="18"/>
                          </w:rPr>
                          <w:t>股份限售承 诺</w:t>
                        </w:r>
                      </w:p>
                    </w:tc>
                    <w:tc>
                      <w:tcPr>
                        <w:tcW w:w="3829"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2" w:right="14"/>
                          <w:jc w:val="left"/>
                          <w:rPr>
                            <w:rFonts w:ascii="宋体" w:hAnsi="宋体" w:cs="宋体" w:eastAsia="宋体" w:hint="default"/>
                            <w:sz w:val="18"/>
                            <w:szCs w:val="18"/>
                          </w:rPr>
                        </w:pPr>
                        <w:r>
                          <w:rPr>
                            <w:rFonts w:ascii="宋体" w:hAnsi="宋体" w:cs="宋体" w:eastAsia="宋体" w:hint="default"/>
                            <w:sz w:val="18"/>
                            <w:szCs w:val="18"/>
                          </w:rPr>
                          <w:t>陈荣强承诺：自发行人股票上市交易之日起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36 </w:t>
                        </w:r>
                        <w:r>
                          <w:rPr>
                            <w:rFonts w:ascii="宋体" w:hAnsi="宋体" w:cs="宋体" w:eastAsia="宋体" w:hint="default"/>
                            <w:sz w:val="18"/>
                            <w:szCs w:val="18"/>
                          </w:rPr>
                          <w:t>个月内，不转让或者委托他人管理其直接和间接 持有的发行人股份，也不由发行人收购该部分股 份；在其任职期间每年转让的股份不超过其直接 或间接持有的发行人股份总数的百分之二十五， 离职后半年内，不转让其直接或者间接持有的发 行人股份。</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pacing w:val="-3"/>
                            <w:sz w:val="18"/>
                          </w:rPr>
                          <w:t>2013-11</w:t>
                        </w:r>
                        <w:r>
                          <w:rPr>
                            <w:rFonts w:ascii="Times New Roman"/>
                            <w:sz w:val="18"/>
                          </w:rPr>
                        </w:r>
                      </w:p>
                      <w:p>
                        <w:pPr>
                          <w:pStyle w:val="TableParagraph"/>
                          <w:spacing w:line="240" w:lineRule="auto" w:before="106"/>
                          <w:ind w:left="23" w:right="0"/>
                          <w:jc w:val="left"/>
                          <w:rPr>
                            <w:rFonts w:ascii="Times New Roman" w:hAnsi="Times New Roman" w:cs="Times New Roman" w:eastAsia="Times New Roman" w:hint="default"/>
                            <w:sz w:val="18"/>
                            <w:szCs w:val="18"/>
                          </w:rPr>
                        </w:pPr>
                        <w:r>
                          <w:rPr>
                            <w:rFonts w:ascii="Times New Roman"/>
                            <w:sz w:val="18"/>
                          </w:rPr>
                          <w:t>-05</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24"/>
                          <w:jc w:val="both"/>
                          <w:rPr>
                            <w:rFonts w:ascii="宋体" w:hAnsi="宋体" w:cs="宋体" w:eastAsia="宋体" w:hint="default"/>
                            <w:sz w:val="18"/>
                            <w:szCs w:val="18"/>
                          </w:rPr>
                        </w:pPr>
                        <w:r>
                          <w:rPr>
                            <w:rFonts w:ascii="宋体" w:hAnsi="宋体" w:cs="宋体" w:eastAsia="宋体" w:hint="default"/>
                            <w:sz w:val="18"/>
                            <w:szCs w:val="18"/>
                          </w:rPr>
                          <w:t>陈荣强严 格遵守上 述承诺， 未发现违 反上述承 诺情况。</w:t>
                        </w:r>
                      </w:p>
                    </w:tc>
                  </w:tr>
                  <w:tr>
                    <w:trPr>
                      <w:trHeight w:val="2898" w:hRule="exact"/>
                    </w:trPr>
                    <w:tc>
                      <w:tcPr>
                        <w:tcW w:w="1560" w:type="dxa"/>
                        <w:vMerge/>
                        <w:tcBorders>
                          <w:left w:val="single" w:sz="4" w:space="0" w:color="000000"/>
                          <w:right w:val="single" w:sz="4" w:space="0" w:color="000000"/>
                        </w:tcBorders>
                        <w:shd w:val="clear" w:color="auto" w:fill="D2D2D2"/>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1"/>
                          <w:ind w:left="22" w:right="0"/>
                          <w:jc w:val="left"/>
                          <w:rPr>
                            <w:rFonts w:ascii="宋体" w:hAnsi="宋体" w:cs="宋体" w:eastAsia="宋体" w:hint="default"/>
                            <w:sz w:val="18"/>
                            <w:szCs w:val="18"/>
                          </w:rPr>
                        </w:pPr>
                        <w:r>
                          <w:rPr>
                            <w:rFonts w:ascii="宋体" w:hAnsi="宋体" w:cs="宋体" w:eastAsia="宋体" w:hint="default"/>
                            <w:sz w:val="18"/>
                            <w:szCs w:val="18"/>
                          </w:rPr>
                          <w:t>李玉国</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9" w:lineRule="auto"/>
                          <w:ind w:left="23" w:right="56"/>
                          <w:jc w:val="both"/>
                          <w:rPr>
                            <w:rFonts w:ascii="宋体" w:hAnsi="宋体" w:cs="宋体" w:eastAsia="宋体" w:hint="default"/>
                            <w:sz w:val="18"/>
                            <w:szCs w:val="18"/>
                          </w:rPr>
                        </w:pPr>
                        <w:r>
                          <w:rPr>
                            <w:rFonts w:ascii="宋体" w:hAnsi="宋体" w:cs="宋体" w:eastAsia="宋体" w:hint="default"/>
                            <w:sz w:val="18"/>
                            <w:szCs w:val="18"/>
                          </w:rPr>
                          <w:t>关于同业竞 争、关联交 易、资金占 用方面的承 诺</w:t>
                        </w:r>
                      </w:p>
                    </w:tc>
                    <w:tc>
                      <w:tcPr>
                        <w:tcW w:w="3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4" w:lineRule="auto"/>
                          <w:ind w:left="22" w:right="22"/>
                          <w:jc w:val="left"/>
                          <w:rPr>
                            <w:rFonts w:ascii="宋体" w:hAnsi="宋体" w:cs="宋体" w:eastAsia="宋体" w:hint="default"/>
                            <w:sz w:val="18"/>
                            <w:szCs w:val="18"/>
                          </w:rPr>
                        </w:pPr>
                        <w:r>
                          <w:rPr>
                            <w:rFonts w:ascii="宋体" w:hAnsi="宋体" w:cs="宋体" w:eastAsia="宋体" w:hint="default"/>
                            <w:sz w:val="18"/>
                            <w:szCs w:val="18"/>
                          </w:rPr>
                          <w:t>本公司控股股东和实际控制人李玉国出具了《关 </w:t>
                        </w:r>
                        <w:r>
                          <w:rPr>
                            <w:rFonts w:ascii="宋体" w:hAnsi="宋体" w:cs="宋体" w:eastAsia="宋体" w:hint="default"/>
                            <w:spacing w:val="-5"/>
                            <w:w w:val="100"/>
                            <w:sz w:val="18"/>
                            <w:szCs w:val="18"/>
                          </w:rPr>
                          <w:t>于避免同业竞争的承诺函》，承诺</w:t>
                        </w:r>
                        <w:r>
                          <w:rPr>
                            <w:rFonts w:ascii="Times New Roman" w:hAnsi="Times New Roman" w:cs="Times New Roman" w:eastAsia="Times New Roman" w:hint="default"/>
                            <w:spacing w:val="-5"/>
                            <w:w w:val="100"/>
                            <w:sz w:val="18"/>
                            <w:szCs w:val="18"/>
                          </w:rPr>
                          <w:t>“</w:t>
                        </w:r>
                        <w:r>
                          <w:rPr>
                            <w:rFonts w:ascii="宋体" w:hAnsi="宋体" w:cs="宋体" w:eastAsia="宋体" w:hint="default"/>
                            <w:spacing w:val="-5"/>
                            <w:w w:val="100"/>
                            <w:sz w:val="18"/>
                            <w:szCs w:val="18"/>
                          </w:rPr>
                          <w:t>本人在作为先</w:t>
                        </w:r>
                        <w:r>
                          <w:rPr>
                            <w:rFonts w:ascii="宋体" w:hAnsi="宋体" w:cs="宋体" w:eastAsia="宋体" w:hint="default"/>
                            <w:spacing w:val="-71"/>
                            <w:w w:val="100"/>
                            <w:sz w:val="18"/>
                            <w:szCs w:val="18"/>
                          </w:rPr>
                          <w:t> </w:t>
                        </w:r>
                        <w:r>
                          <w:rPr>
                            <w:rFonts w:ascii="宋体" w:hAnsi="宋体" w:cs="宋体" w:eastAsia="宋体" w:hint="default"/>
                            <w:spacing w:val="-71"/>
                            <w:w w:val="100"/>
                            <w:sz w:val="18"/>
                            <w:szCs w:val="18"/>
                          </w:rPr>
                        </w:r>
                        <w:r>
                          <w:rPr>
                            <w:rFonts w:ascii="宋体" w:hAnsi="宋体" w:cs="宋体" w:eastAsia="宋体" w:hint="default"/>
                            <w:sz w:val="18"/>
                            <w:szCs w:val="18"/>
                          </w:rPr>
                          <w:t>河环保的控股股东或实际控制人期间，不会以任</w:t>
                        </w:r>
                        <w:r>
                          <w:rPr>
                            <w:rFonts w:ascii="宋体" w:hAnsi="宋体" w:cs="宋体" w:eastAsia="宋体" w:hint="default"/>
                            <w:sz w:val="18"/>
                            <w:szCs w:val="18"/>
                          </w:rPr>
                          <w:t> 何形式从事对先河环保的生产经营构成或可能 构成同业竞争的业务和经营活动，也不会以任何 方式为与先河环保竞争的企业、机构或其他经济 组织提供任何资金、业务、技术和管理等方面的 帮助</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9999-12</w:t>
                        </w:r>
                      </w:p>
                      <w:p>
                        <w:pPr>
                          <w:pStyle w:val="TableParagraph"/>
                          <w:spacing w:line="240" w:lineRule="auto" w:before="106"/>
                          <w:ind w:left="23" w:right="0"/>
                          <w:jc w:val="left"/>
                          <w:rPr>
                            <w:rFonts w:ascii="Times New Roman" w:hAnsi="Times New Roman" w:cs="Times New Roman" w:eastAsia="Times New Roman" w:hint="default"/>
                            <w:sz w:val="18"/>
                            <w:szCs w:val="18"/>
                          </w:rPr>
                        </w:pPr>
                        <w:r>
                          <w:rPr>
                            <w:rFonts w:ascii="Times New Roman"/>
                            <w:sz w:val="18"/>
                          </w:rPr>
                          <w:t>-31</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4"/>
                          <w:jc w:val="both"/>
                          <w:rPr>
                            <w:rFonts w:ascii="宋体" w:hAnsi="宋体" w:cs="宋体" w:eastAsia="宋体" w:hint="default"/>
                            <w:sz w:val="18"/>
                            <w:szCs w:val="18"/>
                          </w:rPr>
                        </w:pPr>
                        <w:r>
                          <w:rPr>
                            <w:rFonts w:ascii="宋体" w:hAnsi="宋体" w:cs="宋体" w:eastAsia="宋体" w:hint="default"/>
                            <w:sz w:val="18"/>
                            <w:szCs w:val="18"/>
                          </w:rPr>
                          <w:t>公司控股 股东和实 际控制人 李玉国严 格遵守上 述承诺， 未发现违 反上述承 诺情况。</w:t>
                        </w:r>
                      </w:p>
                    </w:tc>
                  </w:tr>
                  <w:tr>
                    <w:trPr>
                      <w:trHeight w:val="3171" w:hRule="exact"/>
                    </w:trPr>
                    <w:tc>
                      <w:tcPr>
                        <w:tcW w:w="1560" w:type="dxa"/>
                        <w:vMerge/>
                        <w:tcBorders>
                          <w:left w:val="single" w:sz="4" w:space="0" w:color="000000"/>
                          <w:bottom w:val="single" w:sz="4" w:space="0" w:color="000000"/>
                          <w:right w:val="single" w:sz="4" w:space="0" w:color="000000"/>
                        </w:tcBorders>
                        <w:shd w:val="clear" w:color="auto" w:fill="D2D2D2"/>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4"/>
                            <w:szCs w:val="14"/>
                          </w:rPr>
                        </w:pPr>
                      </w:p>
                      <w:p>
                        <w:pPr>
                          <w:pStyle w:val="TableParagraph"/>
                          <w:spacing w:line="300" w:lineRule="auto"/>
                          <w:ind w:left="22" w:right="44"/>
                          <w:jc w:val="left"/>
                          <w:rPr>
                            <w:rFonts w:ascii="宋体" w:hAnsi="宋体" w:cs="宋体" w:eastAsia="宋体" w:hint="default"/>
                            <w:sz w:val="18"/>
                            <w:szCs w:val="18"/>
                          </w:rPr>
                        </w:pPr>
                        <w:r>
                          <w:rPr>
                            <w:rFonts w:ascii="宋体" w:hAnsi="宋体" w:cs="宋体" w:eastAsia="宋体" w:hint="default"/>
                            <w:sz w:val="18"/>
                            <w:szCs w:val="18"/>
                          </w:rPr>
                          <w:t>李玉国</w:t>
                        </w:r>
                        <w:r>
                          <w:rPr>
                            <w:rFonts w:ascii="Times New Roman" w:hAnsi="Times New Roman" w:cs="Times New Roman" w:eastAsia="Times New Roman" w:hint="default"/>
                            <w:sz w:val="18"/>
                            <w:szCs w:val="18"/>
                          </w:rPr>
                          <w:t>;</w:t>
                        </w:r>
                        <w:r>
                          <w:rPr>
                            <w:rFonts w:ascii="宋体" w:hAnsi="宋体" w:cs="宋体" w:eastAsia="宋体" w:hint="default"/>
                            <w:sz w:val="18"/>
                            <w:szCs w:val="18"/>
                          </w:rPr>
                          <w:t>陈 爱珍</w:t>
                        </w:r>
                        <w:r>
                          <w:rPr>
                            <w:rFonts w:ascii="Times New Roman" w:hAnsi="Times New Roman" w:cs="Times New Roman" w:eastAsia="Times New Roman" w:hint="default"/>
                            <w:sz w:val="18"/>
                            <w:szCs w:val="18"/>
                          </w:rPr>
                          <w:t>;</w:t>
                        </w:r>
                        <w:r>
                          <w:rPr>
                            <w:rFonts w:ascii="宋体" w:hAnsi="宋体" w:cs="宋体" w:eastAsia="宋体" w:hint="default"/>
                            <w:sz w:val="18"/>
                            <w:szCs w:val="18"/>
                          </w:rPr>
                          <w:t>陈荣 强</w:t>
                        </w:r>
                        <w:r>
                          <w:rPr>
                            <w:rFonts w:ascii="Times New Roman" w:hAnsi="Times New Roman" w:cs="Times New Roman" w:eastAsia="Times New Roman" w:hint="default"/>
                            <w:sz w:val="18"/>
                            <w:szCs w:val="18"/>
                          </w:rPr>
                          <w:t>;</w:t>
                        </w:r>
                        <w:r>
                          <w:rPr>
                            <w:rFonts w:ascii="宋体" w:hAnsi="宋体" w:cs="宋体" w:eastAsia="宋体" w:hint="default"/>
                            <w:sz w:val="18"/>
                            <w:szCs w:val="18"/>
                          </w:rPr>
                          <w:t>董岩</w:t>
                        </w:r>
                        <w:r>
                          <w:rPr>
                            <w:rFonts w:ascii="Times New Roman" w:hAnsi="Times New Roman" w:cs="Times New Roman" w:eastAsia="Times New Roman" w:hint="default"/>
                            <w:sz w:val="18"/>
                            <w:szCs w:val="18"/>
                          </w:rPr>
                          <w:t>; </w:t>
                        </w:r>
                        <w:r>
                          <w:rPr>
                            <w:rFonts w:ascii="宋体" w:hAnsi="宋体" w:cs="宋体" w:eastAsia="宋体" w:hint="default"/>
                            <w:sz w:val="18"/>
                            <w:szCs w:val="18"/>
                          </w:rPr>
                          <w:t>范朝</w:t>
                        </w:r>
                        <w:r>
                          <w:rPr>
                            <w:rFonts w:ascii="Times New Roman" w:hAnsi="Times New Roman" w:cs="Times New Roman" w:eastAsia="Times New Roman" w:hint="default"/>
                            <w:sz w:val="18"/>
                            <w:szCs w:val="18"/>
                          </w:rPr>
                          <w:t>;</w:t>
                        </w:r>
                        <w:r>
                          <w:rPr>
                            <w:rFonts w:ascii="宋体" w:hAnsi="宋体" w:cs="宋体" w:eastAsia="宋体" w:hint="default"/>
                            <w:sz w:val="18"/>
                            <w:szCs w:val="18"/>
                          </w:rPr>
                          <w:t>庞贵 永</w:t>
                        </w:r>
                        <w:r>
                          <w:rPr>
                            <w:rFonts w:ascii="Times New Roman" w:hAnsi="Times New Roman" w:cs="Times New Roman" w:eastAsia="Times New Roman" w:hint="default"/>
                            <w:sz w:val="18"/>
                            <w:szCs w:val="18"/>
                          </w:rPr>
                          <w:t>;</w:t>
                        </w:r>
                        <w:r>
                          <w:rPr>
                            <w:rFonts w:ascii="宋体" w:hAnsi="宋体" w:cs="宋体" w:eastAsia="宋体" w:hint="default"/>
                            <w:sz w:val="18"/>
                            <w:szCs w:val="18"/>
                          </w:rPr>
                          <w:t>闫成 德</w:t>
                        </w:r>
                        <w:r>
                          <w:rPr>
                            <w:rFonts w:ascii="Times New Roman" w:hAnsi="Times New Roman" w:cs="Times New Roman" w:eastAsia="Times New Roman" w:hint="default"/>
                            <w:sz w:val="18"/>
                            <w:szCs w:val="18"/>
                          </w:rPr>
                          <w:t>;</w:t>
                        </w:r>
                        <w:r>
                          <w:rPr>
                            <w:rFonts w:ascii="宋体" w:hAnsi="宋体" w:cs="宋体" w:eastAsia="宋体" w:hint="default"/>
                            <w:sz w:val="18"/>
                            <w:szCs w:val="18"/>
                          </w:rPr>
                          <w:t>张华</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6"/>
                            <w:szCs w:val="26"/>
                          </w:rPr>
                        </w:pPr>
                      </w:p>
                      <w:p>
                        <w:pPr>
                          <w:pStyle w:val="TableParagraph"/>
                          <w:spacing w:line="319" w:lineRule="auto"/>
                          <w:ind w:left="23" w:right="56"/>
                          <w:jc w:val="both"/>
                          <w:rPr>
                            <w:rFonts w:ascii="宋体" w:hAnsi="宋体" w:cs="宋体" w:eastAsia="宋体" w:hint="default"/>
                            <w:sz w:val="18"/>
                            <w:szCs w:val="18"/>
                          </w:rPr>
                        </w:pPr>
                        <w:r>
                          <w:rPr>
                            <w:rFonts w:ascii="宋体" w:hAnsi="宋体" w:cs="宋体" w:eastAsia="宋体" w:hint="default"/>
                            <w:sz w:val="18"/>
                            <w:szCs w:val="18"/>
                          </w:rPr>
                          <w:t>关于同业竞 争、关联交 易、资金占 用方面的承 诺</w:t>
                        </w:r>
                      </w:p>
                    </w:tc>
                    <w:tc>
                      <w:tcPr>
                        <w:tcW w:w="3829"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2" w:right="21"/>
                          <w:jc w:val="left"/>
                          <w:rPr>
                            <w:rFonts w:ascii="宋体" w:hAnsi="宋体" w:cs="宋体" w:eastAsia="宋体" w:hint="default"/>
                            <w:sz w:val="18"/>
                            <w:szCs w:val="18"/>
                          </w:rPr>
                        </w:pPr>
                        <w:r>
                          <w:rPr>
                            <w:rFonts w:ascii="宋体" w:hAnsi="宋体" w:cs="宋体" w:eastAsia="宋体" w:hint="default"/>
                            <w:sz w:val="18"/>
                            <w:szCs w:val="18"/>
                          </w:rPr>
                          <w:t>本公司主要股东及董事、监事、高级管理人员关 于规范执行关联交易的承诺：持有公司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 股份的股东以及董事、监事、高级管理人员出具 </w:t>
                        </w:r>
                        <w:r>
                          <w:rPr>
                            <w:rFonts w:ascii="宋体" w:hAnsi="宋体" w:cs="宋体" w:eastAsia="宋体" w:hint="default"/>
                            <w:spacing w:val="-5"/>
                            <w:w w:val="99"/>
                            <w:sz w:val="18"/>
                            <w:szCs w:val="18"/>
                          </w:rPr>
                          <w:t>了《关于规范执行关联交易的承诺》，承诺</w:t>
                        </w:r>
                        <w:r>
                          <w:rPr>
                            <w:rFonts w:ascii="Times New Roman" w:hAnsi="Times New Roman" w:cs="Times New Roman" w:eastAsia="Times New Roman" w:hint="default"/>
                            <w:spacing w:val="-5"/>
                            <w:w w:val="99"/>
                            <w:sz w:val="18"/>
                            <w:szCs w:val="18"/>
                          </w:rPr>
                          <w:t>"</w:t>
                        </w:r>
                        <w:r>
                          <w:rPr>
                            <w:rFonts w:ascii="宋体" w:hAnsi="宋体" w:cs="宋体" w:eastAsia="宋体" w:hint="default"/>
                            <w:spacing w:val="-5"/>
                            <w:w w:val="99"/>
                            <w:sz w:val="18"/>
                            <w:szCs w:val="18"/>
                          </w:rPr>
                          <w:t>本人</w:t>
                        </w:r>
                        <w:r>
                          <w:rPr>
                            <w:rFonts w:ascii="宋体" w:hAnsi="宋体" w:cs="宋体" w:eastAsia="宋体" w:hint="default"/>
                            <w:spacing w:val="-71"/>
                            <w:w w:val="99"/>
                            <w:sz w:val="18"/>
                            <w:szCs w:val="18"/>
                          </w:rPr>
                          <w:t> </w:t>
                        </w:r>
                        <w:r>
                          <w:rPr>
                            <w:rFonts w:ascii="宋体" w:hAnsi="宋体" w:cs="宋体" w:eastAsia="宋体" w:hint="default"/>
                            <w:sz w:val="18"/>
                            <w:szCs w:val="18"/>
                          </w:rPr>
                          <w:t>以及本人控股或实际控制的公司或者其他企业 </w:t>
                        </w:r>
                        <w:r>
                          <w:rPr>
                            <w:rFonts w:ascii="宋体" w:hAnsi="宋体" w:cs="宋体" w:eastAsia="宋体" w:hint="default"/>
                            <w:spacing w:val="-7"/>
                            <w:w w:val="99"/>
                            <w:sz w:val="18"/>
                            <w:szCs w:val="18"/>
                          </w:rPr>
                          <w:t>或经济组织（以下统称</w:t>
                        </w:r>
                        <w:r>
                          <w:rPr>
                            <w:rFonts w:ascii="Times New Roman" w:hAnsi="Times New Roman" w:cs="Times New Roman" w:eastAsia="Times New Roman" w:hint="default"/>
                            <w:spacing w:val="-7"/>
                            <w:w w:val="99"/>
                            <w:sz w:val="18"/>
                            <w:szCs w:val="18"/>
                          </w:rPr>
                          <w:t>"</w:t>
                        </w:r>
                        <w:r>
                          <w:rPr>
                            <w:rFonts w:ascii="宋体" w:hAnsi="宋体" w:cs="宋体" w:eastAsia="宋体" w:hint="default"/>
                            <w:spacing w:val="-7"/>
                            <w:w w:val="99"/>
                            <w:sz w:val="18"/>
                            <w:szCs w:val="18"/>
                          </w:rPr>
                          <w:t>本人控制的企业</w:t>
                        </w:r>
                        <w:r>
                          <w:rPr>
                            <w:rFonts w:ascii="Times New Roman" w:hAnsi="Times New Roman" w:cs="Times New Roman" w:eastAsia="Times New Roman" w:hint="default"/>
                            <w:spacing w:val="-7"/>
                            <w:w w:val="99"/>
                            <w:sz w:val="18"/>
                            <w:szCs w:val="18"/>
                          </w:rPr>
                          <w:t>"</w:t>
                        </w:r>
                        <w:r>
                          <w:rPr>
                            <w:rFonts w:ascii="宋体" w:hAnsi="宋体" w:cs="宋体" w:eastAsia="宋体" w:hint="default"/>
                            <w:spacing w:val="-7"/>
                            <w:w w:val="99"/>
                            <w:sz w:val="18"/>
                            <w:szCs w:val="18"/>
                          </w:rPr>
                          <w:t>），今后</w:t>
                        </w:r>
                        <w:r>
                          <w:rPr>
                            <w:rFonts w:ascii="宋体" w:hAnsi="宋体" w:cs="宋体" w:eastAsia="宋体" w:hint="default"/>
                            <w:spacing w:val="-87"/>
                            <w:w w:val="99"/>
                            <w:sz w:val="18"/>
                            <w:szCs w:val="18"/>
                          </w:rPr>
                          <w:t> </w:t>
                        </w:r>
                        <w:r>
                          <w:rPr>
                            <w:rFonts w:ascii="宋体" w:hAnsi="宋体" w:cs="宋体" w:eastAsia="宋体" w:hint="default"/>
                            <w:spacing w:val="-87"/>
                            <w:w w:val="99"/>
                            <w:sz w:val="18"/>
                            <w:szCs w:val="18"/>
                          </w:rPr>
                        </w:r>
                        <w:r>
                          <w:rPr>
                            <w:rFonts w:ascii="宋体" w:hAnsi="宋体" w:cs="宋体" w:eastAsia="宋体" w:hint="default"/>
                            <w:sz w:val="18"/>
                            <w:szCs w:val="18"/>
                          </w:rPr>
                          <w:t>原则上不与先河环保发生关联交易。如果先河环</w:t>
                        </w:r>
                        <w:r>
                          <w:rPr>
                            <w:rFonts w:ascii="宋体" w:hAnsi="宋体" w:cs="宋体" w:eastAsia="宋体" w:hint="default"/>
                            <w:sz w:val="18"/>
                            <w:szCs w:val="18"/>
                          </w:rPr>
                          <w:t> 保在今后的经营活动中必须与本人或本人控制 的企业发生不可避免的关联交易，本人将促使此 等交易严格按照国家有关法律法规、先河环保的</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2"/>
                          <w:ind w:left="23" w:right="0"/>
                          <w:jc w:val="left"/>
                          <w:rPr>
                            <w:rFonts w:ascii="Times New Roman" w:hAnsi="Times New Roman" w:cs="Times New Roman" w:eastAsia="Times New Roman" w:hint="default"/>
                            <w:sz w:val="18"/>
                            <w:szCs w:val="18"/>
                          </w:rPr>
                        </w:pPr>
                        <w:r>
                          <w:rPr>
                            <w:rFonts w:ascii="Times New Roman"/>
                            <w:sz w:val="18"/>
                          </w:rPr>
                          <w:t>9999-12</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-31</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4"/>
                          <w:jc w:val="left"/>
                          <w:rPr>
                            <w:rFonts w:ascii="宋体" w:hAnsi="宋体" w:cs="宋体" w:eastAsia="宋体" w:hint="default"/>
                            <w:sz w:val="18"/>
                            <w:szCs w:val="18"/>
                          </w:rPr>
                        </w:pPr>
                        <w:r>
                          <w:rPr>
                            <w:rFonts w:ascii="宋体" w:hAnsi="宋体" w:cs="宋体" w:eastAsia="宋体" w:hint="default"/>
                            <w:sz w:val="18"/>
                            <w:szCs w:val="18"/>
                          </w:rPr>
                          <w:t>持有公司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 股份的股 东以及董 </w:t>
                        </w:r>
                        <w:r>
                          <w:rPr>
                            <w:rFonts w:ascii="宋体" w:hAnsi="宋体" w:cs="宋体" w:eastAsia="宋体" w:hint="default"/>
                            <w:spacing w:val="-22"/>
                            <w:sz w:val="18"/>
                            <w:szCs w:val="18"/>
                          </w:rPr>
                          <w:t>事、监事</w:t>
                        </w:r>
                        <w:r>
                          <w:rPr>
                            <w:rFonts w:ascii="宋体" w:hAnsi="宋体" w:cs="宋体" w:eastAsia="宋体" w:hint="default"/>
                            <w:sz w:val="18"/>
                            <w:szCs w:val="18"/>
                          </w:rPr>
                          <w:t> 高级管理 人员严格 遵守上述 承诺，未 发现违反</w:t>
                        </w:r>
                      </w:p>
                    </w:tc>
                  </w:tr>
                </w:tbl>
                <w:p>
                  <w:pPr/>
                </w:p>
              </w:txbxContent>
            </v:textbox>
            <w10:wrap type="none"/>
          </v:shape>
        </w:pict>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27"/>
          <w:szCs w:val="27"/>
        </w:rPr>
      </w:pPr>
    </w:p>
    <w:p>
      <w:pPr>
        <w:pStyle w:val="BodyText"/>
        <w:spacing w:line="240" w:lineRule="auto" w:before="65"/>
        <w:ind w:left="0" w:right="1140"/>
        <w:jc w:val="right"/>
      </w:pPr>
      <w:r>
        <w:rPr/>
        <w:t>、</w:t>
      </w:r>
    </w:p>
    <w:p>
      <w:pPr>
        <w:spacing w:after="0" w:line="240" w:lineRule="auto"/>
        <w:jc w:val="right"/>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r>
        <w:rPr/>
        <w:pict>
          <v:shape style="position:absolute;margin-left:412.277008pt;margin-top:320.839996pt;width:48.25pt;height:85.8pt;mso-position-horizontal-relative:page;mso-position-vertical-relative:page;z-index:-985624" type="#_x0000_t202" filled="false" stroked="false">
            <v:textbox inset="0,0,0,0">
              <w:txbxContent>
                <w:p>
                  <w:pPr>
                    <w:pStyle w:val="BodyText"/>
                    <w:spacing w:line="240" w:lineRule="auto" w:before="125"/>
                    <w:ind w:left="0" w:right="0"/>
                    <w:jc w:val="left"/>
                  </w:pPr>
                  <w:r>
                    <w:rPr/>
                    <w:t>，</w:t>
                  </w:r>
                </w:p>
              </w:txbxContent>
            </v:textbox>
            <w10:wrap type="none"/>
          </v:shape>
        </w:pict>
      </w:r>
      <w:r>
        <w:rPr/>
        <w:pict>
          <v:group style="position:absolute;margin-left:418.5pt;margin-top:320.839996pt;width:42pt;height:85.8pt;mso-position-horizontal-relative:page;mso-position-vertical-relative:page;z-index:-985600" coordorigin="8370,6417" coordsize="840,1716">
            <v:shape style="position:absolute;left:8370;top:6417;width:840;height:1716" coordorigin="8370,6417" coordsize="840,1716" path="m8370,8133l9210,8133,9210,6417,8370,6417,8370,8133xe" filled="true" fillcolor="#ffffff" stroked="false">
              <v:path arrowok="t"/>
              <v:fill type="solid"/>
            </v:shape>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1560"/>
        <w:gridCol w:w="850"/>
        <w:gridCol w:w="992"/>
        <w:gridCol w:w="3829"/>
        <w:gridCol w:w="850"/>
        <w:gridCol w:w="709"/>
        <w:gridCol w:w="779"/>
      </w:tblGrid>
      <w:tr>
        <w:trPr>
          <w:trHeight w:val="317" w:hRule="exact"/>
        </w:trPr>
        <w:tc>
          <w:tcPr>
            <w:tcW w:w="1560" w:type="dxa"/>
            <w:vMerge w:val="restart"/>
            <w:tcBorders>
              <w:top w:val="single" w:sz="4" w:space="0" w:color="000000"/>
              <w:left w:val="single" w:sz="4" w:space="0" w:color="000000"/>
              <w:right w:val="single" w:sz="4" w:space="0" w:color="000000"/>
            </w:tcBorders>
            <w:shd w:val="clear" w:color="auto" w:fill="D2D2D2"/>
          </w:tcPr>
          <w:p>
            <w:pPr/>
          </w:p>
        </w:tc>
        <w:tc>
          <w:tcPr>
            <w:tcW w:w="850" w:type="dxa"/>
            <w:vMerge w:val="restart"/>
            <w:tcBorders>
              <w:top w:val="single" w:sz="4" w:space="0" w:color="000000"/>
              <w:left w:val="single" w:sz="4" w:space="0" w:color="000000"/>
              <w:right w:val="single" w:sz="4" w:space="0" w:color="000000"/>
            </w:tcBorders>
          </w:tcPr>
          <w:p>
            <w:pPr/>
          </w:p>
        </w:tc>
        <w:tc>
          <w:tcPr>
            <w:tcW w:w="992" w:type="dxa"/>
            <w:vMerge w:val="restart"/>
            <w:tcBorders>
              <w:top w:val="single" w:sz="4" w:space="0" w:color="000000"/>
              <w:left w:val="single" w:sz="4" w:space="0" w:color="000000"/>
              <w:right w:val="single" w:sz="4" w:space="0" w:color="000000"/>
            </w:tcBorders>
          </w:tcPr>
          <w:p>
            <w:pPr/>
          </w:p>
        </w:tc>
        <w:tc>
          <w:tcPr>
            <w:tcW w:w="382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章程和有关规定履行有关程序，并按照正常的商</w:t>
            </w:r>
          </w:p>
        </w:tc>
        <w:tc>
          <w:tcPr>
            <w:tcW w:w="850" w:type="dxa"/>
            <w:vMerge w:val="restart"/>
            <w:tcBorders>
              <w:top w:val="single" w:sz="4" w:space="0" w:color="000000"/>
              <w:left w:val="single" w:sz="4" w:space="0" w:color="000000"/>
              <w:right w:val="single" w:sz="4" w:space="0" w:color="000000"/>
            </w:tcBorders>
          </w:tcPr>
          <w:p>
            <w:pPr/>
          </w:p>
        </w:tc>
        <w:tc>
          <w:tcPr>
            <w:tcW w:w="709" w:type="dxa"/>
            <w:vMerge w:val="restart"/>
            <w:tcBorders>
              <w:top w:val="single" w:sz="4" w:space="0" w:color="000000"/>
              <w:left w:val="single" w:sz="4" w:space="0" w:color="000000"/>
              <w:right w:val="single" w:sz="4" w:space="0" w:color="000000"/>
            </w:tcBorders>
          </w:tcPr>
          <w:p>
            <w:pPr/>
          </w:p>
        </w:tc>
        <w:tc>
          <w:tcPr>
            <w:tcW w:w="77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上述承诺</w:t>
            </w:r>
          </w:p>
        </w:tc>
      </w:tr>
      <w:tr>
        <w:trPr>
          <w:trHeight w:val="313" w:hRule="exact"/>
        </w:trPr>
        <w:tc>
          <w:tcPr>
            <w:tcW w:w="1560"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382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业条件进行，且保证本人及本人控制的企业将不</w:t>
            </w:r>
          </w:p>
        </w:tc>
        <w:tc>
          <w:tcPr>
            <w:tcW w:w="850" w:type="dxa"/>
            <w:vMerge/>
            <w:tcBorders>
              <w:left w:val="single" w:sz="4" w:space="0" w:color="000000"/>
              <w:right w:val="single" w:sz="4" w:space="0" w:color="000000"/>
            </w:tcBorders>
          </w:tcPr>
          <w:p>
            <w:pPr/>
          </w:p>
        </w:tc>
        <w:tc>
          <w:tcPr>
            <w:tcW w:w="709" w:type="dxa"/>
            <w:vMerge/>
            <w:tcBorders>
              <w:left w:val="single" w:sz="4" w:space="0" w:color="000000"/>
              <w:right w:val="single" w:sz="4" w:space="0" w:color="000000"/>
            </w:tcBorders>
          </w:tcPr>
          <w:p>
            <w:pPr/>
          </w:p>
        </w:tc>
        <w:tc>
          <w:tcPr>
            <w:tcW w:w="779"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情况。</w:t>
            </w:r>
          </w:p>
        </w:tc>
      </w:tr>
      <w:tr>
        <w:trPr>
          <w:trHeight w:val="311" w:hRule="exact"/>
        </w:trPr>
        <w:tc>
          <w:tcPr>
            <w:tcW w:w="1560"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382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会要求或接受先河环保给予比在任何一项市场</w:t>
            </w:r>
          </w:p>
        </w:tc>
        <w:tc>
          <w:tcPr>
            <w:tcW w:w="850" w:type="dxa"/>
            <w:vMerge/>
            <w:tcBorders>
              <w:left w:val="single" w:sz="4" w:space="0" w:color="000000"/>
              <w:right w:val="single" w:sz="4" w:space="0" w:color="000000"/>
            </w:tcBorders>
          </w:tcPr>
          <w:p>
            <w:pPr/>
          </w:p>
        </w:tc>
        <w:tc>
          <w:tcPr>
            <w:tcW w:w="709" w:type="dxa"/>
            <w:vMerge/>
            <w:tcBorders>
              <w:left w:val="single" w:sz="4" w:space="0" w:color="000000"/>
              <w:right w:val="single" w:sz="4" w:space="0" w:color="000000"/>
            </w:tcBorders>
          </w:tcPr>
          <w:p>
            <w:pPr/>
          </w:p>
        </w:tc>
        <w:tc>
          <w:tcPr>
            <w:tcW w:w="779"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560"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382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公平交易中第三者更优惠的条件。并且保证不利</w:t>
            </w:r>
          </w:p>
        </w:tc>
        <w:tc>
          <w:tcPr>
            <w:tcW w:w="850" w:type="dxa"/>
            <w:vMerge/>
            <w:tcBorders>
              <w:left w:val="single" w:sz="4" w:space="0" w:color="000000"/>
              <w:right w:val="single" w:sz="4" w:space="0" w:color="000000"/>
            </w:tcBorders>
          </w:tcPr>
          <w:p>
            <w:pPr/>
          </w:p>
        </w:tc>
        <w:tc>
          <w:tcPr>
            <w:tcW w:w="709" w:type="dxa"/>
            <w:vMerge/>
            <w:tcBorders>
              <w:left w:val="single" w:sz="4" w:space="0" w:color="000000"/>
              <w:right w:val="single" w:sz="4" w:space="0" w:color="000000"/>
            </w:tcBorders>
          </w:tcPr>
          <w:p>
            <w:pPr/>
          </w:p>
        </w:tc>
        <w:tc>
          <w:tcPr>
            <w:tcW w:w="779"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560"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382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用股东地位，就先河环保与本人或本人控制的企</w:t>
            </w:r>
          </w:p>
        </w:tc>
        <w:tc>
          <w:tcPr>
            <w:tcW w:w="850" w:type="dxa"/>
            <w:vMerge/>
            <w:tcBorders>
              <w:left w:val="single" w:sz="4" w:space="0" w:color="000000"/>
              <w:right w:val="single" w:sz="4" w:space="0" w:color="000000"/>
            </w:tcBorders>
          </w:tcPr>
          <w:p>
            <w:pPr/>
          </w:p>
        </w:tc>
        <w:tc>
          <w:tcPr>
            <w:tcW w:w="709" w:type="dxa"/>
            <w:vMerge/>
            <w:tcBorders>
              <w:left w:val="single" w:sz="4" w:space="0" w:color="000000"/>
              <w:right w:val="single" w:sz="4" w:space="0" w:color="000000"/>
            </w:tcBorders>
          </w:tcPr>
          <w:p>
            <w:pPr/>
          </w:p>
        </w:tc>
        <w:tc>
          <w:tcPr>
            <w:tcW w:w="779"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560"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382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业相关的任何关联交易采取任何行动，故意促使</w:t>
            </w:r>
          </w:p>
        </w:tc>
        <w:tc>
          <w:tcPr>
            <w:tcW w:w="850" w:type="dxa"/>
            <w:vMerge/>
            <w:tcBorders>
              <w:left w:val="single" w:sz="4" w:space="0" w:color="000000"/>
              <w:right w:val="single" w:sz="4" w:space="0" w:color="000000"/>
            </w:tcBorders>
          </w:tcPr>
          <w:p>
            <w:pPr/>
          </w:p>
        </w:tc>
        <w:tc>
          <w:tcPr>
            <w:tcW w:w="709" w:type="dxa"/>
            <w:vMerge/>
            <w:tcBorders>
              <w:left w:val="single" w:sz="4" w:space="0" w:color="000000"/>
              <w:right w:val="single" w:sz="4" w:space="0" w:color="000000"/>
            </w:tcBorders>
          </w:tcPr>
          <w:p>
            <w:pPr/>
          </w:p>
        </w:tc>
        <w:tc>
          <w:tcPr>
            <w:tcW w:w="779" w:type="dxa"/>
            <w:tcBorders>
              <w:top w:val="nil" w:sz="6" w:space="0" w:color="auto"/>
              <w:left w:val="single" w:sz="4" w:space="0" w:color="000000"/>
              <w:bottom w:val="nil" w:sz="6" w:space="0" w:color="auto"/>
              <w:right w:val="single" w:sz="4" w:space="0" w:color="000000"/>
            </w:tcBorders>
          </w:tcPr>
          <w:p>
            <w:pPr/>
          </w:p>
        </w:tc>
      </w:tr>
      <w:tr>
        <w:trPr>
          <w:trHeight w:val="313" w:hRule="exact"/>
        </w:trPr>
        <w:tc>
          <w:tcPr>
            <w:tcW w:w="1560"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382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先河环保的股东大会或董事会做出侵犯其他股</w:t>
            </w:r>
          </w:p>
        </w:tc>
        <w:tc>
          <w:tcPr>
            <w:tcW w:w="850" w:type="dxa"/>
            <w:vMerge/>
            <w:tcBorders>
              <w:left w:val="single" w:sz="4" w:space="0" w:color="000000"/>
              <w:right w:val="single" w:sz="4" w:space="0" w:color="000000"/>
            </w:tcBorders>
          </w:tcPr>
          <w:p>
            <w:pPr/>
          </w:p>
        </w:tc>
        <w:tc>
          <w:tcPr>
            <w:tcW w:w="709" w:type="dxa"/>
            <w:vMerge/>
            <w:tcBorders>
              <w:left w:val="single" w:sz="4" w:space="0" w:color="000000"/>
              <w:right w:val="single" w:sz="4" w:space="0" w:color="000000"/>
            </w:tcBorders>
          </w:tcPr>
          <w:p>
            <w:pPr/>
          </w:p>
        </w:tc>
        <w:tc>
          <w:tcPr>
            <w:tcW w:w="779" w:type="dxa"/>
            <w:tcBorders>
              <w:top w:val="nil" w:sz="6" w:space="0" w:color="auto"/>
              <w:left w:val="single" w:sz="4" w:space="0" w:color="000000"/>
              <w:bottom w:val="nil" w:sz="6" w:space="0" w:color="auto"/>
              <w:right w:val="single" w:sz="4" w:space="0" w:color="000000"/>
            </w:tcBorders>
          </w:tcPr>
          <w:p>
            <w:pPr/>
          </w:p>
        </w:tc>
      </w:tr>
      <w:tr>
        <w:trPr>
          <w:trHeight w:val="357" w:hRule="exact"/>
        </w:trPr>
        <w:tc>
          <w:tcPr>
            <w:tcW w:w="1560" w:type="dxa"/>
            <w:vMerge/>
            <w:tcBorders>
              <w:left w:val="single" w:sz="4" w:space="0" w:color="000000"/>
              <w:right w:val="single" w:sz="4" w:space="0" w:color="000000"/>
            </w:tcBorders>
            <w:shd w:val="clear" w:color="auto" w:fill="D2D2D2"/>
          </w:tcPr>
          <w:p>
            <w:pPr/>
          </w:p>
        </w:tc>
        <w:tc>
          <w:tcPr>
            <w:tcW w:w="850" w:type="dxa"/>
            <w:vMerge/>
            <w:tcBorders>
              <w:left w:val="single" w:sz="4" w:space="0" w:color="000000"/>
              <w:bottom w:val="single" w:sz="4" w:space="0" w:color="000000"/>
              <w:right w:val="single" w:sz="4" w:space="0" w:color="000000"/>
            </w:tcBorders>
          </w:tcPr>
          <w:p>
            <w:pPr/>
          </w:p>
        </w:tc>
        <w:tc>
          <w:tcPr>
            <w:tcW w:w="992" w:type="dxa"/>
            <w:vMerge/>
            <w:tcBorders>
              <w:left w:val="single" w:sz="4" w:space="0" w:color="000000"/>
              <w:bottom w:val="single" w:sz="4" w:space="0" w:color="000000"/>
              <w:right w:val="single" w:sz="4" w:space="0" w:color="000000"/>
            </w:tcBorders>
          </w:tcPr>
          <w:p>
            <w:pPr/>
          </w:p>
        </w:tc>
        <w:tc>
          <w:tcPr>
            <w:tcW w:w="382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东合法权益的决议</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850" w:type="dxa"/>
            <w:vMerge/>
            <w:tcBorders>
              <w:left w:val="single" w:sz="4" w:space="0" w:color="000000"/>
              <w:bottom w:val="single" w:sz="4" w:space="0" w:color="000000"/>
              <w:right w:val="single" w:sz="4" w:space="0" w:color="000000"/>
            </w:tcBorders>
          </w:tcPr>
          <w:p>
            <w:pPr/>
          </w:p>
        </w:tc>
        <w:tc>
          <w:tcPr>
            <w:tcW w:w="709" w:type="dxa"/>
            <w:vMerge/>
            <w:tcBorders>
              <w:left w:val="single" w:sz="4" w:space="0" w:color="000000"/>
              <w:bottom w:val="single" w:sz="4" w:space="0" w:color="000000"/>
              <w:right w:val="single" w:sz="4" w:space="0" w:color="000000"/>
            </w:tcBorders>
          </w:tcPr>
          <w:p>
            <w:pPr/>
          </w:p>
        </w:tc>
        <w:tc>
          <w:tcPr>
            <w:tcW w:w="779" w:type="dxa"/>
            <w:tcBorders>
              <w:top w:val="nil" w:sz="6" w:space="0" w:color="auto"/>
              <w:left w:val="single" w:sz="4" w:space="0" w:color="000000"/>
              <w:bottom w:val="single" w:sz="4" w:space="0" w:color="000000"/>
              <w:right w:val="single" w:sz="4" w:space="0" w:color="000000"/>
            </w:tcBorders>
          </w:tcPr>
          <w:p>
            <w:pPr/>
          </w:p>
        </w:tc>
      </w:tr>
      <w:tr>
        <w:trPr>
          <w:trHeight w:val="357" w:hRule="exact"/>
        </w:trPr>
        <w:tc>
          <w:tcPr>
            <w:tcW w:w="1560" w:type="dxa"/>
            <w:vMerge/>
            <w:tcBorders>
              <w:left w:val="single" w:sz="4" w:space="0" w:color="000000"/>
              <w:right w:val="single" w:sz="4" w:space="0" w:color="000000"/>
            </w:tcBorders>
            <w:shd w:val="clear" w:color="auto" w:fill="D2D2D2"/>
          </w:tcPr>
          <w:p>
            <w:pPr/>
          </w:p>
        </w:tc>
        <w:tc>
          <w:tcPr>
            <w:tcW w:w="85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北京科桥</w:t>
            </w:r>
          </w:p>
        </w:tc>
        <w:tc>
          <w:tcPr>
            <w:tcW w:w="992" w:type="dxa"/>
            <w:tcBorders>
              <w:top w:val="single" w:sz="4" w:space="0" w:color="000000"/>
              <w:left w:val="single" w:sz="4" w:space="0" w:color="000000"/>
              <w:bottom w:val="nil" w:sz="6" w:space="0" w:color="auto"/>
              <w:right w:val="single" w:sz="4" w:space="0" w:color="000000"/>
            </w:tcBorders>
          </w:tcPr>
          <w:p>
            <w:pPr/>
          </w:p>
        </w:tc>
        <w:tc>
          <w:tcPr>
            <w:tcW w:w="3829" w:type="dxa"/>
            <w:tcBorders>
              <w:top w:val="single" w:sz="4" w:space="0" w:color="000000"/>
              <w:left w:val="single" w:sz="4" w:space="0" w:color="000000"/>
              <w:bottom w:val="nil" w:sz="6" w:space="0" w:color="auto"/>
              <w:right w:val="single" w:sz="4" w:space="0" w:color="000000"/>
            </w:tcBorders>
          </w:tcPr>
          <w:p>
            <w:pPr/>
          </w:p>
        </w:tc>
        <w:tc>
          <w:tcPr>
            <w:tcW w:w="850" w:type="dxa"/>
            <w:tcBorders>
              <w:top w:val="single" w:sz="4" w:space="0" w:color="000000"/>
              <w:left w:val="single" w:sz="4" w:space="0" w:color="000000"/>
              <w:bottom w:val="nil" w:sz="6" w:space="0" w:color="auto"/>
              <w:right w:val="single" w:sz="4" w:space="0" w:color="000000"/>
            </w:tcBorders>
          </w:tcPr>
          <w:p>
            <w:pPr/>
          </w:p>
        </w:tc>
        <w:tc>
          <w:tcPr>
            <w:tcW w:w="709" w:type="dxa"/>
            <w:tcBorders>
              <w:top w:val="single" w:sz="4" w:space="0" w:color="000000"/>
              <w:left w:val="single" w:sz="4" w:space="0" w:color="000000"/>
              <w:bottom w:val="nil" w:sz="6" w:space="0" w:color="auto"/>
              <w:right w:val="single" w:sz="4" w:space="0" w:color="000000"/>
            </w:tcBorders>
          </w:tcPr>
          <w:p>
            <w:pPr/>
          </w:p>
        </w:tc>
        <w:tc>
          <w:tcPr>
            <w:tcW w:w="77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北京科</w:t>
            </w:r>
          </w:p>
        </w:tc>
      </w:tr>
      <w:tr>
        <w:trPr>
          <w:trHeight w:val="311" w:hRule="exact"/>
        </w:trPr>
        <w:tc>
          <w:tcPr>
            <w:tcW w:w="1560" w:type="dxa"/>
            <w:vMerge/>
            <w:tcBorders>
              <w:left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投资顾问</w:t>
            </w:r>
          </w:p>
        </w:tc>
        <w:tc>
          <w:tcPr>
            <w:tcW w:w="992" w:type="dxa"/>
            <w:tcBorders>
              <w:top w:val="nil" w:sz="6" w:space="0" w:color="auto"/>
              <w:left w:val="single" w:sz="4" w:space="0" w:color="000000"/>
              <w:bottom w:val="nil" w:sz="6" w:space="0" w:color="auto"/>
              <w:right w:val="single" w:sz="4" w:space="0" w:color="000000"/>
            </w:tcBorders>
          </w:tcPr>
          <w:p>
            <w:pPr/>
          </w:p>
        </w:tc>
        <w:tc>
          <w:tcPr>
            <w:tcW w:w="3829"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709" w:type="dxa"/>
            <w:tcBorders>
              <w:top w:val="nil" w:sz="6" w:space="0" w:color="auto"/>
              <w:left w:val="single" w:sz="4" w:space="0" w:color="000000"/>
              <w:bottom w:val="nil" w:sz="6" w:space="0" w:color="auto"/>
              <w:right w:val="single" w:sz="4" w:space="0" w:color="000000"/>
            </w:tcBorders>
          </w:tcPr>
          <w:p>
            <w:pPr/>
          </w:p>
        </w:tc>
        <w:tc>
          <w:tcPr>
            <w:tcW w:w="77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桥、红塔</w:t>
            </w:r>
          </w:p>
        </w:tc>
      </w:tr>
      <w:tr>
        <w:trPr>
          <w:trHeight w:val="317" w:hRule="exact"/>
        </w:trPr>
        <w:tc>
          <w:tcPr>
            <w:tcW w:w="1560" w:type="dxa"/>
            <w:vMerge/>
            <w:tcBorders>
              <w:left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有限公司</w:t>
            </w:r>
            <w:r>
              <w:rPr>
                <w:rFonts w:ascii="Times New Roman" w:hAnsi="Times New Roman" w:cs="Times New Roman" w:eastAsia="Times New Roman" w:hint="default"/>
                <w:sz w:val="18"/>
                <w:szCs w:val="18"/>
              </w:rPr>
              <w:t>;</w:t>
            </w:r>
          </w:p>
        </w:tc>
        <w:tc>
          <w:tcPr>
            <w:tcW w:w="992" w:type="dxa"/>
            <w:tcBorders>
              <w:top w:val="nil" w:sz="6" w:space="0" w:color="auto"/>
              <w:left w:val="single" w:sz="4" w:space="0" w:color="000000"/>
              <w:bottom w:val="nil" w:sz="6" w:space="0" w:color="auto"/>
              <w:right w:val="single" w:sz="4" w:space="0" w:color="000000"/>
            </w:tcBorders>
          </w:tcPr>
          <w:p>
            <w:pPr/>
          </w:p>
        </w:tc>
        <w:tc>
          <w:tcPr>
            <w:tcW w:w="3829"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发行人的法人股东北京科桥、红塔创投、兴烨创</w:t>
            </w:r>
          </w:p>
        </w:tc>
        <w:tc>
          <w:tcPr>
            <w:tcW w:w="850" w:type="dxa"/>
            <w:tcBorders>
              <w:top w:val="nil" w:sz="6" w:space="0" w:color="auto"/>
              <w:left w:val="single" w:sz="4" w:space="0" w:color="000000"/>
              <w:bottom w:val="nil" w:sz="6" w:space="0" w:color="auto"/>
              <w:right w:val="single" w:sz="4" w:space="0" w:color="000000"/>
            </w:tcBorders>
          </w:tcPr>
          <w:p>
            <w:pPr/>
          </w:p>
        </w:tc>
        <w:tc>
          <w:tcPr>
            <w:tcW w:w="709" w:type="dxa"/>
            <w:tcBorders>
              <w:top w:val="nil" w:sz="6" w:space="0" w:color="auto"/>
              <w:left w:val="single" w:sz="4" w:space="0" w:color="000000"/>
              <w:bottom w:val="nil" w:sz="6" w:space="0" w:color="auto"/>
              <w:right w:val="single" w:sz="4" w:space="0" w:color="000000"/>
            </w:tcBorders>
          </w:tcPr>
          <w:p>
            <w:pPr/>
          </w:p>
        </w:tc>
        <w:tc>
          <w:tcPr>
            <w:tcW w:w="77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创投、兴</w:t>
            </w:r>
          </w:p>
        </w:tc>
      </w:tr>
      <w:tr>
        <w:trPr>
          <w:trHeight w:val="307" w:hRule="exact"/>
        </w:trPr>
        <w:tc>
          <w:tcPr>
            <w:tcW w:w="1560" w:type="dxa"/>
            <w:vMerge/>
            <w:tcBorders>
              <w:left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上海兴烨</w:t>
            </w:r>
          </w:p>
        </w:tc>
        <w:tc>
          <w:tcPr>
            <w:tcW w:w="992" w:type="dxa"/>
            <w:tcBorders>
              <w:top w:val="nil" w:sz="6" w:space="0" w:color="auto"/>
              <w:left w:val="single" w:sz="4" w:space="0" w:color="000000"/>
              <w:bottom w:val="nil" w:sz="6" w:space="0" w:color="auto"/>
              <w:right w:val="single" w:sz="4" w:space="0" w:color="000000"/>
            </w:tcBorders>
          </w:tcPr>
          <w:p>
            <w:pPr/>
          </w:p>
        </w:tc>
        <w:tc>
          <w:tcPr>
            <w:tcW w:w="382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投、正同创投和自然人股东肖水龙均出具下述承</w:t>
            </w:r>
          </w:p>
        </w:tc>
        <w:tc>
          <w:tcPr>
            <w:tcW w:w="850" w:type="dxa"/>
            <w:tcBorders>
              <w:top w:val="nil" w:sz="6" w:space="0" w:color="auto"/>
              <w:left w:val="single" w:sz="4" w:space="0" w:color="000000"/>
              <w:bottom w:val="nil" w:sz="6" w:space="0" w:color="auto"/>
              <w:right w:val="single" w:sz="4" w:space="0" w:color="000000"/>
            </w:tcBorders>
          </w:tcPr>
          <w:p>
            <w:pPr/>
          </w:p>
        </w:tc>
        <w:tc>
          <w:tcPr>
            <w:tcW w:w="709" w:type="dxa"/>
            <w:tcBorders>
              <w:top w:val="nil" w:sz="6" w:space="0" w:color="auto"/>
              <w:left w:val="single" w:sz="4" w:space="0" w:color="000000"/>
              <w:bottom w:val="nil" w:sz="6" w:space="0" w:color="auto"/>
              <w:right w:val="single" w:sz="4" w:space="0" w:color="000000"/>
            </w:tcBorders>
          </w:tcPr>
          <w:p>
            <w:pPr/>
          </w:p>
        </w:tc>
        <w:tc>
          <w:tcPr>
            <w:tcW w:w="77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烨创投、</w:t>
            </w:r>
          </w:p>
        </w:tc>
      </w:tr>
      <w:tr>
        <w:trPr>
          <w:trHeight w:val="312" w:hRule="exact"/>
        </w:trPr>
        <w:tc>
          <w:tcPr>
            <w:tcW w:w="1560" w:type="dxa"/>
            <w:vMerge/>
            <w:tcBorders>
              <w:left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创业投资</w:t>
            </w:r>
          </w:p>
        </w:tc>
        <w:tc>
          <w:tcPr>
            <w:tcW w:w="992" w:type="dxa"/>
            <w:tcBorders>
              <w:top w:val="nil" w:sz="6" w:space="0" w:color="auto"/>
              <w:left w:val="single" w:sz="4" w:space="0" w:color="000000"/>
              <w:bottom w:val="nil" w:sz="6" w:space="0" w:color="auto"/>
              <w:right w:val="single" w:sz="4" w:space="0" w:color="000000"/>
            </w:tcBorders>
          </w:tcPr>
          <w:p>
            <w:pPr/>
          </w:p>
        </w:tc>
        <w:tc>
          <w:tcPr>
            <w:tcW w:w="382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诺：本公司（本人）将不以任何方式谋求成为先</w:t>
            </w:r>
          </w:p>
        </w:tc>
        <w:tc>
          <w:tcPr>
            <w:tcW w:w="850" w:type="dxa"/>
            <w:tcBorders>
              <w:top w:val="nil" w:sz="6" w:space="0" w:color="auto"/>
              <w:left w:val="single" w:sz="4" w:space="0" w:color="000000"/>
              <w:bottom w:val="nil" w:sz="6" w:space="0" w:color="auto"/>
              <w:right w:val="single" w:sz="4" w:space="0" w:color="000000"/>
            </w:tcBorders>
          </w:tcPr>
          <w:p>
            <w:pPr/>
          </w:p>
        </w:tc>
        <w:tc>
          <w:tcPr>
            <w:tcW w:w="709" w:type="dxa"/>
            <w:tcBorders>
              <w:top w:val="nil" w:sz="6" w:space="0" w:color="auto"/>
              <w:left w:val="single" w:sz="4" w:space="0" w:color="000000"/>
              <w:bottom w:val="nil" w:sz="6" w:space="0" w:color="auto"/>
              <w:right w:val="single" w:sz="4" w:space="0" w:color="000000"/>
            </w:tcBorders>
          </w:tcPr>
          <w:p>
            <w:pPr/>
          </w:p>
        </w:tc>
        <w:tc>
          <w:tcPr>
            <w:tcW w:w="77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正同创投</w:t>
            </w:r>
          </w:p>
        </w:tc>
      </w:tr>
      <w:tr>
        <w:trPr>
          <w:trHeight w:val="936" w:hRule="exact"/>
        </w:trPr>
        <w:tc>
          <w:tcPr>
            <w:tcW w:w="1560" w:type="dxa"/>
            <w:vMerge/>
            <w:tcBorders>
              <w:left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309" w:lineRule="auto" w:before="10"/>
              <w:ind w:left="22" w:right="45"/>
              <w:jc w:val="both"/>
              <w:rPr>
                <w:rFonts w:ascii="宋体" w:hAnsi="宋体" w:cs="宋体" w:eastAsia="宋体" w:hint="default"/>
                <w:sz w:val="18"/>
                <w:szCs w:val="18"/>
              </w:rPr>
            </w:pPr>
            <w:r>
              <w:rPr>
                <w:rFonts w:ascii="宋体" w:hAnsi="宋体" w:cs="宋体" w:eastAsia="宋体" w:hint="default"/>
                <w:sz w:val="18"/>
                <w:szCs w:val="18"/>
              </w:rPr>
              <w:t>有限公司</w:t>
            </w:r>
            <w:r>
              <w:rPr>
                <w:rFonts w:ascii="Times New Roman" w:hAnsi="Times New Roman" w:cs="Times New Roman" w:eastAsia="Times New Roman" w:hint="default"/>
                <w:sz w:val="18"/>
                <w:szCs w:val="18"/>
              </w:rPr>
              <w:t>; </w:t>
            </w:r>
            <w:r>
              <w:rPr>
                <w:rFonts w:ascii="宋体" w:hAnsi="宋体" w:cs="宋体" w:eastAsia="宋体" w:hint="default"/>
                <w:sz w:val="18"/>
                <w:szCs w:val="18"/>
              </w:rPr>
              <w:t>上海正同 创业投资</w:t>
            </w:r>
          </w:p>
        </w:tc>
        <w:tc>
          <w:tcPr>
            <w:tcW w:w="99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6"/>
              <w:ind w:left="23"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3829"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23"/>
              <w:jc w:val="both"/>
              <w:rPr>
                <w:rFonts w:ascii="宋体" w:hAnsi="宋体" w:cs="宋体" w:eastAsia="宋体" w:hint="default"/>
                <w:sz w:val="18"/>
                <w:szCs w:val="18"/>
              </w:rPr>
            </w:pPr>
            <w:r>
              <w:rPr>
                <w:rFonts w:ascii="宋体" w:hAnsi="宋体" w:cs="宋体" w:eastAsia="宋体" w:hint="default"/>
                <w:spacing w:val="-1"/>
                <w:sz w:val="18"/>
                <w:szCs w:val="18"/>
              </w:rPr>
              <w:t>河环保的控股股东或实际控制人，不以控制为目</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1"/>
                <w:sz w:val="18"/>
                <w:szCs w:val="18"/>
              </w:rPr>
              <w:t>的增持先河环保的股份，不与先河环保的其他股</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1"/>
                <w:sz w:val="18"/>
                <w:szCs w:val="18"/>
              </w:rPr>
              <w:t>东签署与控制权有关的任何协议（包括但不限于</w:t>
            </w: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09" w:type="dxa"/>
            <w:tcBorders>
              <w:top w:val="nil" w:sz="6" w:space="0" w:color="auto"/>
              <w:left w:val="single" w:sz="4" w:space="0" w:color="000000"/>
              <w:bottom w:val="nil" w:sz="6" w:space="0" w:color="auto"/>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9999-12</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-31</w:t>
            </w:r>
          </w:p>
        </w:tc>
        <w:tc>
          <w:tcPr>
            <w:tcW w:w="779"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24"/>
              <w:jc w:val="both"/>
              <w:rPr>
                <w:rFonts w:ascii="宋体" w:hAnsi="宋体" w:cs="宋体" w:eastAsia="宋体" w:hint="default"/>
                <w:sz w:val="18"/>
                <w:szCs w:val="18"/>
              </w:rPr>
            </w:pPr>
            <w:r>
              <w:rPr>
                <w:rFonts w:ascii="宋体" w:hAnsi="宋体" w:cs="宋体" w:eastAsia="宋体" w:hint="default"/>
                <w:sz w:val="18"/>
                <w:szCs w:val="18"/>
              </w:rPr>
              <w:t>和自然人 股东肖水 龙严格遵</w:t>
            </w:r>
          </w:p>
        </w:tc>
      </w:tr>
      <w:tr>
        <w:trPr>
          <w:trHeight w:val="317" w:hRule="exact"/>
        </w:trPr>
        <w:tc>
          <w:tcPr>
            <w:tcW w:w="1560" w:type="dxa"/>
            <w:vMerge/>
            <w:tcBorders>
              <w:left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有限公司</w:t>
            </w:r>
            <w:r>
              <w:rPr>
                <w:rFonts w:ascii="Times New Roman" w:hAnsi="Times New Roman" w:cs="Times New Roman" w:eastAsia="Times New Roman" w:hint="default"/>
                <w:sz w:val="18"/>
                <w:szCs w:val="18"/>
              </w:rPr>
              <w:t>;</w:t>
            </w:r>
          </w:p>
        </w:tc>
        <w:tc>
          <w:tcPr>
            <w:tcW w:w="992" w:type="dxa"/>
            <w:tcBorders>
              <w:top w:val="nil" w:sz="6" w:space="0" w:color="auto"/>
              <w:left w:val="single" w:sz="4" w:space="0" w:color="000000"/>
              <w:bottom w:val="nil" w:sz="6" w:space="0" w:color="auto"/>
              <w:right w:val="single" w:sz="4" w:space="0" w:color="000000"/>
            </w:tcBorders>
          </w:tcPr>
          <w:p>
            <w:pPr/>
          </w:p>
        </w:tc>
        <w:tc>
          <w:tcPr>
            <w:tcW w:w="382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一致行动协议、限制实际控制人行使权利协议）</w:t>
            </w:r>
          </w:p>
        </w:tc>
        <w:tc>
          <w:tcPr>
            <w:tcW w:w="850" w:type="dxa"/>
            <w:tcBorders>
              <w:top w:val="nil" w:sz="6" w:space="0" w:color="auto"/>
              <w:left w:val="single" w:sz="4" w:space="0" w:color="000000"/>
              <w:bottom w:val="nil" w:sz="6" w:space="0" w:color="auto"/>
              <w:right w:val="single" w:sz="4" w:space="0" w:color="000000"/>
            </w:tcBorders>
          </w:tcPr>
          <w:p>
            <w:pPr/>
          </w:p>
        </w:tc>
        <w:tc>
          <w:tcPr>
            <w:tcW w:w="709" w:type="dxa"/>
            <w:tcBorders>
              <w:top w:val="nil" w:sz="6" w:space="0" w:color="auto"/>
              <w:left w:val="single" w:sz="4" w:space="0" w:color="000000"/>
              <w:bottom w:val="nil" w:sz="6" w:space="0" w:color="auto"/>
              <w:right w:val="single" w:sz="4" w:space="0" w:color="000000"/>
            </w:tcBorders>
          </w:tcPr>
          <w:p>
            <w:pPr/>
          </w:p>
        </w:tc>
        <w:tc>
          <w:tcPr>
            <w:tcW w:w="77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守上述承</w:t>
            </w:r>
          </w:p>
        </w:tc>
      </w:tr>
      <w:tr>
        <w:trPr>
          <w:trHeight w:val="312" w:hRule="exact"/>
        </w:trPr>
        <w:tc>
          <w:tcPr>
            <w:tcW w:w="1560" w:type="dxa"/>
            <w:vMerge/>
            <w:tcBorders>
              <w:left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肖水龙</w:t>
            </w:r>
            <w:r>
              <w:rPr>
                <w:rFonts w:ascii="Times New Roman" w:hAnsi="Times New Roman" w:cs="Times New Roman" w:eastAsia="Times New Roman" w:hint="default"/>
                <w:sz w:val="18"/>
                <w:szCs w:val="18"/>
              </w:rPr>
              <w:t>;</w:t>
            </w:r>
            <w:r>
              <w:rPr>
                <w:rFonts w:ascii="宋体" w:hAnsi="宋体" w:cs="宋体" w:eastAsia="宋体" w:hint="default"/>
                <w:sz w:val="18"/>
                <w:szCs w:val="18"/>
              </w:rPr>
              <w:t>红</w:t>
            </w:r>
          </w:p>
        </w:tc>
        <w:tc>
          <w:tcPr>
            <w:tcW w:w="992" w:type="dxa"/>
            <w:tcBorders>
              <w:top w:val="nil" w:sz="6" w:space="0" w:color="auto"/>
              <w:left w:val="single" w:sz="4" w:space="0" w:color="000000"/>
              <w:bottom w:val="nil" w:sz="6" w:space="0" w:color="auto"/>
              <w:right w:val="single" w:sz="4" w:space="0" w:color="000000"/>
            </w:tcBorders>
          </w:tcPr>
          <w:p>
            <w:pPr/>
          </w:p>
        </w:tc>
        <w:tc>
          <w:tcPr>
            <w:tcW w:w="382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不参与任何可能影响李玉国作为先河环保实际</w:t>
            </w:r>
          </w:p>
        </w:tc>
        <w:tc>
          <w:tcPr>
            <w:tcW w:w="850" w:type="dxa"/>
            <w:tcBorders>
              <w:top w:val="nil" w:sz="6" w:space="0" w:color="auto"/>
              <w:left w:val="single" w:sz="4" w:space="0" w:color="000000"/>
              <w:bottom w:val="nil" w:sz="6" w:space="0" w:color="auto"/>
              <w:right w:val="single" w:sz="4" w:space="0" w:color="000000"/>
            </w:tcBorders>
          </w:tcPr>
          <w:p>
            <w:pPr/>
          </w:p>
        </w:tc>
        <w:tc>
          <w:tcPr>
            <w:tcW w:w="709" w:type="dxa"/>
            <w:tcBorders>
              <w:top w:val="nil" w:sz="6" w:space="0" w:color="auto"/>
              <w:left w:val="single" w:sz="4" w:space="0" w:color="000000"/>
              <w:bottom w:val="nil" w:sz="6" w:space="0" w:color="auto"/>
              <w:right w:val="single" w:sz="4" w:space="0" w:color="000000"/>
            </w:tcBorders>
          </w:tcPr>
          <w:p>
            <w:pPr/>
          </w:p>
        </w:tc>
        <w:tc>
          <w:tcPr>
            <w:tcW w:w="77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诺，未发</w:t>
            </w:r>
          </w:p>
        </w:tc>
      </w:tr>
      <w:tr>
        <w:trPr>
          <w:trHeight w:val="308" w:hRule="exact"/>
        </w:trPr>
        <w:tc>
          <w:tcPr>
            <w:tcW w:w="1560" w:type="dxa"/>
            <w:vMerge/>
            <w:tcBorders>
              <w:left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塔创新投</w:t>
            </w:r>
          </w:p>
        </w:tc>
        <w:tc>
          <w:tcPr>
            <w:tcW w:w="992" w:type="dxa"/>
            <w:tcBorders>
              <w:top w:val="nil" w:sz="6" w:space="0" w:color="auto"/>
              <w:left w:val="single" w:sz="4" w:space="0" w:color="000000"/>
              <w:bottom w:val="nil" w:sz="6" w:space="0" w:color="auto"/>
              <w:right w:val="single" w:sz="4" w:space="0" w:color="000000"/>
            </w:tcBorders>
          </w:tcPr>
          <w:p>
            <w:pPr/>
          </w:p>
        </w:tc>
        <w:tc>
          <w:tcPr>
            <w:tcW w:w="3829"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控制人地位的活动。</w:t>
            </w:r>
          </w:p>
        </w:tc>
        <w:tc>
          <w:tcPr>
            <w:tcW w:w="850" w:type="dxa"/>
            <w:tcBorders>
              <w:top w:val="nil" w:sz="6" w:space="0" w:color="auto"/>
              <w:left w:val="single" w:sz="4" w:space="0" w:color="000000"/>
              <w:bottom w:val="nil" w:sz="6" w:space="0" w:color="auto"/>
              <w:right w:val="single" w:sz="4" w:space="0" w:color="000000"/>
            </w:tcBorders>
          </w:tcPr>
          <w:p>
            <w:pPr/>
          </w:p>
        </w:tc>
        <w:tc>
          <w:tcPr>
            <w:tcW w:w="709" w:type="dxa"/>
            <w:tcBorders>
              <w:top w:val="nil" w:sz="6" w:space="0" w:color="auto"/>
              <w:left w:val="single" w:sz="4" w:space="0" w:color="000000"/>
              <w:bottom w:val="nil" w:sz="6" w:space="0" w:color="auto"/>
              <w:right w:val="single" w:sz="4" w:space="0" w:color="000000"/>
            </w:tcBorders>
          </w:tcPr>
          <w:p>
            <w:pPr/>
          </w:p>
        </w:tc>
        <w:tc>
          <w:tcPr>
            <w:tcW w:w="77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现违反上</w:t>
            </w:r>
          </w:p>
        </w:tc>
      </w:tr>
      <w:tr>
        <w:trPr>
          <w:trHeight w:val="312" w:hRule="exact"/>
        </w:trPr>
        <w:tc>
          <w:tcPr>
            <w:tcW w:w="1560" w:type="dxa"/>
            <w:vMerge/>
            <w:tcBorders>
              <w:left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资股份有</w:t>
            </w:r>
          </w:p>
        </w:tc>
        <w:tc>
          <w:tcPr>
            <w:tcW w:w="992" w:type="dxa"/>
            <w:tcBorders>
              <w:top w:val="nil" w:sz="6" w:space="0" w:color="auto"/>
              <w:left w:val="single" w:sz="4" w:space="0" w:color="000000"/>
              <w:bottom w:val="nil" w:sz="6" w:space="0" w:color="auto"/>
              <w:right w:val="single" w:sz="4" w:space="0" w:color="000000"/>
            </w:tcBorders>
          </w:tcPr>
          <w:p>
            <w:pPr/>
          </w:p>
        </w:tc>
        <w:tc>
          <w:tcPr>
            <w:tcW w:w="3829"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709" w:type="dxa"/>
            <w:tcBorders>
              <w:top w:val="nil" w:sz="6" w:space="0" w:color="auto"/>
              <w:left w:val="single" w:sz="4" w:space="0" w:color="000000"/>
              <w:bottom w:val="nil" w:sz="6" w:space="0" w:color="auto"/>
              <w:right w:val="single" w:sz="4" w:space="0" w:color="000000"/>
            </w:tcBorders>
          </w:tcPr>
          <w:p>
            <w:pPr/>
          </w:p>
        </w:tc>
        <w:tc>
          <w:tcPr>
            <w:tcW w:w="77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述承诺情</w:t>
            </w:r>
          </w:p>
        </w:tc>
      </w:tr>
      <w:tr>
        <w:trPr>
          <w:trHeight w:val="357" w:hRule="exact"/>
        </w:trPr>
        <w:tc>
          <w:tcPr>
            <w:tcW w:w="1560" w:type="dxa"/>
            <w:vMerge/>
            <w:tcBorders>
              <w:left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992" w:type="dxa"/>
            <w:tcBorders>
              <w:top w:val="nil" w:sz="6" w:space="0" w:color="auto"/>
              <w:left w:val="single" w:sz="4" w:space="0" w:color="000000"/>
              <w:bottom w:val="single" w:sz="4" w:space="0" w:color="000000"/>
              <w:right w:val="single" w:sz="4" w:space="0" w:color="000000"/>
            </w:tcBorders>
          </w:tcPr>
          <w:p>
            <w:pPr/>
          </w:p>
        </w:tc>
        <w:tc>
          <w:tcPr>
            <w:tcW w:w="3829" w:type="dxa"/>
            <w:tcBorders>
              <w:top w:val="nil" w:sz="6" w:space="0" w:color="auto"/>
              <w:left w:val="single" w:sz="4" w:space="0" w:color="000000"/>
              <w:bottom w:val="single" w:sz="4" w:space="0" w:color="000000"/>
              <w:right w:val="single" w:sz="4" w:space="0" w:color="000000"/>
            </w:tcBorders>
          </w:tcPr>
          <w:p>
            <w:pPr/>
          </w:p>
        </w:tc>
        <w:tc>
          <w:tcPr>
            <w:tcW w:w="850" w:type="dxa"/>
            <w:tcBorders>
              <w:top w:val="nil" w:sz="6" w:space="0" w:color="auto"/>
              <w:left w:val="single" w:sz="4" w:space="0" w:color="000000"/>
              <w:bottom w:val="single" w:sz="4" w:space="0" w:color="000000"/>
              <w:right w:val="single" w:sz="4" w:space="0" w:color="000000"/>
            </w:tcBorders>
          </w:tcPr>
          <w:p>
            <w:pPr/>
          </w:p>
        </w:tc>
        <w:tc>
          <w:tcPr>
            <w:tcW w:w="709" w:type="dxa"/>
            <w:tcBorders>
              <w:top w:val="nil" w:sz="6" w:space="0" w:color="auto"/>
              <w:left w:val="single" w:sz="4" w:space="0" w:color="000000"/>
              <w:bottom w:val="single" w:sz="4" w:space="0" w:color="000000"/>
              <w:right w:val="single" w:sz="4" w:space="0" w:color="000000"/>
            </w:tcBorders>
          </w:tcPr>
          <w:p>
            <w:pPr/>
          </w:p>
        </w:tc>
        <w:tc>
          <w:tcPr>
            <w:tcW w:w="77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况。</w:t>
            </w:r>
          </w:p>
        </w:tc>
      </w:tr>
      <w:tr>
        <w:trPr>
          <w:trHeight w:val="357" w:hRule="exact"/>
        </w:trPr>
        <w:tc>
          <w:tcPr>
            <w:tcW w:w="1560" w:type="dxa"/>
            <w:vMerge/>
            <w:tcBorders>
              <w:left w:val="single" w:sz="4" w:space="0" w:color="000000"/>
              <w:right w:val="single" w:sz="4" w:space="0" w:color="000000"/>
            </w:tcBorders>
            <w:shd w:val="clear" w:color="auto" w:fill="D2D2D2"/>
          </w:tcPr>
          <w:p>
            <w:pPr/>
          </w:p>
        </w:tc>
        <w:tc>
          <w:tcPr>
            <w:tcW w:w="850" w:type="dxa"/>
            <w:tcBorders>
              <w:top w:val="single" w:sz="4" w:space="0" w:color="000000"/>
              <w:left w:val="single" w:sz="4" w:space="0" w:color="000000"/>
              <w:bottom w:val="nil" w:sz="6" w:space="0" w:color="auto"/>
              <w:right w:val="single" w:sz="4" w:space="0" w:color="000000"/>
            </w:tcBorders>
          </w:tcPr>
          <w:p>
            <w:pPr/>
          </w:p>
        </w:tc>
        <w:tc>
          <w:tcPr>
            <w:tcW w:w="992" w:type="dxa"/>
            <w:tcBorders>
              <w:top w:val="single" w:sz="4" w:space="0" w:color="000000"/>
              <w:left w:val="single" w:sz="4" w:space="0" w:color="000000"/>
              <w:bottom w:val="nil" w:sz="6" w:space="0" w:color="auto"/>
              <w:right w:val="single" w:sz="4" w:space="0" w:color="000000"/>
            </w:tcBorders>
          </w:tcPr>
          <w:p>
            <w:pPr/>
          </w:p>
        </w:tc>
        <w:tc>
          <w:tcPr>
            <w:tcW w:w="3829" w:type="dxa"/>
            <w:tcBorders>
              <w:top w:val="single" w:sz="4" w:space="0" w:color="000000"/>
              <w:left w:val="single" w:sz="4" w:space="0" w:color="000000"/>
              <w:bottom w:val="nil" w:sz="6" w:space="0" w:color="auto"/>
              <w:right w:val="single" w:sz="4" w:space="0" w:color="000000"/>
            </w:tcBorders>
          </w:tcPr>
          <w:p>
            <w:pPr/>
          </w:p>
        </w:tc>
        <w:tc>
          <w:tcPr>
            <w:tcW w:w="850" w:type="dxa"/>
            <w:tcBorders>
              <w:top w:val="single" w:sz="4" w:space="0" w:color="000000"/>
              <w:left w:val="single" w:sz="4" w:space="0" w:color="000000"/>
              <w:bottom w:val="nil" w:sz="6" w:space="0" w:color="auto"/>
              <w:right w:val="single" w:sz="4" w:space="0" w:color="000000"/>
            </w:tcBorders>
          </w:tcPr>
          <w:p>
            <w:pPr/>
          </w:p>
        </w:tc>
        <w:tc>
          <w:tcPr>
            <w:tcW w:w="709" w:type="dxa"/>
            <w:tcBorders>
              <w:top w:val="single" w:sz="4" w:space="0" w:color="000000"/>
              <w:left w:val="single" w:sz="4" w:space="0" w:color="000000"/>
              <w:bottom w:val="nil" w:sz="6" w:space="0" w:color="auto"/>
              <w:right w:val="single" w:sz="4" w:space="0" w:color="000000"/>
            </w:tcBorders>
          </w:tcPr>
          <w:p>
            <w:pPr/>
          </w:p>
        </w:tc>
        <w:tc>
          <w:tcPr>
            <w:tcW w:w="77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天泽科技</w:t>
            </w:r>
          </w:p>
        </w:tc>
      </w:tr>
      <w:tr>
        <w:trPr>
          <w:trHeight w:val="312" w:hRule="exact"/>
        </w:trPr>
        <w:tc>
          <w:tcPr>
            <w:tcW w:w="1560" w:type="dxa"/>
            <w:vMerge/>
            <w:tcBorders>
              <w:left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3829"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709" w:type="dxa"/>
            <w:tcBorders>
              <w:top w:val="nil" w:sz="6" w:space="0" w:color="auto"/>
              <w:left w:val="single" w:sz="4" w:space="0" w:color="000000"/>
              <w:bottom w:val="nil" w:sz="6" w:space="0" w:color="auto"/>
              <w:right w:val="single" w:sz="4" w:space="0" w:color="000000"/>
            </w:tcBorders>
          </w:tcPr>
          <w:p>
            <w:pPr/>
          </w:p>
        </w:tc>
        <w:tc>
          <w:tcPr>
            <w:tcW w:w="77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的原股东</w:t>
            </w:r>
          </w:p>
        </w:tc>
      </w:tr>
      <w:tr>
        <w:trPr>
          <w:trHeight w:val="312" w:hRule="exact"/>
        </w:trPr>
        <w:tc>
          <w:tcPr>
            <w:tcW w:w="1560" w:type="dxa"/>
            <w:vMerge/>
            <w:tcBorders>
              <w:left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3829"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709" w:type="dxa"/>
            <w:tcBorders>
              <w:top w:val="nil" w:sz="6" w:space="0" w:color="auto"/>
              <w:left w:val="single" w:sz="4" w:space="0" w:color="000000"/>
              <w:bottom w:val="nil" w:sz="6" w:space="0" w:color="auto"/>
              <w:right w:val="single" w:sz="4" w:space="0" w:color="000000"/>
            </w:tcBorders>
          </w:tcPr>
          <w:p>
            <w:pPr/>
          </w:p>
        </w:tc>
        <w:tc>
          <w:tcPr>
            <w:tcW w:w="77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李玉国、</w:t>
            </w:r>
          </w:p>
        </w:tc>
      </w:tr>
      <w:tr>
        <w:trPr>
          <w:trHeight w:val="1872" w:hRule="exact"/>
        </w:trPr>
        <w:tc>
          <w:tcPr>
            <w:tcW w:w="1560" w:type="dxa"/>
            <w:vMerge/>
            <w:tcBorders>
              <w:left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07" w:lineRule="auto" w:before="116"/>
              <w:ind w:left="22" w:right="44"/>
              <w:jc w:val="left"/>
              <w:rPr>
                <w:rFonts w:ascii="宋体" w:hAnsi="宋体" w:cs="宋体" w:eastAsia="宋体" w:hint="default"/>
                <w:sz w:val="18"/>
                <w:szCs w:val="18"/>
              </w:rPr>
            </w:pPr>
            <w:r>
              <w:rPr>
                <w:rFonts w:ascii="宋体" w:hAnsi="宋体" w:cs="宋体" w:eastAsia="宋体" w:hint="default"/>
                <w:sz w:val="18"/>
                <w:szCs w:val="18"/>
              </w:rPr>
              <w:t>李玉国</w:t>
            </w:r>
            <w:r>
              <w:rPr>
                <w:rFonts w:ascii="Times New Roman" w:hAnsi="Times New Roman" w:cs="Times New Roman" w:eastAsia="Times New Roman" w:hint="default"/>
                <w:sz w:val="18"/>
                <w:szCs w:val="18"/>
              </w:rPr>
              <w:t>;</w:t>
            </w:r>
            <w:r>
              <w:rPr>
                <w:rFonts w:ascii="宋体" w:hAnsi="宋体" w:cs="宋体" w:eastAsia="宋体" w:hint="default"/>
                <w:sz w:val="18"/>
                <w:szCs w:val="18"/>
              </w:rPr>
              <w:t>范 朝</w:t>
            </w:r>
            <w:r>
              <w:rPr>
                <w:rFonts w:ascii="Times New Roman" w:hAnsi="Times New Roman" w:cs="Times New Roman" w:eastAsia="Times New Roman" w:hint="default"/>
                <w:sz w:val="18"/>
                <w:szCs w:val="18"/>
              </w:rPr>
              <w:t>;</w:t>
            </w:r>
            <w:r>
              <w:rPr>
                <w:rFonts w:ascii="宋体" w:hAnsi="宋体" w:cs="宋体" w:eastAsia="宋体" w:hint="default"/>
                <w:sz w:val="18"/>
                <w:szCs w:val="18"/>
              </w:rPr>
              <w:t>陈荣 强；张香 计</w:t>
            </w:r>
            <w:r>
              <w:rPr>
                <w:rFonts w:ascii="Times New Roman" w:hAnsi="Times New Roman" w:cs="Times New Roman" w:eastAsia="Times New Roman" w:hint="default"/>
                <w:sz w:val="18"/>
                <w:szCs w:val="18"/>
              </w:rPr>
              <w:t>;</w:t>
            </w:r>
            <w:r>
              <w:rPr>
                <w:rFonts w:ascii="宋体" w:hAnsi="宋体" w:cs="宋体" w:eastAsia="宋体" w:hint="default"/>
                <w:sz w:val="18"/>
                <w:szCs w:val="18"/>
              </w:rPr>
              <w:t>吴艳茹</w:t>
            </w:r>
          </w:p>
        </w:tc>
        <w:tc>
          <w:tcPr>
            <w:tcW w:w="99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3829"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316" w:lineRule="auto"/>
              <w:ind w:left="22" w:right="14"/>
              <w:jc w:val="left"/>
              <w:rPr>
                <w:rFonts w:ascii="宋体" w:hAnsi="宋体" w:cs="宋体" w:eastAsia="宋体" w:hint="default"/>
                <w:sz w:val="18"/>
                <w:szCs w:val="18"/>
              </w:rPr>
            </w:pPr>
            <w:r>
              <w:rPr>
                <w:rFonts w:ascii="宋体" w:hAnsi="宋体" w:cs="宋体" w:eastAsia="宋体" w:hint="default"/>
                <w:sz w:val="18"/>
                <w:szCs w:val="18"/>
              </w:rPr>
              <w:t>天泽科技的原股东李玉国、范朝、陈荣强、张香 计、吴艳茹均已出具承诺，如发行人因天泽科技 存续期间存在任何违法违规行为而被要求承担 责任，则该等自然人按其对天泽科技的出资比例 承担该等责任，保证发行人不因此而受到损失。</w:t>
            </w: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09"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9999-12</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-31</w:t>
            </w:r>
          </w:p>
        </w:tc>
        <w:tc>
          <w:tcPr>
            <w:tcW w:w="779"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24"/>
              <w:jc w:val="both"/>
              <w:rPr>
                <w:rFonts w:ascii="宋体" w:hAnsi="宋体" w:cs="宋体" w:eastAsia="宋体" w:hint="default"/>
                <w:sz w:val="18"/>
                <w:szCs w:val="18"/>
              </w:rPr>
            </w:pPr>
            <w:r>
              <w:rPr>
                <w:rFonts w:ascii="宋体" w:hAnsi="宋体" w:cs="宋体" w:eastAsia="宋体" w:hint="default"/>
                <w:sz w:val="18"/>
                <w:szCs w:val="18"/>
              </w:rPr>
              <w:t>范朝、陈 荣强、张 香计、吴 艳茹严格 遵守上述 承诺，未</w:t>
            </w:r>
          </w:p>
        </w:tc>
      </w:tr>
      <w:tr>
        <w:trPr>
          <w:trHeight w:val="312" w:hRule="exact"/>
        </w:trPr>
        <w:tc>
          <w:tcPr>
            <w:tcW w:w="1560" w:type="dxa"/>
            <w:vMerge/>
            <w:tcBorders>
              <w:left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3829"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709" w:type="dxa"/>
            <w:tcBorders>
              <w:top w:val="nil" w:sz="6" w:space="0" w:color="auto"/>
              <w:left w:val="single" w:sz="4" w:space="0" w:color="000000"/>
              <w:bottom w:val="nil" w:sz="6" w:space="0" w:color="auto"/>
              <w:right w:val="single" w:sz="4" w:space="0" w:color="000000"/>
            </w:tcBorders>
          </w:tcPr>
          <w:p>
            <w:pPr/>
          </w:p>
        </w:tc>
        <w:tc>
          <w:tcPr>
            <w:tcW w:w="77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发现违反</w:t>
            </w:r>
          </w:p>
        </w:tc>
      </w:tr>
      <w:tr>
        <w:trPr>
          <w:trHeight w:val="313" w:hRule="exact"/>
        </w:trPr>
        <w:tc>
          <w:tcPr>
            <w:tcW w:w="1560" w:type="dxa"/>
            <w:vMerge/>
            <w:tcBorders>
              <w:left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3829"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709" w:type="dxa"/>
            <w:tcBorders>
              <w:top w:val="nil" w:sz="6" w:space="0" w:color="auto"/>
              <w:left w:val="single" w:sz="4" w:space="0" w:color="000000"/>
              <w:bottom w:val="nil" w:sz="6" w:space="0" w:color="auto"/>
              <w:right w:val="single" w:sz="4" w:space="0" w:color="000000"/>
            </w:tcBorders>
          </w:tcPr>
          <w:p>
            <w:pPr/>
          </w:p>
        </w:tc>
        <w:tc>
          <w:tcPr>
            <w:tcW w:w="77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上述承诺</w:t>
            </w:r>
          </w:p>
        </w:tc>
      </w:tr>
      <w:tr>
        <w:trPr>
          <w:trHeight w:val="357" w:hRule="exact"/>
        </w:trPr>
        <w:tc>
          <w:tcPr>
            <w:tcW w:w="1560" w:type="dxa"/>
            <w:vMerge/>
            <w:tcBorders>
              <w:left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single" w:sz="4" w:space="0" w:color="000000"/>
              <w:right w:val="single" w:sz="4" w:space="0" w:color="000000"/>
            </w:tcBorders>
          </w:tcPr>
          <w:p>
            <w:pPr/>
          </w:p>
        </w:tc>
        <w:tc>
          <w:tcPr>
            <w:tcW w:w="992" w:type="dxa"/>
            <w:tcBorders>
              <w:top w:val="nil" w:sz="6" w:space="0" w:color="auto"/>
              <w:left w:val="single" w:sz="4" w:space="0" w:color="000000"/>
              <w:bottom w:val="single" w:sz="4" w:space="0" w:color="000000"/>
              <w:right w:val="single" w:sz="4" w:space="0" w:color="000000"/>
            </w:tcBorders>
          </w:tcPr>
          <w:p>
            <w:pPr/>
          </w:p>
        </w:tc>
        <w:tc>
          <w:tcPr>
            <w:tcW w:w="3829" w:type="dxa"/>
            <w:tcBorders>
              <w:top w:val="nil" w:sz="6" w:space="0" w:color="auto"/>
              <w:left w:val="single" w:sz="4" w:space="0" w:color="000000"/>
              <w:bottom w:val="single" w:sz="4" w:space="0" w:color="000000"/>
              <w:right w:val="single" w:sz="4" w:space="0" w:color="000000"/>
            </w:tcBorders>
          </w:tcPr>
          <w:p>
            <w:pPr/>
          </w:p>
        </w:tc>
        <w:tc>
          <w:tcPr>
            <w:tcW w:w="850" w:type="dxa"/>
            <w:tcBorders>
              <w:top w:val="nil" w:sz="6" w:space="0" w:color="auto"/>
              <w:left w:val="single" w:sz="4" w:space="0" w:color="000000"/>
              <w:bottom w:val="single" w:sz="4" w:space="0" w:color="000000"/>
              <w:right w:val="single" w:sz="4" w:space="0" w:color="000000"/>
            </w:tcBorders>
          </w:tcPr>
          <w:p>
            <w:pPr/>
          </w:p>
        </w:tc>
        <w:tc>
          <w:tcPr>
            <w:tcW w:w="709" w:type="dxa"/>
            <w:tcBorders>
              <w:top w:val="nil" w:sz="6" w:space="0" w:color="auto"/>
              <w:left w:val="single" w:sz="4" w:space="0" w:color="000000"/>
              <w:bottom w:val="single" w:sz="4" w:space="0" w:color="000000"/>
              <w:right w:val="single" w:sz="4" w:space="0" w:color="000000"/>
            </w:tcBorders>
          </w:tcPr>
          <w:p>
            <w:pPr/>
          </w:p>
        </w:tc>
        <w:tc>
          <w:tcPr>
            <w:tcW w:w="77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情况。</w:t>
            </w:r>
          </w:p>
        </w:tc>
      </w:tr>
      <w:tr>
        <w:trPr>
          <w:trHeight w:val="372" w:hRule="exact"/>
        </w:trPr>
        <w:tc>
          <w:tcPr>
            <w:tcW w:w="1560" w:type="dxa"/>
            <w:vMerge/>
            <w:tcBorders>
              <w:left w:val="single" w:sz="4" w:space="0" w:color="000000"/>
              <w:right w:val="single" w:sz="4" w:space="0" w:color="000000"/>
            </w:tcBorders>
            <w:shd w:val="clear" w:color="auto" w:fill="D2D2D2"/>
          </w:tcPr>
          <w:p>
            <w:pPr/>
          </w:p>
        </w:tc>
        <w:tc>
          <w:tcPr>
            <w:tcW w:w="850" w:type="dxa"/>
            <w:tcBorders>
              <w:top w:val="single" w:sz="4" w:space="0" w:color="000000"/>
              <w:left w:val="single" w:sz="4" w:space="0" w:color="000000"/>
              <w:bottom w:val="nil" w:sz="6" w:space="0" w:color="auto"/>
              <w:right w:val="single" w:sz="4" w:space="0" w:color="000000"/>
            </w:tcBorders>
          </w:tcPr>
          <w:p>
            <w:pPr/>
          </w:p>
        </w:tc>
        <w:tc>
          <w:tcPr>
            <w:tcW w:w="992" w:type="dxa"/>
            <w:tcBorders>
              <w:top w:val="single" w:sz="4" w:space="0" w:color="000000"/>
              <w:left w:val="single" w:sz="4" w:space="0" w:color="000000"/>
              <w:bottom w:val="nil" w:sz="6" w:space="0" w:color="auto"/>
              <w:right w:val="single" w:sz="4" w:space="0" w:color="000000"/>
            </w:tcBorders>
          </w:tcPr>
          <w:p>
            <w:pPr/>
          </w:p>
        </w:tc>
        <w:tc>
          <w:tcPr>
            <w:tcW w:w="382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、关于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年研究中心以低于评估价转让其所</w:t>
            </w:r>
          </w:p>
        </w:tc>
        <w:tc>
          <w:tcPr>
            <w:tcW w:w="850" w:type="dxa"/>
            <w:tcBorders>
              <w:top w:val="single" w:sz="4" w:space="0" w:color="000000"/>
              <w:left w:val="single" w:sz="4" w:space="0" w:color="000000"/>
              <w:bottom w:val="nil" w:sz="6" w:space="0" w:color="auto"/>
              <w:right w:val="single" w:sz="4" w:space="0" w:color="000000"/>
            </w:tcBorders>
          </w:tcPr>
          <w:p>
            <w:pPr/>
          </w:p>
        </w:tc>
        <w:tc>
          <w:tcPr>
            <w:tcW w:w="709" w:type="dxa"/>
            <w:tcBorders>
              <w:top w:val="single" w:sz="4" w:space="0" w:color="000000"/>
              <w:left w:val="single" w:sz="4" w:space="0" w:color="000000"/>
              <w:bottom w:val="nil" w:sz="6" w:space="0" w:color="auto"/>
              <w:right w:val="single" w:sz="4" w:space="0" w:color="000000"/>
            </w:tcBorders>
          </w:tcPr>
          <w:p>
            <w:pPr/>
          </w:p>
        </w:tc>
        <w:tc>
          <w:tcPr>
            <w:tcW w:w="77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公司控股</w:t>
            </w:r>
          </w:p>
        </w:tc>
      </w:tr>
      <w:tr>
        <w:trPr>
          <w:trHeight w:val="306" w:hRule="exact"/>
        </w:trPr>
        <w:tc>
          <w:tcPr>
            <w:tcW w:w="1560" w:type="dxa"/>
            <w:vMerge/>
            <w:tcBorders>
              <w:left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3829" w:type="dxa"/>
            <w:tcBorders>
              <w:top w:val="nil" w:sz="6" w:space="0" w:color="auto"/>
              <w:left w:val="single" w:sz="4" w:space="0" w:color="000000"/>
              <w:bottom w:val="nil" w:sz="6" w:space="0" w:color="auto"/>
              <w:right w:val="single" w:sz="4" w:space="0" w:color="000000"/>
            </w:tcBorders>
          </w:tcPr>
          <w:p>
            <w:pPr>
              <w:pStyle w:val="TableParagraph"/>
              <w:spacing w:line="240" w:lineRule="auto" w:before="15"/>
              <w:ind w:left="22" w:right="0"/>
              <w:jc w:val="left"/>
              <w:rPr>
                <w:rFonts w:ascii="宋体" w:hAnsi="宋体" w:cs="宋体" w:eastAsia="宋体" w:hint="default"/>
                <w:sz w:val="18"/>
                <w:szCs w:val="18"/>
              </w:rPr>
            </w:pPr>
            <w:r>
              <w:rPr>
                <w:rFonts w:ascii="宋体" w:hAnsi="宋体" w:cs="宋体" w:eastAsia="宋体" w:hint="default"/>
                <w:sz w:val="18"/>
                <w:szCs w:val="18"/>
              </w:rPr>
              <w:t>持先河有限（公司前身）国有股权的承诺。</w:t>
            </w:r>
          </w:p>
        </w:tc>
        <w:tc>
          <w:tcPr>
            <w:tcW w:w="850" w:type="dxa"/>
            <w:tcBorders>
              <w:top w:val="nil" w:sz="6" w:space="0" w:color="auto"/>
              <w:left w:val="single" w:sz="4" w:space="0" w:color="000000"/>
              <w:bottom w:val="nil" w:sz="6" w:space="0" w:color="auto"/>
              <w:right w:val="single" w:sz="4" w:space="0" w:color="000000"/>
            </w:tcBorders>
          </w:tcPr>
          <w:p>
            <w:pPr/>
          </w:p>
        </w:tc>
        <w:tc>
          <w:tcPr>
            <w:tcW w:w="709" w:type="dxa"/>
            <w:tcBorders>
              <w:top w:val="nil" w:sz="6" w:space="0" w:color="auto"/>
              <w:left w:val="single" w:sz="4" w:space="0" w:color="000000"/>
              <w:bottom w:val="nil" w:sz="6" w:space="0" w:color="auto"/>
              <w:right w:val="single" w:sz="4" w:space="0" w:color="000000"/>
            </w:tcBorders>
          </w:tcPr>
          <w:p>
            <w:pPr/>
          </w:p>
        </w:tc>
        <w:tc>
          <w:tcPr>
            <w:tcW w:w="779" w:type="dxa"/>
            <w:tcBorders>
              <w:top w:val="nil" w:sz="6" w:space="0" w:color="auto"/>
              <w:left w:val="single" w:sz="4" w:space="0" w:color="000000"/>
              <w:bottom w:val="nil" w:sz="6" w:space="0" w:color="auto"/>
              <w:right w:val="single" w:sz="4" w:space="0" w:color="000000"/>
            </w:tcBorders>
          </w:tcPr>
          <w:p>
            <w:pPr>
              <w:pStyle w:val="TableParagraph"/>
              <w:spacing w:line="230" w:lineRule="exact"/>
              <w:ind w:left="22" w:right="0"/>
              <w:jc w:val="left"/>
              <w:rPr>
                <w:rFonts w:ascii="宋体" w:hAnsi="宋体" w:cs="宋体" w:eastAsia="宋体" w:hint="default"/>
                <w:sz w:val="18"/>
                <w:szCs w:val="18"/>
              </w:rPr>
            </w:pPr>
            <w:r>
              <w:rPr>
                <w:rFonts w:ascii="宋体" w:hAnsi="宋体" w:cs="宋体" w:eastAsia="宋体" w:hint="default"/>
                <w:sz w:val="18"/>
                <w:szCs w:val="18"/>
              </w:rPr>
              <w:t>股东、实</w:t>
            </w:r>
          </w:p>
        </w:tc>
      </w:tr>
      <w:tr>
        <w:trPr>
          <w:trHeight w:val="317" w:hRule="exact"/>
        </w:trPr>
        <w:tc>
          <w:tcPr>
            <w:tcW w:w="1560" w:type="dxa"/>
            <w:vMerge/>
            <w:tcBorders>
              <w:left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3829" w:type="dxa"/>
            <w:tcBorders>
              <w:top w:val="nil" w:sz="6" w:space="0" w:color="auto"/>
              <w:left w:val="single" w:sz="4" w:space="0" w:color="000000"/>
              <w:bottom w:val="nil" w:sz="6" w:space="0" w:color="auto"/>
              <w:right w:val="single" w:sz="4" w:space="0" w:color="000000"/>
            </w:tcBorders>
          </w:tcPr>
          <w:p>
            <w:pPr>
              <w:pStyle w:val="TableParagraph"/>
              <w:spacing w:line="240" w:lineRule="auto" w:before="2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 </w:t>
            </w:r>
            <w:r>
              <w:rPr>
                <w:rFonts w:ascii="宋体" w:hAnsi="宋体" w:cs="宋体" w:eastAsia="宋体" w:hint="default"/>
                <w:sz w:val="18"/>
                <w:szCs w:val="18"/>
              </w:rPr>
              <w:t>日，李玉国先生出具《关于河北</w:t>
            </w:r>
          </w:p>
        </w:tc>
        <w:tc>
          <w:tcPr>
            <w:tcW w:w="850" w:type="dxa"/>
            <w:tcBorders>
              <w:top w:val="nil" w:sz="6" w:space="0" w:color="auto"/>
              <w:left w:val="single" w:sz="4" w:space="0" w:color="000000"/>
              <w:bottom w:val="nil" w:sz="6" w:space="0" w:color="auto"/>
              <w:right w:val="single" w:sz="4" w:space="0" w:color="000000"/>
            </w:tcBorders>
          </w:tcPr>
          <w:p>
            <w:pPr/>
          </w:p>
        </w:tc>
        <w:tc>
          <w:tcPr>
            <w:tcW w:w="709" w:type="dxa"/>
            <w:tcBorders>
              <w:top w:val="nil" w:sz="6" w:space="0" w:color="auto"/>
              <w:left w:val="single" w:sz="4" w:space="0" w:color="000000"/>
              <w:bottom w:val="nil" w:sz="6" w:space="0" w:color="auto"/>
              <w:right w:val="single" w:sz="4" w:space="0" w:color="000000"/>
            </w:tcBorders>
          </w:tcPr>
          <w:p>
            <w:pPr/>
          </w:p>
        </w:tc>
        <w:tc>
          <w:tcPr>
            <w:tcW w:w="779" w:type="dxa"/>
            <w:tcBorders>
              <w:top w:val="nil" w:sz="6" w:space="0" w:color="auto"/>
              <w:left w:val="single" w:sz="4" w:space="0" w:color="000000"/>
              <w:bottom w:val="nil" w:sz="6" w:space="0" w:color="auto"/>
              <w:right w:val="single" w:sz="4" w:space="0" w:color="000000"/>
            </w:tcBorders>
          </w:tcPr>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际控制人</w:t>
            </w:r>
          </w:p>
        </w:tc>
      </w:tr>
      <w:tr>
        <w:trPr>
          <w:trHeight w:val="307" w:hRule="exact"/>
        </w:trPr>
        <w:tc>
          <w:tcPr>
            <w:tcW w:w="1560" w:type="dxa"/>
            <w:vMerge/>
            <w:tcBorders>
              <w:left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3829" w:type="dxa"/>
            <w:tcBorders>
              <w:top w:val="nil" w:sz="6" w:space="0" w:color="auto"/>
              <w:left w:val="single" w:sz="4" w:space="0" w:color="000000"/>
              <w:bottom w:val="nil" w:sz="6" w:space="0" w:color="auto"/>
              <w:right w:val="single" w:sz="4" w:space="0" w:color="000000"/>
            </w:tcBorders>
          </w:tcPr>
          <w:p>
            <w:pPr>
              <w:pStyle w:val="TableParagraph"/>
              <w:spacing w:line="240" w:lineRule="auto" w:before="15"/>
              <w:ind w:left="22" w:right="0"/>
              <w:jc w:val="left"/>
              <w:rPr>
                <w:rFonts w:ascii="宋体" w:hAnsi="宋体" w:cs="宋体" w:eastAsia="宋体" w:hint="default"/>
                <w:sz w:val="18"/>
                <w:szCs w:val="18"/>
              </w:rPr>
            </w:pPr>
            <w:r>
              <w:rPr>
                <w:rFonts w:ascii="宋体" w:hAnsi="宋体" w:cs="宋体" w:eastAsia="宋体" w:hint="default"/>
                <w:sz w:val="18"/>
                <w:szCs w:val="18"/>
              </w:rPr>
              <w:t>省环境计量技术研究中心转让河北先河科技发</w:t>
            </w:r>
          </w:p>
        </w:tc>
        <w:tc>
          <w:tcPr>
            <w:tcW w:w="850" w:type="dxa"/>
            <w:tcBorders>
              <w:top w:val="nil" w:sz="6" w:space="0" w:color="auto"/>
              <w:left w:val="single" w:sz="4" w:space="0" w:color="000000"/>
              <w:bottom w:val="nil" w:sz="6" w:space="0" w:color="auto"/>
              <w:right w:val="single" w:sz="4" w:space="0" w:color="000000"/>
            </w:tcBorders>
          </w:tcPr>
          <w:p>
            <w:pPr/>
          </w:p>
        </w:tc>
        <w:tc>
          <w:tcPr>
            <w:tcW w:w="709" w:type="dxa"/>
            <w:tcBorders>
              <w:top w:val="nil" w:sz="6" w:space="0" w:color="auto"/>
              <w:left w:val="single" w:sz="4" w:space="0" w:color="000000"/>
              <w:bottom w:val="nil" w:sz="6" w:space="0" w:color="auto"/>
              <w:right w:val="single" w:sz="4" w:space="0" w:color="000000"/>
            </w:tcBorders>
          </w:tcPr>
          <w:p>
            <w:pPr/>
          </w:p>
        </w:tc>
        <w:tc>
          <w:tcPr>
            <w:tcW w:w="779" w:type="dxa"/>
            <w:tcBorders>
              <w:top w:val="nil" w:sz="6" w:space="0" w:color="auto"/>
              <w:left w:val="single" w:sz="4" w:space="0" w:color="000000"/>
              <w:bottom w:val="nil" w:sz="6" w:space="0" w:color="auto"/>
              <w:right w:val="single" w:sz="4" w:space="0" w:color="000000"/>
            </w:tcBorders>
          </w:tcPr>
          <w:p>
            <w:pPr>
              <w:pStyle w:val="TableParagraph"/>
              <w:spacing w:line="231" w:lineRule="exact"/>
              <w:ind w:left="22" w:right="0"/>
              <w:jc w:val="left"/>
              <w:rPr>
                <w:rFonts w:ascii="宋体" w:hAnsi="宋体" w:cs="宋体" w:eastAsia="宋体" w:hint="default"/>
                <w:sz w:val="18"/>
                <w:szCs w:val="18"/>
              </w:rPr>
            </w:pPr>
            <w:r>
              <w:rPr>
                <w:rFonts w:ascii="宋体" w:hAnsi="宋体" w:cs="宋体" w:eastAsia="宋体" w:hint="default"/>
                <w:sz w:val="18"/>
                <w:szCs w:val="18"/>
              </w:rPr>
              <w:t>李玉国先</w:t>
            </w:r>
          </w:p>
        </w:tc>
      </w:tr>
      <w:tr>
        <w:trPr>
          <w:trHeight w:val="624" w:hRule="exact"/>
        </w:trPr>
        <w:tc>
          <w:tcPr>
            <w:tcW w:w="1560" w:type="dxa"/>
            <w:vMerge/>
            <w:tcBorders>
              <w:left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240" w:lineRule="auto" w:before="157"/>
              <w:ind w:left="22" w:right="0"/>
              <w:jc w:val="left"/>
              <w:rPr>
                <w:rFonts w:ascii="宋体" w:hAnsi="宋体" w:cs="宋体" w:eastAsia="宋体" w:hint="default"/>
                <w:sz w:val="18"/>
                <w:szCs w:val="18"/>
              </w:rPr>
            </w:pPr>
            <w:r>
              <w:rPr>
                <w:rFonts w:ascii="宋体" w:hAnsi="宋体" w:cs="宋体" w:eastAsia="宋体" w:hint="default"/>
                <w:sz w:val="18"/>
                <w:szCs w:val="18"/>
              </w:rPr>
              <w:t>李玉国</w:t>
            </w:r>
          </w:p>
        </w:tc>
        <w:tc>
          <w:tcPr>
            <w:tcW w:w="992" w:type="dxa"/>
            <w:tcBorders>
              <w:top w:val="nil" w:sz="6" w:space="0" w:color="auto"/>
              <w:left w:val="single" w:sz="4" w:space="0" w:color="000000"/>
              <w:bottom w:val="nil" w:sz="6" w:space="0" w:color="auto"/>
              <w:right w:val="single" w:sz="4" w:space="0" w:color="000000"/>
            </w:tcBorders>
          </w:tcPr>
          <w:p>
            <w:pPr>
              <w:pStyle w:val="TableParagraph"/>
              <w:spacing w:line="240" w:lineRule="auto" w:before="157"/>
              <w:ind w:left="23"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3829" w:type="dxa"/>
            <w:tcBorders>
              <w:top w:val="nil" w:sz="6" w:space="0" w:color="auto"/>
              <w:left w:val="single" w:sz="4" w:space="0" w:color="000000"/>
              <w:bottom w:val="nil" w:sz="6" w:space="0" w:color="auto"/>
              <w:right w:val="single" w:sz="4" w:space="0" w:color="000000"/>
            </w:tcBorders>
          </w:tcPr>
          <w:p>
            <w:pPr>
              <w:pStyle w:val="TableParagraph"/>
              <w:spacing w:line="316" w:lineRule="auto" w:before="20"/>
              <w:ind w:left="22" w:right="22"/>
              <w:jc w:val="left"/>
              <w:rPr>
                <w:rFonts w:ascii="宋体" w:hAnsi="宋体" w:cs="宋体" w:eastAsia="宋体" w:hint="default"/>
                <w:sz w:val="18"/>
                <w:szCs w:val="18"/>
              </w:rPr>
            </w:pPr>
            <w:r>
              <w:rPr>
                <w:rFonts w:ascii="宋体" w:hAnsi="宋体" w:cs="宋体" w:eastAsia="宋体" w:hint="default"/>
                <w:spacing w:val="-5"/>
                <w:sz w:val="18"/>
                <w:szCs w:val="18"/>
              </w:rPr>
              <w:t>展有限公司出资的情况说明和承诺》，作出如下</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承诺：如果国有资产监督管理机构按照法律法规</w:t>
            </w: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09" w:type="dxa"/>
            <w:tcBorders>
              <w:top w:val="nil" w:sz="6" w:space="0" w:color="auto"/>
              <w:left w:val="single" w:sz="4" w:space="0" w:color="000000"/>
              <w:bottom w:val="nil" w:sz="6" w:space="0" w:color="auto"/>
              <w:right w:val="single" w:sz="4" w:space="0" w:color="000000"/>
            </w:tcBorders>
          </w:tcPr>
          <w:p>
            <w:pPr>
              <w:pStyle w:val="TableParagraph"/>
              <w:spacing w:line="240" w:lineRule="auto" w:before="41"/>
              <w:ind w:left="23" w:right="0"/>
              <w:jc w:val="left"/>
              <w:rPr>
                <w:rFonts w:ascii="Times New Roman" w:hAnsi="Times New Roman" w:cs="Times New Roman" w:eastAsia="Times New Roman" w:hint="default"/>
                <w:sz w:val="18"/>
                <w:szCs w:val="18"/>
              </w:rPr>
            </w:pPr>
            <w:r>
              <w:rPr>
                <w:rFonts w:ascii="Times New Roman"/>
                <w:sz w:val="18"/>
              </w:rPr>
              <w:t>9999-12</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-31</w:t>
            </w:r>
          </w:p>
        </w:tc>
        <w:tc>
          <w:tcPr>
            <w:tcW w:w="779" w:type="dxa"/>
            <w:tcBorders>
              <w:top w:val="nil" w:sz="6" w:space="0" w:color="auto"/>
              <w:left w:val="single" w:sz="4" w:space="0" w:color="000000"/>
              <w:bottom w:val="nil" w:sz="6" w:space="0" w:color="auto"/>
              <w:right w:val="single" w:sz="4" w:space="0" w:color="000000"/>
            </w:tcBorders>
          </w:tcPr>
          <w:p>
            <w:pPr>
              <w:pStyle w:val="TableParagraph"/>
              <w:spacing w:line="316" w:lineRule="auto"/>
              <w:ind w:left="22" w:right="24"/>
              <w:jc w:val="left"/>
              <w:rPr>
                <w:rFonts w:ascii="宋体" w:hAnsi="宋体" w:cs="宋体" w:eastAsia="宋体" w:hint="default"/>
                <w:sz w:val="18"/>
                <w:szCs w:val="18"/>
              </w:rPr>
            </w:pPr>
            <w:r>
              <w:rPr>
                <w:rFonts w:ascii="宋体" w:hAnsi="宋体" w:cs="宋体" w:eastAsia="宋体" w:hint="default"/>
                <w:sz w:val="18"/>
                <w:szCs w:val="18"/>
              </w:rPr>
              <w:t>生严格遵 守上述承</w:t>
            </w:r>
          </w:p>
        </w:tc>
      </w:tr>
      <w:tr>
        <w:trPr>
          <w:trHeight w:val="312" w:hRule="exact"/>
        </w:trPr>
        <w:tc>
          <w:tcPr>
            <w:tcW w:w="1560" w:type="dxa"/>
            <w:vMerge/>
            <w:tcBorders>
              <w:left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3829" w:type="dxa"/>
            <w:tcBorders>
              <w:top w:val="nil" w:sz="6" w:space="0" w:color="auto"/>
              <w:left w:val="single" w:sz="4" w:space="0" w:color="000000"/>
              <w:bottom w:val="nil" w:sz="6" w:space="0" w:color="auto"/>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的规定要求受让人补交低于评估值的款项，其本</w:t>
            </w:r>
          </w:p>
        </w:tc>
        <w:tc>
          <w:tcPr>
            <w:tcW w:w="850" w:type="dxa"/>
            <w:tcBorders>
              <w:top w:val="nil" w:sz="6" w:space="0" w:color="auto"/>
              <w:left w:val="single" w:sz="4" w:space="0" w:color="000000"/>
              <w:bottom w:val="nil" w:sz="6" w:space="0" w:color="auto"/>
              <w:right w:val="single" w:sz="4" w:space="0" w:color="000000"/>
            </w:tcBorders>
          </w:tcPr>
          <w:p>
            <w:pPr/>
          </w:p>
        </w:tc>
        <w:tc>
          <w:tcPr>
            <w:tcW w:w="709" w:type="dxa"/>
            <w:tcBorders>
              <w:top w:val="nil" w:sz="6" w:space="0" w:color="auto"/>
              <w:left w:val="single" w:sz="4" w:space="0" w:color="000000"/>
              <w:bottom w:val="nil" w:sz="6" w:space="0" w:color="auto"/>
              <w:right w:val="single" w:sz="4" w:space="0" w:color="000000"/>
            </w:tcBorders>
          </w:tcPr>
          <w:p>
            <w:pPr/>
          </w:p>
        </w:tc>
        <w:tc>
          <w:tcPr>
            <w:tcW w:w="779" w:type="dxa"/>
            <w:tcBorders>
              <w:top w:val="nil" w:sz="6" w:space="0" w:color="auto"/>
              <w:left w:val="single" w:sz="4" w:space="0" w:color="000000"/>
              <w:bottom w:val="nil" w:sz="6" w:space="0" w:color="auto"/>
              <w:right w:val="single" w:sz="4" w:space="0" w:color="000000"/>
            </w:tcBorders>
          </w:tcPr>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诺，未发</w:t>
            </w:r>
          </w:p>
        </w:tc>
      </w:tr>
      <w:tr>
        <w:trPr>
          <w:trHeight w:val="317" w:hRule="exact"/>
        </w:trPr>
        <w:tc>
          <w:tcPr>
            <w:tcW w:w="1560" w:type="dxa"/>
            <w:vMerge/>
            <w:tcBorders>
              <w:left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3829" w:type="dxa"/>
            <w:tcBorders>
              <w:top w:val="nil" w:sz="6" w:space="0" w:color="auto"/>
              <w:left w:val="single" w:sz="4" w:space="0" w:color="000000"/>
              <w:bottom w:val="nil" w:sz="6" w:space="0" w:color="auto"/>
              <w:right w:val="single" w:sz="4" w:space="0" w:color="000000"/>
            </w:tcBorders>
          </w:tcPr>
          <w:p>
            <w:pPr>
              <w:pStyle w:val="TableParagraph"/>
              <w:spacing w:line="240" w:lineRule="auto" w:before="20"/>
              <w:ind w:left="22" w:right="0"/>
              <w:jc w:val="left"/>
              <w:rPr>
                <w:rFonts w:ascii="宋体" w:hAnsi="宋体" w:cs="宋体" w:eastAsia="宋体" w:hint="default"/>
                <w:sz w:val="18"/>
                <w:szCs w:val="18"/>
              </w:rPr>
            </w:pPr>
            <w:r>
              <w:rPr>
                <w:rFonts w:ascii="宋体" w:hAnsi="宋体" w:cs="宋体" w:eastAsia="宋体" w:hint="default"/>
                <w:sz w:val="18"/>
                <w:szCs w:val="18"/>
              </w:rPr>
              <w:t>人将予以全额补交。</w:t>
            </w:r>
            <w:r>
              <w:rPr>
                <w:rFonts w:ascii="Times New Roman" w:hAnsi="Times New Roman" w:cs="Times New Roman" w:eastAsia="Times New Roman" w:hint="default"/>
                <w:sz w:val="18"/>
                <w:szCs w:val="18"/>
              </w:rPr>
              <w:t>2</w:t>
            </w:r>
            <w:r>
              <w:rPr>
                <w:rFonts w:ascii="宋体" w:hAnsi="宋体" w:cs="宋体" w:eastAsia="宋体" w:hint="default"/>
                <w:sz w:val="18"/>
                <w:szCs w:val="18"/>
              </w:rPr>
              <w:t>、关于先河工会代持事宜</w:t>
            </w:r>
          </w:p>
        </w:tc>
        <w:tc>
          <w:tcPr>
            <w:tcW w:w="850" w:type="dxa"/>
            <w:tcBorders>
              <w:top w:val="nil" w:sz="6" w:space="0" w:color="auto"/>
              <w:left w:val="single" w:sz="4" w:space="0" w:color="000000"/>
              <w:bottom w:val="nil" w:sz="6" w:space="0" w:color="auto"/>
              <w:right w:val="single" w:sz="4" w:space="0" w:color="000000"/>
            </w:tcBorders>
          </w:tcPr>
          <w:p>
            <w:pPr/>
          </w:p>
        </w:tc>
        <w:tc>
          <w:tcPr>
            <w:tcW w:w="709" w:type="dxa"/>
            <w:tcBorders>
              <w:top w:val="nil" w:sz="6" w:space="0" w:color="auto"/>
              <w:left w:val="single" w:sz="4" w:space="0" w:color="000000"/>
              <w:bottom w:val="nil" w:sz="6" w:space="0" w:color="auto"/>
              <w:right w:val="single" w:sz="4" w:space="0" w:color="000000"/>
            </w:tcBorders>
          </w:tcPr>
          <w:p>
            <w:pPr/>
          </w:p>
        </w:tc>
        <w:tc>
          <w:tcPr>
            <w:tcW w:w="779" w:type="dxa"/>
            <w:tcBorders>
              <w:top w:val="nil" w:sz="6" w:space="0" w:color="auto"/>
              <w:left w:val="single" w:sz="4" w:space="0" w:color="000000"/>
              <w:bottom w:val="nil" w:sz="6" w:space="0" w:color="auto"/>
              <w:right w:val="single" w:sz="4" w:space="0" w:color="000000"/>
            </w:tcBorders>
          </w:tcPr>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现违反上</w:t>
            </w:r>
          </w:p>
        </w:tc>
      </w:tr>
      <w:tr>
        <w:trPr>
          <w:trHeight w:val="313" w:hRule="exact"/>
        </w:trPr>
        <w:tc>
          <w:tcPr>
            <w:tcW w:w="1560" w:type="dxa"/>
            <w:vMerge/>
            <w:tcBorders>
              <w:left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3829" w:type="dxa"/>
            <w:tcBorders>
              <w:top w:val="nil" w:sz="6" w:space="0" w:color="auto"/>
              <w:left w:val="single" w:sz="4" w:space="0" w:color="000000"/>
              <w:bottom w:val="nil" w:sz="6" w:space="0" w:color="auto"/>
              <w:right w:val="single" w:sz="4" w:space="0" w:color="000000"/>
            </w:tcBorders>
          </w:tcPr>
          <w:p>
            <w:pPr>
              <w:pStyle w:val="TableParagraph"/>
              <w:tabs>
                <w:tab w:pos="1094" w:val="left" w:leader="none"/>
              </w:tabs>
              <w:spacing w:line="240" w:lineRule="auto" w:before="15"/>
              <w:ind w:left="22" w:right="0"/>
              <w:jc w:val="left"/>
              <w:rPr>
                <w:rFonts w:ascii="宋体" w:hAnsi="宋体" w:cs="宋体" w:eastAsia="宋体" w:hint="default"/>
                <w:sz w:val="18"/>
                <w:szCs w:val="18"/>
              </w:rPr>
            </w:pPr>
            <w:r>
              <w:rPr>
                <w:rFonts w:ascii="宋体" w:hAnsi="宋体" w:cs="宋体" w:eastAsia="宋体" w:hint="default"/>
                <w:sz w:val="18"/>
                <w:szCs w:val="18"/>
              </w:rPr>
              <w:t>的承诺。</w:t>
              <w:tab/>
              <w:t>李玉国先生于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 </w:t>
            </w:r>
            <w:r>
              <w:rPr>
                <w:rFonts w:ascii="宋体" w:hAnsi="宋体" w:cs="宋体" w:eastAsia="宋体" w:hint="default"/>
                <w:sz w:val="18"/>
                <w:szCs w:val="18"/>
              </w:rPr>
              <w:t>日作</w:t>
            </w:r>
          </w:p>
        </w:tc>
        <w:tc>
          <w:tcPr>
            <w:tcW w:w="850" w:type="dxa"/>
            <w:tcBorders>
              <w:top w:val="nil" w:sz="6" w:space="0" w:color="auto"/>
              <w:left w:val="single" w:sz="4" w:space="0" w:color="000000"/>
              <w:bottom w:val="nil" w:sz="6" w:space="0" w:color="auto"/>
              <w:right w:val="single" w:sz="4" w:space="0" w:color="000000"/>
            </w:tcBorders>
          </w:tcPr>
          <w:p>
            <w:pPr/>
          </w:p>
        </w:tc>
        <w:tc>
          <w:tcPr>
            <w:tcW w:w="709" w:type="dxa"/>
            <w:tcBorders>
              <w:top w:val="nil" w:sz="6" w:space="0" w:color="auto"/>
              <w:left w:val="single" w:sz="4" w:space="0" w:color="000000"/>
              <w:bottom w:val="nil" w:sz="6" w:space="0" w:color="auto"/>
              <w:right w:val="single" w:sz="4" w:space="0" w:color="000000"/>
            </w:tcBorders>
          </w:tcPr>
          <w:p>
            <w:pPr/>
          </w:p>
        </w:tc>
        <w:tc>
          <w:tcPr>
            <w:tcW w:w="779" w:type="dxa"/>
            <w:tcBorders>
              <w:top w:val="nil" w:sz="6" w:space="0" w:color="auto"/>
              <w:left w:val="single" w:sz="4" w:space="0" w:color="000000"/>
              <w:bottom w:val="nil" w:sz="6" w:space="0" w:color="auto"/>
              <w:right w:val="single" w:sz="4" w:space="0" w:color="000000"/>
            </w:tcBorders>
          </w:tcPr>
          <w:p>
            <w:pPr>
              <w:pStyle w:val="TableParagraph"/>
              <w:spacing w:line="231" w:lineRule="exact"/>
              <w:ind w:left="22" w:right="0"/>
              <w:jc w:val="left"/>
              <w:rPr>
                <w:rFonts w:ascii="宋体" w:hAnsi="宋体" w:cs="宋体" w:eastAsia="宋体" w:hint="default"/>
                <w:sz w:val="18"/>
                <w:szCs w:val="18"/>
              </w:rPr>
            </w:pPr>
            <w:r>
              <w:rPr>
                <w:rFonts w:ascii="宋体" w:hAnsi="宋体" w:cs="宋体" w:eastAsia="宋体" w:hint="default"/>
                <w:sz w:val="18"/>
                <w:szCs w:val="18"/>
              </w:rPr>
              <w:t>述承诺情</w:t>
            </w:r>
          </w:p>
        </w:tc>
      </w:tr>
      <w:tr>
        <w:trPr>
          <w:trHeight w:val="342" w:hRule="exact"/>
        </w:trPr>
        <w:tc>
          <w:tcPr>
            <w:tcW w:w="1560" w:type="dxa"/>
            <w:vMerge/>
            <w:tcBorders>
              <w:left w:val="single" w:sz="4" w:space="0" w:color="000000"/>
              <w:bottom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single" w:sz="4" w:space="0" w:color="000000"/>
              <w:right w:val="single" w:sz="4" w:space="0" w:color="000000"/>
            </w:tcBorders>
          </w:tcPr>
          <w:p>
            <w:pPr/>
          </w:p>
        </w:tc>
        <w:tc>
          <w:tcPr>
            <w:tcW w:w="992" w:type="dxa"/>
            <w:tcBorders>
              <w:top w:val="nil" w:sz="6" w:space="0" w:color="auto"/>
              <w:left w:val="single" w:sz="4" w:space="0" w:color="000000"/>
              <w:bottom w:val="single" w:sz="4" w:space="0" w:color="000000"/>
              <w:right w:val="single" w:sz="4" w:space="0" w:color="000000"/>
            </w:tcBorders>
          </w:tcPr>
          <w:p>
            <w:pPr/>
          </w:p>
        </w:tc>
        <w:tc>
          <w:tcPr>
            <w:tcW w:w="382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5"/>
              <w:ind w:left="22" w:right="0"/>
              <w:jc w:val="left"/>
              <w:rPr>
                <w:rFonts w:ascii="宋体" w:hAnsi="宋体" w:cs="宋体" w:eastAsia="宋体" w:hint="default"/>
                <w:sz w:val="18"/>
                <w:szCs w:val="18"/>
              </w:rPr>
            </w:pPr>
            <w:r>
              <w:rPr>
                <w:rFonts w:ascii="宋体" w:hAnsi="宋体" w:cs="宋体" w:eastAsia="宋体" w:hint="default"/>
                <w:sz w:val="18"/>
                <w:szCs w:val="18"/>
              </w:rPr>
              <w:t>出承诺：如因先河工会受托代持事宜引发任何纠</w:t>
            </w:r>
          </w:p>
        </w:tc>
        <w:tc>
          <w:tcPr>
            <w:tcW w:w="850" w:type="dxa"/>
            <w:tcBorders>
              <w:top w:val="nil" w:sz="6" w:space="0" w:color="auto"/>
              <w:left w:val="single" w:sz="4" w:space="0" w:color="000000"/>
              <w:bottom w:val="single" w:sz="4" w:space="0" w:color="000000"/>
              <w:right w:val="single" w:sz="4" w:space="0" w:color="000000"/>
            </w:tcBorders>
          </w:tcPr>
          <w:p>
            <w:pPr/>
          </w:p>
        </w:tc>
        <w:tc>
          <w:tcPr>
            <w:tcW w:w="709" w:type="dxa"/>
            <w:tcBorders>
              <w:top w:val="nil" w:sz="6" w:space="0" w:color="auto"/>
              <w:left w:val="single" w:sz="4" w:space="0" w:color="000000"/>
              <w:bottom w:val="single" w:sz="4" w:space="0" w:color="000000"/>
              <w:right w:val="single" w:sz="4" w:space="0" w:color="000000"/>
            </w:tcBorders>
          </w:tcPr>
          <w:p>
            <w:pPr/>
          </w:p>
        </w:tc>
        <w:tc>
          <w:tcPr>
            <w:tcW w:w="779" w:type="dxa"/>
            <w:tcBorders>
              <w:top w:val="nil" w:sz="6" w:space="0" w:color="auto"/>
              <w:left w:val="single" w:sz="4" w:space="0" w:color="000000"/>
              <w:bottom w:val="single" w:sz="4" w:space="0" w:color="000000"/>
              <w:right w:val="single" w:sz="4" w:space="0" w:color="000000"/>
            </w:tcBorders>
          </w:tcPr>
          <w:p>
            <w:pPr>
              <w:pStyle w:val="TableParagraph"/>
              <w:spacing w:line="231" w:lineRule="exact"/>
              <w:ind w:left="22" w:right="0"/>
              <w:jc w:val="left"/>
              <w:rPr>
                <w:rFonts w:ascii="宋体" w:hAnsi="宋体" w:cs="宋体" w:eastAsia="宋体" w:hint="default"/>
                <w:sz w:val="18"/>
                <w:szCs w:val="18"/>
              </w:rPr>
            </w:pPr>
            <w:r>
              <w:rPr>
                <w:rFonts w:ascii="宋体" w:hAnsi="宋体" w:cs="宋体" w:eastAsia="宋体" w:hint="default"/>
                <w:sz w:val="18"/>
                <w:szCs w:val="18"/>
              </w:rPr>
              <w:t>况。</w:t>
            </w:r>
          </w:p>
        </w:tc>
      </w:tr>
    </w:tbl>
    <w:p>
      <w:pPr>
        <w:spacing w:after="0" w:line="231" w:lineRule="exact"/>
        <w:jc w:val="left"/>
        <w:rPr>
          <w:rFonts w:ascii="宋体" w:hAnsi="宋体" w:cs="宋体" w:eastAsia="宋体" w:hint="default"/>
          <w:sz w:val="18"/>
          <w:szCs w:val="18"/>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1549"/>
        <w:gridCol w:w="861"/>
        <w:gridCol w:w="992"/>
        <w:gridCol w:w="3829"/>
        <w:gridCol w:w="850"/>
        <w:gridCol w:w="709"/>
        <w:gridCol w:w="779"/>
      </w:tblGrid>
      <w:tr>
        <w:trPr>
          <w:trHeight w:val="4731" w:hRule="exact"/>
        </w:trPr>
        <w:tc>
          <w:tcPr>
            <w:tcW w:w="154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61"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382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2" w:right="14"/>
              <w:jc w:val="left"/>
              <w:rPr>
                <w:rFonts w:ascii="宋体" w:hAnsi="宋体" w:cs="宋体" w:eastAsia="宋体" w:hint="default"/>
                <w:sz w:val="18"/>
                <w:szCs w:val="18"/>
              </w:rPr>
            </w:pPr>
            <w:r>
              <w:rPr>
                <w:rFonts w:ascii="宋体" w:hAnsi="宋体" w:cs="宋体" w:eastAsia="宋体" w:hint="default"/>
                <w:sz w:val="18"/>
                <w:szCs w:val="18"/>
              </w:rPr>
              <w:t>纷或风险隐患，其本人将依法予以解决，如先河 工会因此而需承担相应的责任，其将代先河工会 承担且不向先河工会进行任何追偿。</w:t>
            </w:r>
            <w:r>
              <w:rPr>
                <w:rFonts w:ascii="Times New Roman" w:hAnsi="Times New Roman" w:cs="Times New Roman" w:eastAsia="Times New Roman" w:hint="default"/>
                <w:sz w:val="18"/>
                <w:szCs w:val="18"/>
              </w:rPr>
              <w:t>3</w:t>
            </w:r>
            <w:r>
              <w:rPr>
                <w:rFonts w:ascii="宋体" w:hAnsi="宋体" w:cs="宋体" w:eastAsia="宋体" w:hint="default"/>
                <w:sz w:val="18"/>
                <w:szCs w:val="18"/>
              </w:rPr>
              <w:t>、关于社 会保险和住房公积金的承诺。李玉国先生承诺： 如发行人被社会保障部门或其他有权机构要求 补缴以前年度有关的社保险费，或发行人因未足 额缴纳以前年度的有关的社会保险费而需缴纳 滞纳金、被处以行政处罚，李玉国本人将代发行 人承担该等需补缴的社会保险费、滞纳金和需缴 纳的罚款，且不向发行人追偿，保证发行人不因 此而受到损失。 李玉国先生承诺：如发行人因未为员工缴纳以前 年度的住房公积金而被有权机构处以罚款或被 要求补缴的，李玉国将代发行人承担该等责任且 不向发行人追偿，保证发行人不因此受到损失。</w:t>
            </w:r>
          </w:p>
        </w:tc>
        <w:tc>
          <w:tcPr>
            <w:tcW w:w="850"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7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股权激励承诺</w:t>
            </w:r>
          </w:p>
        </w:tc>
        <w:tc>
          <w:tcPr>
            <w:tcW w:w="861" w:type="dxa"/>
            <w:tcBorders>
              <w:top w:val="single" w:sz="4" w:space="0" w:color="000000"/>
              <w:left w:val="single" w:sz="9" w:space="0" w:color="D2D2D2"/>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3829"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7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74"/>
              <w:jc w:val="left"/>
              <w:rPr>
                <w:rFonts w:ascii="宋体" w:hAnsi="宋体" w:cs="宋体" w:eastAsia="宋体" w:hint="default"/>
                <w:sz w:val="18"/>
                <w:szCs w:val="18"/>
              </w:rPr>
            </w:pPr>
            <w:r>
              <w:rPr>
                <w:rFonts w:ascii="宋体" w:hAnsi="宋体" w:cs="宋体" w:eastAsia="宋体" w:hint="default"/>
                <w:sz w:val="18"/>
                <w:szCs w:val="18"/>
              </w:rPr>
              <w:t>其他对公司中小股 东所作承诺</w:t>
            </w:r>
          </w:p>
        </w:tc>
        <w:tc>
          <w:tcPr>
            <w:tcW w:w="861" w:type="dxa"/>
            <w:tcBorders>
              <w:top w:val="single" w:sz="4" w:space="0" w:color="000000"/>
              <w:left w:val="single" w:sz="9" w:space="0" w:color="D2D2D2"/>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3829"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7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承诺是否按时履行</w:t>
            </w:r>
          </w:p>
        </w:tc>
        <w:tc>
          <w:tcPr>
            <w:tcW w:w="861" w:type="dxa"/>
            <w:tcBorders>
              <w:top w:val="single" w:sz="4" w:space="0" w:color="000000"/>
              <w:left w:val="single" w:sz="9" w:space="0" w:color="D2D2D2"/>
              <w:bottom w:val="single" w:sz="4" w:space="0" w:color="000000"/>
              <w:right w:val="single" w:sz="13" w:space="0" w:color="D2D2D2"/>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是</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82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0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1650" w:hRule="exact"/>
        </w:trPr>
        <w:tc>
          <w:tcPr>
            <w:tcW w:w="15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74"/>
              <w:jc w:val="both"/>
              <w:rPr>
                <w:rFonts w:ascii="宋体" w:hAnsi="宋体" w:cs="宋体" w:eastAsia="宋体" w:hint="default"/>
                <w:sz w:val="18"/>
                <w:szCs w:val="18"/>
              </w:rPr>
            </w:pPr>
            <w:r>
              <w:rPr>
                <w:rFonts w:ascii="宋体" w:hAnsi="宋体" w:cs="宋体" w:eastAsia="宋体" w:hint="default"/>
                <w:sz w:val="18"/>
                <w:szCs w:val="18"/>
              </w:rPr>
              <w:t>如承诺超期未履行 完毕的，应当详细 说明未完成履行的 具体原因及下一步 的工作计划</w:t>
            </w:r>
          </w:p>
        </w:tc>
        <w:tc>
          <w:tcPr>
            <w:tcW w:w="8020" w:type="dxa"/>
            <w:gridSpan w:val="6"/>
            <w:tcBorders>
              <w:top w:val="single" w:sz="4" w:space="0" w:color="000000"/>
              <w:left w:val="single" w:sz="9" w:space="0" w:color="D2D2D2"/>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7"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2" w:hRule="exact"/>
        </w:trPr>
        <w:tc>
          <w:tcPr>
            <w:tcW w:w="154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020" w:type="dxa"/>
            <w:gridSpan w:val="6"/>
            <w:tcBorders>
              <w:top w:val="single" w:sz="4" w:space="0" w:color="000000"/>
              <w:left w:val="single" w:sz="4" w:space="0" w:color="000000"/>
              <w:bottom w:val="single" w:sz="4" w:space="0" w:color="000000"/>
              <w:right w:val="single" w:sz="4" w:space="0" w:color="000000"/>
            </w:tcBorders>
            <w:shd w:val="clear" w:color="auto" w:fill="D2D2D2"/>
          </w:tcPr>
          <w:p>
            <w:pPr/>
          </w:p>
        </w:tc>
      </w:tr>
    </w:tbl>
    <w:p>
      <w:pPr>
        <w:spacing w:line="240" w:lineRule="auto" w:before="10"/>
        <w:rPr>
          <w:rFonts w:ascii="Times New Roman" w:hAnsi="Times New Roman" w:cs="Times New Roman" w:eastAsia="Times New Roman" w:hint="default"/>
          <w:sz w:val="21"/>
          <w:szCs w:val="21"/>
        </w:rPr>
      </w:pPr>
    </w:p>
    <w:p>
      <w:pPr>
        <w:pStyle w:val="Heading3"/>
        <w:spacing w:line="259" w:lineRule="auto" w:before="35"/>
        <w:ind w:left="1134" w:right="0"/>
        <w:jc w:val="left"/>
        <w:rPr>
          <w:b w:val="0"/>
          <w:bCs w:val="0"/>
        </w:rPr>
      </w:pPr>
      <w:bookmarkStart w:name="2、公司资产或项目存在盈利预测，且报告期仍处在盈利预测期间，公司就资产或项目达到" w:id="66"/>
      <w:bookmarkEnd w:id="66"/>
      <w:r>
        <w:rPr>
          <w:b w:val="0"/>
          <w:bCs w:val="0"/>
        </w:rPr>
      </w:r>
      <w:r>
        <w:rPr>
          <w:rFonts w:ascii="Times New Roman" w:hAnsi="Times New Roman" w:cs="Times New Roman" w:eastAsia="Times New Roman" w:hint="default"/>
        </w:rPr>
        <w:t>2</w:t>
      </w:r>
      <w:r>
        <w:rPr/>
        <w:t>、公司资产或项目存在盈利预测，且报告期仍处在盈利预测期间，公司就资产或项目达到原盈利预测及</w:t>
      </w:r>
      <w:r>
        <w:rPr>
          <w:spacing w:val="-74"/>
        </w:rPr>
        <w:t> </w:t>
      </w:r>
      <w:r>
        <w:rPr>
          <w:spacing w:val="-74"/>
        </w:rPr>
      </w:r>
      <w:r>
        <w:rPr/>
        <w:t>其原因做出说明</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13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三、控股股东及其关联方对上市公司的非经营性占用资金情况" w:id="67"/>
      <w:bookmarkEnd w:id="67"/>
      <w:r>
        <w:rPr>
          <w:b w:val="0"/>
          <w:bCs w:val="0"/>
        </w:rPr>
      </w:r>
      <w:r>
        <w:rPr/>
        <w:t>三、控股股东及其关联方对上市公司的非经营性占用资金情况</w:t>
      </w:r>
      <w:r>
        <w:rPr>
          <w:b w:val="0"/>
          <w:bCs w:val="0"/>
        </w:rPr>
      </w:r>
    </w:p>
    <w:p>
      <w:pPr>
        <w:spacing w:line="240" w:lineRule="auto" w:before="9"/>
        <w:rPr>
          <w:rFonts w:ascii="宋体" w:hAnsi="宋体" w:cs="宋体" w:eastAsia="宋体" w:hint="default"/>
          <w:b/>
          <w:bCs/>
          <w:sz w:val="26"/>
          <w:szCs w:val="26"/>
        </w:rPr>
      </w:pPr>
    </w:p>
    <w:p>
      <w:pPr>
        <w:pStyle w:val="BodyText"/>
        <w:spacing w:line="340" w:lineRule="auto"/>
        <w:ind w:right="49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公司报告期不存在控股股东及其关联方对上市公司的非经营性占用资金。</w:t>
      </w:r>
    </w:p>
    <w:p>
      <w:pPr>
        <w:spacing w:line="240" w:lineRule="auto" w:before="3"/>
        <w:rPr>
          <w:rFonts w:ascii="宋体" w:hAnsi="宋体" w:cs="宋体" w:eastAsia="宋体" w:hint="default"/>
          <w:sz w:val="19"/>
          <w:szCs w:val="19"/>
        </w:rPr>
      </w:pPr>
    </w:p>
    <w:p>
      <w:pPr>
        <w:pStyle w:val="Heading2"/>
        <w:spacing w:line="240" w:lineRule="auto"/>
        <w:ind w:right="0"/>
        <w:jc w:val="left"/>
        <w:rPr>
          <w:b w:val="0"/>
          <w:bCs w:val="0"/>
        </w:rPr>
      </w:pPr>
      <w:bookmarkStart w:name="四、董事会对最近一期“非标准审计报告”相关情况的说明" w:id="68"/>
      <w:bookmarkEnd w:id="68"/>
      <w:r>
        <w:rPr>
          <w:b w:val="0"/>
          <w:bCs w:val="0"/>
        </w:rPr>
      </w:r>
      <w:r>
        <w:rPr/>
        <w:t>四、董事会对最近一期</w:t>
      </w:r>
      <w:r>
        <w:rPr>
          <w:rFonts w:ascii="Times New Roman" w:hAnsi="Times New Roman" w:cs="Times New Roman" w:eastAsia="Times New Roman" w:hint="default"/>
        </w:rPr>
        <w:t>“</w:t>
      </w:r>
      <w:r>
        <w:rPr/>
        <w:t>非标准审计报告</w:t>
      </w:r>
      <w:r>
        <w:rPr>
          <w:rFonts w:ascii="Times New Roman" w:hAnsi="Times New Roman" w:cs="Times New Roman" w:eastAsia="Times New Roman" w:hint="default"/>
        </w:rPr>
        <w:t>”</w:t>
      </w:r>
      <w:r>
        <w:rPr/>
        <w:t>相关情况的说明</w:t>
      </w:r>
      <w:r>
        <w:rPr>
          <w:b w:val="0"/>
          <w:bCs w:val="0"/>
        </w:rPr>
      </w:r>
    </w:p>
    <w:p>
      <w:pPr>
        <w:spacing w:line="240" w:lineRule="auto" w:before="4"/>
        <w:rPr>
          <w:rFonts w:ascii="宋体" w:hAnsi="宋体" w:cs="宋体" w:eastAsia="宋体" w:hint="default"/>
          <w:b/>
          <w:bCs/>
          <w:sz w:val="25"/>
          <w:szCs w:val="25"/>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23"/>
          <w:szCs w:val="23"/>
        </w:rPr>
      </w:pPr>
    </w:p>
    <w:p>
      <w:pPr>
        <w:pStyle w:val="Heading2"/>
        <w:spacing w:line="240" w:lineRule="auto"/>
        <w:ind w:right="0"/>
        <w:jc w:val="left"/>
        <w:rPr>
          <w:b w:val="0"/>
          <w:bCs w:val="0"/>
        </w:rPr>
      </w:pPr>
      <w:bookmarkStart w:name="五、董事会、监事会、独立董事（如有）对会计师事务所本报告期“非标准审计报告”的说" w:id="69"/>
      <w:bookmarkEnd w:id="69"/>
      <w:r>
        <w:rPr>
          <w:b w:val="0"/>
          <w:bCs w:val="0"/>
        </w:rPr>
      </w:r>
      <w:r>
        <w:rPr/>
        <w:t>五、董事会、监事会、独立董事（如有）对会计师事务所本报告期</w:t>
      </w:r>
      <w:r>
        <w:rPr>
          <w:rFonts w:ascii="Times New Roman" w:hAnsi="Times New Roman" w:cs="Times New Roman" w:eastAsia="Times New Roman" w:hint="default"/>
        </w:rPr>
        <w:t>“</w:t>
      </w:r>
      <w:r>
        <w:rPr/>
        <w:t>非标准审计报告</w:t>
      </w:r>
      <w:r>
        <w:rPr>
          <w:rFonts w:ascii="Times New Roman" w:hAnsi="Times New Roman" w:cs="Times New Roman" w:eastAsia="Times New Roman" w:hint="default"/>
        </w:rPr>
        <w:t>”</w:t>
      </w:r>
      <w:r>
        <w:rPr/>
        <w:t>的说明</w:t>
      </w:r>
      <w:r>
        <w:rPr>
          <w:b w:val="0"/>
          <w:bCs w:val="0"/>
        </w:rPr>
      </w:r>
    </w:p>
    <w:p>
      <w:pPr>
        <w:spacing w:line="240" w:lineRule="auto" w:before="4"/>
        <w:rPr>
          <w:rFonts w:ascii="宋体" w:hAnsi="宋体" w:cs="宋体" w:eastAsia="宋体" w:hint="default"/>
          <w:b/>
          <w:bCs/>
          <w:sz w:val="25"/>
          <w:szCs w:val="25"/>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79" w:top="1060" w:bottom="1160" w:left="0" w:right="0"/>
        </w:sectPr>
      </w:pPr>
    </w:p>
    <w:p>
      <w:pPr>
        <w:spacing w:line="240" w:lineRule="auto" w:before="8"/>
        <w:rPr>
          <w:rFonts w:ascii="宋体" w:hAnsi="宋体" w:cs="宋体" w:eastAsia="宋体" w:hint="default"/>
          <w:sz w:val="23"/>
          <w:szCs w:val="23"/>
        </w:rPr>
      </w:pPr>
    </w:p>
    <w:p>
      <w:pPr>
        <w:pStyle w:val="Heading2"/>
        <w:spacing w:line="240" w:lineRule="auto" w:before="26"/>
        <w:ind w:right="0"/>
        <w:jc w:val="left"/>
        <w:rPr>
          <w:b w:val="0"/>
          <w:bCs w:val="0"/>
        </w:rPr>
      </w:pPr>
      <w:bookmarkStart w:name="六、董事会关于报告期会计政策、会计估计变更或重大会计差错更正的说明" w:id="70"/>
      <w:bookmarkEnd w:id="70"/>
      <w:r>
        <w:rPr>
          <w:b w:val="0"/>
          <w:bCs w:val="0"/>
        </w:rPr>
      </w:r>
      <w:r>
        <w:rPr/>
        <w:t>六、董事会关于报告期会计政策、会计估计变更或重大会计差错更正的说明</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300" w:lineRule="auto" w:before="101"/>
        <w:ind w:right="1130" w:firstLine="420"/>
        <w:jc w:val="both"/>
      </w:pPr>
      <w:r>
        <w:rPr>
          <w:rFonts w:ascii="Times New Roman" w:hAnsi="Times New Roman" w:cs="Times New Roman" w:eastAsia="Times New Roman" w:hint="default"/>
        </w:rPr>
        <w:t>2017</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10</w:t>
      </w:r>
      <w:r>
        <w:rPr/>
        <w:t>日，财政部对《企业会计准则第</w:t>
      </w:r>
      <w:r>
        <w:rPr>
          <w:rFonts w:ascii="Times New Roman" w:hAnsi="Times New Roman" w:cs="Times New Roman" w:eastAsia="Times New Roman" w:hint="default"/>
        </w:rPr>
        <w:t>16</w:t>
      </w:r>
      <w:r>
        <w:rPr>
          <w:rFonts w:ascii="Times New Roman" w:hAnsi="Times New Roman" w:cs="Times New Roman" w:eastAsia="Times New Roman" w:hint="default"/>
          <w:spacing w:val="-4"/>
        </w:rPr>
        <w:t> </w:t>
      </w:r>
      <w:r>
        <w:rPr/>
        <w:t>号</w:t>
      </w:r>
      <w:r>
        <w:rPr>
          <w:rFonts w:ascii="Times New Roman" w:hAnsi="Times New Roman" w:cs="Times New Roman" w:eastAsia="Times New Roman" w:hint="default"/>
        </w:rPr>
        <w:t>——</w:t>
      </w:r>
      <w:r>
        <w:rPr/>
        <w:t>政府补助》进行了修订，要求自</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12</w:t>
      </w:r>
      <w:r>
        <w:rPr/>
        <w:t>日起在所有执行企 </w:t>
      </w:r>
      <w:r>
        <w:rPr>
          <w:spacing w:val="-2"/>
        </w:rPr>
        <w:t>业会计准则的企业范围内施行，并要求对</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w:t>
      </w:r>
      <w:r>
        <w:rPr>
          <w:spacing w:val="-2"/>
        </w:rPr>
        <w:t>月</w:t>
      </w:r>
      <w:r>
        <w:rPr>
          <w:rFonts w:ascii="Times New Roman" w:hAnsi="Times New Roman" w:cs="Times New Roman" w:eastAsia="Times New Roman" w:hint="default"/>
          <w:spacing w:val="-2"/>
        </w:rPr>
        <w:t>1</w:t>
      </w:r>
      <w:r>
        <w:rPr>
          <w:spacing w:val="-2"/>
        </w:rPr>
        <w:t>日存在的政府补助采用未来适用法处理，对</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w:t>
      </w:r>
      <w:r>
        <w:rPr>
          <w:spacing w:val="-2"/>
        </w:rPr>
        <w:t>月</w:t>
      </w:r>
      <w:r>
        <w:rPr>
          <w:rFonts w:ascii="Times New Roman" w:hAnsi="Times New Roman" w:cs="Times New Roman" w:eastAsia="Times New Roman" w:hint="default"/>
          <w:spacing w:val="-2"/>
        </w:rPr>
        <w:t>1</w:t>
      </w:r>
      <w:r>
        <w:rPr>
          <w:spacing w:val="-2"/>
        </w:rPr>
        <w:t>日至准则施行日</w:t>
      </w:r>
      <w:r>
        <w:rPr>
          <w:spacing w:val="-52"/>
        </w:rPr>
        <w:t> </w:t>
      </w:r>
      <w:r>
        <w:rPr/>
        <w:t>之间新增的政府补助根据修订后准则进行调整。</w:t>
      </w:r>
    </w:p>
    <w:p>
      <w:pPr>
        <w:pStyle w:val="BodyText"/>
        <w:spacing w:line="300" w:lineRule="auto" w:before="91"/>
        <w:ind w:right="1130" w:firstLine="420"/>
        <w:jc w:val="both"/>
      </w:pP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4</w:t>
      </w:r>
      <w:r>
        <w:rPr>
          <w:spacing w:val="-1"/>
        </w:rPr>
        <w:t>月</w:t>
      </w:r>
      <w:r>
        <w:rPr>
          <w:rFonts w:ascii="Times New Roman" w:hAnsi="Times New Roman" w:cs="Times New Roman" w:eastAsia="Times New Roman" w:hint="default"/>
          <w:spacing w:val="-1"/>
        </w:rPr>
        <w:t>28</w:t>
      </w:r>
      <w:r>
        <w:rPr>
          <w:spacing w:val="-1"/>
        </w:rPr>
        <w:t>日，财政部发布了《企业会计准则第</w:t>
      </w:r>
      <w:r>
        <w:rPr>
          <w:rFonts w:ascii="Times New Roman" w:hAnsi="Times New Roman" w:cs="Times New Roman" w:eastAsia="Times New Roman" w:hint="default"/>
          <w:spacing w:val="-1"/>
        </w:rPr>
        <w:t>42</w:t>
      </w:r>
      <w:r>
        <w:rPr>
          <w:spacing w:val="-1"/>
        </w:rPr>
        <w:t>号</w:t>
      </w:r>
      <w:r>
        <w:rPr>
          <w:rFonts w:ascii="Times New Roman" w:hAnsi="Times New Roman" w:cs="Times New Roman" w:eastAsia="Times New Roman" w:hint="default"/>
          <w:spacing w:val="-1"/>
        </w:rPr>
        <w:t>——</w:t>
      </w:r>
      <w:r>
        <w:rPr>
          <w:spacing w:val="-1"/>
        </w:rPr>
        <w:t>持有待售的非流动资产、处置组和终止经营》，要求自</w:t>
      </w:r>
      <w:r>
        <w:rPr>
          <w:rFonts w:ascii="Times New Roman" w:hAnsi="Times New Roman" w:cs="Times New Roman" w:eastAsia="Times New Roman" w:hint="default"/>
          <w:spacing w:val="-1"/>
        </w:rPr>
        <w:t>2017</w:t>
      </w:r>
      <w:r>
        <w:rPr>
          <w:rFonts w:ascii="Times New Roman" w:hAnsi="Times New Roman" w:cs="Times New Roman" w:eastAsia="Times New Roman" w:hint="default"/>
        </w:rPr>
        <w:t> </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28</w:t>
      </w:r>
      <w:r>
        <w:rPr/>
        <w:t>日起在所有执行企业会计准则的企业范围内施行。对于准则施行日存在的持有待售的非流动资产、处置组和终止经</w:t>
      </w:r>
      <w:r>
        <w:rPr>
          <w:spacing w:val="-83"/>
        </w:rPr>
        <w:t> </w:t>
      </w:r>
      <w:r>
        <w:rPr>
          <w:spacing w:val="-83"/>
        </w:rPr>
      </w:r>
      <w:r>
        <w:rPr/>
        <w:t>营，采用未来适用法处理。</w:t>
      </w:r>
    </w:p>
    <w:p>
      <w:pPr>
        <w:pStyle w:val="BodyText"/>
        <w:spacing w:line="300" w:lineRule="auto" w:before="91"/>
        <w:ind w:right="1132" w:firstLine="420"/>
        <w:jc w:val="both"/>
      </w:pPr>
      <w:r>
        <w:rPr>
          <w:spacing w:val="-5"/>
        </w:rPr>
        <w:t>财政部于</w:t>
      </w:r>
      <w:r>
        <w:rPr>
          <w:rFonts w:ascii="Times New Roman" w:hAnsi="Times New Roman" w:cs="Times New Roman" w:eastAsia="Times New Roman" w:hint="default"/>
          <w:spacing w:val="-5"/>
        </w:rPr>
        <w:t>2017</w:t>
      </w:r>
      <w:r>
        <w:rPr>
          <w:spacing w:val="-5"/>
        </w:rPr>
        <w:t>年</w:t>
      </w:r>
      <w:r>
        <w:rPr>
          <w:rFonts w:ascii="Times New Roman" w:hAnsi="Times New Roman" w:cs="Times New Roman" w:eastAsia="Times New Roman" w:hint="default"/>
          <w:spacing w:val="-5"/>
        </w:rPr>
        <w:t>12</w:t>
      </w:r>
      <w:r>
        <w:rPr>
          <w:spacing w:val="-5"/>
        </w:rPr>
        <w:t>月</w:t>
      </w:r>
      <w:r>
        <w:rPr>
          <w:rFonts w:ascii="Times New Roman" w:hAnsi="Times New Roman" w:cs="Times New Roman" w:eastAsia="Times New Roman" w:hint="default"/>
          <w:spacing w:val="-5"/>
        </w:rPr>
        <w:t>25</w:t>
      </w:r>
      <w:r>
        <w:rPr>
          <w:spacing w:val="-5"/>
        </w:rPr>
        <w:t>日发布了《财政部关于修订印发一般企业财务报表格式的通知》（财会</w:t>
      </w:r>
      <w:r>
        <w:rPr>
          <w:rFonts w:ascii="Times New Roman" w:hAnsi="Times New Roman" w:cs="Times New Roman" w:eastAsia="Times New Roman" w:hint="default"/>
          <w:spacing w:val="-5"/>
        </w:rPr>
        <w:t>[2017]30</w:t>
      </w:r>
      <w:r>
        <w:rPr>
          <w:spacing w:val="-5"/>
        </w:rPr>
        <w:t>号），对一般企业</w:t>
      </w:r>
      <w:r>
        <w:rPr/>
        <w:t> 财务报表格式进行了修订，适用于</w:t>
      </w:r>
      <w:r>
        <w:rPr>
          <w:rFonts w:ascii="Times New Roman" w:hAnsi="Times New Roman" w:cs="Times New Roman" w:eastAsia="Times New Roman" w:hint="default"/>
        </w:rPr>
        <w:t>2017</w:t>
      </w:r>
      <w:r>
        <w:rPr/>
        <w:t>年度及以后期间的财务报表。</w:t>
      </w:r>
    </w:p>
    <w:p>
      <w:pPr>
        <w:pStyle w:val="BodyText"/>
        <w:spacing w:line="240" w:lineRule="auto" w:before="73"/>
        <w:ind w:left="1554" w:right="0"/>
        <w:jc w:val="left"/>
      </w:pPr>
      <w:r>
        <w:rPr/>
        <w:t>由于上述会计政策的变更，对本公司具体影响如下：</w:t>
      </w:r>
    </w:p>
    <w:p>
      <w:pPr>
        <w:spacing w:line="240" w:lineRule="auto" w:before="0"/>
        <w:rPr>
          <w:rFonts w:ascii="宋体" w:hAnsi="宋体" w:cs="宋体" w:eastAsia="宋体" w:hint="default"/>
          <w:sz w:val="5"/>
          <w:szCs w:val="5"/>
        </w:rPr>
      </w:pPr>
    </w:p>
    <w:tbl>
      <w:tblPr>
        <w:tblW w:w="0" w:type="auto"/>
        <w:jc w:val="left"/>
        <w:tblInd w:w="1104" w:type="dxa"/>
        <w:tblLayout w:type="fixed"/>
        <w:tblCellMar>
          <w:top w:w="0" w:type="dxa"/>
          <w:left w:w="0" w:type="dxa"/>
          <w:bottom w:w="0" w:type="dxa"/>
          <w:right w:w="0" w:type="dxa"/>
        </w:tblCellMar>
        <w:tblLook w:val="01E0"/>
      </w:tblPr>
      <w:tblGrid>
        <w:gridCol w:w="4284"/>
        <w:gridCol w:w="1417"/>
        <w:gridCol w:w="3262"/>
      </w:tblGrid>
      <w:tr>
        <w:trPr>
          <w:trHeight w:val="500" w:hRule="exact"/>
        </w:trPr>
        <w:tc>
          <w:tcPr>
            <w:tcW w:w="4284"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95"/>
              <w:ind w:left="1068" w:right="0"/>
              <w:jc w:val="left"/>
              <w:rPr>
                <w:rFonts w:ascii="宋体" w:hAnsi="宋体" w:cs="宋体" w:eastAsia="宋体" w:hint="default"/>
                <w:sz w:val="18"/>
                <w:szCs w:val="18"/>
              </w:rPr>
            </w:pPr>
            <w:r>
              <w:rPr>
                <w:rFonts w:ascii="宋体" w:hAnsi="宋体" w:cs="宋体" w:eastAsia="宋体" w:hint="default"/>
                <w:sz w:val="18"/>
                <w:szCs w:val="18"/>
              </w:rPr>
              <w:t>会计政策变更的内容和原因</w:t>
            </w:r>
          </w:p>
        </w:tc>
        <w:tc>
          <w:tcPr>
            <w:tcW w:w="1417"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95"/>
              <w:ind w:left="343" w:right="0"/>
              <w:jc w:val="left"/>
              <w:rPr>
                <w:rFonts w:ascii="宋体" w:hAnsi="宋体" w:cs="宋体" w:eastAsia="宋体" w:hint="default"/>
                <w:sz w:val="18"/>
                <w:szCs w:val="18"/>
              </w:rPr>
            </w:pPr>
            <w:r>
              <w:rPr>
                <w:rFonts w:ascii="宋体" w:hAnsi="宋体" w:cs="宋体" w:eastAsia="宋体" w:hint="default"/>
                <w:sz w:val="18"/>
                <w:szCs w:val="18"/>
              </w:rPr>
              <w:t>审批程序</w:t>
            </w:r>
          </w:p>
        </w:tc>
        <w:tc>
          <w:tcPr>
            <w:tcW w:w="3262"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95"/>
              <w:ind w:left="103" w:right="0"/>
              <w:jc w:val="left"/>
              <w:rPr>
                <w:rFonts w:ascii="宋体" w:hAnsi="宋体" w:cs="宋体" w:eastAsia="宋体" w:hint="default"/>
                <w:sz w:val="18"/>
                <w:szCs w:val="18"/>
              </w:rPr>
            </w:pPr>
            <w:r>
              <w:rPr>
                <w:rFonts w:ascii="宋体" w:hAnsi="宋体" w:cs="宋体" w:eastAsia="宋体" w:hint="default"/>
                <w:sz w:val="18"/>
                <w:szCs w:val="18"/>
              </w:rPr>
              <w:t>备注（受影响的合并报表项目及金额）</w:t>
            </w:r>
          </w:p>
        </w:tc>
      </w:tr>
      <w:tr>
        <w:trPr>
          <w:trHeight w:val="1335" w:hRule="exact"/>
        </w:trPr>
        <w:tc>
          <w:tcPr>
            <w:tcW w:w="4284" w:type="dxa"/>
            <w:tcBorders>
              <w:top w:val="single" w:sz="4" w:space="0" w:color="000000"/>
              <w:left w:val="nil" w:sz="6" w:space="0" w:color="auto"/>
              <w:bottom w:val="nil" w:sz="6" w:space="0" w:color="auto"/>
              <w:right w:val="single" w:sz="4" w:space="0" w:color="000000"/>
            </w:tcBorders>
          </w:tcPr>
          <w:p>
            <w:pPr>
              <w:pStyle w:val="TableParagraph"/>
              <w:spacing w:line="240" w:lineRule="auto" w:before="52"/>
              <w:ind w:left="122" w:right="0"/>
              <w:jc w:val="both"/>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、根据《企业会计准则第</w:t>
            </w:r>
            <w:r>
              <w:rPr>
                <w:rFonts w:ascii="宋体" w:hAnsi="宋体" w:cs="宋体" w:eastAsia="宋体" w:hint="default"/>
                <w:spacing w:val="-46"/>
                <w:sz w:val="18"/>
                <w:szCs w:val="18"/>
              </w:rPr>
              <w:t> </w:t>
            </w:r>
            <w:r>
              <w:rPr>
                <w:rFonts w:ascii="宋体" w:hAnsi="宋体" w:cs="宋体" w:eastAsia="宋体" w:hint="default"/>
                <w:sz w:val="18"/>
                <w:szCs w:val="18"/>
              </w:rPr>
              <w:t>16</w:t>
            </w:r>
            <w:r>
              <w:rPr>
                <w:rFonts w:ascii="宋体" w:hAnsi="宋体" w:cs="宋体" w:eastAsia="宋体" w:hint="default"/>
                <w:spacing w:val="-45"/>
                <w:sz w:val="18"/>
                <w:szCs w:val="18"/>
              </w:rPr>
              <w:t> </w:t>
            </w:r>
            <w:r>
              <w:rPr>
                <w:rFonts w:ascii="宋体" w:hAnsi="宋体" w:cs="宋体" w:eastAsia="宋体" w:hint="default"/>
                <w:sz w:val="18"/>
                <w:szCs w:val="18"/>
              </w:rPr>
              <w:t>号——政府补助》</w:t>
            </w:r>
          </w:p>
          <w:p>
            <w:pPr>
              <w:pStyle w:val="TableParagraph"/>
              <w:spacing w:line="319" w:lineRule="auto" w:before="75"/>
              <w:ind w:left="122" w:right="102"/>
              <w:jc w:val="both"/>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2017</w:t>
            </w:r>
            <w:r>
              <w:rPr>
                <w:rFonts w:ascii="宋体" w:hAnsi="宋体" w:cs="宋体" w:eastAsia="宋体" w:hint="default"/>
                <w:sz w:val="18"/>
                <w:szCs w:val="18"/>
              </w:rPr>
              <w:t>），自</w:t>
            </w:r>
            <w:r>
              <w:rPr>
                <w:rFonts w:ascii="宋体" w:hAnsi="宋体" w:cs="宋体" w:eastAsia="宋体" w:hint="default"/>
                <w:spacing w:val="-46"/>
                <w:sz w:val="18"/>
                <w:szCs w:val="18"/>
              </w:rPr>
              <w:t> </w:t>
            </w: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日起，与本公司日常活 </w:t>
            </w:r>
            <w:r>
              <w:rPr>
                <w:rFonts w:ascii="宋体" w:hAnsi="宋体" w:cs="宋体" w:eastAsia="宋体" w:hint="default"/>
                <w:spacing w:val="-4"/>
                <w:sz w:val="18"/>
                <w:szCs w:val="18"/>
              </w:rPr>
              <w:t>动相关的政府补助，从“营业外收入”项目重分类至</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“其他收益”项目。比较数据不调整。</w:t>
            </w:r>
          </w:p>
        </w:tc>
        <w:tc>
          <w:tcPr>
            <w:tcW w:w="1417" w:type="dxa"/>
            <w:tcBorders>
              <w:top w:val="single" w:sz="4" w:space="0" w:color="000000"/>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9"/>
              <w:ind w:left="613" w:right="162" w:hanging="450"/>
              <w:jc w:val="left"/>
              <w:rPr>
                <w:rFonts w:ascii="宋体" w:hAnsi="宋体" w:cs="宋体" w:eastAsia="宋体" w:hint="default"/>
                <w:sz w:val="18"/>
                <w:szCs w:val="18"/>
              </w:rPr>
            </w:pPr>
            <w:r>
              <w:rPr>
                <w:rFonts w:ascii="宋体" w:hAnsi="宋体" w:cs="宋体" w:eastAsia="宋体" w:hint="default"/>
                <w:sz w:val="18"/>
                <w:szCs w:val="18"/>
              </w:rPr>
              <w:t>执行财政部规 定</w:t>
            </w:r>
          </w:p>
        </w:tc>
        <w:tc>
          <w:tcPr>
            <w:tcW w:w="3262" w:type="dxa"/>
            <w:tcBorders>
              <w:top w:val="single" w:sz="4" w:space="0" w:color="000000"/>
              <w:left w:val="single" w:sz="4" w:space="0" w:color="000000"/>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302" w:lineRule="auto" w:before="129"/>
              <w:ind w:left="103" w:right="494"/>
              <w:jc w:val="left"/>
              <w:rPr>
                <w:rFonts w:ascii="宋体" w:hAnsi="宋体" w:cs="宋体" w:eastAsia="宋体" w:hint="default"/>
                <w:sz w:val="18"/>
                <w:szCs w:val="18"/>
              </w:rPr>
            </w:pPr>
            <w:r>
              <w:rPr>
                <w:rFonts w:ascii="宋体" w:hAnsi="宋体" w:cs="宋体" w:eastAsia="宋体" w:hint="default"/>
                <w:sz w:val="18"/>
                <w:szCs w:val="18"/>
              </w:rPr>
              <w:t>本期其他收益：</w:t>
            </w:r>
            <w:r>
              <w:rPr>
                <w:rFonts w:ascii="Arial Narrow" w:hAnsi="Arial Narrow" w:cs="Arial Narrow" w:eastAsia="Arial Narrow" w:hint="default"/>
                <w:sz w:val="18"/>
                <w:szCs w:val="18"/>
              </w:rPr>
              <w:t>31,399,343.75</w:t>
            </w:r>
            <w:r>
              <w:rPr>
                <w:rFonts w:ascii="Arial Narrow" w:hAnsi="Arial Narrow" w:cs="Arial Narrow" w:eastAsia="Arial Narrow" w:hint="default"/>
                <w:spacing w:val="3"/>
                <w:sz w:val="18"/>
                <w:szCs w:val="18"/>
              </w:rPr>
              <w:t> </w:t>
            </w:r>
            <w:r>
              <w:rPr>
                <w:rFonts w:ascii="宋体" w:hAnsi="宋体" w:cs="宋体" w:eastAsia="宋体" w:hint="default"/>
                <w:sz w:val="18"/>
                <w:szCs w:val="18"/>
              </w:rPr>
              <w:t>元 本期营业外收入：</w:t>
            </w:r>
            <w:r>
              <w:rPr>
                <w:rFonts w:ascii="Arial Narrow" w:hAnsi="Arial Narrow" w:cs="Arial Narrow" w:eastAsia="Arial Narrow" w:hint="default"/>
                <w:sz w:val="18"/>
                <w:szCs w:val="18"/>
              </w:rPr>
              <w:t>-31,399,343.75</w:t>
            </w:r>
            <w:r>
              <w:rPr>
                <w:rFonts w:ascii="Arial Narrow" w:hAnsi="Arial Narrow" w:cs="Arial Narrow" w:eastAsia="Arial Narrow" w:hint="default"/>
                <w:spacing w:val="2"/>
                <w:sz w:val="18"/>
                <w:szCs w:val="18"/>
              </w:rPr>
              <w:t> </w:t>
            </w:r>
            <w:r>
              <w:rPr>
                <w:rFonts w:ascii="宋体" w:hAnsi="宋体" w:cs="宋体" w:eastAsia="宋体" w:hint="default"/>
                <w:sz w:val="18"/>
                <w:szCs w:val="18"/>
              </w:rPr>
              <w:t>元</w:t>
            </w:r>
          </w:p>
        </w:tc>
      </w:tr>
      <w:tr>
        <w:trPr>
          <w:trHeight w:val="1341" w:hRule="exact"/>
        </w:trPr>
        <w:tc>
          <w:tcPr>
            <w:tcW w:w="4284" w:type="dxa"/>
            <w:tcBorders>
              <w:top w:val="nil" w:sz="6" w:space="0" w:color="auto"/>
              <w:left w:val="nil" w:sz="6" w:space="0" w:color="auto"/>
              <w:bottom w:val="nil" w:sz="6" w:space="0" w:color="auto"/>
              <w:right w:val="single" w:sz="4" w:space="0" w:color="000000"/>
            </w:tcBorders>
          </w:tcPr>
          <w:p>
            <w:pPr>
              <w:pStyle w:val="TableParagraph"/>
              <w:spacing w:line="319" w:lineRule="auto" w:before="50"/>
              <w:ind w:left="122" w:right="101"/>
              <w:jc w:val="both"/>
              <w:rPr>
                <w:rFonts w:ascii="宋体" w:hAnsi="宋体" w:cs="宋体" w:eastAsia="宋体" w:hint="default"/>
                <w:sz w:val="18"/>
                <w:szCs w:val="18"/>
              </w:rPr>
            </w:pPr>
            <w:r>
              <w:rPr>
                <w:rFonts w:ascii="宋体" w:hAnsi="宋体" w:cs="宋体" w:eastAsia="宋体" w:hint="default"/>
                <w:spacing w:val="-8"/>
                <w:sz w:val="18"/>
                <w:szCs w:val="18"/>
              </w:rPr>
              <w:t>2</w:t>
            </w:r>
            <w:r>
              <w:rPr>
                <w:rFonts w:ascii="宋体" w:hAnsi="宋体" w:cs="宋体" w:eastAsia="宋体" w:hint="default"/>
                <w:spacing w:val="-8"/>
                <w:sz w:val="18"/>
                <w:szCs w:val="18"/>
              </w:rPr>
              <w:t>、根据《企业会计准则第</w:t>
            </w:r>
            <w:r>
              <w:rPr>
                <w:rFonts w:ascii="宋体" w:hAnsi="宋体" w:cs="宋体" w:eastAsia="宋体" w:hint="default"/>
                <w:spacing w:val="-42"/>
                <w:sz w:val="18"/>
                <w:szCs w:val="18"/>
              </w:rPr>
              <w:t> </w:t>
            </w:r>
            <w:r>
              <w:rPr>
                <w:rFonts w:ascii="宋体" w:hAnsi="宋体" w:cs="宋体" w:eastAsia="宋体" w:hint="default"/>
                <w:sz w:val="18"/>
                <w:szCs w:val="18"/>
              </w:rPr>
              <w:t>42</w:t>
            </w:r>
            <w:r>
              <w:rPr>
                <w:rFonts w:ascii="宋体" w:hAnsi="宋体" w:cs="宋体" w:eastAsia="宋体" w:hint="default"/>
                <w:spacing w:val="-42"/>
                <w:sz w:val="18"/>
                <w:szCs w:val="18"/>
              </w:rPr>
              <w:t> </w:t>
            </w:r>
            <w:r>
              <w:rPr>
                <w:rFonts w:ascii="宋体" w:hAnsi="宋体" w:cs="宋体" w:eastAsia="宋体" w:hint="default"/>
                <w:sz w:val="18"/>
                <w:szCs w:val="18"/>
              </w:rPr>
              <w:t>号——持有待售的非流 动资产、处置组和终止经营》</w:t>
            </w:r>
            <w:r>
              <w:rPr>
                <w:rFonts w:ascii="宋体" w:hAnsi="宋体" w:cs="宋体" w:eastAsia="宋体" w:hint="default"/>
                <w:sz w:val="18"/>
                <w:szCs w:val="18"/>
              </w:rPr>
              <w:t>,</w:t>
            </w:r>
            <w:r>
              <w:rPr>
                <w:rFonts w:ascii="宋体" w:hAnsi="宋体" w:cs="宋体" w:eastAsia="宋体" w:hint="default"/>
                <w:sz w:val="18"/>
                <w:szCs w:val="18"/>
              </w:rPr>
              <w:t>在利润表中分别列示 </w:t>
            </w:r>
            <w:r>
              <w:rPr>
                <w:rFonts w:ascii="宋体" w:hAnsi="宋体" w:cs="宋体" w:eastAsia="宋体" w:hint="default"/>
                <w:spacing w:val="-4"/>
                <w:sz w:val="18"/>
                <w:szCs w:val="18"/>
              </w:rPr>
              <w:t>“持续经营净利润”和“终止经营净利润”，比较数</w:t>
            </w:r>
            <w:r>
              <w:rPr>
                <w:rFonts w:ascii="宋体" w:hAnsi="宋体" w:cs="宋体" w:eastAsia="宋体" w:hint="default"/>
                <w:sz w:val="18"/>
                <w:szCs w:val="18"/>
              </w:rPr>
              <w:t> 据相应调整。</w:t>
            </w:r>
          </w:p>
        </w:tc>
        <w:tc>
          <w:tcPr>
            <w:tcW w:w="141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6"/>
              <w:ind w:left="613" w:right="162" w:hanging="450"/>
              <w:jc w:val="left"/>
              <w:rPr>
                <w:rFonts w:ascii="宋体" w:hAnsi="宋体" w:cs="宋体" w:eastAsia="宋体" w:hint="default"/>
                <w:sz w:val="18"/>
                <w:szCs w:val="18"/>
              </w:rPr>
            </w:pPr>
            <w:r>
              <w:rPr>
                <w:rFonts w:ascii="宋体" w:hAnsi="宋体" w:cs="宋体" w:eastAsia="宋体" w:hint="default"/>
                <w:sz w:val="18"/>
                <w:szCs w:val="18"/>
              </w:rPr>
              <w:t>执行财政部规 定</w:t>
            </w:r>
          </w:p>
        </w:tc>
        <w:tc>
          <w:tcPr>
            <w:tcW w:w="3262" w:type="dxa"/>
            <w:tcBorders>
              <w:top w:val="nil" w:sz="6" w:space="0" w:color="auto"/>
              <w:left w:val="single" w:sz="4" w:space="0" w:color="000000"/>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302" w:lineRule="auto" w:before="126"/>
              <w:ind w:left="103" w:right="108"/>
              <w:jc w:val="left"/>
              <w:rPr>
                <w:rFonts w:ascii="宋体" w:hAnsi="宋体" w:cs="宋体" w:eastAsia="宋体" w:hint="default"/>
                <w:sz w:val="18"/>
                <w:szCs w:val="18"/>
              </w:rPr>
            </w:pPr>
            <w:r>
              <w:rPr>
                <w:rFonts w:ascii="宋体" w:hAnsi="宋体" w:cs="宋体" w:eastAsia="宋体" w:hint="default"/>
                <w:sz w:val="18"/>
                <w:szCs w:val="18"/>
              </w:rPr>
              <w:t>本期持续经营净利润：</w:t>
            </w:r>
            <w:r>
              <w:rPr>
                <w:rFonts w:ascii="Arial Narrow" w:hAnsi="Arial Narrow" w:cs="Arial Narrow" w:eastAsia="Arial Narrow" w:hint="default"/>
                <w:sz w:val="18"/>
                <w:szCs w:val="18"/>
              </w:rPr>
              <w:t>199,555,107.30</w:t>
            </w:r>
            <w:r>
              <w:rPr>
                <w:rFonts w:ascii="Arial Narrow" w:hAnsi="Arial Narrow" w:cs="Arial Narrow" w:eastAsia="Arial Narrow" w:hint="default"/>
                <w:spacing w:val="-4"/>
                <w:sz w:val="18"/>
                <w:szCs w:val="18"/>
              </w:rPr>
              <w:t> </w:t>
            </w:r>
            <w:r>
              <w:rPr>
                <w:rFonts w:ascii="宋体" w:hAnsi="宋体" w:cs="宋体" w:eastAsia="宋体" w:hint="default"/>
                <w:sz w:val="18"/>
                <w:szCs w:val="18"/>
              </w:rPr>
              <w:t>元 上期持续经营净利润：</w:t>
            </w:r>
            <w:r>
              <w:rPr>
                <w:rFonts w:ascii="Arial Narrow" w:hAnsi="Arial Narrow" w:cs="Arial Narrow" w:eastAsia="Arial Narrow" w:hint="default"/>
                <w:sz w:val="18"/>
                <w:szCs w:val="18"/>
              </w:rPr>
              <w:t>116,840,155.40</w:t>
            </w:r>
            <w:r>
              <w:rPr>
                <w:rFonts w:ascii="Arial Narrow" w:hAnsi="Arial Narrow" w:cs="Arial Narrow" w:eastAsia="Arial Narrow" w:hint="default"/>
                <w:spacing w:val="-5"/>
                <w:sz w:val="18"/>
                <w:szCs w:val="18"/>
              </w:rPr>
              <w:t> </w:t>
            </w:r>
            <w:r>
              <w:rPr>
                <w:rFonts w:ascii="宋体" w:hAnsi="宋体" w:cs="宋体" w:eastAsia="宋体" w:hint="default"/>
                <w:sz w:val="18"/>
                <w:szCs w:val="18"/>
              </w:rPr>
              <w:t>元</w:t>
            </w:r>
          </w:p>
        </w:tc>
      </w:tr>
      <w:tr>
        <w:trPr>
          <w:trHeight w:val="1692" w:hRule="exact"/>
        </w:trPr>
        <w:tc>
          <w:tcPr>
            <w:tcW w:w="4284" w:type="dxa"/>
            <w:tcBorders>
              <w:top w:val="nil" w:sz="6" w:space="0" w:color="auto"/>
              <w:left w:val="nil" w:sz="6" w:space="0" w:color="auto"/>
              <w:bottom w:val="single" w:sz="12" w:space="0" w:color="000000"/>
              <w:right w:val="single" w:sz="4" w:space="0" w:color="000000"/>
            </w:tcBorders>
          </w:tcPr>
          <w:p>
            <w:pPr>
              <w:pStyle w:val="TableParagraph"/>
              <w:spacing w:line="319" w:lineRule="auto" w:before="62"/>
              <w:ind w:left="122" w:right="102"/>
              <w:jc w:val="both"/>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、根据《财政部关于修订印发一般企业财务报表格 式的通知》（财会</w:t>
            </w:r>
            <w:r>
              <w:rPr>
                <w:rFonts w:ascii="宋体" w:hAnsi="宋体" w:cs="宋体" w:eastAsia="宋体" w:hint="default"/>
                <w:sz w:val="18"/>
                <w:szCs w:val="18"/>
              </w:rPr>
              <w:t>[2017]30</w:t>
            </w:r>
            <w:r>
              <w:rPr>
                <w:rFonts w:ascii="宋体" w:hAnsi="宋体" w:cs="宋体" w:eastAsia="宋体" w:hint="default"/>
                <w:spacing w:val="-46"/>
                <w:sz w:val="18"/>
                <w:szCs w:val="18"/>
              </w:rPr>
              <w:t> </w:t>
            </w:r>
            <w:r>
              <w:rPr>
                <w:rFonts w:ascii="宋体" w:hAnsi="宋体" w:cs="宋体" w:eastAsia="宋体" w:hint="default"/>
                <w:sz w:val="18"/>
                <w:szCs w:val="18"/>
              </w:rPr>
              <w:t>号），将原归集于营业 </w:t>
            </w:r>
            <w:r>
              <w:rPr>
                <w:rFonts w:ascii="宋体" w:hAnsi="宋体" w:cs="宋体" w:eastAsia="宋体" w:hint="default"/>
                <w:spacing w:val="-4"/>
                <w:sz w:val="18"/>
                <w:szCs w:val="18"/>
              </w:rPr>
              <w:t>外收入、营业外支出的非流动资产处置损益调整至资</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产处置收益单独列报。</w:t>
            </w: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年度的比较财务报表按 新口径追溯调整。</w:t>
            </w:r>
          </w:p>
        </w:tc>
        <w:tc>
          <w:tcPr>
            <w:tcW w:w="1417" w:type="dxa"/>
            <w:tcBorders>
              <w:top w:val="nil" w:sz="6" w:space="0" w:color="auto"/>
              <w:left w:val="single" w:sz="4" w:space="0" w:color="000000"/>
              <w:bottom w:val="single" w:sz="12"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2"/>
                <w:szCs w:val="22"/>
              </w:rPr>
            </w:pPr>
          </w:p>
          <w:p>
            <w:pPr>
              <w:pStyle w:val="TableParagraph"/>
              <w:spacing w:line="319" w:lineRule="auto"/>
              <w:ind w:left="613" w:right="162" w:hanging="450"/>
              <w:jc w:val="left"/>
              <w:rPr>
                <w:rFonts w:ascii="宋体" w:hAnsi="宋体" w:cs="宋体" w:eastAsia="宋体" w:hint="default"/>
                <w:sz w:val="18"/>
                <w:szCs w:val="18"/>
              </w:rPr>
            </w:pPr>
            <w:r>
              <w:rPr>
                <w:rFonts w:ascii="宋体" w:hAnsi="宋体" w:cs="宋体" w:eastAsia="宋体" w:hint="default"/>
                <w:sz w:val="18"/>
                <w:szCs w:val="18"/>
              </w:rPr>
              <w:t>执行财政部规 定</w:t>
            </w:r>
          </w:p>
        </w:tc>
        <w:tc>
          <w:tcPr>
            <w:tcW w:w="3262" w:type="dxa"/>
            <w:tcBorders>
              <w:top w:val="nil" w:sz="6" w:space="0" w:color="auto"/>
              <w:left w:val="single" w:sz="4" w:space="0" w:color="000000"/>
              <w:bottom w:val="single" w:sz="12" w:space="0" w:color="000000"/>
              <w:right w:val="nil" w:sz="6" w:space="0" w:color="auto"/>
            </w:tcBorders>
          </w:tcPr>
          <w:p>
            <w:pPr>
              <w:pStyle w:val="TableParagraph"/>
              <w:spacing w:line="302" w:lineRule="auto" w:before="62"/>
              <w:ind w:left="103" w:right="569"/>
              <w:jc w:val="left"/>
              <w:rPr>
                <w:rFonts w:ascii="宋体" w:hAnsi="宋体" w:cs="宋体" w:eastAsia="宋体" w:hint="default"/>
                <w:sz w:val="18"/>
                <w:szCs w:val="18"/>
              </w:rPr>
            </w:pPr>
            <w:r>
              <w:rPr>
                <w:rFonts w:ascii="宋体" w:hAnsi="宋体" w:cs="宋体" w:eastAsia="宋体" w:hint="default"/>
                <w:sz w:val="18"/>
                <w:szCs w:val="18"/>
              </w:rPr>
              <w:t>本期资产处置收益：</w:t>
            </w:r>
            <w:r>
              <w:rPr>
                <w:rFonts w:ascii="Arial Narrow" w:hAnsi="Arial Narrow" w:cs="Arial Narrow" w:eastAsia="Arial Narrow" w:hint="default"/>
                <w:sz w:val="18"/>
                <w:szCs w:val="18"/>
              </w:rPr>
              <w:t>20,786.66</w:t>
            </w:r>
            <w:r>
              <w:rPr>
                <w:rFonts w:ascii="Arial Narrow" w:hAnsi="Arial Narrow" w:cs="Arial Narrow" w:eastAsia="Arial Narrow" w:hint="default"/>
                <w:spacing w:val="2"/>
                <w:sz w:val="18"/>
                <w:szCs w:val="18"/>
              </w:rPr>
              <w:t> </w:t>
            </w:r>
            <w:r>
              <w:rPr>
                <w:rFonts w:ascii="宋体" w:hAnsi="宋体" w:cs="宋体" w:eastAsia="宋体" w:hint="default"/>
                <w:sz w:val="18"/>
                <w:szCs w:val="18"/>
              </w:rPr>
              <w:t>元 本期营业外收入：</w:t>
            </w:r>
            <w:r>
              <w:rPr>
                <w:rFonts w:ascii="Arial Narrow" w:hAnsi="Arial Narrow" w:cs="Arial Narrow" w:eastAsia="Arial Narrow" w:hint="default"/>
                <w:sz w:val="18"/>
                <w:szCs w:val="18"/>
              </w:rPr>
              <w:t>-20,786.66</w:t>
            </w:r>
            <w:r>
              <w:rPr>
                <w:rFonts w:ascii="Arial Narrow" w:hAnsi="Arial Narrow" w:cs="Arial Narrow" w:eastAsia="Arial Narrow" w:hint="default"/>
                <w:spacing w:val="4"/>
                <w:sz w:val="18"/>
                <w:szCs w:val="18"/>
              </w:rPr>
              <w:t> </w:t>
            </w:r>
            <w:r>
              <w:rPr>
                <w:rFonts w:ascii="宋体" w:hAnsi="宋体" w:cs="宋体" w:eastAsia="宋体" w:hint="default"/>
                <w:sz w:val="18"/>
                <w:szCs w:val="18"/>
              </w:rPr>
              <w:t>元 上期资产处置收益：</w:t>
            </w:r>
            <w:r>
              <w:rPr>
                <w:rFonts w:ascii="Arial Narrow" w:hAnsi="Arial Narrow" w:cs="Arial Narrow" w:eastAsia="Arial Narrow" w:hint="default"/>
                <w:sz w:val="18"/>
                <w:szCs w:val="18"/>
              </w:rPr>
              <w:t>110,077.89</w:t>
            </w:r>
            <w:r>
              <w:rPr>
                <w:rFonts w:ascii="Arial Narrow" w:hAnsi="Arial Narrow" w:cs="Arial Narrow" w:eastAsia="Arial Narrow" w:hint="default"/>
                <w:spacing w:val="1"/>
                <w:sz w:val="18"/>
                <w:szCs w:val="18"/>
              </w:rPr>
              <w:t> </w:t>
            </w:r>
            <w:r>
              <w:rPr>
                <w:rFonts w:ascii="宋体" w:hAnsi="宋体" w:cs="宋体" w:eastAsia="宋体" w:hint="default"/>
                <w:sz w:val="18"/>
                <w:szCs w:val="18"/>
              </w:rPr>
              <w:t>元 上期营业外收入：</w:t>
            </w:r>
            <w:r>
              <w:rPr>
                <w:rFonts w:ascii="Arial Narrow" w:hAnsi="Arial Narrow" w:cs="Arial Narrow" w:eastAsia="Arial Narrow" w:hint="default"/>
                <w:sz w:val="18"/>
                <w:szCs w:val="18"/>
              </w:rPr>
              <w:t>-173,495.78</w:t>
            </w:r>
            <w:r>
              <w:rPr>
                <w:rFonts w:ascii="Arial Narrow" w:hAnsi="Arial Narrow" w:cs="Arial Narrow" w:eastAsia="Arial Narrow" w:hint="default"/>
                <w:spacing w:val="3"/>
                <w:sz w:val="18"/>
                <w:szCs w:val="18"/>
              </w:rPr>
              <w:t> </w:t>
            </w:r>
            <w:r>
              <w:rPr>
                <w:rFonts w:ascii="宋体" w:hAnsi="宋体" w:cs="宋体" w:eastAsia="宋体" w:hint="default"/>
                <w:sz w:val="18"/>
                <w:szCs w:val="18"/>
              </w:rPr>
              <w:t>元 上期营业外支出：</w:t>
            </w:r>
            <w:r>
              <w:rPr>
                <w:rFonts w:ascii="Arial Narrow" w:hAnsi="Arial Narrow" w:cs="Arial Narrow" w:eastAsia="Arial Narrow" w:hint="default"/>
                <w:sz w:val="18"/>
                <w:szCs w:val="18"/>
              </w:rPr>
              <w:t>-63,417.89</w:t>
            </w:r>
            <w:r>
              <w:rPr>
                <w:rFonts w:ascii="Arial Narrow" w:hAnsi="Arial Narrow" w:cs="Arial Narrow" w:eastAsia="Arial Narrow" w:hint="default"/>
                <w:spacing w:val="4"/>
                <w:sz w:val="18"/>
                <w:szCs w:val="18"/>
              </w:rPr>
              <w:t> </w:t>
            </w:r>
            <w:r>
              <w:rPr>
                <w:rFonts w:ascii="宋体" w:hAnsi="宋体" w:cs="宋体" w:eastAsia="宋体" w:hint="default"/>
                <w:sz w:val="18"/>
                <w:szCs w:val="18"/>
              </w:rPr>
              <w:t>元</w:t>
            </w:r>
          </w:p>
        </w:tc>
      </w:tr>
    </w:tbl>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6"/>
          <w:szCs w:val="26"/>
        </w:rPr>
      </w:pPr>
    </w:p>
    <w:p>
      <w:pPr>
        <w:pStyle w:val="Heading2"/>
        <w:spacing w:line="240" w:lineRule="auto" w:before="26"/>
        <w:ind w:left="1134" w:right="0"/>
        <w:jc w:val="left"/>
        <w:rPr>
          <w:b w:val="0"/>
          <w:bCs w:val="0"/>
        </w:rPr>
      </w:pPr>
      <w:bookmarkStart w:name="七、与上年度财务报告相比，合并报表范围发生变化的情况说明" w:id="71"/>
      <w:bookmarkEnd w:id="71"/>
      <w:r>
        <w:rPr>
          <w:b w:val="0"/>
          <w:bCs w:val="0"/>
        </w:rPr>
      </w:r>
      <w:r>
        <w:rPr/>
        <w:t>七、与上年度财务报告相比，合并报表范围发生变化的情况说明</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300" w:lineRule="auto" w:before="102"/>
        <w:ind w:right="1131" w:firstLine="357"/>
        <w:jc w:val="both"/>
      </w:pPr>
      <w:r>
        <w:rPr>
          <w:rFonts w:ascii="Times New Roman" w:hAnsi="Times New Roman" w:cs="Times New Roman" w:eastAsia="Times New Roman" w:hint="default"/>
          <w:spacing w:val="-2"/>
        </w:rPr>
        <w:t>1</w:t>
      </w:r>
      <w:r>
        <w:rPr>
          <w:spacing w:val="-2"/>
        </w:rPr>
        <w:t>、公司下属子公司重庆冀华环保科技发展有限公司以</w:t>
      </w:r>
      <w:r>
        <w:rPr>
          <w:rFonts w:ascii="Times New Roman" w:hAnsi="Times New Roman" w:cs="Times New Roman" w:eastAsia="Times New Roman" w:hint="default"/>
          <w:spacing w:val="-2"/>
        </w:rPr>
        <w:t>600,000.00</w:t>
      </w:r>
      <w:r>
        <w:rPr>
          <w:spacing w:val="-2"/>
        </w:rPr>
        <w:t>元收购了汪渝杰和郑伟两人持有四川广迈富宇建设工程</w:t>
      </w:r>
      <w:r>
        <w:rPr/>
        <w:t> 有限公司</w:t>
      </w:r>
      <w:r>
        <w:rPr>
          <w:rFonts w:ascii="Times New Roman" w:hAnsi="Times New Roman" w:cs="Times New Roman" w:eastAsia="Times New Roman" w:hint="default"/>
        </w:rPr>
        <w:t>100%</w:t>
      </w:r>
      <w:r>
        <w:rPr/>
        <w:t>的股权，形成非同一控制下企业合并。双方于</w:t>
      </w:r>
      <w:r>
        <w:rPr>
          <w:rFonts w:ascii="Times New Roman" w:hAnsi="Times New Roman" w:cs="Times New Roman" w:eastAsia="Times New Roman" w:hint="default"/>
        </w:rPr>
        <w:t>2017</w:t>
      </w:r>
      <w:r>
        <w:rPr/>
        <w:t>年</w:t>
      </w:r>
      <w:r>
        <w:rPr>
          <w:spacing w:val="-5"/>
        </w:rPr>
        <w:t> </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7</w:t>
      </w:r>
      <w:r>
        <w:rPr/>
        <w:t>日办妥股权变更手续，四川广迈富宇建设工程有 限公司纳入公司合并报表范围。</w:t>
      </w:r>
    </w:p>
    <w:p>
      <w:pPr>
        <w:pStyle w:val="BodyText"/>
        <w:spacing w:line="300" w:lineRule="auto" w:before="91"/>
        <w:ind w:right="1132" w:firstLine="411"/>
        <w:jc w:val="both"/>
      </w:pPr>
      <w:r>
        <w:rPr>
          <w:rFonts w:ascii="Times New Roman" w:hAnsi="Times New Roman" w:cs="Times New Roman" w:eastAsia="Times New Roman" w:hint="default"/>
          <w:spacing w:val="-2"/>
        </w:rPr>
        <w:t>2</w:t>
      </w:r>
      <w:r>
        <w:rPr>
          <w:spacing w:val="-2"/>
        </w:rPr>
        <w:t>、公司于</w:t>
      </w:r>
      <w:r>
        <w:rPr>
          <w:rFonts w:ascii="Times New Roman" w:hAnsi="Times New Roman" w:cs="Times New Roman" w:eastAsia="Times New Roman" w:hint="default"/>
          <w:spacing w:val="-2"/>
        </w:rPr>
        <w:t>2016</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16</w:t>
      </w:r>
      <w:r>
        <w:rPr>
          <w:spacing w:val="-2"/>
        </w:rPr>
        <w:t>日投资设立控股子公司河北先河正阳环保设备销售有限公司，注册资本</w:t>
      </w:r>
      <w:r>
        <w:rPr>
          <w:rFonts w:ascii="Times New Roman" w:hAnsi="Times New Roman" w:cs="Times New Roman" w:eastAsia="Times New Roman" w:hint="default"/>
          <w:spacing w:val="-2"/>
        </w:rPr>
        <w:t>2,000</w:t>
      </w:r>
      <w:r>
        <w:rPr>
          <w:spacing w:val="-2"/>
        </w:rPr>
        <w:t>万元，其中公司持</w:t>
      </w:r>
      <w:r>
        <w:rPr/>
        <w:t> 有</w:t>
      </w:r>
      <w:r>
        <w:rPr>
          <w:rFonts w:ascii="Times New Roman" w:hAnsi="Times New Roman" w:cs="Times New Roman" w:eastAsia="Times New Roman" w:hint="default"/>
        </w:rPr>
        <w:t>86.75%</w:t>
      </w:r>
      <w:r>
        <w:rPr/>
        <w:t>股权。因该公司在</w:t>
      </w:r>
      <w:r>
        <w:rPr>
          <w:rFonts w:ascii="Times New Roman" w:hAnsi="Times New Roman" w:cs="Times New Roman" w:eastAsia="Times New Roman" w:hint="default"/>
        </w:rPr>
        <w:t>2016</w:t>
      </w:r>
      <w:r>
        <w:rPr/>
        <w:t>年度并未实际经营，故在</w:t>
      </w:r>
      <w:r>
        <w:rPr>
          <w:rFonts w:ascii="Times New Roman" w:hAnsi="Times New Roman" w:cs="Times New Roman" w:eastAsia="Times New Roman" w:hint="default"/>
        </w:rPr>
        <w:t>2017</w:t>
      </w:r>
      <w:r>
        <w:rPr/>
        <w:t>年度将其纳入合并范围。</w:t>
      </w:r>
    </w:p>
    <w:p>
      <w:pPr>
        <w:pStyle w:val="BodyText"/>
        <w:spacing w:line="300" w:lineRule="auto" w:before="73"/>
        <w:ind w:right="1040" w:firstLine="411"/>
        <w:jc w:val="both"/>
      </w:pPr>
      <w:r>
        <w:rPr>
          <w:rFonts w:ascii="Times New Roman" w:hAnsi="Times New Roman" w:cs="Times New Roman" w:eastAsia="Times New Roman" w:hint="default"/>
          <w:spacing w:val="-3"/>
        </w:rPr>
        <w:t>3</w:t>
      </w:r>
      <w:r>
        <w:rPr>
          <w:spacing w:val="-3"/>
        </w:rPr>
        <w:t>、公司于</w:t>
      </w:r>
      <w:r>
        <w:rPr>
          <w:rFonts w:ascii="Times New Roman" w:hAnsi="Times New Roman" w:cs="Times New Roman" w:eastAsia="Times New Roman" w:hint="default"/>
          <w:spacing w:val="-3"/>
        </w:rPr>
        <w:t>2016</w:t>
      </w:r>
      <w:r>
        <w:rPr>
          <w:spacing w:val="-3"/>
        </w:rPr>
        <w:t>年</w:t>
      </w:r>
      <w:r>
        <w:rPr>
          <w:rFonts w:ascii="Times New Roman" w:hAnsi="Times New Roman" w:cs="Times New Roman" w:eastAsia="Times New Roman" w:hint="default"/>
          <w:spacing w:val="-3"/>
        </w:rPr>
        <w:t>12</w:t>
      </w:r>
      <w:r>
        <w:rPr>
          <w:spacing w:val="-3"/>
        </w:rPr>
        <w:t>月</w:t>
      </w:r>
      <w:r>
        <w:rPr>
          <w:rFonts w:ascii="Times New Roman" w:hAnsi="Times New Roman" w:cs="Times New Roman" w:eastAsia="Times New Roman" w:hint="default"/>
          <w:spacing w:val="-3"/>
        </w:rPr>
        <w:t>27</w:t>
      </w:r>
      <w:r>
        <w:rPr>
          <w:spacing w:val="-3"/>
        </w:rPr>
        <w:t>日投资设立河北先河正达环保技术服务有限公司，注册资本</w:t>
      </w:r>
      <w:r>
        <w:rPr>
          <w:rFonts w:ascii="Times New Roman" w:hAnsi="Times New Roman" w:cs="Times New Roman" w:eastAsia="Times New Roman" w:hint="default"/>
          <w:spacing w:val="-3"/>
        </w:rPr>
        <w:t>800</w:t>
      </w:r>
      <w:r>
        <w:rPr>
          <w:spacing w:val="-3"/>
        </w:rPr>
        <w:t>万元，其中公司持有</w:t>
      </w:r>
      <w:r>
        <w:rPr>
          <w:rFonts w:ascii="Times New Roman" w:hAnsi="Times New Roman" w:cs="Times New Roman" w:eastAsia="Times New Roman" w:hint="default"/>
          <w:spacing w:val="-3"/>
        </w:rPr>
        <w:t>77.5%</w:t>
      </w:r>
      <w:r>
        <w:rPr>
          <w:spacing w:val="-3"/>
        </w:rPr>
        <w:t>股权。</w:t>
      </w:r>
      <w:r>
        <w:rPr/>
        <w:t> 因该公司在</w:t>
      </w:r>
      <w:r>
        <w:rPr>
          <w:rFonts w:ascii="Times New Roman" w:hAnsi="Times New Roman" w:cs="Times New Roman" w:eastAsia="Times New Roman" w:hint="default"/>
        </w:rPr>
        <w:t>2016</w:t>
      </w:r>
      <w:r>
        <w:rPr/>
        <w:t>年度并未实际经营，故在</w:t>
      </w:r>
      <w:r>
        <w:rPr>
          <w:rFonts w:ascii="Times New Roman" w:hAnsi="Times New Roman" w:cs="Times New Roman" w:eastAsia="Times New Roman" w:hint="default"/>
        </w:rPr>
        <w:t>2017</w:t>
      </w:r>
      <w:r>
        <w:rPr/>
        <w:t>年度将其纳入合并范围。</w:t>
      </w:r>
    </w:p>
    <w:p>
      <w:pPr>
        <w:pStyle w:val="BodyText"/>
        <w:spacing w:line="300" w:lineRule="auto" w:before="73"/>
        <w:ind w:left="1134" w:right="1131" w:firstLine="411"/>
        <w:jc w:val="both"/>
      </w:pPr>
      <w:r>
        <w:rPr>
          <w:rFonts w:ascii="Times New Roman" w:hAnsi="Times New Roman" w:cs="Times New Roman" w:eastAsia="Times New Roman" w:hint="default"/>
        </w:rPr>
        <w:t>4</w:t>
      </w:r>
      <w:r>
        <w:rPr/>
        <w:t>、公司的下属子公司重庆冀华环保科技发展有限公司于</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12</w:t>
      </w:r>
      <w:r>
        <w:rPr/>
        <w:t>日投资设立全资子公司重庆冀华正态检测技术有 限公司，因该公司在</w:t>
      </w:r>
      <w:r>
        <w:rPr>
          <w:rFonts w:ascii="Times New Roman" w:hAnsi="Times New Roman" w:cs="Times New Roman" w:eastAsia="Times New Roman" w:hint="default"/>
        </w:rPr>
        <w:t>2016</w:t>
      </w:r>
      <w:r>
        <w:rPr/>
        <w:t>年度并未实际经营，故在</w:t>
      </w:r>
      <w:r>
        <w:rPr>
          <w:rFonts w:ascii="Times New Roman" w:hAnsi="Times New Roman" w:cs="Times New Roman" w:eastAsia="Times New Roman" w:hint="default"/>
        </w:rPr>
        <w:t>2017</w:t>
      </w:r>
      <w:r>
        <w:rPr/>
        <w:t>年度将其纳入合并范围。</w:t>
      </w:r>
    </w:p>
    <w:p>
      <w:pPr>
        <w:pStyle w:val="BodyText"/>
        <w:spacing w:line="240" w:lineRule="auto" w:before="73"/>
        <w:ind w:left="1545" w:right="0"/>
        <w:jc w:val="left"/>
      </w:pPr>
      <w:r>
        <w:rPr>
          <w:rFonts w:ascii="Times New Roman" w:hAnsi="Times New Roman" w:cs="Times New Roman" w:eastAsia="Times New Roman" w:hint="default"/>
        </w:rPr>
        <w:t>5</w:t>
      </w:r>
      <w:r>
        <w:rPr/>
        <w:t>、公司的下属子公司河北先河正源环境治理技术有限公司于</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13</w:t>
      </w:r>
      <w:r>
        <w:rPr/>
        <w:t>日投资设立全资子公司保定先河正源环境资</w:t>
      </w:r>
    </w:p>
    <w:p>
      <w:pPr>
        <w:spacing w:after="0" w:line="240" w:lineRule="auto"/>
        <w:jc w:val="left"/>
        <w:sectPr>
          <w:pgSz w:w="11910" w:h="16840"/>
          <w:pgMar w:header="747" w:footer="979" w:top="1060" w:bottom="1160" w:left="0" w:right="0"/>
        </w:sectPr>
      </w:pPr>
    </w:p>
    <w:p>
      <w:pPr>
        <w:spacing w:line="240" w:lineRule="auto" w:before="12"/>
        <w:rPr>
          <w:rFonts w:ascii="宋体" w:hAnsi="宋体" w:cs="宋体" w:eastAsia="宋体" w:hint="default"/>
          <w:sz w:val="25"/>
          <w:szCs w:val="25"/>
        </w:rPr>
      </w:pPr>
    </w:p>
    <w:p>
      <w:pPr>
        <w:pStyle w:val="BodyText"/>
        <w:spacing w:line="240" w:lineRule="auto" w:before="44"/>
        <w:ind w:right="0"/>
        <w:jc w:val="left"/>
      </w:pPr>
      <w:r>
        <w:rPr/>
        <w:t>源科技有限公司，因该公司在</w:t>
      </w:r>
      <w:r>
        <w:rPr>
          <w:rFonts w:ascii="Times New Roman" w:hAnsi="Times New Roman" w:cs="Times New Roman" w:eastAsia="Times New Roman" w:hint="default"/>
        </w:rPr>
        <w:t>2016</w:t>
      </w:r>
      <w:r>
        <w:rPr/>
        <w:t>年度并未实际经营，故在</w:t>
      </w:r>
      <w:r>
        <w:rPr>
          <w:rFonts w:ascii="Times New Roman" w:hAnsi="Times New Roman" w:cs="Times New Roman" w:eastAsia="Times New Roman" w:hint="default"/>
        </w:rPr>
        <w:t>2017</w:t>
      </w:r>
      <w:r>
        <w:rPr/>
        <w:t>年度将其纳入合并范围。</w:t>
      </w:r>
    </w:p>
    <w:p>
      <w:pPr>
        <w:pStyle w:val="BodyText"/>
        <w:spacing w:line="300" w:lineRule="auto" w:before="123"/>
        <w:ind w:left="1134" w:right="1131" w:firstLine="411"/>
        <w:jc w:val="both"/>
      </w:pPr>
      <w:r>
        <w:rPr>
          <w:rFonts w:ascii="Times New Roman" w:hAnsi="Times New Roman" w:cs="Times New Roman" w:eastAsia="Times New Roman" w:hint="default"/>
          <w:spacing w:val="3"/>
        </w:rPr>
        <w:t>6</w:t>
      </w:r>
      <w:r>
        <w:rPr>
          <w:spacing w:val="3"/>
        </w:rPr>
        <w:t>、公司美国控股孙公司</w:t>
      </w:r>
      <w:r>
        <w:rPr>
          <w:rFonts w:ascii="Times New Roman" w:hAnsi="Times New Roman" w:cs="Times New Roman" w:eastAsia="Times New Roman" w:hint="default"/>
          <w:spacing w:val="3"/>
        </w:rPr>
        <w:t>Sunset </w:t>
      </w:r>
      <w:r>
        <w:rPr>
          <w:rFonts w:ascii="Times New Roman" w:hAnsi="Times New Roman" w:cs="Times New Roman" w:eastAsia="Times New Roman" w:hint="default"/>
        </w:rPr>
        <w:t>Laboratory Inc.</w:t>
      </w:r>
      <w:r>
        <w:rPr/>
        <w:t>和</w:t>
      </w:r>
      <w:r>
        <w:rPr>
          <w:rFonts w:ascii="Times New Roman" w:hAnsi="Times New Roman" w:cs="Times New Roman" w:eastAsia="Times New Roman" w:hint="default"/>
        </w:rPr>
        <w:t>Cooper Environmental Services LLC </w:t>
      </w:r>
      <w:r>
        <w:rPr>
          <w:spacing w:val="2"/>
        </w:rPr>
        <w:t>合并成立新公司</w:t>
      </w:r>
      <w:r>
        <w:rPr>
          <w:rFonts w:ascii="Times New Roman" w:hAnsi="Times New Roman" w:cs="Times New Roman" w:eastAsia="Times New Roman" w:hint="default"/>
          <w:spacing w:val="2"/>
        </w:rPr>
        <w:t>SUNSET</w:t>
      </w:r>
      <w:r>
        <w:rPr>
          <w:rFonts w:ascii="Times New Roman" w:hAnsi="Times New Roman" w:cs="Times New Roman" w:eastAsia="Times New Roman" w:hint="default"/>
          <w:spacing w:val="44"/>
        </w:rPr>
        <w:t> </w:t>
      </w:r>
      <w:r>
        <w:rPr>
          <w:rFonts w:ascii="Times New Roman" w:hAnsi="Times New Roman" w:cs="Times New Roman" w:eastAsia="Times New Roman" w:hint="default"/>
        </w:rPr>
        <w:t>CES</w:t>
      </w:r>
      <w:r>
        <w:rPr>
          <w:rFonts w:ascii="Times New Roman" w:hAnsi="Times New Roman" w:cs="Times New Roman" w:eastAsia="Times New Roman" w:hint="default"/>
        </w:rPr>
        <w:t> </w:t>
      </w:r>
      <w:r>
        <w:rPr>
          <w:rFonts w:ascii="Times New Roman" w:hAnsi="Times New Roman" w:cs="Times New Roman" w:eastAsia="Times New Roman" w:hint="default"/>
          <w:spacing w:val="-1"/>
        </w:rPr>
        <w:t>INCORPORATED</w:t>
      </w:r>
      <w:r>
        <w:rPr>
          <w:spacing w:val="-1"/>
        </w:rPr>
        <w:t>，于</w:t>
      </w: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11</w:t>
      </w:r>
      <w:r>
        <w:rPr>
          <w:spacing w:val="-1"/>
        </w:rPr>
        <w:t>月</w:t>
      </w:r>
      <w:r>
        <w:rPr>
          <w:rFonts w:ascii="Times New Roman" w:hAnsi="Times New Roman" w:cs="Times New Roman" w:eastAsia="Times New Roman" w:hint="default"/>
          <w:spacing w:val="-1"/>
        </w:rPr>
        <w:t>30</w:t>
      </w:r>
      <w:r>
        <w:rPr>
          <w:spacing w:val="-1"/>
        </w:rPr>
        <w:t>日取得了美国俄勒冈州</w:t>
      </w:r>
      <w:r>
        <w:rPr>
          <w:rFonts w:ascii="Times New Roman" w:hAnsi="Times New Roman" w:cs="Times New Roman" w:eastAsia="Times New Roman" w:hint="default"/>
          <w:spacing w:val="-1"/>
        </w:rPr>
        <w:t>827H567M9</w:t>
      </w:r>
      <w:r>
        <w:rPr>
          <w:spacing w:val="-1"/>
        </w:rPr>
        <w:t>的注册号。因公司拥有对其的实质控制权，故自新公</w:t>
      </w:r>
      <w:r>
        <w:rPr>
          <w:spacing w:val="-82"/>
        </w:rPr>
        <w:t> </w:t>
      </w:r>
      <w:r>
        <w:rPr>
          <w:spacing w:val="-82"/>
        </w:rPr>
      </w:r>
      <w:r>
        <w:rPr/>
        <w:t>司成立之日起，将其纳入合并财务报表范围。</w:t>
      </w:r>
    </w:p>
    <w:p>
      <w:pPr>
        <w:pStyle w:val="BodyText"/>
        <w:spacing w:line="240" w:lineRule="auto" w:before="92"/>
        <w:ind w:left="1545" w:right="0"/>
        <w:jc w:val="left"/>
      </w:pPr>
      <w:r>
        <w:rPr>
          <w:rFonts w:ascii="Times New Roman" w:hAnsi="Times New Roman" w:cs="Times New Roman" w:eastAsia="Times New Roman" w:hint="default"/>
        </w:rPr>
        <w:t>7</w:t>
      </w:r>
      <w:r>
        <w:rPr/>
        <w:t>、公司下属子公司广州市汇康仪器设备有限公司于报告期内注销，不再纳入公司合并报表范围。</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2"/>
        <w:spacing w:line="240" w:lineRule="auto" w:before="156"/>
        <w:ind w:left="1134" w:right="0"/>
        <w:jc w:val="left"/>
        <w:rPr>
          <w:b w:val="0"/>
          <w:bCs w:val="0"/>
        </w:rPr>
      </w:pPr>
      <w:bookmarkStart w:name="八、聘任、解聘会计师事务所情况" w:id="72"/>
      <w:bookmarkEnd w:id="72"/>
      <w:r>
        <w:rPr>
          <w:b w:val="0"/>
          <w:bCs w:val="0"/>
        </w:rPr>
      </w:r>
      <w:r>
        <w:rPr/>
        <w:t>八、聘任、解聘会计师事务所情况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134" w:right="0"/>
        <w:jc w:val="left"/>
      </w:pPr>
      <w:r>
        <w:rPr/>
        <w:t>现聘任的会计事务所</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4792"/>
        <w:gridCol w:w="4777"/>
      </w:tblGrid>
      <w:tr>
        <w:trPr>
          <w:trHeight w:val="403"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境内会计师事务所名称</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利安达会计师事务所（特殊普通合伙）</w:t>
            </w:r>
          </w:p>
        </w:tc>
      </w:tr>
      <w:tr>
        <w:trPr>
          <w:trHeight w:val="402"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境内会计师事务所报酬（万元）</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44</w:t>
            </w:r>
          </w:p>
        </w:tc>
      </w:tr>
      <w:tr>
        <w:trPr>
          <w:trHeight w:val="402"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境内会计师事务所审计服务的连续年限</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5</w:t>
            </w:r>
          </w:p>
        </w:tc>
      </w:tr>
      <w:tr>
        <w:trPr>
          <w:trHeight w:val="402"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境内会计师事务所注册会计师姓名</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邱淦泳、许海丽</w:t>
            </w:r>
          </w:p>
        </w:tc>
      </w:tr>
      <w:tr>
        <w:trPr>
          <w:trHeight w:val="403"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境内会计师事务所注册会计师审计服务的连续年限</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w:t>
            </w:r>
          </w:p>
        </w:tc>
      </w:tr>
    </w:tbl>
    <w:p>
      <w:pPr>
        <w:pStyle w:val="BodyText"/>
        <w:spacing w:line="240" w:lineRule="auto" w:before="51"/>
        <w:ind w:left="1134" w:right="0"/>
        <w:jc w:val="left"/>
      </w:pPr>
      <w:r>
        <w:rPr/>
        <w:t>是否改聘会计师事务所</w:t>
      </w:r>
    </w:p>
    <w:p>
      <w:pPr>
        <w:pStyle w:val="BodyText"/>
        <w:spacing w:line="340" w:lineRule="auto" w:before="116"/>
        <w:ind w:right="625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聘请内部控制审计会计师事务所、财务顾问或保荐人情况</w:t>
      </w:r>
    </w:p>
    <w:p>
      <w:pPr>
        <w:pStyle w:val="BodyText"/>
        <w:spacing w:line="240" w:lineRule="auto" w:before="40"/>
        <w:ind w:left="113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23"/>
          <w:szCs w:val="23"/>
        </w:rPr>
      </w:pPr>
    </w:p>
    <w:p>
      <w:pPr>
        <w:pStyle w:val="Heading2"/>
        <w:spacing w:line="240" w:lineRule="auto"/>
        <w:ind w:right="0"/>
        <w:jc w:val="left"/>
        <w:rPr>
          <w:b w:val="0"/>
          <w:bCs w:val="0"/>
        </w:rPr>
      </w:pPr>
      <w:bookmarkStart w:name="九、年度报告披露后面临暂停上市和终止上市情况" w:id="73"/>
      <w:bookmarkEnd w:id="73"/>
      <w:r>
        <w:rPr>
          <w:b w:val="0"/>
          <w:bCs w:val="0"/>
        </w:rPr>
      </w:r>
      <w:r>
        <w:rPr/>
        <w:t>九、年度报告披露后面临暂停上市和终止上市情况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十、破产重整相关事项" w:id="74"/>
      <w:bookmarkEnd w:id="74"/>
      <w:r>
        <w:rPr>
          <w:b w:val="0"/>
          <w:bCs w:val="0"/>
        </w:rPr>
      </w:r>
      <w:r>
        <w:rPr/>
        <w:t>十、破产重整相关事项</w:t>
      </w:r>
      <w:r>
        <w:rPr>
          <w:b w:val="0"/>
          <w:bCs w:val="0"/>
        </w:rPr>
      </w:r>
    </w:p>
    <w:p>
      <w:pPr>
        <w:spacing w:line="240" w:lineRule="auto" w:before="9"/>
        <w:rPr>
          <w:rFonts w:ascii="宋体" w:hAnsi="宋体" w:cs="宋体" w:eastAsia="宋体" w:hint="default"/>
          <w:b/>
          <w:bCs/>
          <w:sz w:val="26"/>
          <w:szCs w:val="26"/>
        </w:rPr>
      </w:pPr>
    </w:p>
    <w:p>
      <w:pPr>
        <w:pStyle w:val="BodyText"/>
        <w:spacing w:line="340" w:lineRule="auto"/>
        <w:ind w:right="76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公司报告期未发生破产重整相关事项。</w:t>
      </w:r>
    </w:p>
    <w:p>
      <w:pPr>
        <w:spacing w:line="240" w:lineRule="auto" w:before="3"/>
        <w:rPr>
          <w:rFonts w:ascii="宋体" w:hAnsi="宋体" w:cs="宋体" w:eastAsia="宋体" w:hint="default"/>
          <w:sz w:val="19"/>
          <w:szCs w:val="19"/>
        </w:rPr>
      </w:pPr>
    </w:p>
    <w:p>
      <w:pPr>
        <w:pStyle w:val="Heading2"/>
        <w:spacing w:line="240" w:lineRule="auto"/>
        <w:ind w:right="0"/>
        <w:jc w:val="left"/>
        <w:rPr>
          <w:b w:val="0"/>
          <w:bCs w:val="0"/>
        </w:rPr>
      </w:pPr>
      <w:bookmarkStart w:name="十一、重大诉讼、仲裁事项" w:id="75"/>
      <w:bookmarkEnd w:id="75"/>
      <w:r>
        <w:rPr>
          <w:b w:val="0"/>
          <w:bCs w:val="0"/>
        </w:rPr>
      </w:r>
      <w:r>
        <w:rPr/>
        <w:t>十一、重大诉讼、仲裁事项</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787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本年度公司无重大诉讼、仲裁事项。</w:t>
      </w:r>
    </w:p>
    <w:p>
      <w:pPr>
        <w:spacing w:line="240" w:lineRule="auto" w:before="4"/>
        <w:rPr>
          <w:rFonts w:ascii="宋体" w:hAnsi="宋体" w:cs="宋体" w:eastAsia="宋体" w:hint="default"/>
          <w:sz w:val="19"/>
          <w:szCs w:val="19"/>
        </w:rPr>
      </w:pPr>
    </w:p>
    <w:p>
      <w:pPr>
        <w:pStyle w:val="Heading2"/>
        <w:spacing w:line="240" w:lineRule="auto"/>
        <w:ind w:right="0"/>
        <w:jc w:val="left"/>
        <w:rPr>
          <w:b w:val="0"/>
          <w:bCs w:val="0"/>
        </w:rPr>
      </w:pPr>
      <w:bookmarkStart w:name="十二、处罚及整改情况" w:id="76"/>
      <w:bookmarkEnd w:id="76"/>
      <w:r>
        <w:rPr>
          <w:b w:val="0"/>
          <w:bCs w:val="0"/>
        </w:rPr>
      </w:r>
      <w:r>
        <w:rPr/>
        <w:t>十二、处罚及整改情况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787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公司报告期不存在处罚及整改情况。</w:t>
      </w:r>
    </w:p>
    <w:p>
      <w:pPr>
        <w:spacing w:line="240" w:lineRule="auto" w:before="6"/>
        <w:rPr>
          <w:rFonts w:ascii="宋体" w:hAnsi="宋体" w:cs="宋体" w:eastAsia="宋体" w:hint="default"/>
          <w:sz w:val="19"/>
          <w:szCs w:val="19"/>
        </w:rPr>
      </w:pPr>
    </w:p>
    <w:p>
      <w:pPr>
        <w:pStyle w:val="Heading2"/>
        <w:spacing w:line="240" w:lineRule="auto"/>
        <w:ind w:right="0"/>
        <w:jc w:val="left"/>
        <w:rPr>
          <w:b w:val="0"/>
          <w:bCs w:val="0"/>
        </w:rPr>
      </w:pPr>
      <w:bookmarkStart w:name="十三、公司及其控股股东、实际控制人的诚信状况" w:id="77"/>
      <w:bookmarkEnd w:id="77"/>
      <w:r>
        <w:rPr>
          <w:b w:val="0"/>
          <w:bCs w:val="0"/>
        </w:rPr>
      </w:r>
      <w:r>
        <w:rPr/>
        <w:t>十三、公司及其控股股东、实际控制人的诚信状况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79" w:top="1060" w:bottom="1160" w:left="0" w:right="0"/>
        </w:sectPr>
      </w:pPr>
    </w:p>
    <w:p>
      <w:pPr>
        <w:spacing w:line="240" w:lineRule="auto" w:before="8"/>
        <w:rPr>
          <w:rFonts w:ascii="宋体" w:hAnsi="宋体" w:cs="宋体" w:eastAsia="宋体" w:hint="default"/>
          <w:sz w:val="23"/>
          <w:szCs w:val="23"/>
        </w:rPr>
      </w:pPr>
    </w:p>
    <w:p>
      <w:pPr>
        <w:pStyle w:val="Heading2"/>
        <w:spacing w:line="240" w:lineRule="auto" w:before="26"/>
        <w:ind w:right="0"/>
        <w:jc w:val="left"/>
        <w:rPr>
          <w:b w:val="0"/>
          <w:bCs w:val="0"/>
        </w:rPr>
      </w:pPr>
      <w:bookmarkStart w:name="十四、公司股权激励计划、员工持股计划或其他员工激励措施的实施情况" w:id="78"/>
      <w:bookmarkEnd w:id="78"/>
      <w:r>
        <w:rPr>
          <w:b w:val="0"/>
          <w:bCs w:val="0"/>
        </w:rPr>
      </w:r>
      <w:r>
        <w:rPr/>
        <w:t>十四、公司股权激励计划、员工持股计划或其他员工激励措施的实施情况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44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公司报告期无股权激励计划、员工持股计划或其他员工激励措施及其实施情况。</w:t>
      </w:r>
    </w:p>
    <w:p>
      <w:pPr>
        <w:spacing w:line="240" w:lineRule="auto" w:before="6"/>
        <w:rPr>
          <w:rFonts w:ascii="宋体" w:hAnsi="宋体" w:cs="宋体" w:eastAsia="宋体" w:hint="default"/>
          <w:sz w:val="19"/>
          <w:szCs w:val="19"/>
        </w:rPr>
      </w:pPr>
    </w:p>
    <w:p>
      <w:pPr>
        <w:pStyle w:val="Heading2"/>
        <w:spacing w:line="240" w:lineRule="auto"/>
        <w:ind w:right="0"/>
        <w:jc w:val="left"/>
        <w:rPr>
          <w:b w:val="0"/>
          <w:bCs w:val="0"/>
        </w:rPr>
      </w:pPr>
      <w:bookmarkStart w:name="十五、重大关联交易" w:id="79"/>
      <w:bookmarkEnd w:id="79"/>
      <w:r>
        <w:rPr>
          <w:b w:val="0"/>
          <w:bCs w:val="0"/>
        </w:rPr>
      </w:r>
      <w:r>
        <w:rPr/>
        <w:t>十五、重大关联交易</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与日常经营相关的关联交易" w:id="80"/>
      <w:bookmarkEnd w:id="80"/>
      <w:r>
        <w:rPr>
          <w:b w:val="0"/>
          <w:bCs w:val="0"/>
        </w:rPr>
      </w:r>
      <w:r>
        <w:rPr>
          <w:rFonts w:ascii="Times New Roman" w:hAnsi="Times New Roman" w:cs="Times New Roman" w:eastAsia="Times New Roman" w:hint="default"/>
        </w:rPr>
        <w:t>1</w:t>
      </w:r>
      <w:r>
        <w:rPr/>
        <w:t>、与日常经营相关的关联交易</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67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公司报告期未发生与日常经营相关的关联交易。</w:t>
      </w:r>
    </w:p>
    <w:p>
      <w:pPr>
        <w:spacing w:line="240" w:lineRule="auto" w:before="1"/>
        <w:rPr>
          <w:rFonts w:ascii="宋体" w:hAnsi="宋体" w:cs="宋体" w:eastAsia="宋体" w:hint="default"/>
          <w:sz w:val="21"/>
          <w:szCs w:val="21"/>
        </w:rPr>
      </w:pPr>
    </w:p>
    <w:p>
      <w:pPr>
        <w:pStyle w:val="Heading3"/>
        <w:spacing w:line="240" w:lineRule="auto"/>
        <w:ind w:right="0"/>
        <w:jc w:val="left"/>
        <w:rPr>
          <w:b w:val="0"/>
          <w:bCs w:val="0"/>
        </w:rPr>
      </w:pPr>
      <w:bookmarkStart w:name="2、资产或股权收购、出售发生的关联交易" w:id="81"/>
      <w:bookmarkEnd w:id="81"/>
      <w:r>
        <w:rPr>
          <w:b w:val="0"/>
          <w:bCs w:val="0"/>
        </w:rPr>
      </w:r>
      <w:r>
        <w:rPr>
          <w:rFonts w:ascii="Times New Roman" w:hAnsi="Times New Roman" w:cs="Times New Roman" w:eastAsia="Times New Roman" w:hint="default"/>
        </w:rPr>
        <w:t>2</w:t>
      </w:r>
      <w:r>
        <w:rPr/>
        <w:t>、资产或股权收购、出售发生的关联交易</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64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公司报告期未发生资产或股权收购、出售的关联交易。</w:t>
      </w:r>
    </w:p>
    <w:p>
      <w:pPr>
        <w:spacing w:line="240" w:lineRule="auto" w:before="2"/>
        <w:rPr>
          <w:rFonts w:ascii="宋体" w:hAnsi="宋体" w:cs="宋体" w:eastAsia="宋体" w:hint="default"/>
          <w:sz w:val="21"/>
          <w:szCs w:val="21"/>
        </w:rPr>
      </w:pPr>
    </w:p>
    <w:p>
      <w:pPr>
        <w:pStyle w:val="Heading3"/>
        <w:spacing w:line="240" w:lineRule="auto"/>
        <w:ind w:left="1134" w:right="0"/>
        <w:jc w:val="left"/>
        <w:rPr>
          <w:b w:val="0"/>
          <w:bCs w:val="0"/>
        </w:rPr>
      </w:pPr>
      <w:bookmarkStart w:name="3、共同对外投资的关联交易" w:id="82"/>
      <w:bookmarkEnd w:id="82"/>
      <w:r>
        <w:rPr>
          <w:b w:val="0"/>
          <w:bCs w:val="0"/>
        </w:rPr>
      </w:r>
      <w:r>
        <w:rPr>
          <w:rFonts w:ascii="Times New Roman" w:hAnsi="Times New Roman" w:cs="Times New Roman" w:eastAsia="Times New Roman" w:hint="default"/>
        </w:rPr>
        <w:t>3</w:t>
      </w:r>
      <w:r>
        <w:rPr/>
        <w:t>、共同对外投资的关联交易</w:t>
      </w:r>
      <w:r>
        <w:rPr>
          <w:b w:val="0"/>
          <w:bCs w:val="0"/>
        </w:rPr>
      </w:r>
    </w:p>
    <w:p>
      <w:pPr>
        <w:spacing w:line="240" w:lineRule="auto" w:before="8"/>
        <w:rPr>
          <w:rFonts w:ascii="宋体" w:hAnsi="宋体" w:cs="宋体" w:eastAsia="宋体" w:hint="default"/>
          <w:b/>
          <w:bCs/>
          <w:sz w:val="26"/>
          <w:szCs w:val="26"/>
        </w:rPr>
      </w:pPr>
    </w:p>
    <w:p>
      <w:pPr>
        <w:pStyle w:val="BodyText"/>
        <w:spacing w:line="340" w:lineRule="auto"/>
        <w:ind w:right="71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公司报告期未发生共同对外投资的关联交易。</w:t>
      </w:r>
    </w:p>
    <w:p>
      <w:pPr>
        <w:spacing w:line="240" w:lineRule="auto" w:before="13"/>
        <w:rPr>
          <w:rFonts w:ascii="宋体" w:hAnsi="宋体" w:cs="宋体" w:eastAsia="宋体" w:hint="default"/>
          <w:sz w:val="20"/>
          <w:szCs w:val="20"/>
        </w:rPr>
      </w:pPr>
    </w:p>
    <w:p>
      <w:pPr>
        <w:pStyle w:val="Heading3"/>
        <w:spacing w:line="240" w:lineRule="auto"/>
        <w:ind w:right="0"/>
        <w:jc w:val="left"/>
        <w:rPr>
          <w:b w:val="0"/>
          <w:bCs w:val="0"/>
        </w:rPr>
      </w:pPr>
      <w:bookmarkStart w:name="4、关联债权债务往来" w:id="83"/>
      <w:bookmarkEnd w:id="83"/>
      <w:r>
        <w:rPr>
          <w:b w:val="0"/>
          <w:bCs w:val="0"/>
        </w:rPr>
      </w:r>
      <w:r>
        <w:rPr>
          <w:rFonts w:ascii="Times New Roman" w:hAnsi="Times New Roman" w:cs="Times New Roman" w:eastAsia="Times New Roman" w:hint="default"/>
        </w:rPr>
        <w:t>4</w:t>
      </w:r>
      <w:r>
        <w:rPr/>
        <w:t>、关联债权债务往来</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76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公司报告期不存在关联债权债务往来。</w:t>
      </w:r>
    </w:p>
    <w:p>
      <w:pPr>
        <w:spacing w:line="240" w:lineRule="auto" w:before="1"/>
        <w:rPr>
          <w:rFonts w:ascii="宋体" w:hAnsi="宋体" w:cs="宋体" w:eastAsia="宋体" w:hint="default"/>
          <w:sz w:val="21"/>
          <w:szCs w:val="21"/>
        </w:rPr>
      </w:pPr>
    </w:p>
    <w:p>
      <w:pPr>
        <w:pStyle w:val="Heading3"/>
        <w:spacing w:line="240" w:lineRule="auto"/>
        <w:ind w:right="0"/>
        <w:jc w:val="left"/>
        <w:rPr>
          <w:b w:val="0"/>
          <w:bCs w:val="0"/>
        </w:rPr>
      </w:pPr>
      <w:bookmarkStart w:name="5、其他重大关联交易" w:id="84"/>
      <w:bookmarkEnd w:id="84"/>
      <w:r>
        <w:rPr>
          <w:b w:val="0"/>
          <w:bCs w:val="0"/>
        </w:rPr>
      </w:r>
      <w:r>
        <w:rPr>
          <w:rFonts w:ascii="Times New Roman" w:hAnsi="Times New Roman" w:cs="Times New Roman" w:eastAsia="Times New Roman" w:hint="default"/>
        </w:rPr>
        <w:t>5</w:t>
      </w:r>
      <w:r>
        <w:rPr/>
        <w:t>、其他重大关联交易</w:t>
      </w:r>
      <w:r>
        <w:rPr>
          <w:b w:val="0"/>
          <w:bCs w:val="0"/>
        </w:rPr>
      </w:r>
    </w:p>
    <w:p>
      <w:pPr>
        <w:spacing w:line="240" w:lineRule="auto" w:before="9"/>
        <w:rPr>
          <w:rFonts w:ascii="宋体" w:hAnsi="宋体" w:cs="宋体" w:eastAsia="宋体" w:hint="default"/>
          <w:b/>
          <w:bCs/>
          <w:sz w:val="26"/>
          <w:szCs w:val="26"/>
        </w:rPr>
      </w:pPr>
    </w:p>
    <w:p>
      <w:pPr>
        <w:pStyle w:val="BodyText"/>
        <w:spacing w:line="340" w:lineRule="auto"/>
        <w:ind w:right="80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公司报告期无其他重大关联交易。</w:t>
      </w:r>
    </w:p>
    <w:p>
      <w:pPr>
        <w:spacing w:line="240" w:lineRule="auto" w:before="3"/>
        <w:rPr>
          <w:rFonts w:ascii="宋体" w:hAnsi="宋体" w:cs="宋体" w:eastAsia="宋体" w:hint="default"/>
          <w:sz w:val="19"/>
          <w:szCs w:val="19"/>
        </w:rPr>
      </w:pPr>
    </w:p>
    <w:p>
      <w:pPr>
        <w:pStyle w:val="Heading2"/>
        <w:spacing w:line="240" w:lineRule="auto"/>
        <w:ind w:right="0"/>
        <w:jc w:val="left"/>
        <w:rPr>
          <w:b w:val="0"/>
          <w:bCs w:val="0"/>
        </w:rPr>
      </w:pPr>
      <w:bookmarkStart w:name="十六、重大合同及其履行情况" w:id="85"/>
      <w:bookmarkEnd w:id="85"/>
      <w:r>
        <w:rPr>
          <w:b w:val="0"/>
          <w:bCs w:val="0"/>
        </w:rPr>
      </w:r>
      <w:r>
        <w:rPr/>
        <w:t>十六、重大合同及其履行情况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1、托管、承包、租赁事项情况" w:id="86"/>
      <w:bookmarkEnd w:id="86"/>
      <w:r>
        <w:rPr>
          <w:b w:val="0"/>
          <w:bCs w:val="0"/>
        </w:rPr>
      </w:r>
      <w:r>
        <w:rPr>
          <w:rFonts w:ascii="Times New Roman" w:hAnsi="Times New Roman" w:cs="Times New Roman" w:eastAsia="Times New Roman" w:hint="default"/>
        </w:rPr>
        <w:t>1</w:t>
      </w:r>
      <w:r>
        <w:rPr/>
        <w:t>、托管、承包、租赁事项情况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托管情况" w:id="87"/>
      <w:bookmarkEnd w:id="87"/>
      <w:r>
        <w:rPr>
          <w:b w:val="0"/>
          <w:bCs w:val="0"/>
        </w:rPr>
      </w:r>
      <w:r>
        <w:rPr/>
        <w:t>（</w:t>
      </w:r>
      <w:r>
        <w:rPr>
          <w:rFonts w:ascii="Times New Roman" w:hAnsi="Times New Roman" w:cs="Times New Roman" w:eastAsia="Times New Roman" w:hint="default"/>
        </w:rPr>
        <w:t>1</w:t>
      </w:r>
      <w:r>
        <w:rPr/>
        <w:t>）托管情况</w:t>
      </w:r>
      <w:r>
        <w:rPr>
          <w:b w:val="0"/>
          <w:bCs w:val="0"/>
        </w:rPr>
      </w:r>
    </w:p>
    <w:p>
      <w:pPr>
        <w:spacing w:line="240" w:lineRule="auto" w:before="8"/>
        <w:rPr>
          <w:rFonts w:ascii="宋体" w:hAnsi="宋体" w:cs="宋体" w:eastAsia="宋体" w:hint="default"/>
          <w:b/>
          <w:bCs/>
          <w:sz w:val="26"/>
          <w:szCs w:val="26"/>
        </w:rPr>
      </w:pPr>
    </w:p>
    <w:p>
      <w:pPr>
        <w:pStyle w:val="BodyText"/>
        <w:spacing w:line="338" w:lineRule="auto"/>
        <w:ind w:right="84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公司报告期不存在托管情况。</w:t>
      </w:r>
    </w:p>
    <w:p>
      <w:pPr>
        <w:spacing w:line="240" w:lineRule="auto" w:before="2"/>
        <w:rPr>
          <w:rFonts w:ascii="宋体" w:hAnsi="宋体" w:cs="宋体" w:eastAsia="宋体" w:hint="default"/>
          <w:sz w:val="21"/>
          <w:szCs w:val="21"/>
        </w:rPr>
      </w:pPr>
    </w:p>
    <w:p>
      <w:pPr>
        <w:pStyle w:val="Heading3"/>
        <w:spacing w:line="240" w:lineRule="auto"/>
        <w:ind w:right="0"/>
        <w:jc w:val="left"/>
        <w:rPr>
          <w:b w:val="0"/>
          <w:bCs w:val="0"/>
        </w:rPr>
      </w:pPr>
      <w:bookmarkStart w:name="（2）承包情况" w:id="88"/>
      <w:bookmarkEnd w:id="88"/>
      <w:r>
        <w:rPr>
          <w:b w:val="0"/>
          <w:bCs w:val="0"/>
        </w:rPr>
      </w:r>
      <w:r>
        <w:rPr/>
        <w:t>（</w:t>
      </w:r>
      <w:r>
        <w:rPr>
          <w:rFonts w:ascii="Times New Roman" w:hAnsi="Times New Roman" w:cs="Times New Roman" w:eastAsia="Times New Roman" w:hint="default"/>
        </w:rPr>
        <w:t>2</w:t>
      </w:r>
      <w:r>
        <w:rPr/>
        <w:t>）承包情况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79" w:top="1060" w:bottom="1160" w:left="0" w:right="0"/>
        </w:sectPr>
      </w:pPr>
    </w:p>
    <w:p>
      <w:pPr>
        <w:spacing w:line="240" w:lineRule="auto" w:before="13"/>
        <w:rPr>
          <w:rFonts w:ascii="宋体" w:hAnsi="宋体" w:cs="宋体" w:eastAsia="宋体" w:hint="default"/>
          <w:sz w:val="25"/>
          <w:szCs w:val="25"/>
        </w:rPr>
      </w:pPr>
    </w:p>
    <w:p>
      <w:pPr>
        <w:pStyle w:val="BodyText"/>
        <w:spacing w:line="240" w:lineRule="auto" w:before="44"/>
        <w:ind w:right="0"/>
        <w:jc w:val="left"/>
      </w:pPr>
      <w:r>
        <w:rPr/>
        <w:t>公司报告期不存在承包情况。</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3）租赁情况" w:id="89"/>
      <w:bookmarkEnd w:id="89"/>
      <w:r>
        <w:rPr>
          <w:b w:val="0"/>
          <w:bCs w:val="0"/>
        </w:rPr>
      </w:r>
      <w:r>
        <w:rPr/>
        <w:t>（</w:t>
      </w:r>
      <w:r>
        <w:rPr>
          <w:rFonts w:ascii="Times New Roman" w:hAnsi="Times New Roman" w:cs="Times New Roman" w:eastAsia="Times New Roman" w:hint="default"/>
        </w:rPr>
        <w:t>3</w:t>
      </w:r>
      <w:r>
        <w:rPr/>
        <w:t>）租赁情况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84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公司报告期不存在租赁情况。</w:t>
      </w:r>
    </w:p>
    <w:p>
      <w:pPr>
        <w:spacing w:line="240" w:lineRule="auto" w:before="2"/>
        <w:rPr>
          <w:rFonts w:ascii="宋体" w:hAnsi="宋体" w:cs="宋体" w:eastAsia="宋体" w:hint="default"/>
          <w:sz w:val="21"/>
          <w:szCs w:val="21"/>
        </w:rPr>
      </w:pPr>
    </w:p>
    <w:p>
      <w:pPr>
        <w:pStyle w:val="Heading3"/>
        <w:spacing w:line="240" w:lineRule="auto"/>
        <w:ind w:right="0"/>
        <w:jc w:val="left"/>
        <w:rPr>
          <w:b w:val="0"/>
          <w:bCs w:val="0"/>
        </w:rPr>
      </w:pPr>
      <w:bookmarkStart w:name="2、重大担保" w:id="90"/>
      <w:bookmarkEnd w:id="90"/>
      <w:r>
        <w:rPr>
          <w:b w:val="0"/>
          <w:bCs w:val="0"/>
        </w:rPr>
      </w:r>
      <w:r>
        <w:rPr>
          <w:rFonts w:ascii="Times New Roman" w:hAnsi="Times New Roman" w:cs="Times New Roman" w:eastAsia="Times New Roman" w:hint="default"/>
        </w:rPr>
        <w:t>2</w:t>
      </w:r>
      <w:r>
        <w:rPr/>
        <w:t>、重大担保</w:t>
      </w:r>
      <w:r>
        <w:rPr>
          <w:b w:val="0"/>
          <w:bCs w:val="0"/>
        </w:rPr>
      </w:r>
    </w:p>
    <w:p>
      <w:pPr>
        <w:spacing w:line="240" w:lineRule="auto" w:before="8"/>
        <w:rPr>
          <w:rFonts w:ascii="宋体" w:hAnsi="宋体" w:cs="宋体" w:eastAsia="宋体" w:hint="default"/>
          <w:b/>
          <w:bCs/>
          <w:sz w:val="26"/>
          <w:szCs w:val="26"/>
        </w:rPr>
      </w:pPr>
    </w:p>
    <w:p>
      <w:pPr>
        <w:pStyle w:val="BodyText"/>
        <w:spacing w:line="340" w:lineRule="auto"/>
        <w:ind w:right="76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公司报告期不存在担保情况。</w:t>
      </w:r>
    </w:p>
    <w:p>
      <w:pPr>
        <w:spacing w:line="240" w:lineRule="auto" w:before="12"/>
        <w:rPr>
          <w:rFonts w:ascii="宋体" w:hAnsi="宋体" w:cs="宋体" w:eastAsia="宋体" w:hint="default"/>
          <w:sz w:val="20"/>
          <w:szCs w:val="20"/>
        </w:rPr>
      </w:pPr>
    </w:p>
    <w:p>
      <w:pPr>
        <w:pStyle w:val="Heading3"/>
        <w:spacing w:line="240" w:lineRule="auto"/>
        <w:ind w:right="0"/>
        <w:jc w:val="left"/>
        <w:rPr>
          <w:b w:val="0"/>
          <w:bCs w:val="0"/>
        </w:rPr>
      </w:pPr>
      <w:bookmarkStart w:name="3、委托他人进行现金资产管理情况" w:id="91"/>
      <w:bookmarkEnd w:id="91"/>
      <w:r>
        <w:rPr>
          <w:b w:val="0"/>
          <w:bCs w:val="0"/>
        </w:rPr>
      </w:r>
      <w:r>
        <w:rPr>
          <w:rFonts w:ascii="Times New Roman" w:hAnsi="Times New Roman" w:cs="Times New Roman" w:eastAsia="Times New Roman" w:hint="default"/>
        </w:rPr>
        <w:t>3</w:t>
      </w:r>
      <w:r>
        <w:rPr/>
        <w:t>、委托他人进行现金资产管理情况</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委托理财情况" w:id="92"/>
      <w:bookmarkEnd w:id="92"/>
      <w:r>
        <w:rPr>
          <w:b w:val="0"/>
          <w:bCs w:val="0"/>
        </w:rPr>
      </w:r>
      <w:r>
        <w:rPr/>
        <w:t>（</w:t>
      </w:r>
      <w:r>
        <w:rPr>
          <w:rFonts w:ascii="Times New Roman" w:hAnsi="Times New Roman" w:cs="Times New Roman" w:eastAsia="Times New Roman" w:hint="default"/>
        </w:rPr>
        <w:t>1</w:t>
      </w:r>
      <w:r>
        <w:rPr/>
        <w:t>）委托理财情况</w:t>
      </w:r>
      <w:r>
        <w:rPr>
          <w:b w:val="0"/>
          <w:bCs w:val="0"/>
        </w:rPr>
      </w:r>
    </w:p>
    <w:p>
      <w:pPr>
        <w:spacing w:line="240" w:lineRule="auto" w:before="3"/>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79" w:top="1060" w:bottom="1160" w:left="0" w:right="0"/>
        </w:sectPr>
      </w:pPr>
    </w:p>
    <w:p>
      <w:pPr>
        <w:pStyle w:val="BodyText"/>
        <w:spacing w:line="338" w:lineRule="auto" w:before="44"/>
        <w:ind w:right="-1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报告期内委托理财概况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ind w:left="1113" w:right="1112"/>
        <w:jc w:val="center"/>
      </w:pPr>
      <w:r>
        <w:rPr/>
        <w:t>单位：万元</w:t>
      </w:r>
    </w:p>
    <w:p>
      <w:pPr>
        <w:spacing w:after="0" w:line="240" w:lineRule="auto"/>
        <w:jc w:val="center"/>
        <w:sectPr>
          <w:type w:val="continuous"/>
          <w:pgSz w:w="11910" w:h="16840"/>
          <w:pgMar w:top="1060" w:bottom="1160" w:left="0" w:right="0"/>
          <w:cols w:num="2" w:equalWidth="0">
            <w:col w:w="2935" w:space="5805"/>
            <w:col w:w="3170"/>
          </w:cols>
        </w:sectPr>
      </w:pP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869"/>
        <w:gridCol w:w="1962"/>
        <w:gridCol w:w="1981"/>
        <w:gridCol w:w="1908"/>
        <w:gridCol w:w="1848"/>
      </w:tblGrid>
      <w:tr>
        <w:trPr>
          <w:trHeight w:val="402" w:hRule="exact"/>
        </w:trPr>
        <w:tc>
          <w:tcPr>
            <w:tcW w:w="1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9" w:right="0"/>
              <w:jc w:val="left"/>
              <w:rPr>
                <w:rFonts w:ascii="宋体" w:hAnsi="宋体" w:cs="宋体" w:eastAsia="宋体" w:hint="default"/>
                <w:sz w:val="18"/>
                <w:szCs w:val="18"/>
              </w:rPr>
            </w:pPr>
            <w:r>
              <w:rPr>
                <w:rFonts w:ascii="宋体" w:hAnsi="宋体" w:cs="宋体" w:eastAsia="宋体" w:hint="default"/>
                <w:sz w:val="18"/>
                <w:szCs w:val="18"/>
              </w:rPr>
              <w:t>具体类型</w:t>
            </w:r>
          </w:p>
        </w:tc>
        <w:tc>
          <w:tcPr>
            <w:tcW w:w="1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5" w:right="0"/>
              <w:jc w:val="left"/>
              <w:rPr>
                <w:rFonts w:ascii="宋体" w:hAnsi="宋体" w:cs="宋体" w:eastAsia="宋体" w:hint="default"/>
                <w:sz w:val="18"/>
                <w:szCs w:val="18"/>
              </w:rPr>
            </w:pPr>
            <w:r>
              <w:rPr>
                <w:rFonts w:ascii="宋体" w:hAnsi="宋体" w:cs="宋体" w:eastAsia="宋体" w:hint="default"/>
                <w:sz w:val="18"/>
                <w:szCs w:val="18"/>
              </w:rPr>
              <w:t>委托理财的资金来源</w:t>
            </w:r>
          </w:p>
        </w:tc>
        <w:tc>
          <w:tcPr>
            <w:tcW w:w="19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55" w:right="0"/>
              <w:jc w:val="left"/>
              <w:rPr>
                <w:rFonts w:ascii="宋体" w:hAnsi="宋体" w:cs="宋体" w:eastAsia="宋体" w:hint="default"/>
                <w:sz w:val="18"/>
                <w:szCs w:val="18"/>
              </w:rPr>
            </w:pPr>
            <w:r>
              <w:rPr>
                <w:rFonts w:ascii="宋体" w:hAnsi="宋体" w:cs="宋体" w:eastAsia="宋体" w:hint="default"/>
                <w:sz w:val="18"/>
                <w:szCs w:val="18"/>
              </w:rPr>
              <w:t>委托理财发生额</w:t>
            </w:r>
          </w:p>
        </w:tc>
        <w:tc>
          <w:tcPr>
            <w:tcW w:w="19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99" w:right="0"/>
              <w:jc w:val="left"/>
              <w:rPr>
                <w:rFonts w:ascii="宋体" w:hAnsi="宋体" w:cs="宋体" w:eastAsia="宋体" w:hint="default"/>
                <w:sz w:val="18"/>
                <w:szCs w:val="18"/>
              </w:rPr>
            </w:pPr>
            <w:r>
              <w:rPr>
                <w:rFonts w:ascii="宋体" w:hAnsi="宋体" w:cs="宋体" w:eastAsia="宋体" w:hint="default"/>
                <w:sz w:val="18"/>
                <w:szCs w:val="18"/>
              </w:rPr>
              <w:t>未到期余额</w:t>
            </w:r>
          </w:p>
        </w:tc>
        <w:tc>
          <w:tcPr>
            <w:tcW w:w="18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99" w:right="0"/>
              <w:jc w:val="left"/>
              <w:rPr>
                <w:rFonts w:ascii="宋体" w:hAnsi="宋体" w:cs="宋体" w:eastAsia="宋体" w:hint="default"/>
                <w:sz w:val="18"/>
                <w:szCs w:val="18"/>
              </w:rPr>
            </w:pPr>
            <w:r>
              <w:rPr>
                <w:rFonts w:ascii="宋体" w:hAnsi="宋体" w:cs="宋体" w:eastAsia="宋体" w:hint="default"/>
                <w:sz w:val="18"/>
                <w:szCs w:val="18"/>
              </w:rPr>
              <w:t>逾期未收回的金额</w:t>
            </w:r>
          </w:p>
        </w:tc>
      </w:tr>
      <w:tr>
        <w:trPr>
          <w:trHeight w:val="402" w:hRule="exact"/>
        </w:trPr>
        <w:tc>
          <w:tcPr>
            <w:tcW w:w="1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银行理财产品</w:t>
            </w:r>
          </w:p>
        </w:tc>
        <w:tc>
          <w:tcPr>
            <w:tcW w:w="1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闲置自有资金</w:t>
            </w: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21,000</w:t>
            </w:r>
          </w:p>
        </w:tc>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4,000</w:t>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83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21,000</w:t>
            </w:r>
          </w:p>
        </w:tc>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4,000</w:t>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bl>
    <w:p>
      <w:pPr>
        <w:pStyle w:val="BodyText"/>
        <w:spacing w:line="240" w:lineRule="auto" w:before="51"/>
        <w:ind w:left="1134" w:right="0"/>
        <w:jc w:val="left"/>
      </w:pPr>
      <w:r>
        <w:rPr/>
        <w:t>单项金额重大或安全性较低、流动性较差、不保本的高风险委托理财具体情况</w:t>
      </w:r>
    </w:p>
    <w:p>
      <w:pPr>
        <w:pStyle w:val="BodyText"/>
        <w:spacing w:line="338" w:lineRule="auto" w:before="117"/>
        <w:ind w:right="57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委托理财出现预期无法收回本金或存在其他可能导致减值的情形</w:t>
      </w:r>
    </w:p>
    <w:p>
      <w:pPr>
        <w:pStyle w:val="BodyText"/>
        <w:spacing w:line="240" w:lineRule="auto" w:before="43"/>
        <w:ind w:left="113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2）委托贷款情况" w:id="93"/>
      <w:bookmarkEnd w:id="93"/>
      <w:r>
        <w:rPr>
          <w:b w:val="0"/>
          <w:bCs w:val="0"/>
        </w:rPr>
      </w:r>
      <w:r>
        <w:rPr/>
        <w:t>（</w:t>
      </w:r>
      <w:r>
        <w:rPr>
          <w:rFonts w:ascii="Times New Roman" w:hAnsi="Times New Roman" w:cs="Times New Roman" w:eastAsia="Times New Roman" w:hint="default"/>
        </w:rPr>
        <w:t>2</w:t>
      </w:r>
      <w:r>
        <w:rPr/>
        <w:t>）委托贷款情况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84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公司报告期不存在委托贷款。</w:t>
      </w:r>
    </w:p>
    <w:p>
      <w:pPr>
        <w:spacing w:line="240" w:lineRule="auto" w:before="1"/>
        <w:rPr>
          <w:rFonts w:ascii="宋体" w:hAnsi="宋体" w:cs="宋体" w:eastAsia="宋体" w:hint="default"/>
          <w:sz w:val="21"/>
          <w:szCs w:val="21"/>
        </w:rPr>
      </w:pPr>
    </w:p>
    <w:p>
      <w:pPr>
        <w:pStyle w:val="Heading3"/>
        <w:spacing w:line="240" w:lineRule="auto"/>
        <w:ind w:right="0"/>
        <w:jc w:val="left"/>
        <w:rPr>
          <w:b w:val="0"/>
          <w:bCs w:val="0"/>
        </w:rPr>
      </w:pPr>
      <w:bookmarkStart w:name="4、其他重大合同" w:id="94"/>
      <w:bookmarkEnd w:id="94"/>
      <w:r>
        <w:rPr>
          <w:b w:val="0"/>
          <w:bCs w:val="0"/>
        </w:rPr>
      </w:r>
      <w:r>
        <w:rPr>
          <w:rFonts w:ascii="Times New Roman" w:hAnsi="Times New Roman" w:cs="Times New Roman" w:eastAsia="Times New Roman" w:hint="default"/>
        </w:rPr>
        <w:t>4</w:t>
      </w:r>
      <w:r>
        <w:rPr/>
        <w:t>、其他重大合同</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6"/>
          <w:szCs w:val="6"/>
        </w:rPr>
      </w:pPr>
    </w:p>
    <w:tbl>
      <w:tblPr>
        <w:tblW w:w="0" w:type="auto"/>
        <w:jc w:val="left"/>
        <w:tblInd w:w="1129" w:type="dxa"/>
        <w:tblLayout w:type="fixed"/>
        <w:tblCellMar>
          <w:top w:w="0" w:type="dxa"/>
          <w:left w:w="0" w:type="dxa"/>
          <w:bottom w:w="0" w:type="dxa"/>
          <w:right w:w="0" w:type="dxa"/>
        </w:tblCellMar>
        <w:tblLook w:val="01E0"/>
      </w:tblPr>
      <w:tblGrid>
        <w:gridCol w:w="636"/>
        <w:gridCol w:w="640"/>
        <w:gridCol w:w="638"/>
        <w:gridCol w:w="640"/>
        <w:gridCol w:w="640"/>
        <w:gridCol w:w="639"/>
        <w:gridCol w:w="640"/>
        <w:gridCol w:w="638"/>
        <w:gridCol w:w="637"/>
        <w:gridCol w:w="638"/>
        <w:gridCol w:w="639"/>
        <w:gridCol w:w="637"/>
        <w:gridCol w:w="638"/>
        <w:gridCol w:w="638"/>
        <w:gridCol w:w="635"/>
      </w:tblGrid>
      <w:tr>
        <w:trPr>
          <w:trHeight w:val="2274" w:hRule="exact"/>
        </w:trPr>
        <w:tc>
          <w:tcPr>
            <w:tcW w:w="6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319" w:lineRule="auto"/>
              <w:ind w:left="42" w:right="42"/>
              <w:jc w:val="both"/>
              <w:rPr>
                <w:rFonts w:ascii="宋体" w:hAnsi="宋体" w:cs="宋体" w:eastAsia="宋体" w:hint="default"/>
                <w:sz w:val="18"/>
                <w:szCs w:val="18"/>
              </w:rPr>
            </w:pPr>
            <w:r>
              <w:rPr>
                <w:rFonts w:ascii="宋体" w:hAnsi="宋体" w:cs="宋体" w:eastAsia="宋体" w:hint="default"/>
                <w:sz w:val="18"/>
                <w:szCs w:val="18"/>
              </w:rPr>
              <w:t>合同订 立公司 方名称</w:t>
            </w:r>
          </w:p>
        </w:tc>
        <w:tc>
          <w:tcPr>
            <w:tcW w:w="6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319" w:lineRule="auto"/>
              <w:ind w:left="44" w:right="43"/>
              <w:jc w:val="both"/>
              <w:rPr>
                <w:rFonts w:ascii="宋体" w:hAnsi="宋体" w:cs="宋体" w:eastAsia="宋体" w:hint="default"/>
                <w:sz w:val="18"/>
                <w:szCs w:val="18"/>
              </w:rPr>
            </w:pPr>
            <w:r>
              <w:rPr>
                <w:rFonts w:ascii="宋体" w:hAnsi="宋体" w:cs="宋体" w:eastAsia="宋体" w:hint="default"/>
                <w:sz w:val="18"/>
                <w:szCs w:val="18"/>
              </w:rPr>
              <w:t>合同订 立对方 名称</w:t>
            </w:r>
          </w:p>
        </w:tc>
        <w:tc>
          <w:tcPr>
            <w:tcW w:w="6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5"/>
              <w:ind w:left="224" w:right="42" w:hanging="180"/>
              <w:jc w:val="left"/>
              <w:rPr>
                <w:rFonts w:ascii="宋体" w:hAnsi="宋体" w:cs="宋体" w:eastAsia="宋体" w:hint="default"/>
                <w:sz w:val="18"/>
                <w:szCs w:val="18"/>
              </w:rPr>
            </w:pPr>
            <w:r>
              <w:rPr>
                <w:rFonts w:ascii="宋体" w:hAnsi="宋体" w:cs="宋体" w:eastAsia="宋体" w:hint="default"/>
                <w:sz w:val="18"/>
                <w:szCs w:val="18"/>
              </w:rPr>
              <w:t>合同标 的</w:t>
            </w:r>
          </w:p>
        </w:tc>
        <w:tc>
          <w:tcPr>
            <w:tcW w:w="6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5"/>
              <w:ind w:left="44" w:right="43"/>
              <w:jc w:val="left"/>
              <w:rPr>
                <w:rFonts w:ascii="宋体" w:hAnsi="宋体" w:cs="宋体" w:eastAsia="宋体" w:hint="default"/>
                <w:sz w:val="18"/>
                <w:szCs w:val="18"/>
              </w:rPr>
            </w:pPr>
            <w:r>
              <w:rPr>
                <w:rFonts w:ascii="宋体" w:hAnsi="宋体" w:cs="宋体" w:eastAsia="宋体" w:hint="default"/>
                <w:sz w:val="18"/>
                <w:szCs w:val="18"/>
              </w:rPr>
              <w:t>合同签 订日期</w:t>
            </w:r>
          </w:p>
        </w:tc>
        <w:tc>
          <w:tcPr>
            <w:tcW w:w="6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5" w:right="42"/>
              <w:jc w:val="both"/>
              <w:rPr>
                <w:rFonts w:ascii="宋体" w:hAnsi="宋体" w:cs="宋体" w:eastAsia="宋体" w:hint="default"/>
                <w:sz w:val="18"/>
                <w:szCs w:val="18"/>
              </w:rPr>
            </w:pPr>
            <w:r>
              <w:rPr>
                <w:rFonts w:ascii="宋体" w:hAnsi="宋体" w:cs="宋体" w:eastAsia="宋体" w:hint="default"/>
                <w:sz w:val="18"/>
                <w:szCs w:val="18"/>
              </w:rPr>
              <w:t>合同涉 及资产 的账面 价值</w:t>
            </w:r>
          </w:p>
          <w:p>
            <w:pPr>
              <w:pStyle w:val="TableParagraph"/>
              <w:spacing w:line="319" w:lineRule="auto" w:before="19"/>
              <w:ind w:left="24" w:right="20"/>
              <w:jc w:val="center"/>
              <w:rPr>
                <w:rFonts w:ascii="宋体" w:hAnsi="宋体" w:cs="宋体" w:eastAsia="宋体" w:hint="default"/>
                <w:sz w:val="18"/>
                <w:szCs w:val="18"/>
              </w:rPr>
            </w:pPr>
            <w:r>
              <w:rPr>
                <w:rFonts w:ascii="宋体" w:hAnsi="宋体" w:cs="宋体" w:eastAsia="宋体" w:hint="default"/>
                <w:sz w:val="18"/>
                <w:szCs w:val="18"/>
              </w:rPr>
              <w:t>（万 </w:t>
            </w:r>
            <w:r>
              <w:rPr>
                <w:rFonts w:ascii="宋体" w:hAnsi="宋体" w:cs="宋体" w:eastAsia="宋体" w:hint="default"/>
                <w:spacing w:val="-35"/>
                <w:sz w:val="18"/>
                <w:szCs w:val="18"/>
              </w:rPr>
              <w:t>元）（如</w:t>
            </w:r>
            <w:r>
              <w:rPr>
                <w:rFonts w:ascii="宋体" w:hAnsi="宋体" w:cs="宋体" w:eastAsia="宋体" w:hint="default"/>
                <w:sz w:val="18"/>
                <w:szCs w:val="18"/>
              </w:rPr>
              <w:t> 有）</w:t>
            </w:r>
          </w:p>
        </w:tc>
        <w:tc>
          <w:tcPr>
            <w:tcW w:w="6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4" w:right="42"/>
              <w:jc w:val="both"/>
              <w:rPr>
                <w:rFonts w:ascii="宋体" w:hAnsi="宋体" w:cs="宋体" w:eastAsia="宋体" w:hint="default"/>
                <w:sz w:val="18"/>
                <w:szCs w:val="18"/>
              </w:rPr>
            </w:pPr>
            <w:r>
              <w:rPr>
                <w:rFonts w:ascii="宋体" w:hAnsi="宋体" w:cs="宋体" w:eastAsia="宋体" w:hint="default"/>
                <w:sz w:val="18"/>
                <w:szCs w:val="18"/>
              </w:rPr>
              <w:t>合同涉 及资产 的评估 价值</w:t>
            </w:r>
          </w:p>
          <w:p>
            <w:pPr>
              <w:pStyle w:val="TableParagraph"/>
              <w:spacing w:line="319" w:lineRule="auto" w:before="19"/>
              <w:ind w:left="22" w:right="21"/>
              <w:jc w:val="center"/>
              <w:rPr>
                <w:rFonts w:ascii="宋体" w:hAnsi="宋体" w:cs="宋体" w:eastAsia="宋体" w:hint="default"/>
                <w:sz w:val="18"/>
                <w:szCs w:val="18"/>
              </w:rPr>
            </w:pPr>
            <w:r>
              <w:rPr>
                <w:rFonts w:ascii="宋体" w:hAnsi="宋体" w:cs="宋体" w:eastAsia="宋体" w:hint="default"/>
                <w:sz w:val="18"/>
                <w:szCs w:val="18"/>
              </w:rPr>
              <w:t>（万 </w:t>
            </w:r>
            <w:r>
              <w:rPr>
                <w:rFonts w:ascii="宋体" w:hAnsi="宋体" w:cs="宋体" w:eastAsia="宋体" w:hint="default"/>
                <w:spacing w:val="-35"/>
                <w:sz w:val="18"/>
                <w:szCs w:val="18"/>
              </w:rPr>
              <w:t>元）（如</w:t>
            </w:r>
            <w:r>
              <w:rPr>
                <w:rFonts w:ascii="宋体" w:hAnsi="宋体" w:cs="宋体" w:eastAsia="宋体" w:hint="default"/>
                <w:sz w:val="18"/>
                <w:szCs w:val="18"/>
              </w:rPr>
              <w:t> 有）</w:t>
            </w:r>
          </w:p>
        </w:tc>
        <w:tc>
          <w:tcPr>
            <w:tcW w:w="6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316" w:lineRule="auto"/>
              <w:ind w:left="45" w:right="42"/>
              <w:jc w:val="left"/>
              <w:rPr>
                <w:rFonts w:ascii="宋体" w:hAnsi="宋体" w:cs="宋体" w:eastAsia="宋体" w:hint="default"/>
                <w:sz w:val="18"/>
                <w:szCs w:val="18"/>
              </w:rPr>
            </w:pPr>
            <w:r>
              <w:rPr>
                <w:rFonts w:ascii="宋体" w:hAnsi="宋体" w:cs="宋体" w:eastAsia="宋体" w:hint="default"/>
                <w:sz w:val="18"/>
                <w:szCs w:val="18"/>
              </w:rPr>
              <w:t>评估机 构名称</w:t>
            </w:r>
          </w:p>
          <w:p>
            <w:pPr>
              <w:pStyle w:val="TableParagraph"/>
              <w:spacing w:line="319" w:lineRule="auto" w:before="19"/>
              <w:ind w:left="135" w:right="132"/>
              <w:jc w:val="left"/>
              <w:rPr>
                <w:rFonts w:ascii="宋体" w:hAnsi="宋体" w:cs="宋体" w:eastAsia="宋体" w:hint="default"/>
                <w:sz w:val="18"/>
                <w:szCs w:val="18"/>
              </w:rPr>
            </w:pPr>
            <w:r>
              <w:rPr>
                <w:rFonts w:ascii="宋体" w:hAnsi="宋体" w:cs="宋体" w:eastAsia="宋体" w:hint="default"/>
                <w:sz w:val="18"/>
                <w:szCs w:val="18"/>
              </w:rPr>
              <w:t>（如 有）</w:t>
            </w:r>
          </w:p>
        </w:tc>
        <w:tc>
          <w:tcPr>
            <w:tcW w:w="6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316" w:lineRule="auto"/>
              <w:ind w:left="133" w:right="43" w:hanging="90"/>
              <w:jc w:val="left"/>
              <w:rPr>
                <w:rFonts w:ascii="宋体" w:hAnsi="宋体" w:cs="宋体" w:eastAsia="宋体" w:hint="default"/>
                <w:sz w:val="18"/>
                <w:szCs w:val="18"/>
              </w:rPr>
            </w:pPr>
            <w:r>
              <w:rPr>
                <w:rFonts w:ascii="宋体" w:hAnsi="宋体" w:cs="宋体" w:eastAsia="宋体" w:hint="default"/>
                <w:sz w:val="18"/>
                <w:szCs w:val="18"/>
              </w:rPr>
              <w:t>评估基 准日</w:t>
            </w:r>
          </w:p>
          <w:p>
            <w:pPr>
              <w:pStyle w:val="TableParagraph"/>
              <w:spacing w:line="319" w:lineRule="auto" w:before="19"/>
              <w:ind w:left="133" w:right="133"/>
              <w:jc w:val="left"/>
              <w:rPr>
                <w:rFonts w:ascii="宋体" w:hAnsi="宋体" w:cs="宋体" w:eastAsia="宋体" w:hint="default"/>
                <w:sz w:val="18"/>
                <w:szCs w:val="18"/>
              </w:rPr>
            </w:pPr>
            <w:r>
              <w:rPr>
                <w:rFonts w:ascii="宋体" w:hAnsi="宋体" w:cs="宋体" w:eastAsia="宋体" w:hint="default"/>
                <w:sz w:val="18"/>
                <w:szCs w:val="18"/>
              </w:rPr>
              <w:t>（如 有）</w:t>
            </w:r>
          </w:p>
        </w:tc>
        <w:tc>
          <w:tcPr>
            <w:tcW w:w="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5"/>
              <w:ind w:left="223" w:right="42" w:hanging="180"/>
              <w:jc w:val="left"/>
              <w:rPr>
                <w:rFonts w:ascii="宋体" w:hAnsi="宋体" w:cs="宋体" w:eastAsia="宋体" w:hint="default"/>
                <w:sz w:val="18"/>
                <w:szCs w:val="18"/>
              </w:rPr>
            </w:pPr>
            <w:r>
              <w:rPr>
                <w:rFonts w:ascii="宋体" w:hAnsi="宋体" w:cs="宋体" w:eastAsia="宋体" w:hint="default"/>
                <w:sz w:val="18"/>
                <w:szCs w:val="18"/>
              </w:rPr>
              <w:t>定价原 则</w:t>
            </w:r>
          </w:p>
        </w:tc>
        <w:tc>
          <w:tcPr>
            <w:tcW w:w="6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319" w:lineRule="auto"/>
              <w:ind w:left="43" w:right="43"/>
              <w:jc w:val="both"/>
              <w:rPr>
                <w:rFonts w:ascii="宋体" w:hAnsi="宋体" w:cs="宋体" w:eastAsia="宋体" w:hint="default"/>
                <w:sz w:val="18"/>
                <w:szCs w:val="18"/>
              </w:rPr>
            </w:pPr>
            <w:r>
              <w:rPr>
                <w:rFonts w:ascii="宋体" w:hAnsi="宋体" w:cs="宋体" w:eastAsia="宋体" w:hint="default"/>
                <w:sz w:val="18"/>
                <w:szCs w:val="18"/>
              </w:rPr>
              <w:t>交易价 格（万 元）</w:t>
            </w:r>
          </w:p>
        </w:tc>
        <w:tc>
          <w:tcPr>
            <w:tcW w:w="6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5"/>
              <w:ind w:left="43" w:right="45"/>
              <w:jc w:val="left"/>
              <w:rPr>
                <w:rFonts w:ascii="宋体" w:hAnsi="宋体" w:cs="宋体" w:eastAsia="宋体" w:hint="default"/>
                <w:sz w:val="18"/>
                <w:szCs w:val="18"/>
              </w:rPr>
            </w:pPr>
            <w:r>
              <w:rPr>
                <w:rFonts w:ascii="宋体" w:hAnsi="宋体" w:cs="宋体" w:eastAsia="宋体" w:hint="default"/>
                <w:sz w:val="18"/>
                <w:szCs w:val="18"/>
              </w:rPr>
              <w:t>是否关 联交易</w:t>
            </w:r>
          </w:p>
        </w:tc>
        <w:tc>
          <w:tcPr>
            <w:tcW w:w="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5"/>
              <w:ind w:left="223" w:right="42" w:hanging="180"/>
              <w:jc w:val="left"/>
              <w:rPr>
                <w:rFonts w:ascii="宋体" w:hAnsi="宋体" w:cs="宋体" w:eastAsia="宋体" w:hint="default"/>
                <w:sz w:val="18"/>
                <w:szCs w:val="18"/>
              </w:rPr>
            </w:pPr>
            <w:r>
              <w:rPr>
                <w:rFonts w:ascii="宋体" w:hAnsi="宋体" w:cs="宋体" w:eastAsia="宋体" w:hint="default"/>
                <w:sz w:val="18"/>
                <w:szCs w:val="18"/>
              </w:rPr>
              <w:t>关联关 系</w:t>
            </w:r>
          </w:p>
        </w:tc>
        <w:tc>
          <w:tcPr>
            <w:tcW w:w="6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319" w:lineRule="auto"/>
              <w:ind w:left="43" w:right="43"/>
              <w:jc w:val="both"/>
              <w:rPr>
                <w:rFonts w:ascii="宋体" w:hAnsi="宋体" w:cs="宋体" w:eastAsia="宋体" w:hint="default"/>
                <w:sz w:val="18"/>
                <w:szCs w:val="18"/>
              </w:rPr>
            </w:pPr>
            <w:r>
              <w:rPr>
                <w:rFonts w:ascii="宋体" w:hAnsi="宋体" w:cs="宋体" w:eastAsia="宋体" w:hint="default"/>
                <w:sz w:val="18"/>
                <w:szCs w:val="18"/>
              </w:rPr>
              <w:t>截至报 告期末 的执行 情况</w:t>
            </w:r>
          </w:p>
        </w:tc>
        <w:tc>
          <w:tcPr>
            <w:tcW w:w="6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5"/>
              <w:ind w:left="223" w:right="43" w:hanging="180"/>
              <w:jc w:val="left"/>
              <w:rPr>
                <w:rFonts w:ascii="宋体" w:hAnsi="宋体" w:cs="宋体" w:eastAsia="宋体" w:hint="default"/>
                <w:sz w:val="18"/>
                <w:szCs w:val="18"/>
              </w:rPr>
            </w:pPr>
            <w:r>
              <w:rPr>
                <w:rFonts w:ascii="宋体" w:hAnsi="宋体" w:cs="宋体" w:eastAsia="宋体" w:hint="default"/>
                <w:sz w:val="18"/>
                <w:szCs w:val="18"/>
              </w:rPr>
              <w:t>披露日 期</w:t>
            </w:r>
          </w:p>
        </w:tc>
        <w:tc>
          <w:tcPr>
            <w:tcW w:w="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5"/>
              <w:ind w:left="222" w:right="41" w:hanging="180"/>
              <w:jc w:val="left"/>
              <w:rPr>
                <w:rFonts w:ascii="宋体" w:hAnsi="宋体" w:cs="宋体" w:eastAsia="宋体" w:hint="default"/>
                <w:sz w:val="18"/>
                <w:szCs w:val="18"/>
              </w:rPr>
            </w:pPr>
            <w:r>
              <w:rPr>
                <w:rFonts w:ascii="宋体" w:hAnsi="宋体" w:cs="宋体" w:eastAsia="宋体" w:hint="default"/>
                <w:sz w:val="18"/>
                <w:szCs w:val="18"/>
              </w:rPr>
              <w:t>披露索 引</w:t>
            </w:r>
          </w:p>
        </w:tc>
      </w:tr>
    </w:tbl>
    <w:p>
      <w:pPr>
        <w:spacing w:after="0" w:line="319" w:lineRule="auto"/>
        <w:jc w:val="left"/>
        <w:rPr>
          <w:rFonts w:ascii="宋体" w:hAnsi="宋体" w:cs="宋体" w:eastAsia="宋体" w:hint="default"/>
          <w:sz w:val="18"/>
          <w:szCs w:val="18"/>
        </w:rPr>
        <w:sectPr>
          <w:type w:val="continuous"/>
          <w:pgSz w:w="11910" w:h="16840"/>
          <w:pgMar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636"/>
        <w:gridCol w:w="640"/>
        <w:gridCol w:w="638"/>
        <w:gridCol w:w="640"/>
        <w:gridCol w:w="640"/>
        <w:gridCol w:w="639"/>
        <w:gridCol w:w="640"/>
        <w:gridCol w:w="638"/>
        <w:gridCol w:w="637"/>
        <w:gridCol w:w="638"/>
        <w:gridCol w:w="639"/>
        <w:gridCol w:w="637"/>
        <w:gridCol w:w="638"/>
        <w:gridCol w:w="638"/>
        <w:gridCol w:w="636"/>
      </w:tblGrid>
      <w:tr>
        <w:trPr>
          <w:trHeight w:val="1962" w:hRule="exact"/>
        </w:trPr>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63"/>
              <w:jc w:val="both"/>
              <w:rPr>
                <w:rFonts w:ascii="宋体" w:hAnsi="宋体" w:cs="宋体" w:eastAsia="宋体" w:hint="default"/>
                <w:sz w:val="18"/>
                <w:szCs w:val="18"/>
              </w:rPr>
            </w:pPr>
            <w:r>
              <w:rPr>
                <w:rFonts w:ascii="宋体" w:hAnsi="宋体" w:cs="宋体" w:eastAsia="宋体" w:hint="default"/>
                <w:sz w:val="18"/>
                <w:szCs w:val="18"/>
              </w:rPr>
              <w:t>河北先 河环保 科技股 份有限 公司</w:t>
            </w:r>
          </w:p>
        </w:tc>
        <w:tc>
          <w:tcPr>
            <w:tcW w:w="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9" w:lineRule="auto"/>
              <w:ind w:left="22" w:right="65"/>
              <w:jc w:val="both"/>
              <w:rPr>
                <w:rFonts w:ascii="宋体" w:hAnsi="宋体" w:cs="宋体" w:eastAsia="宋体" w:hint="default"/>
                <w:sz w:val="18"/>
                <w:szCs w:val="18"/>
              </w:rPr>
            </w:pPr>
            <w:r>
              <w:rPr>
                <w:rFonts w:ascii="宋体" w:hAnsi="宋体" w:cs="宋体" w:eastAsia="宋体" w:hint="default"/>
                <w:sz w:val="18"/>
                <w:szCs w:val="18"/>
              </w:rPr>
              <w:t>河北省 环境监 测中心</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both"/>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“1+18”</w:t>
            </w:r>
          </w:p>
          <w:p>
            <w:pPr>
              <w:pStyle w:val="TableParagraph"/>
              <w:spacing w:line="314" w:lineRule="auto" w:before="65"/>
              <w:ind w:left="22" w:right="65"/>
              <w:jc w:val="both"/>
              <w:rPr>
                <w:rFonts w:ascii="宋体" w:hAnsi="宋体" w:cs="宋体" w:eastAsia="宋体" w:hint="default"/>
                <w:sz w:val="18"/>
                <w:szCs w:val="18"/>
              </w:rPr>
            </w:pPr>
            <w:r>
              <w:rPr>
                <w:rFonts w:ascii="宋体" w:hAnsi="宋体" w:cs="宋体" w:eastAsia="宋体" w:hint="default"/>
                <w:sz w:val="18"/>
                <w:szCs w:val="18"/>
              </w:rPr>
              <w:t>大气监 测专项 </w:t>
            </w:r>
            <w:r>
              <w:rPr>
                <w:rFonts w:ascii="Times New Roman" w:hAnsi="Times New Roman" w:cs="Times New Roman" w:eastAsia="Times New Roman" w:hint="default"/>
                <w:sz w:val="18"/>
                <w:szCs w:val="18"/>
              </w:rPr>
              <w:t>1 </w:t>
            </w:r>
            <w:r>
              <w:rPr>
                <w:rFonts w:ascii="宋体" w:hAnsi="宋体" w:cs="宋体" w:eastAsia="宋体" w:hint="default"/>
                <w:sz w:val="18"/>
                <w:szCs w:val="18"/>
              </w:rPr>
              <w:t>包省 控自动 站建设</w:t>
            </w:r>
          </w:p>
        </w:tc>
        <w:tc>
          <w:tcPr>
            <w:tcW w:w="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640" w:type="dxa"/>
            <w:tcBorders>
              <w:top w:val="single" w:sz="4" w:space="0" w:color="000000"/>
              <w:left w:val="single" w:sz="4" w:space="0" w:color="000000"/>
              <w:bottom w:val="single" w:sz="4" w:space="0" w:color="000000"/>
              <w:right w:val="single" w:sz="4" w:space="0" w:color="000000"/>
            </w:tcBorders>
          </w:tcPr>
          <w:p>
            <w:pPr/>
          </w:p>
        </w:tc>
        <w:tc>
          <w:tcPr>
            <w:tcW w:w="639" w:type="dxa"/>
            <w:tcBorders>
              <w:top w:val="single" w:sz="4" w:space="0" w:color="000000"/>
              <w:left w:val="single" w:sz="4" w:space="0" w:color="000000"/>
              <w:bottom w:val="single" w:sz="4" w:space="0" w:color="000000"/>
              <w:right w:val="single" w:sz="4" w:space="0" w:color="000000"/>
            </w:tcBorders>
          </w:tcPr>
          <w:p>
            <w:pPr/>
          </w:p>
        </w:tc>
        <w:tc>
          <w:tcPr>
            <w:tcW w:w="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638" w:type="dxa"/>
            <w:tcBorders>
              <w:top w:val="single" w:sz="4" w:space="0" w:color="000000"/>
              <w:left w:val="single" w:sz="4" w:space="0" w:color="000000"/>
              <w:bottom w:val="single" w:sz="4" w:space="0" w:color="000000"/>
              <w:right w:val="single" w:sz="4" w:space="0" w:color="000000"/>
            </w:tcBorders>
          </w:tcPr>
          <w:p>
            <w:pPr/>
          </w:p>
        </w:tc>
        <w:tc>
          <w:tcPr>
            <w:tcW w:w="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22" w:right="0"/>
              <w:jc w:val="left"/>
              <w:rPr>
                <w:rFonts w:ascii="宋体" w:hAnsi="宋体" w:cs="宋体" w:eastAsia="宋体" w:hint="default"/>
                <w:sz w:val="18"/>
                <w:szCs w:val="18"/>
              </w:rPr>
            </w:pPr>
            <w:r>
              <w:rPr>
                <w:rFonts w:ascii="宋体" w:hAnsi="宋体" w:cs="宋体" w:eastAsia="宋体" w:hint="default"/>
                <w:sz w:val="18"/>
                <w:szCs w:val="18"/>
              </w:rPr>
              <w:t>招投标</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22,877.</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45</w:t>
            </w:r>
          </w:p>
        </w:tc>
        <w:tc>
          <w:tcPr>
            <w:tcW w:w="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9" w:lineRule="auto"/>
              <w:ind w:left="22" w:right="62"/>
              <w:jc w:val="left"/>
              <w:rPr>
                <w:rFonts w:ascii="宋体" w:hAnsi="宋体" w:cs="宋体" w:eastAsia="宋体" w:hint="default"/>
                <w:sz w:val="18"/>
                <w:szCs w:val="18"/>
              </w:rPr>
            </w:pPr>
            <w:r>
              <w:rPr>
                <w:rFonts w:ascii="宋体" w:hAnsi="宋体" w:cs="宋体" w:eastAsia="宋体" w:hint="default"/>
                <w:sz w:val="18"/>
                <w:szCs w:val="18"/>
              </w:rPr>
              <w:t>无关联 关系</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9" w:lineRule="auto"/>
              <w:ind w:left="22" w:right="65"/>
              <w:jc w:val="both"/>
              <w:rPr>
                <w:rFonts w:ascii="宋体" w:hAnsi="宋体" w:cs="宋体" w:eastAsia="宋体" w:hint="default"/>
                <w:sz w:val="18"/>
                <w:szCs w:val="18"/>
              </w:rPr>
            </w:pPr>
            <w:r>
              <w:rPr>
                <w:rFonts w:ascii="宋体" w:hAnsi="宋体" w:cs="宋体" w:eastAsia="宋体" w:hint="default"/>
                <w:sz w:val="18"/>
                <w:szCs w:val="18"/>
              </w:rPr>
              <w:t>完成大 部分供 货</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9" w:lineRule="auto"/>
              <w:ind w:left="22" w:right="61"/>
              <w:jc w:val="left"/>
              <w:rPr>
                <w:rFonts w:ascii="宋体" w:hAnsi="宋体" w:cs="宋体" w:eastAsia="宋体" w:hint="default"/>
                <w:sz w:val="18"/>
                <w:szCs w:val="18"/>
              </w:rPr>
            </w:pPr>
            <w:r>
              <w:rPr>
                <w:rFonts w:ascii="宋体" w:hAnsi="宋体" w:cs="宋体" w:eastAsia="宋体" w:hint="default"/>
                <w:sz w:val="18"/>
                <w:szCs w:val="18"/>
              </w:rPr>
              <w:t>巨潮资 讯</w:t>
            </w:r>
          </w:p>
        </w:tc>
      </w:tr>
      <w:tr>
        <w:trPr>
          <w:trHeight w:val="1962" w:hRule="exact"/>
        </w:trPr>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63"/>
              <w:jc w:val="both"/>
              <w:rPr>
                <w:rFonts w:ascii="宋体" w:hAnsi="宋体" w:cs="宋体" w:eastAsia="宋体" w:hint="default"/>
                <w:sz w:val="18"/>
                <w:szCs w:val="18"/>
              </w:rPr>
            </w:pPr>
            <w:r>
              <w:rPr>
                <w:rFonts w:ascii="宋体" w:hAnsi="宋体" w:cs="宋体" w:eastAsia="宋体" w:hint="default"/>
                <w:sz w:val="18"/>
                <w:szCs w:val="18"/>
              </w:rPr>
              <w:t>河北先 河环保 科技股 份有限 公司</w:t>
            </w:r>
          </w:p>
        </w:tc>
        <w:tc>
          <w:tcPr>
            <w:tcW w:w="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9" w:lineRule="auto"/>
              <w:ind w:left="22" w:right="65"/>
              <w:jc w:val="both"/>
              <w:rPr>
                <w:rFonts w:ascii="宋体" w:hAnsi="宋体" w:cs="宋体" w:eastAsia="宋体" w:hint="default"/>
                <w:sz w:val="18"/>
                <w:szCs w:val="18"/>
              </w:rPr>
            </w:pPr>
            <w:r>
              <w:rPr>
                <w:rFonts w:ascii="宋体" w:hAnsi="宋体" w:cs="宋体" w:eastAsia="宋体" w:hint="default"/>
                <w:sz w:val="18"/>
                <w:szCs w:val="18"/>
              </w:rPr>
              <w:t>石家庄 市环境 保护局</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65"/>
              <w:jc w:val="both"/>
              <w:rPr>
                <w:rFonts w:ascii="宋体" w:hAnsi="宋体" w:cs="宋体" w:eastAsia="宋体" w:hint="default"/>
                <w:sz w:val="18"/>
                <w:szCs w:val="18"/>
              </w:rPr>
            </w:pPr>
            <w:r>
              <w:rPr>
                <w:rFonts w:ascii="宋体" w:hAnsi="宋体" w:cs="宋体" w:eastAsia="宋体" w:hint="default"/>
                <w:sz w:val="18"/>
                <w:szCs w:val="18"/>
              </w:rPr>
              <w:t>石家庄 市重点 区域空 气质量 监测网 络建设</w:t>
            </w:r>
          </w:p>
        </w:tc>
        <w:tc>
          <w:tcPr>
            <w:tcW w:w="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640" w:type="dxa"/>
            <w:tcBorders>
              <w:top w:val="single" w:sz="4" w:space="0" w:color="000000"/>
              <w:left w:val="single" w:sz="4" w:space="0" w:color="000000"/>
              <w:bottom w:val="single" w:sz="4" w:space="0" w:color="000000"/>
              <w:right w:val="single" w:sz="4" w:space="0" w:color="000000"/>
            </w:tcBorders>
          </w:tcPr>
          <w:p>
            <w:pPr/>
          </w:p>
        </w:tc>
        <w:tc>
          <w:tcPr>
            <w:tcW w:w="639" w:type="dxa"/>
            <w:tcBorders>
              <w:top w:val="single" w:sz="4" w:space="0" w:color="000000"/>
              <w:left w:val="single" w:sz="4" w:space="0" w:color="000000"/>
              <w:bottom w:val="single" w:sz="4" w:space="0" w:color="000000"/>
              <w:right w:val="single" w:sz="4" w:space="0" w:color="000000"/>
            </w:tcBorders>
          </w:tcPr>
          <w:p>
            <w:pPr/>
          </w:p>
        </w:tc>
        <w:tc>
          <w:tcPr>
            <w:tcW w:w="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638" w:type="dxa"/>
            <w:tcBorders>
              <w:top w:val="single" w:sz="4" w:space="0" w:color="000000"/>
              <w:left w:val="single" w:sz="4" w:space="0" w:color="000000"/>
              <w:bottom w:val="single" w:sz="4" w:space="0" w:color="000000"/>
              <w:right w:val="single" w:sz="4" w:space="0" w:color="000000"/>
            </w:tcBorders>
          </w:tcPr>
          <w:p>
            <w:pPr/>
          </w:p>
        </w:tc>
        <w:tc>
          <w:tcPr>
            <w:tcW w:w="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22" w:right="0"/>
              <w:jc w:val="left"/>
              <w:rPr>
                <w:rFonts w:ascii="宋体" w:hAnsi="宋体" w:cs="宋体" w:eastAsia="宋体" w:hint="default"/>
                <w:sz w:val="18"/>
                <w:szCs w:val="18"/>
              </w:rPr>
            </w:pPr>
            <w:r>
              <w:rPr>
                <w:rFonts w:ascii="宋体" w:hAnsi="宋体" w:cs="宋体" w:eastAsia="宋体" w:hint="default"/>
                <w:sz w:val="18"/>
                <w:szCs w:val="18"/>
              </w:rPr>
              <w:t>协商</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14,789.</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06</w:t>
            </w:r>
          </w:p>
        </w:tc>
        <w:tc>
          <w:tcPr>
            <w:tcW w:w="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9" w:lineRule="auto"/>
              <w:ind w:left="22" w:right="62"/>
              <w:jc w:val="left"/>
              <w:rPr>
                <w:rFonts w:ascii="宋体" w:hAnsi="宋体" w:cs="宋体" w:eastAsia="宋体" w:hint="default"/>
                <w:sz w:val="18"/>
                <w:szCs w:val="18"/>
              </w:rPr>
            </w:pPr>
            <w:r>
              <w:rPr>
                <w:rFonts w:ascii="宋体" w:hAnsi="宋体" w:cs="宋体" w:eastAsia="宋体" w:hint="default"/>
                <w:sz w:val="18"/>
                <w:szCs w:val="18"/>
              </w:rPr>
              <w:t>无关联 关系</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9" w:lineRule="auto"/>
              <w:ind w:left="22" w:right="65"/>
              <w:jc w:val="left"/>
              <w:rPr>
                <w:rFonts w:ascii="宋体" w:hAnsi="宋体" w:cs="宋体" w:eastAsia="宋体" w:hint="default"/>
                <w:sz w:val="18"/>
                <w:szCs w:val="18"/>
              </w:rPr>
            </w:pPr>
            <w:r>
              <w:rPr>
                <w:rFonts w:ascii="宋体" w:hAnsi="宋体" w:cs="宋体" w:eastAsia="宋体" w:hint="default"/>
                <w:sz w:val="18"/>
                <w:szCs w:val="18"/>
              </w:rPr>
              <w:t>执行完 毕</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9" w:lineRule="auto"/>
              <w:ind w:left="22" w:right="61"/>
              <w:jc w:val="left"/>
              <w:rPr>
                <w:rFonts w:ascii="宋体" w:hAnsi="宋体" w:cs="宋体" w:eastAsia="宋体" w:hint="default"/>
                <w:sz w:val="18"/>
                <w:szCs w:val="18"/>
              </w:rPr>
            </w:pPr>
            <w:r>
              <w:rPr>
                <w:rFonts w:ascii="宋体" w:hAnsi="宋体" w:cs="宋体" w:eastAsia="宋体" w:hint="default"/>
                <w:sz w:val="18"/>
                <w:szCs w:val="18"/>
              </w:rPr>
              <w:t>巨潮资 讯</w:t>
            </w:r>
          </w:p>
        </w:tc>
      </w:tr>
    </w:tbl>
    <w:p>
      <w:pPr>
        <w:spacing w:line="240" w:lineRule="auto" w:before="2"/>
        <w:rPr>
          <w:rFonts w:ascii="宋体" w:hAnsi="宋体" w:cs="宋体" w:eastAsia="宋体" w:hint="default"/>
          <w:sz w:val="18"/>
          <w:szCs w:val="18"/>
        </w:rPr>
      </w:pPr>
    </w:p>
    <w:p>
      <w:pPr>
        <w:pStyle w:val="Heading2"/>
        <w:spacing w:line="240" w:lineRule="auto" w:before="26"/>
        <w:ind w:left="1134" w:right="0"/>
        <w:jc w:val="left"/>
        <w:rPr>
          <w:b w:val="0"/>
          <w:bCs w:val="0"/>
        </w:rPr>
      </w:pPr>
      <w:bookmarkStart w:name="十七、社会责任情况" w:id="95"/>
      <w:bookmarkEnd w:id="95"/>
      <w:r>
        <w:rPr>
          <w:b w:val="0"/>
          <w:bCs w:val="0"/>
        </w:rPr>
      </w:r>
      <w:r>
        <w:rPr/>
        <w:t>十七、社会责任情况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履行精准扶贫社会责任情况" w:id="96"/>
      <w:bookmarkEnd w:id="96"/>
      <w:r>
        <w:rPr>
          <w:b w:val="0"/>
          <w:bCs w:val="0"/>
        </w:rPr>
      </w:r>
      <w:r>
        <w:rPr>
          <w:rFonts w:ascii="Times New Roman" w:hAnsi="Times New Roman" w:cs="Times New Roman" w:eastAsia="Times New Roman" w:hint="default"/>
        </w:rPr>
        <w:t>1</w:t>
      </w:r>
      <w:r>
        <w:rPr/>
        <w:t>、履行精准扶贫社会责任情况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精准扶贫规划" w:id="97"/>
      <w:bookmarkEnd w:id="97"/>
      <w:r>
        <w:rPr>
          <w:b w:val="0"/>
          <w:bCs w:val="0"/>
        </w:rPr>
      </w:r>
      <w:r>
        <w:rPr/>
        <w:t>（</w:t>
      </w:r>
      <w:r>
        <w:rPr>
          <w:rFonts w:ascii="Times New Roman" w:hAnsi="Times New Roman" w:cs="Times New Roman" w:eastAsia="Times New Roman" w:hint="default"/>
        </w:rPr>
        <w:t>1</w:t>
      </w:r>
      <w:r>
        <w:rPr/>
        <w:t>）精准扶贫规划</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134" w:right="0"/>
        <w:jc w:val="left"/>
      </w:pPr>
      <w:r>
        <w:rPr/>
        <w:t>公司报告年度暂无精准扶贫规划。</w:t>
      </w:r>
    </w:p>
    <w:p>
      <w:pPr>
        <w:spacing w:line="240" w:lineRule="auto" w:before="12"/>
        <w:rPr>
          <w:rFonts w:ascii="宋体" w:hAnsi="宋体" w:cs="宋体" w:eastAsia="宋体" w:hint="default"/>
          <w:sz w:val="26"/>
          <w:szCs w:val="26"/>
        </w:rPr>
      </w:pPr>
    </w:p>
    <w:p>
      <w:pPr>
        <w:pStyle w:val="Heading3"/>
        <w:spacing w:line="240" w:lineRule="auto"/>
        <w:ind w:left="1134" w:right="0"/>
        <w:jc w:val="left"/>
        <w:rPr>
          <w:b w:val="0"/>
          <w:bCs w:val="0"/>
        </w:rPr>
      </w:pPr>
      <w:bookmarkStart w:name="（2）年度精准扶贫概要" w:id="98"/>
      <w:bookmarkEnd w:id="98"/>
      <w:r>
        <w:rPr>
          <w:b w:val="0"/>
          <w:bCs w:val="0"/>
        </w:rPr>
      </w:r>
      <w:r>
        <w:rPr/>
        <w:t>（</w:t>
      </w:r>
      <w:r>
        <w:rPr>
          <w:rFonts w:ascii="Times New Roman" w:hAnsi="Times New Roman" w:cs="Times New Roman" w:eastAsia="Times New Roman" w:hint="default"/>
        </w:rPr>
        <w:t>2</w:t>
      </w:r>
      <w:r>
        <w:rPr/>
        <w:t>）年度精准扶贫概要</w:t>
      </w:r>
      <w:r>
        <w:rPr>
          <w:b w:val="0"/>
          <w:bCs w:val="0"/>
        </w:rPr>
      </w:r>
    </w:p>
    <w:p>
      <w:pPr>
        <w:spacing w:line="240" w:lineRule="auto" w:before="7"/>
        <w:rPr>
          <w:rFonts w:ascii="宋体" w:hAnsi="宋体" w:cs="宋体" w:eastAsia="宋体" w:hint="default"/>
          <w:b/>
          <w:bCs/>
          <w:sz w:val="26"/>
          <w:szCs w:val="26"/>
        </w:rPr>
      </w:pPr>
    </w:p>
    <w:p>
      <w:pPr>
        <w:pStyle w:val="BodyText"/>
        <w:spacing w:line="300" w:lineRule="auto"/>
        <w:ind w:right="0"/>
        <w:jc w:val="left"/>
      </w:pPr>
      <w:r>
        <w:rPr>
          <w:spacing w:val="-3"/>
        </w:rPr>
        <w:t>报告期内，公司为石家庄市赞皇县西会村提供路灯安装，费用共计</w:t>
      </w:r>
      <w:r>
        <w:rPr>
          <w:rFonts w:ascii="Times New Roman" w:hAnsi="Times New Roman" w:cs="Times New Roman" w:eastAsia="Times New Roman" w:hint="default"/>
          <w:spacing w:val="-3"/>
        </w:rPr>
        <w:t>9.87</w:t>
      </w:r>
      <w:r>
        <w:rPr>
          <w:spacing w:val="-3"/>
        </w:rPr>
        <w:t>万元。同时制定了对西会村贫困学生的具体帮扶方案，</w:t>
      </w:r>
      <w:r>
        <w:rPr>
          <w:spacing w:val="-47"/>
        </w:rPr>
        <w:t> </w:t>
      </w:r>
      <w:r>
        <w:rPr>
          <w:spacing w:val="-47"/>
        </w:rPr>
      </w:r>
      <w:r>
        <w:rPr/>
        <w:t>包括提供助学金、提供就业岗位、组织爱心捐助及组织互动活动等。</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3"/>
        <w:spacing w:line="240" w:lineRule="auto" w:before="148"/>
        <w:ind w:right="0"/>
        <w:jc w:val="left"/>
        <w:rPr>
          <w:b w:val="0"/>
          <w:bCs w:val="0"/>
        </w:rPr>
      </w:pPr>
      <w:bookmarkStart w:name="（3）精准扶贫成效" w:id="99"/>
      <w:bookmarkEnd w:id="99"/>
      <w:r>
        <w:rPr>
          <w:b w:val="0"/>
          <w:bCs w:val="0"/>
        </w:rPr>
      </w:r>
      <w:r>
        <w:rPr/>
        <w:t>（</w:t>
      </w:r>
      <w:r>
        <w:rPr>
          <w:rFonts w:ascii="Times New Roman" w:hAnsi="Times New Roman" w:cs="Times New Roman" w:eastAsia="Times New Roman" w:hint="default"/>
        </w:rPr>
        <w:t>3</w:t>
      </w:r>
      <w:r>
        <w:rPr/>
        <w:t>）精准扶贫成效</w:t>
      </w:r>
      <w:r>
        <w:rPr>
          <w:b w:val="0"/>
          <w:bCs w:val="0"/>
        </w:rPr>
      </w:r>
    </w:p>
    <w:p>
      <w:pPr>
        <w:spacing w:line="240" w:lineRule="auto" w:before="9"/>
        <w:rPr>
          <w:rFonts w:ascii="宋体" w:hAnsi="宋体" w:cs="宋体" w:eastAsia="宋体" w:hint="default"/>
          <w:b/>
          <w:bCs/>
          <w:sz w:val="25"/>
          <w:szCs w:val="25"/>
        </w:rPr>
      </w:pPr>
    </w:p>
    <w:tbl>
      <w:tblPr>
        <w:tblW w:w="0" w:type="auto"/>
        <w:jc w:val="left"/>
        <w:tblInd w:w="1140" w:type="dxa"/>
        <w:tblLayout w:type="fixed"/>
        <w:tblCellMar>
          <w:top w:w="0" w:type="dxa"/>
          <w:left w:w="0" w:type="dxa"/>
          <w:bottom w:w="0" w:type="dxa"/>
          <w:right w:w="0" w:type="dxa"/>
        </w:tblCellMar>
        <w:tblLook w:val="01E0"/>
      </w:tblPr>
      <w:tblGrid>
        <w:gridCol w:w="3613"/>
        <w:gridCol w:w="1542"/>
        <w:gridCol w:w="4403"/>
      </w:tblGrid>
      <w:tr>
        <w:trPr>
          <w:trHeight w:val="402" w:hRule="exact"/>
        </w:trPr>
        <w:tc>
          <w:tcPr>
            <w:tcW w:w="36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1"/>
              <w:jc w:val="center"/>
              <w:rPr>
                <w:rFonts w:ascii="宋体" w:hAnsi="宋体" w:cs="宋体" w:eastAsia="宋体" w:hint="default"/>
                <w:sz w:val="18"/>
                <w:szCs w:val="18"/>
              </w:rPr>
            </w:pPr>
            <w:r>
              <w:rPr>
                <w:rFonts w:ascii="宋体" w:hAnsi="宋体" w:cs="宋体" w:eastAsia="宋体" w:hint="default"/>
                <w:sz w:val="18"/>
                <w:szCs w:val="18"/>
              </w:rPr>
              <w:t>指标</w:t>
            </w:r>
          </w:p>
        </w:tc>
        <w:tc>
          <w:tcPr>
            <w:tcW w:w="15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计量单位</w:t>
            </w:r>
          </w:p>
        </w:tc>
        <w:tc>
          <w:tcPr>
            <w:tcW w:w="44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数量</w:t>
            </w:r>
            <w:r>
              <w:rPr>
                <w:rFonts w:ascii="Times New Roman" w:hAnsi="Times New Roman" w:cs="Times New Roman" w:eastAsia="Times New Roman" w:hint="default"/>
                <w:sz w:val="18"/>
                <w:szCs w:val="18"/>
              </w:rPr>
              <w:t>/</w:t>
            </w:r>
            <w:r>
              <w:rPr>
                <w:rFonts w:ascii="宋体" w:hAnsi="宋体" w:cs="宋体" w:eastAsia="宋体" w:hint="default"/>
                <w:sz w:val="18"/>
                <w:szCs w:val="18"/>
              </w:rPr>
              <w:t>开展情况</w:t>
            </w:r>
          </w:p>
        </w:tc>
      </w:tr>
      <w:tr>
        <w:trPr>
          <w:trHeight w:val="402" w:hRule="exact"/>
        </w:trPr>
        <w:tc>
          <w:tcPr>
            <w:tcW w:w="36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一、总体情况</w:t>
            </w:r>
          </w:p>
        </w:tc>
        <w:tc>
          <w:tcPr>
            <w:tcW w:w="15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4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2" w:hRule="exact"/>
        </w:trPr>
        <w:tc>
          <w:tcPr>
            <w:tcW w:w="36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91" w:right="0"/>
              <w:jc w:val="left"/>
              <w:rPr>
                <w:rFonts w:ascii="宋体" w:hAnsi="宋体" w:cs="宋体" w:eastAsia="宋体" w:hint="default"/>
                <w:sz w:val="18"/>
                <w:szCs w:val="18"/>
              </w:rPr>
            </w:pPr>
            <w:r>
              <w:rPr>
                <w:rFonts w:ascii="宋体" w:hAnsi="宋体" w:cs="宋体" w:eastAsia="宋体" w:hint="default"/>
                <w:sz w:val="18"/>
                <w:szCs w:val="18"/>
              </w:rPr>
              <w:t>其中：</w:t>
            </w:r>
            <w:r>
              <w:rPr>
                <w:rFonts w:ascii="宋体" w:hAnsi="宋体" w:cs="宋体" w:eastAsia="宋体" w:hint="default"/>
                <w:spacing w:val="86"/>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资金</w:t>
            </w:r>
          </w:p>
        </w:tc>
        <w:tc>
          <w:tcPr>
            <w:tcW w:w="15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万元</w:t>
            </w:r>
          </w:p>
        </w:tc>
        <w:tc>
          <w:tcPr>
            <w:tcW w:w="4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w:t>
            </w:r>
          </w:p>
        </w:tc>
      </w:tr>
      <w:tr>
        <w:trPr>
          <w:trHeight w:val="402" w:hRule="exact"/>
        </w:trPr>
        <w:tc>
          <w:tcPr>
            <w:tcW w:w="36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物资折款</w:t>
            </w:r>
          </w:p>
        </w:tc>
        <w:tc>
          <w:tcPr>
            <w:tcW w:w="15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万元</w:t>
            </w:r>
          </w:p>
        </w:tc>
        <w:tc>
          <w:tcPr>
            <w:tcW w:w="4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9.87</w:t>
            </w:r>
          </w:p>
        </w:tc>
      </w:tr>
      <w:tr>
        <w:trPr>
          <w:trHeight w:val="402" w:hRule="exact"/>
        </w:trPr>
        <w:tc>
          <w:tcPr>
            <w:tcW w:w="36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二、分项投入</w:t>
            </w:r>
          </w:p>
        </w:tc>
        <w:tc>
          <w:tcPr>
            <w:tcW w:w="15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4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2" w:hRule="exact"/>
        </w:trPr>
        <w:tc>
          <w:tcPr>
            <w:tcW w:w="36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9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产业发展脱贫</w:t>
            </w:r>
          </w:p>
        </w:tc>
        <w:tc>
          <w:tcPr>
            <w:tcW w:w="15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4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2" w:hRule="exact"/>
        </w:trPr>
        <w:tc>
          <w:tcPr>
            <w:tcW w:w="36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9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转移就业脱贫</w:t>
            </w:r>
          </w:p>
        </w:tc>
        <w:tc>
          <w:tcPr>
            <w:tcW w:w="15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4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2" w:hRule="exact"/>
        </w:trPr>
        <w:tc>
          <w:tcPr>
            <w:tcW w:w="36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9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易地搬迁脱贫</w:t>
            </w:r>
          </w:p>
        </w:tc>
        <w:tc>
          <w:tcPr>
            <w:tcW w:w="15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4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2" w:hRule="exact"/>
        </w:trPr>
        <w:tc>
          <w:tcPr>
            <w:tcW w:w="36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9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教育扶贫</w:t>
            </w:r>
          </w:p>
        </w:tc>
        <w:tc>
          <w:tcPr>
            <w:tcW w:w="15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4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2" w:hRule="exact"/>
        </w:trPr>
        <w:tc>
          <w:tcPr>
            <w:tcW w:w="36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tabs>
                <w:tab w:pos="911" w:val="left" w:leader="none"/>
              </w:tabs>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其中：</w:t>
              <w:tab/>
            </w:r>
            <w:r>
              <w:rPr>
                <w:rFonts w:ascii="Times New Roman" w:hAnsi="Times New Roman" w:cs="Times New Roman" w:eastAsia="Times New Roman" w:hint="default"/>
                <w:sz w:val="18"/>
                <w:szCs w:val="18"/>
              </w:rPr>
              <w:t>4.1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资助贫困学生投入金额</w:t>
            </w:r>
          </w:p>
        </w:tc>
        <w:tc>
          <w:tcPr>
            <w:tcW w:w="15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万元</w:t>
            </w:r>
          </w:p>
        </w:tc>
        <w:tc>
          <w:tcPr>
            <w:tcW w:w="4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w:t>
            </w:r>
          </w:p>
        </w:tc>
      </w:tr>
      <w:tr>
        <w:trPr>
          <w:trHeight w:val="402" w:hRule="exact"/>
        </w:trPr>
        <w:tc>
          <w:tcPr>
            <w:tcW w:w="36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9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健康扶贫</w:t>
            </w:r>
          </w:p>
        </w:tc>
        <w:tc>
          <w:tcPr>
            <w:tcW w:w="15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4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b/>
          <w:bCs/>
          <w:sz w:val="28"/>
          <w:szCs w:val="28"/>
        </w:rPr>
      </w:pPr>
    </w:p>
    <w:tbl>
      <w:tblPr>
        <w:tblW w:w="0" w:type="auto"/>
        <w:jc w:val="left"/>
        <w:tblInd w:w="1140" w:type="dxa"/>
        <w:tblLayout w:type="fixed"/>
        <w:tblCellMar>
          <w:top w:w="0" w:type="dxa"/>
          <w:left w:w="0" w:type="dxa"/>
          <w:bottom w:w="0" w:type="dxa"/>
          <w:right w:w="0" w:type="dxa"/>
        </w:tblCellMar>
        <w:tblLook w:val="01E0"/>
      </w:tblPr>
      <w:tblGrid>
        <w:gridCol w:w="3613"/>
        <w:gridCol w:w="1542"/>
        <w:gridCol w:w="4403"/>
      </w:tblGrid>
      <w:tr>
        <w:trPr>
          <w:trHeight w:val="402" w:hRule="exact"/>
        </w:trPr>
        <w:tc>
          <w:tcPr>
            <w:tcW w:w="36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9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生态保护扶贫</w:t>
            </w:r>
          </w:p>
        </w:tc>
        <w:tc>
          <w:tcPr>
            <w:tcW w:w="15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4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02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2" w:hRule="exact"/>
        </w:trPr>
        <w:tc>
          <w:tcPr>
            <w:tcW w:w="36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9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兜底保障</w:t>
            </w:r>
          </w:p>
        </w:tc>
        <w:tc>
          <w:tcPr>
            <w:tcW w:w="15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4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02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2" w:hRule="exact"/>
        </w:trPr>
        <w:tc>
          <w:tcPr>
            <w:tcW w:w="36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9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8.</w:t>
            </w:r>
            <w:r>
              <w:rPr>
                <w:rFonts w:ascii="宋体" w:hAnsi="宋体" w:cs="宋体" w:eastAsia="宋体" w:hint="default"/>
                <w:sz w:val="18"/>
                <w:szCs w:val="18"/>
              </w:rPr>
              <w:t>社会扶贫</w:t>
            </w:r>
          </w:p>
        </w:tc>
        <w:tc>
          <w:tcPr>
            <w:tcW w:w="15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4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02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2" w:hRule="exact"/>
        </w:trPr>
        <w:tc>
          <w:tcPr>
            <w:tcW w:w="36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8.2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定点扶贫工作投入金额</w:t>
            </w:r>
          </w:p>
        </w:tc>
        <w:tc>
          <w:tcPr>
            <w:tcW w:w="15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万元</w:t>
            </w:r>
          </w:p>
        </w:tc>
        <w:tc>
          <w:tcPr>
            <w:tcW w:w="4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9.87</w:t>
            </w:r>
          </w:p>
        </w:tc>
      </w:tr>
      <w:tr>
        <w:trPr>
          <w:trHeight w:val="402" w:hRule="exact"/>
        </w:trPr>
        <w:tc>
          <w:tcPr>
            <w:tcW w:w="36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9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9.</w:t>
            </w:r>
            <w:r>
              <w:rPr>
                <w:rFonts w:ascii="宋体" w:hAnsi="宋体" w:cs="宋体" w:eastAsia="宋体" w:hint="default"/>
                <w:sz w:val="18"/>
                <w:szCs w:val="18"/>
              </w:rPr>
              <w:t>其他项目</w:t>
            </w:r>
          </w:p>
        </w:tc>
        <w:tc>
          <w:tcPr>
            <w:tcW w:w="15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4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02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2" w:hRule="exact"/>
        </w:trPr>
        <w:tc>
          <w:tcPr>
            <w:tcW w:w="36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三、所获奖项（内容、级别）</w:t>
            </w:r>
          </w:p>
        </w:tc>
        <w:tc>
          <w:tcPr>
            <w:tcW w:w="15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4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02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bl>
    <w:p>
      <w:pPr>
        <w:spacing w:line="240" w:lineRule="auto" w:before="2"/>
        <w:rPr>
          <w:rFonts w:ascii="宋体" w:hAnsi="宋体" w:cs="宋体" w:eastAsia="宋体" w:hint="default"/>
          <w:b/>
          <w:bCs/>
          <w:sz w:val="19"/>
          <w:szCs w:val="19"/>
        </w:rPr>
      </w:pPr>
    </w:p>
    <w:p>
      <w:pPr>
        <w:pStyle w:val="Heading3"/>
        <w:spacing w:line="240" w:lineRule="auto" w:before="35"/>
        <w:ind w:left="1134" w:right="0"/>
        <w:jc w:val="left"/>
        <w:rPr>
          <w:b w:val="0"/>
          <w:bCs w:val="0"/>
        </w:rPr>
      </w:pPr>
      <w:bookmarkStart w:name="（4）后续精准扶贫计划" w:id="100"/>
      <w:bookmarkEnd w:id="100"/>
      <w:r>
        <w:rPr>
          <w:b w:val="0"/>
          <w:bCs w:val="0"/>
        </w:rPr>
      </w:r>
      <w:r>
        <w:rPr/>
        <w:t>（</w:t>
      </w:r>
      <w:r>
        <w:rPr>
          <w:rFonts w:ascii="Times New Roman" w:hAnsi="Times New Roman" w:cs="Times New Roman" w:eastAsia="Times New Roman" w:hint="default"/>
        </w:rPr>
        <w:t>4</w:t>
      </w:r>
      <w:r>
        <w:rPr/>
        <w:t>）后续精准扶贫计划</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134" w:right="0"/>
        <w:jc w:val="left"/>
      </w:pPr>
      <w:r>
        <w:rPr/>
        <w:t>公司暂无后续精准扶贫规划。</w:t>
      </w:r>
    </w:p>
    <w:p>
      <w:pPr>
        <w:spacing w:line="240" w:lineRule="auto" w:before="12"/>
        <w:rPr>
          <w:rFonts w:ascii="宋体" w:hAnsi="宋体" w:cs="宋体" w:eastAsia="宋体" w:hint="default"/>
          <w:sz w:val="26"/>
          <w:szCs w:val="26"/>
        </w:rPr>
      </w:pPr>
    </w:p>
    <w:p>
      <w:pPr>
        <w:pStyle w:val="Heading3"/>
        <w:spacing w:line="240" w:lineRule="auto"/>
        <w:ind w:left="1134" w:right="0"/>
        <w:jc w:val="left"/>
        <w:rPr>
          <w:b w:val="0"/>
          <w:bCs w:val="0"/>
        </w:rPr>
      </w:pPr>
      <w:bookmarkStart w:name="2、环境保护相关的情况" w:id="101"/>
      <w:bookmarkEnd w:id="101"/>
      <w:r>
        <w:rPr>
          <w:b w:val="0"/>
          <w:bCs w:val="0"/>
        </w:rPr>
      </w:r>
      <w:r>
        <w:rPr>
          <w:rFonts w:ascii="Times New Roman" w:hAnsi="Times New Roman" w:cs="Times New Roman" w:eastAsia="Times New Roman" w:hint="default"/>
        </w:rPr>
        <w:t>2</w:t>
      </w:r>
      <w:r>
        <w:rPr/>
        <w:t>、环境保护相关的情况</w:t>
      </w:r>
      <w:r>
        <w:rPr>
          <w:b w:val="0"/>
          <w:bCs w:val="0"/>
        </w:rPr>
      </w:r>
    </w:p>
    <w:p>
      <w:pPr>
        <w:spacing w:line="240" w:lineRule="auto" w:before="8"/>
        <w:rPr>
          <w:rFonts w:ascii="宋体" w:hAnsi="宋体" w:cs="宋体" w:eastAsia="宋体" w:hint="default"/>
          <w:b/>
          <w:bCs/>
          <w:sz w:val="26"/>
          <w:szCs w:val="26"/>
        </w:rPr>
      </w:pPr>
    </w:p>
    <w:p>
      <w:pPr>
        <w:pStyle w:val="BodyText"/>
        <w:spacing w:line="360" w:lineRule="auto"/>
        <w:ind w:left="1134" w:right="5712"/>
        <w:jc w:val="left"/>
      </w:pPr>
      <w:r>
        <w:rPr/>
        <w:t>上市公司及其子公司是否属于环境保护部门公布的重点排污单位 否</w:t>
      </w:r>
    </w:p>
    <w:p>
      <w:pPr>
        <w:pStyle w:val="BodyText"/>
        <w:spacing w:line="316" w:lineRule="auto" w:before="25"/>
        <w:ind w:left="1134" w:right="0"/>
        <w:jc w:val="left"/>
      </w:pPr>
      <w:r>
        <w:rPr/>
        <w:t>经公司核查，公司及控股子公司不属于重点排污单位。 </w:t>
      </w:r>
      <w:r>
        <w:rPr>
          <w:spacing w:val="-2"/>
        </w:rPr>
        <w:t>公司及控股子公司在日常生产经营中认真执行《中华人民共和国环境保护法》、《中华人民共和国水污染防治法》、《中华</w:t>
      </w:r>
      <w:r>
        <w:rPr>
          <w:spacing w:val="-68"/>
        </w:rPr>
        <w:t> </w:t>
      </w:r>
      <w:r>
        <w:rPr>
          <w:spacing w:val="-68"/>
        </w:rPr>
      </w:r>
      <w:r>
        <w:rPr>
          <w:spacing w:val="-2"/>
        </w:rPr>
        <w:t>人民共和国大气污染防治法》、《中华人民共和国环境噪声污染防治法》、《中华人民共和国固体废物污染防治法》等环保</w:t>
      </w:r>
      <w:r>
        <w:rPr>
          <w:spacing w:val="-67"/>
        </w:rPr>
        <w:t> </w:t>
      </w:r>
      <w:r>
        <w:rPr>
          <w:spacing w:val="-67"/>
        </w:rPr>
      </w:r>
      <w:r>
        <w:rPr/>
        <w:t>方面的法律法规，报告期内未出现因违法违规而受到处罚的情况。</w:t>
      </w: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6"/>
          <w:szCs w:val="26"/>
        </w:rPr>
      </w:pPr>
    </w:p>
    <w:p>
      <w:pPr>
        <w:pStyle w:val="Heading2"/>
        <w:spacing w:line="240" w:lineRule="auto"/>
        <w:ind w:right="0"/>
        <w:jc w:val="left"/>
        <w:rPr>
          <w:b w:val="0"/>
          <w:bCs w:val="0"/>
        </w:rPr>
      </w:pPr>
      <w:bookmarkStart w:name="十八、其他重大事项的说明" w:id="102"/>
      <w:bookmarkEnd w:id="102"/>
      <w:r>
        <w:rPr>
          <w:b w:val="0"/>
          <w:bCs w:val="0"/>
        </w:rPr>
      </w:r>
      <w:r>
        <w:rPr/>
        <w:t>十八、其他重大事项的说明</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7"/>
          <w:szCs w:val="7"/>
        </w:rPr>
      </w:pPr>
    </w:p>
    <w:tbl>
      <w:tblPr>
        <w:tblW w:w="0" w:type="auto"/>
        <w:jc w:val="left"/>
        <w:tblInd w:w="1126" w:type="dxa"/>
        <w:tblLayout w:type="fixed"/>
        <w:tblCellMar>
          <w:top w:w="0" w:type="dxa"/>
          <w:left w:w="0" w:type="dxa"/>
          <w:bottom w:w="0" w:type="dxa"/>
          <w:right w:w="0" w:type="dxa"/>
        </w:tblCellMar>
        <w:tblLook w:val="01E0"/>
      </w:tblPr>
      <w:tblGrid>
        <w:gridCol w:w="568"/>
        <w:gridCol w:w="992"/>
        <w:gridCol w:w="5671"/>
        <w:gridCol w:w="992"/>
        <w:gridCol w:w="991"/>
      </w:tblGrid>
      <w:tr>
        <w:trPr>
          <w:trHeight w:val="347" w:hRule="exact"/>
        </w:trPr>
        <w:tc>
          <w:tcPr>
            <w:tcW w:w="5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b/>
                <w:bCs/>
                <w:sz w:val="18"/>
                <w:szCs w:val="18"/>
              </w:rPr>
              <w:t>序号</w:t>
            </w:r>
            <w:r>
              <w:rPr>
                <w:rFonts w:ascii="宋体" w:hAnsi="宋体" w:cs="宋体" w:eastAsia="宋体" w:hint="default"/>
                <w:sz w:val="18"/>
                <w:szCs w:val="18"/>
              </w:rPr>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b/>
                <w:bCs/>
                <w:sz w:val="18"/>
                <w:szCs w:val="18"/>
              </w:rPr>
              <w:t>披露日期</w:t>
            </w:r>
            <w:r>
              <w:rPr>
                <w:rFonts w:ascii="宋体" w:hAnsi="宋体" w:cs="宋体" w:eastAsia="宋体" w:hint="default"/>
                <w:sz w:val="18"/>
                <w:szCs w:val="18"/>
              </w:rPr>
            </w:r>
          </w:p>
        </w:tc>
        <w:tc>
          <w:tcPr>
            <w:tcW w:w="56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b/>
                <w:bCs/>
                <w:sz w:val="18"/>
                <w:szCs w:val="18"/>
              </w:rPr>
              <w:t>披露内容</w:t>
            </w:r>
            <w:r>
              <w:rPr>
                <w:rFonts w:ascii="宋体" w:hAnsi="宋体" w:cs="宋体" w:eastAsia="宋体" w:hint="default"/>
                <w:sz w:val="18"/>
                <w:szCs w:val="18"/>
              </w:rPr>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27" w:right="0"/>
              <w:jc w:val="left"/>
              <w:rPr>
                <w:rFonts w:ascii="宋体" w:hAnsi="宋体" w:cs="宋体" w:eastAsia="宋体" w:hint="default"/>
                <w:sz w:val="18"/>
                <w:szCs w:val="18"/>
              </w:rPr>
            </w:pPr>
            <w:r>
              <w:rPr>
                <w:rFonts w:ascii="宋体" w:hAnsi="宋体" w:cs="宋体" w:eastAsia="宋体" w:hint="default"/>
                <w:b/>
                <w:bCs/>
                <w:sz w:val="18"/>
                <w:szCs w:val="18"/>
              </w:rPr>
              <w:t>公告编号</w:t>
            </w:r>
            <w:r>
              <w:rPr>
                <w:rFonts w:ascii="宋体" w:hAnsi="宋体" w:cs="宋体" w:eastAsia="宋体" w:hint="default"/>
                <w:sz w:val="18"/>
                <w:szCs w:val="18"/>
              </w:rPr>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b/>
                <w:bCs/>
                <w:sz w:val="18"/>
                <w:szCs w:val="18"/>
              </w:rPr>
              <w:t>披露媒体</w:t>
            </w:r>
            <w:r>
              <w:rPr>
                <w:rFonts w:ascii="宋体" w:hAnsi="宋体" w:cs="宋体" w:eastAsia="宋体" w:hint="default"/>
                <w:sz w:val="18"/>
                <w:szCs w:val="18"/>
              </w:rPr>
            </w:r>
          </w:p>
        </w:tc>
      </w:tr>
      <w:tr>
        <w:trPr>
          <w:trHeight w:val="347" w:hRule="exact"/>
        </w:trPr>
        <w:tc>
          <w:tcPr>
            <w:tcW w:w="5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1</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2017-01-03</w:t>
            </w:r>
          </w:p>
        </w:tc>
        <w:tc>
          <w:tcPr>
            <w:tcW w:w="56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关于</w:t>
            </w:r>
            <w:r>
              <w:rPr>
                <w:rFonts w:ascii="Times New Roman" w:hAnsi="Times New Roman" w:cs="Times New Roman" w:eastAsia="Times New Roman" w:hint="default"/>
                <w:sz w:val="18"/>
                <w:szCs w:val="18"/>
              </w:rPr>
              <w:t>2016</w:t>
            </w:r>
            <w:r>
              <w:rPr>
                <w:rFonts w:ascii="宋体" w:hAnsi="宋体" w:cs="宋体" w:eastAsia="宋体" w:hint="default"/>
                <w:sz w:val="18"/>
                <w:szCs w:val="18"/>
              </w:rPr>
              <w:t>年度收到政府补助的公告</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12" w:right="0"/>
              <w:jc w:val="left"/>
              <w:rPr>
                <w:rFonts w:ascii="Times New Roman" w:hAnsi="Times New Roman" w:cs="Times New Roman" w:eastAsia="Times New Roman" w:hint="default"/>
                <w:sz w:val="18"/>
                <w:szCs w:val="18"/>
              </w:rPr>
            </w:pPr>
            <w:r>
              <w:rPr>
                <w:rFonts w:ascii="Times New Roman"/>
                <w:sz w:val="18"/>
              </w:rPr>
              <w:t>2017--001</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427" w:hRule="exact"/>
        </w:trPr>
        <w:tc>
          <w:tcPr>
            <w:tcW w:w="568"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7"/>
              <w:ind w:right="0"/>
              <w:jc w:val="center"/>
              <w:rPr>
                <w:rFonts w:ascii="Times New Roman" w:hAnsi="Times New Roman" w:cs="Times New Roman" w:eastAsia="Times New Roman" w:hint="default"/>
                <w:sz w:val="18"/>
                <w:szCs w:val="18"/>
              </w:rPr>
            </w:pPr>
            <w:r>
              <w:rPr>
                <w:rFonts w:ascii="Times New Roman"/>
                <w:sz w:val="18"/>
              </w:rPr>
              <w:t>2</w:t>
            </w:r>
          </w:p>
        </w:tc>
        <w:tc>
          <w:tcPr>
            <w:tcW w:w="992"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7"/>
              <w:ind w:left="68" w:right="0"/>
              <w:jc w:val="left"/>
              <w:rPr>
                <w:rFonts w:ascii="Times New Roman" w:hAnsi="Times New Roman" w:cs="Times New Roman" w:eastAsia="Times New Roman" w:hint="default"/>
                <w:sz w:val="18"/>
                <w:szCs w:val="18"/>
              </w:rPr>
            </w:pPr>
            <w:r>
              <w:rPr>
                <w:rFonts w:ascii="Times New Roman"/>
                <w:sz w:val="18"/>
              </w:rPr>
              <w:t>2017-01-20</w:t>
            </w:r>
          </w:p>
        </w:tc>
        <w:tc>
          <w:tcPr>
            <w:tcW w:w="56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关于第二届董事会第三十四次会议决议的公告</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42" w:right="0"/>
              <w:jc w:val="left"/>
              <w:rPr>
                <w:rFonts w:ascii="Times New Roman" w:hAnsi="Times New Roman" w:cs="Times New Roman" w:eastAsia="Times New Roman" w:hint="default"/>
                <w:sz w:val="18"/>
                <w:szCs w:val="18"/>
              </w:rPr>
            </w:pPr>
            <w:r>
              <w:rPr>
                <w:rFonts w:ascii="Times New Roman"/>
                <w:sz w:val="18"/>
              </w:rPr>
              <w:t>2017-002</w:t>
            </w:r>
          </w:p>
        </w:tc>
        <w:tc>
          <w:tcPr>
            <w:tcW w:w="991"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8"/>
              <w:ind w:left="2"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347" w:hRule="exact"/>
        </w:trPr>
        <w:tc>
          <w:tcPr>
            <w:tcW w:w="568" w:type="dxa"/>
            <w:vMerge/>
            <w:tcBorders>
              <w:left w:val="single" w:sz="6" w:space="0" w:color="000000"/>
              <w:right w:val="single" w:sz="6" w:space="0" w:color="000000"/>
            </w:tcBorders>
          </w:tcPr>
          <w:p>
            <w:pPr/>
          </w:p>
        </w:tc>
        <w:tc>
          <w:tcPr>
            <w:tcW w:w="992" w:type="dxa"/>
            <w:vMerge/>
            <w:tcBorders>
              <w:left w:val="single" w:sz="6" w:space="0" w:color="000000"/>
              <w:right w:val="single" w:sz="6" w:space="0" w:color="000000"/>
            </w:tcBorders>
          </w:tcPr>
          <w:p>
            <w:pPr/>
          </w:p>
        </w:tc>
        <w:tc>
          <w:tcPr>
            <w:tcW w:w="56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关于继续使用闲置自有资金购买银行理财产品的公告</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42" w:right="0"/>
              <w:jc w:val="left"/>
              <w:rPr>
                <w:rFonts w:ascii="Times New Roman" w:hAnsi="Times New Roman" w:cs="Times New Roman" w:eastAsia="Times New Roman" w:hint="default"/>
                <w:sz w:val="18"/>
                <w:szCs w:val="18"/>
              </w:rPr>
            </w:pPr>
            <w:r>
              <w:rPr>
                <w:rFonts w:ascii="Times New Roman"/>
                <w:sz w:val="18"/>
              </w:rPr>
              <w:t>2017-003</w:t>
            </w:r>
          </w:p>
        </w:tc>
        <w:tc>
          <w:tcPr>
            <w:tcW w:w="991" w:type="dxa"/>
            <w:vMerge/>
            <w:tcBorders>
              <w:left w:val="single" w:sz="6" w:space="0" w:color="000000"/>
              <w:right w:val="single" w:sz="6" w:space="0" w:color="000000"/>
            </w:tcBorders>
          </w:tcPr>
          <w:p>
            <w:pPr/>
          </w:p>
        </w:tc>
      </w:tr>
      <w:tr>
        <w:trPr>
          <w:trHeight w:val="347" w:hRule="exact"/>
        </w:trPr>
        <w:tc>
          <w:tcPr>
            <w:tcW w:w="568" w:type="dxa"/>
            <w:vMerge/>
            <w:tcBorders>
              <w:left w:val="single" w:sz="6" w:space="0" w:color="000000"/>
              <w:right w:val="single" w:sz="6" w:space="0" w:color="000000"/>
            </w:tcBorders>
          </w:tcPr>
          <w:p>
            <w:pPr/>
          </w:p>
        </w:tc>
        <w:tc>
          <w:tcPr>
            <w:tcW w:w="992" w:type="dxa"/>
            <w:vMerge/>
            <w:tcBorders>
              <w:left w:val="single" w:sz="6" w:space="0" w:color="000000"/>
              <w:right w:val="single" w:sz="6" w:space="0" w:color="000000"/>
            </w:tcBorders>
          </w:tcPr>
          <w:p>
            <w:pPr/>
          </w:p>
        </w:tc>
        <w:tc>
          <w:tcPr>
            <w:tcW w:w="56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宋体" w:hAnsi="宋体" w:cs="宋体" w:eastAsia="宋体" w:hint="default"/>
                <w:sz w:val="18"/>
                <w:szCs w:val="18"/>
              </w:rPr>
              <w:t>年度业绩预告</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42" w:right="0"/>
              <w:jc w:val="left"/>
              <w:rPr>
                <w:rFonts w:ascii="Times New Roman" w:hAnsi="Times New Roman" w:cs="Times New Roman" w:eastAsia="Times New Roman" w:hint="default"/>
                <w:sz w:val="18"/>
                <w:szCs w:val="18"/>
              </w:rPr>
            </w:pPr>
            <w:r>
              <w:rPr>
                <w:rFonts w:ascii="Times New Roman"/>
                <w:sz w:val="18"/>
              </w:rPr>
              <w:t>2017-004</w:t>
            </w:r>
          </w:p>
        </w:tc>
        <w:tc>
          <w:tcPr>
            <w:tcW w:w="991" w:type="dxa"/>
            <w:vMerge/>
            <w:tcBorders>
              <w:left w:val="single" w:sz="6" w:space="0" w:color="000000"/>
              <w:right w:val="single" w:sz="6" w:space="0" w:color="000000"/>
            </w:tcBorders>
          </w:tcPr>
          <w:p>
            <w:pPr/>
          </w:p>
        </w:tc>
      </w:tr>
      <w:tr>
        <w:trPr>
          <w:trHeight w:val="347" w:hRule="exact"/>
        </w:trPr>
        <w:tc>
          <w:tcPr>
            <w:tcW w:w="568" w:type="dxa"/>
            <w:vMerge/>
            <w:tcBorders>
              <w:left w:val="single" w:sz="6" w:space="0" w:color="000000"/>
              <w:bottom w:val="single" w:sz="6" w:space="0" w:color="000000"/>
              <w:right w:val="single" w:sz="6" w:space="0" w:color="000000"/>
            </w:tcBorders>
          </w:tcPr>
          <w:p>
            <w:pPr/>
          </w:p>
        </w:tc>
        <w:tc>
          <w:tcPr>
            <w:tcW w:w="992" w:type="dxa"/>
            <w:vMerge/>
            <w:tcBorders>
              <w:left w:val="single" w:sz="6" w:space="0" w:color="000000"/>
              <w:bottom w:val="single" w:sz="6" w:space="0" w:color="000000"/>
              <w:right w:val="single" w:sz="6" w:space="0" w:color="000000"/>
            </w:tcBorders>
          </w:tcPr>
          <w:p>
            <w:pPr/>
          </w:p>
        </w:tc>
        <w:tc>
          <w:tcPr>
            <w:tcW w:w="56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独立董事关于相关事项的独立意见</w:t>
            </w:r>
          </w:p>
        </w:tc>
        <w:tc>
          <w:tcPr>
            <w:tcW w:w="992" w:type="dxa"/>
            <w:tcBorders>
              <w:top w:val="single" w:sz="6" w:space="0" w:color="000000"/>
              <w:left w:val="single" w:sz="6" w:space="0" w:color="000000"/>
              <w:bottom w:val="single" w:sz="6" w:space="0" w:color="000000"/>
              <w:right w:val="single" w:sz="6" w:space="0" w:color="000000"/>
            </w:tcBorders>
          </w:tcPr>
          <w:p>
            <w:pPr/>
          </w:p>
        </w:tc>
        <w:tc>
          <w:tcPr>
            <w:tcW w:w="991" w:type="dxa"/>
            <w:vMerge/>
            <w:tcBorders>
              <w:left w:val="single" w:sz="6" w:space="0" w:color="000000"/>
              <w:bottom w:val="single" w:sz="6" w:space="0" w:color="000000"/>
              <w:right w:val="single" w:sz="6" w:space="0" w:color="000000"/>
            </w:tcBorders>
          </w:tcPr>
          <w:p>
            <w:pPr/>
          </w:p>
        </w:tc>
      </w:tr>
      <w:tr>
        <w:trPr>
          <w:trHeight w:val="347" w:hRule="exact"/>
        </w:trPr>
        <w:tc>
          <w:tcPr>
            <w:tcW w:w="5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3</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2017-02-17</w:t>
            </w:r>
          </w:p>
        </w:tc>
        <w:tc>
          <w:tcPr>
            <w:tcW w:w="56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限售股上市流通提示性公告</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42" w:right="0"/>
              <w:jc w:val="left"/>
              <w:rPr>
                <w:rFonts w:ascii="Times New Roman" w:hAnsi="Times New Roman" w:cs="Times New Roman" w:eastAsia="Times New Roman" w:hint="default"/>
                <w:sz w:val="18"/>
                <w:szCs w:val="18"/>
              </w:rPr>
            </w:pPr>
            <w:r>
              <w:rPr>
                <w:rFonts w:ascii="Times New Roman"/>
                <w:sz w:val="18"/>
              </w:rPr>
              <w:t>2017-005</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348" w:hRule="exact"/>
        </w:trPr>
        <w:tc>
          <w:tcPr>
            <w:tcW w:w="5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4</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2017-02-27</w:t>
            </w:r>
          </w:p>
        </w:tc>
        <w:tc>
          <w:tcPr>
            <w:tcW w:w="56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6"/>
                <w:sz w:val="18"/>
                <w:szCs w:val="18"/>
              </w:rPr>
              <w:t> </w:t>
            </w:r>
            <w:r>
              <w:rPr>
                <w:rFonts w:ascii="宋体" w:hAnsi="宋体" w:cs="宋体" w:eastAsia="宋体" w:hint="default"/>
                <w:sz w:val="18"/>
                <w:szCs w:val="18"/>
              </w:rPr>
              <w:t>年度业绩快报</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42" w:right="0"/>
              <w:jc w:val="left"/>
              <w:rPr>
                <w:rFonts w:ascii="Times New Roman" w:hAnsi="Times New Roman" w:cs="Times New Roman" w:eastAsia="Times New Roman" w:hint="default"/>
                <w:sz w:val="18"/>
                <w:szCs w:val="18"/>
              </w:rPr>
            </w:pPr>
            <w:r>
              <w:rPr>
                <w:rFonts w:ascii="Times New Roman"/>
                <w:sz w:val="18"/>
              </w:rPr>
              <w:t>2017-006</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347" w:hRule="exact"/>
        </w:trPr>
        <w:tc>
          <w:tcPr>
            <w:tcW w:w="5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5</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center"/>
              <w:rPr>
                <w:rFonts w:ascii="Times New Roman" w:hAnsi="Times New Roman" w:cs="Times New Roman" w:eastAsia="Times New Roman" w:hint="default"/>
                <w:sz w:val="18"/>
                <w:szCs w:val="18"/>
              </w:rPr>
            </w:pPr>
            <w:r>
              <w:rPr>
                <w:rFonts w:ascii="Times New Roman"/>
                <w:sz w:val="18"/>
              </w:rPr>
              <w:t>2017-03-08</w:t>
            </w:r>
          </w:p>
        </w:tc>
        <w:tc>
          <w:tcPr>
            <w:tcW w:w="56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关于使用闲置自有资金购买银行短期理财产品赎回的公告</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142" w:right="0"/>
              <w:jc w:val="left"/>
              <w:rPr>
                <w:rFonts w:ascii="Times New Roman" w:hAnsi="Times New Roman" w:cs="Times New Roman" w:eastAsia="Times New Roman" w:hint="default"/>
                <w:sz w:val="18"/>
                <w:szCs w:val="18"/>
              </w:rPr>
            </w:pPr>
            <w:r>
              <w:rPr>
                <w:rFonts w:ascii="Times New Roman"/>
                <w:sz w:val="18"/>
              </w:rPr>
              <w:t>2017-007</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347" w:hRule="exact"/>
        </w:trPr>
        <w:tc>
          <w:tcPr>
            <w:tcW w:w="5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6</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2017-03-17</w:t>
            </w:r>
          </w:p>
        </w:tc>
        <w:tc>
          <w:tcPr>
            <w:tcW w:w="56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关于使用闲置自有资金购买银行短期理财产品部分赎回的公告</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42" w:right="0"/>
              <w:jc w:val="left"/>
              <w:rPr>
                <w:rFonts w:ascii="Times New Roman" w:hAnsi="Times New Roman" w:cs="Times New Roman" w:eastAsia="Times New Roman" w:hint="default"/>
                <w:sz w:val="18"/>
                <w:szCs w:val="18"/>
              </w:rPr>
            </w:pPr>
            <w:r>
              <w:rPr>
                <w:rFonts w:ascii="Times New Roman"/>
                <w:sz w:val="18"/>
              </w:rPr>
              <w:t>2017-008</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347" w:hRule="exact"/>
        </w:trPr>
        <w:tc>
          <w:tcPr>
            <w:tcW w:w="5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7</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2017-03-27</w:t>
            </w:r>
          </w:p>
        </w:tc>
        <w:tc>
          <w:tcPr>
            <w:tcW w:w="56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关于使用闲置自有资金购买银行短期理财产品部分赎回的公告</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42" w:right="0"/>
              <w:jc w:val="left"/>
              <w:rPr>
                <w:rFonts w:ascii="Times New Roman" w:hAnsi="Times New Roman" w:cs="Times New Roman" w:eastAsia="Times New Roman" w:hint="default"/>
                <w:sz w:val="18"/>
                <w:szCs w:val="18"/>
              </w:rPr>
            </w:pPr>
            <w:r>
              <w:rPr>
                <w:rFonts w:ascii="Times New Roman"/>
                <w:sz w:val="18"/>
              </w:rPr>
              <w:t>2017-009</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347" w:hRule="exact"/>
        </w:trPr>
        <w:tc>
          <w:tcPr>
            <w:tcW w:w="5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8</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2017-03-29</w:t>
            </w:r>
          </w:p>
        </w:tc>
        <w:tc>
          <w:tcPr>
            <w:tcW w:w="56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关于完成工商变更登记的公告</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42" w:right="0"/>
              <w:jc w:val="left"/>
              <w:rPr>
                <w:rFonts w:ascii="Times New Roman" w:hAnsi="Times New Roman" w:cs="Times New Roman" w:eastAsia="Times New Roman" w:hint="default"/>
                <w:sz w:val="18"/>
                <w:szCs w:val="18"/>
              </w:rPr>
            </w:pPr>
            <w:r>
              <w:rPr>
                <w:rFonts w:ascii="Times New Roman"/>
                <w:sz w:val="18"/>
              </w:rPr>
              <w:t>2017-010</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347" w:hRule="exact"/>
        </w:trPr>
        <w:tc>
          <w:tcPr>
            <w:tcW w:w="5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9</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2017-04-07</w:t>
            </w:r>
          </w:p>
        </w:tc>
        <w:tc>
          <w:tcPr>
            <w:tcW w:w="56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6"/>
                <w:sz w:val="18"/>
                <w:szCs w:val="18"/>
              </w:rPr>
              <w:t> </w:t>
            </w:r>
            <w:r>
              <w:rPr>
                <w:rFonts w:ascii="宋体" w:hAnsi="宋体" w:cs="宋体" w:eastAsia="宋体" w:hint="default"/>
                <w:sz w:val="18"/>
                <w:szCs w:val="18"/>
              </w:rPr>
              <w:t>年第一季度业绩预告</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42" w:right="0"/>
              <w:jc w:val="left"/>
              <w:rPr>
                <w:rFonts w:ascii="Times New Roman" w:hAnsi="Times New Roman" w:cs="Times New Roman" w:eastAsia="Times New Roman" w:hint="default"/>
                <w:sz w:val="18"/>
                <w:szCs w:val="18"/>
              </w:rPr>
            </w:pPr>
            <w:r>
              <w:rPr>
                <w:rFonts w:ascii="Times New Roman"/>
                <w:sz w:val="18"/>
              </w:rPr>
              <w:t>2017-011</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348" w:hRule="exact"/>
        </w:trPr>
        <w:tc>
          <w:tcPr>
            <w:tcW w:w="5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10</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2017-04-07</w:t>
            </w:r>
          </w:p>
        </w:tc>
        <w:tc>
          <w:tcPr>
            <w:tcW w:w="56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股票交易异常波动公告</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42" w:right="0"/>
              <w:jc w:val="left"/>
              <w:rPr>
                <w:rFonts w:ascii="Times New Roman" w:hAnsi="Times New Roman" w:cs="Times New Roman" w:eastAsia="Times New Roman" w:hint="default"/>
                <w:sz w:val="18"/>
                <w:szCs w:val="18"/>
              </w:rPr>
            </w:pPr>
            <w:r>
              <w:rPr>
                <w:rFonts w:ascii="Times New Roman"/>
                <w:sz w:val="18"/>
              </w:rPr>
              <w:t>2017-012</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347" w:hRule="exact"/>
        </w:trPr>
        <w:tc>
          <w:tcPr>
            <w:tcW w:w="5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center"/>
              <w:rPr>
                <w:rFonts w:ascii="Times New Roman" w:hAnsi="Times New Roman" w:cs="Times New Roman" w:eastAsia="Times New Roman" w:hint="default"/>
                <w:sz w:val="18"/>
                <w:szCs w:val="18"/>
              </w:rPr>
            </w:pPr>
            <w:r>
              <w:rPr>
                <w:rFonts w:ascii="Times New Roman"/>
                <w:sz w:val="18"/>
              </w:rPr>
              <w:t>11</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center"/>
              <w:rPr>
                <w:rFonts w:ascii="Times New Roman" w:hAnsi="Times New Roman" w:cs="Times New Roman" w:eastAsia="Times New Roman" w:hint="default"/>
                <w:sz w:val="18"/>
                <w:szCs w:val="18"/>
              </w:rPr>
            </w:pPr>
            <w:r>
              <w:rPr>
                <w:rFonts w:ascii="Times New Roman"/>
                <w:sz w:val="18"/>
              </w:rPr>
              <w:t>2017-04-11</w:t>
            </w:r>
          </w:p>
        </w:tc>
        <w:tc>
          <w:tcPr>
            <w:tcW w:w="56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股票交易异常波动公告</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142" w:right="0"/>
              <w:jc w:val="left"/>
              <w:rPr>
                <w:rFonts w:ascii="Times New Roman" w:hAnsi="Times New Roman" w:cs="Times New Roman" w:eastAsia="Times New Roman" w:hint="default"/>
                <w:sz w:val="18"/>
                <w:szCs w:val="18"/>
              </w:rPr>
            </w:pPr>
            <w:r>
              <w:rPr>
                <w:rFonts w:ascii="Times New Roman"/>
                <w:sz w:val="18"/>
              </w:rPr>
              <w:t>2017-013</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347" w:hRule="exact"/>
        </w:trPr>
        <w:tc>
          <w:tcPr>
            <w:tcW w:w="5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12</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2017-04-13</w:t>
            </w:r>
          </w:p>
        </w:tc>
        <w:tc>
          <w:tcPr>
            <w:tcW w:w="56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关于股价异常波动停牌公告</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42" w:right="0"/>
              <w:jc w:val="left"/>
              <w:rPr>
                <w:rFonts w:ascii="Times New Roman" w:hAnsi="Times New Roman" w:cs="Times New Roman" w:eastAsia="Times New Roman" w:hint="default"/>
                <w:sz w:val="18"/>
                <w:szCs w:val="18"/>
              </w:rPr>
            </w:pPr>
            <w:r>
              <w:rPr>
                <w:rFonts w:ascii="Times New Roman"/>
                <w:sz w:val="18"/>
              </w:rPr>
              <w:t>2017-014</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巨潮资讯网</w:t>
            </w:r>
          </w:p>
        </w:tc>
      </w:tr>
    </w:tbl>
    <w:p>
      <w:pPr>
        <w:spacing w:after="0" w:line="240" w:lineRule="auto"/>
        <w:jc w:val="center"/>
        <w:rPr>
          <w:rFonts w:ascii="宋体" w:hAnsi="宋体" w:cs="宋体" w:eastAsia="宋体" w:hint="default"/>
          <w:sz w:val="18"/>
          <w:szCs w:val="18"/>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6" w:type="dxa"/>
        <w:tblLayout w:type="fixed"/>
        <w:tblCellMar>
          <w:top w:w="0" w:type="dxa"/>
          <w:left w:w="0" w:type="dxa"/>
          <w:bottom w:w="0" w:type="dxa"/>
          <w:right w:w="0" w:type="dxa"/>
        </w:tblCellMar>
        <w:tblLook w:val="01E0"/>
      </w:tblPr>
      <w:tblGrid>
        <w:gridCol w:w="568"/>
        <w:gridCol w:w="992"/>
        <w:gridCol w:w="5671"/>
        <w:gridCol w:w="992"/>
        <w:gridCol w:w="991"/>
      </w:tblGrid>
      <w:tr>
        <w:trPr>
          <w:trHeight w:val="347" w:hRule="exact"/>
        </w:trPr>
        <w:tc>
          <w:tcPr>
            <w:tcW w:w="5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85"/>
              <w:jc w:val="right"/>
              <w:rPr>
                <w:rFonts w:ascii="Times New Roman" w:hAnsi="Times New Roman" w:cs="Times New Roman" w:eastAsia="Times New Roman" w:hint="default"/>
                <w:sz w:val="18"/>
                <w:szCs w:val="18"/>
              </w:rPr>
            </w:pPr>
            <w:r>
              <w:rPr>
                <w:rFonts w:ascii="Times New Roman"/>
                <w:sz w:val="18"/>
              </w:rPr>
              <w:t>13</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67"/>
              <w:jc w:val="right"/>
              <w:rPr>
                <w:rFonts w:ascii="Times New Roman" w:hAnsi="Times New Roman" w:cs="Times New Roman" w:eastAsia="Times New Roman" w:hint="default"/>
                <w:sz w:val="18"/>
                <w:szCs w:val="18"/>
              </w:rPr>
            </w:pPr>
            <w:r>
              <w:rPr>
                <w:rFonts w:ascii="Times New Roman"/>
                <w:sz w:val="18"/>
              </w:rPr>
              <w:t>2017-04-15</w:t>
            </w:r>
          </w:p>
        </w:tc>
        <w:tc>
          <w:tcPr>
            <w:tcW w:w="56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关于公司股票交易异常波动核查结果暨复牌公告</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42" w:right="0"/>
              <w:jc w:val="left"/>
              <w:rPr>
                <w:rFonts w:ascii="Times New Roman" w:hAnsi="Times New Roman" w:cs="Times New Roman" w:eastAsia="Times New Roman" w:hint="default"/>
                <w:sz w:val="18"/>
                <w:szCs w:val="18"/>
              </w:rPr>
            </w:pPr>
            <w:r>
              <w:rPr>
                <w:rFonts w:ascii="Times New Roman"/>
                <w:sz w:val="18"/>
              </w:rPr>
              <w:t>2017-015</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8"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347" w:hRule="exact"/>
        </w:trPr>
        <w:tc>
          <w:tcPr>
            <w:tcW w:w="5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85"/>
              <w:jc w:val="right"/>
              <w:rPr>
                <w:rFonts w:ascii="Times New Roman" w:hAnsi="Times New Roman" w:cs="Times New Roman" w:eastAsia="Times New Roman" w:hint="default"/>
                <w:sz w:val="18"/>
                <w:szCs w:val="18"/>
              </w:rPr>
            </w:pPr>
            <w:r>
              <w:rPr>
                <w:rFonts w:ascii="Times New Roman"/>
                <w:sz w:val="18"/>
              </w:rPr>
              <w:t>14</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67"/>
              <w:jc w:val="right"/>
              <w:rPr>
                <w:rFonts w:ascii="Times New Roman" w:hAnsi="Times New Roman" w:cs="Times New Roman" w:eastAsia="Times New Roman" w:hint="default"/>
                <w:sz w:val="18"/>
                <w:szCs w:val="18"/>
              </w:rPr>
            </w:pPr>
            <w:r>
              <w:rPr>
                <w:rFonts w:ascii="Times New Roman"/>
                <w:sz w:val="18"/>
              </w:rPr>
              <w:t>2017-04-17</w:t>
            </w:r>
          </w:p>
        </w:tc>
        <w:tc>
          <w:tcPr>
            <w:tcW w:w="56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股票交易异常波动公告</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42" w:right="0"/>
              <w:jc w:val="left"/>
              <w:rPr>
                <w:rFonts w:ascii="Times New Roman" w:hAnsi="Times New Roman" w:cs="Times New Roman" w:eastAsia="Times New Roman" w:hint="default"/>
                <w:sz w:val="18"/>
                <w:szCs w:val="18"/>
              </w:rPr>
            </w:pPr>
            <w:r>
              <w:rPr>
                <w:rFonts w:ascii="Times New Roman"/>
                <w:sz w:val="18"/>
              </w:rPr>
              <w:t>2017-016</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8"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348" w:hRule="exact"/>
        </w:trPr>
        <w:tc>
          <w:tcPr>
            <w:tcW w:w="568"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15</w:t>
            </w:r>
          </w:p>
        </w:tc>
        <w:tc>
          <w:tcPr>
            <w:tcW w:w="992"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left="68" w:right="0"/>
              <w:jc w:val="left"/>
              <w:rPr>
                <w:rFonts w:ascii="Times New Roman" w:hAnsi="Times New Roman" w:cs="Times New Roman" w:eastAsia="Times New Roman" w:hint="default"/>
                <w:sz w:val="18"/>
                <w:szCs w:val="18"/>
              </w:rPr>
            </w:pPr>
            <w:r>
              <w:rPr>
                <w:rFonts w:ascii="Times New Roman"/>
                <w:sz w:val="18"/>
              </w:rPr>
              <w:t>2017-04-26</w:t>
            </w:r>
          </w:p>
        </w:tc>
        <w:tc>
          <w:tcPr>
            <w:tcW w:w="56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第二届董事会第三十五次会议决议公告</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42" w:right="0"/>
              <w:jc w:val="left"/>
              <w:rPr>
                <w:rFonts w:ascii="Times New Roman" w:hAnsi="Times New Roman" w:cs="Times New Roman" w:eastAsia="Times New Roman" w:hint="default"/>
                <w:sz w:val="18"/>
                <w:szCs w:val="18"/>
              </w:rPr>
            </w:pPr>
            <w:r>
              <w:rPr>
                <w:rFonts w:ascii="Times New Roman"/>
                <w:sz w:val="18"/>
              </w:rPr>
              <w:t>2017-017</w:t>
            </w:r>
          </w:p>
        </w:tc>
        <w:tc>
          <w:tcPr>
            <w:tcW w:w="991"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left="38"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347" w:hRule="exact"/>
        </w:trPr>
        <w:tc>
          <w:tcPr>
            <w:tcW w:w="568" w:type="dxa"/>
            <w:vMerge/>
            <w:tcBorders>
              <w:left w:val="single" w:sz="6" w:space="0" w:color="000000"/>
              <w:right w:val="single" w:sz="6" w:space="0" w:color="000000"/>
            </w:tcBorders>
          </w:tcPr>
          <w:p>
            <w:pPr/>
          </w:p>
        </w:tc>
        <w:tc>
          <w:tcPr>
            <w:tcW w:w="992" w:type="dxa"/>
            <w:vMerge/>
            <w:tcBorders>
              <w:left w:val="single" w:sz="6" w:space="0" w:color="000000"/>
              <w:right w:val="single" w:sz="6" w:space="0" w:color="000000"/>
            </w:tcBorders>
          </w:tcPr>
          <w:p>
            <w:pPr/>
          </w:p>
        </w:tc>
        <w:tc>
          <w:tcPr>
            <w:tcW w:w="56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第二届监事会第二十八次会议决议公告</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142" w:right="0"/>
              <w:jc w:val="left"/>
              <w:rPr>
                <w:rFonts w:ascii="Times New Roman" w:hAnsi="Times New Roman" w:cs="Times New Roman" w:eastAsia="Times New Roman" w:hint="default"/>
                <w:sz w:val="18"/>
                <w:szCs w:val="18"/>
              </w:rPr>
            </w:pPr>
            <w:r>
              <w:rPr>
                <w:rFonts w:ascii="Times New Roman"/>
                <w:sz w:val="18"/>
              </w:rPr>
              <w:t>2017-018</w:t>
            </w:r>
          </w:p>
        </w:tc>
        <w:tc>
          <w:tcPr>
            <w:tcW w:w="991" w:type="dxa"/>
            <w:vMerge/>
            <w:tcBorders>
              <w:left w:val="single" w:sz="6" w:space="0" w:color="000000"/>
              <w:right w:val="single" w:sz="6" w:space="0" w:color="000000"/>
            </w:tcBorders>
          </w:tcPr>
          <w:p>
            <w:pPr/>
          </w:p>
        </w:tc>
      </w:tr>
      <w:tr>
        <w:trPr>
          <w:trHeight w:val="347" w:hRule="exact"/>
        </w:trPr>
        <w:tc>
          <w:tcPr>
            <w:tcW w:w="568" w:type="dxa"/>
            <w:vMerge/>
            <w:tcBorders>
              <w:left w:val="single" w:sz="6" w:space="0" w:color="000000"/>
              <w:right w:val="single" w:sz="6" w:space="0" w:color="000000"/>
            </w:tcBorders>
          </w:tcPr>
          <w:p>
            <w:pPr/>
          </w:p>
        </w:tc>
        <w:tc>
          <w:tcPr>
            <w:tcW w:w="992" w:type="dxa"/>
            <w:vMerge/>
            <w:tcBorders>
              <w:left w:val="single" w:sz="6" w:space="0" w:color="000000"/>
              <w:right w:val="single" w:sz="6" w:space="0" w:color="000000"/>
            </w:tcBorders>
          </w:tcPr>
          <w:p>
            <w:pPr/>
          </w:p>
        </w:tc>
        <w:tc>
          <w:tcPr>
            <w:tcW w:w="56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关于召开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年度股东大会的通知</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42" w:right="0"/>
              <w:jc w:val="left"/>
              <w:rPr>
                <w:rFonts w:ascii="Times New Roman" w:hAnsi="Times New Roman" w:cs="Times New Roman" w:eastAsia="Times New Roman" w:hint="default"/>
                <w:sz w:val="18"/>
                <w:szCs w:val="18"/>
              </w:rPr>
            </w:pPr>
            <w:r>
              <w:rPr>
                <w:rFonts w:ascii="Times New Roman"/>
                <w:sz w:val="18"/>
              </w:rPr>
              <w:t>2017-019</w:t>
            </w:r>
          </w:p>
        </w:tc>
        <w:tc>
          <w:tcPr>
            <w:tcW w:w="991" w:type="dxa"/>
            <w:vMerge/>
            <w:tcBorders>
              <w:left w:val="single" w:sz="6" w:space="0" w:color="000000"/>
              <w:right w:val="single" w:sz="6" w:space="0" w:color="000000"/>
            </w:tcBorders>
          </w:tcPr>
          <w:p>
            <w:pPr/>
          </w:p>
        </w:tc>
      </w:tr>
      <w:tr>
        <w:trPr>
          <w:trHeight w:val="347" w:hRule="exact"/>
        </w:trPr>
        <w:tc>
          <w:tcPr>
            <w:tcW w:w="568" w:type="dxa"/>
            <w:vMerge/>
            <w:tcBorders>
              <w:left w:val="single" w:sz="6" w:space="0" w:color="000000"/>
              <w:right w:val="single" w:sz="6" w:space="0" w:color="000000"/>
            </w:tcBorders>
          </w:tcPr>
          <w:p>
            <w:pPr/>
          </w:p>
        </w:tc>
        <w:tc>
          <w:tcPr>
            <w:tcW w:w="992" w:type="dxa"/>
            <w:vMerge/>
            <w:tcBorders>
              <w:left w:val="single" w:sz="6" w:space="0" w:color="000000"/>
              <w:right w:val="single" w:sz="6" w:space="0" w:color="000000"/>
            </w:tcBorders>
          </w:tcPr>
          <w:p>
            <w:pPr/>
          </w:p>
        </w:tc>
        <w:tc>
          <w:tcPr>
            <w:tcW w:w="56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关于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年度报告披露的提示性公告</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42" w:right="0"/>
              <w:jc w:val="left"/>
              <w:rPr>
                <w:rFonts w:ascii="Times New Roman" w:hAnsi="Times New Roman" w:cs="Times New Roman" w:eastAsia="Times New Roman" w:hint="default"/>
                <w:sz w:val="18"/>
                <w:szCs w:val="18"/>
              </w:rPr>
            </w:pPr>
            <w:r>
              <w:rPr>
                <w:rFonts w:ascii="Times New Roman"/>
                <w:sz w:val="18"/>
              </w:rPr>
              <w:t>2017-020</w:t>
            </w:r>
          </w:p>
        </w:tc>
        <w:tc>
          <w:tcPr>
            <w:tcW w:w="991" w:type="dxa"/>
            <w:vMerge/>
            <w:tcBorders>
              <w:left w:val="single" w:sz="6" w:space="0" w:color="000000"/>
              <w:right w:val="single" w:sz="6" w:space="0" w:color="000000"/>
            </w:tcBorders>
          </w:tcPr>
          <w:p>
            <w:pPr/>
          </w:p>
        </w:tc>
      </w:tr>
      <w:tr>
        <w:trPr>
          <w:trHeight w:val="347" w:hRule="exact"/>
        </w:trPr>
        <w:tc>
          <w:tcPr>
            <w:tcW w:w="568" w:type="dxa"/>
            <w:vMerge/>
            <w:tcBorders>
              <w:left w:val="single" w:sz="6" w:space="0" w:color="000000"/>
              <w:right w:val="single" w:sz="6" w:space="0" w:color="000000"/>
            </w:tcBorders>
          </w:tcPr>
          <w:p>
            <w:pPr/>
          </w:p>
        </w:tc>
        <w:tc>
          <w:tcPr>
            <w:tcW w:w="992" w:type="dxa"/>
            <w:vMerge/>
            <w:tcBorders>
              <w:left w:val="single" w:sz="6" w:space="0" w:color="000000"/>
              <w:right w:val="single" w:sz="6" w:space="0" w:color="000000"/>
            </w:tcBorders>
          </w:tcPr>
          <w:p>
            <w:pPr/>
          </w:p>
        </w:tc>
        <w:tc>
          <w:tcPr>
            <w:tcW w:w="56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关于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年第一季度报告披露的提示性公告</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42" w:right="0"/>
              <w:jc w:val="left"/>
              <w:rPr>
                <w:rFonts w:ascii="Times New Roman" w:hAnsi="Times New Roman" w:cs="Times New Roman" w:eastAsia="Times New Roman" w:hint="default"/>
                <w:sz w:val="18"/>
                <w:szCs w:val="18"/>
              </w:rPr>
            </w:pPr>
            <w:r>
              <w:rPr>
                <w:rFonts w:ascii="Times New Roman"/>
                <w:sz w:val="18"/>
              </w:rPr>
              <w:t>2017-021</w:t>
            </w:r>
          </w:p>
        </w:tc>
        <w:tc>
          <w:tcPr>
            <w:tcW w:w="991" w:type="dxa"/>
            <w:vMerge/>
            <w:tcBorders>
              <w:left w:val="single" w:sz="6" w:space="0" w:color="000000"/>
              <w:right w:val="single" w:sz="6" w:space="0" w:color="000000"/>
            </w:tcBorders>
          </w:tcPr>
          <w:p>
            <w:pPr/>
          </w:p>
        </w:tc>
      </w:tr>
      <w:tr>
        <w:trPr>
          <w:trHeight w:val="347" w:hRule="exact"/>
        </w:trPr>
        <w:tc>
          <w:tcPr>
            <w:tcW w:w="568" w:type="dxa"/>
            <w:vMerge/>
            <w:tcBorders>
              <w:left w:val="single" w:sz="6" w:space="0" w:color="000000"/>
              <w:right w:val="single" w:sz="6" w:space="0" w:color="000000"/>
            </w:tcBorders>
          </w:tcPr>
          <w:p>
            <w:pPr/>
          </w:p>
        </w:tc>
        <w:tc>
          <w:tcPr>
            <w:tcW w:w="992" w:type="dxa"/>
            <w:vMerge/>
            <w:tcBorders>
              <w:left w:val="single" w:sz="6" w:space="0" w:color="000000"/>
              <w:right w:val="single" w:sz="6" w:space="0" w:color="000000"/>
            </w:tcBorders>
          </w:tcPr>
          <w:p>
            <w:pPr/>
          </w:p>
        </w:tc>
        <w:tc>
          <w:tcPr>
            <w:tcW w:w="56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关于举行</w:t>
            </w:r>
            <w:r>
              <w:rPr>
                <w:rFonts w:ascii="Times New Roman" w:hAnsi="Times New Roman" w:cs="Times New Roman" w:eastAsia="Times New Roman" w:hint="default"/>
                <w:sz w:val="18"/>
                <w:szCs w:val="18"/>
              </w:rPr>
              <w:t>2016</w:t>
            </w:r>
            <w:r>
              <w:rPr>
                <w:rFonts w:ascii="宋体" w:hAnsi="宋体" w:cs="宋体" w:eastAsia="宋体" w:hint="default"/>
                <w:sz w:val="18"/>
                <w:szCs w:val="18"/>
              </w:rPr>
              <w:t>年度及</w:t>
            </w:r>
            <w:r>
              <w:rPr>
                <w:rFonts w:ascii="Times New Roman" w:hAnsi="Times New Roman" w:cs="Times New Roman" w:eastAsia="Times New Roman" w:hint="default"/>
                <w:sz w:val="18"/>
                <w:szCs w:val="18"/>
              </w:rPr>
              <w:t>2017</w:t>
            </w:r>
            <w:r>
              <w:rPr>
                <w:rFonts w:ascii="宋体" w:hAnsi="宋体" w:cs="宋体" w:eastAsia="宋体" w:hint="default"/>
                <w:sz w:val="18"/>
                <w:szCs w:val="18"/>
              </w:rPr>
              <w:t>年第一季度业绩网上说明会的公告</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42" w:right="0"/>
              <w:jc w:val="left"/>
              <w:rPr>
                <w:rFonts w:ascii="Times New Roman" w:hAnsi="Times New Roman" w:cs="Times New Roman" w:eastAsia="Times New Roman" w:hint="default"/>
                <w:sz w:val="18"/>
                <w:szCs w:val="18"/>
              </w:rPr>
            </w:pPr>
            <w:r>
              <w:rPr>
                <w:rFonts w:ascii="Times New Roman"/>
                <w:sz w:val="18"/>
              </w:rPr>
              <w:t>2017-022</w:t>
            </w:r>
          </w:p>
        </w:tc>
        <w:tc>
          <w:tcPr>
            <w:tcW w:w="991" w:type="dxa"/>
            <w:vMerge/>
            <w:tcBorders>
              <w:left w:val="single" w:sz="6" w:space="0" w:color="000000"/>
              <w:right w:val="single" w:sz="6" w:space="0" w:color="000000"/>
            </w:tcBorders>
          </w:tcPr>
          <w:p>
            <w:pPr/>
          </w:p>
        </w:tc>
      </w:tr>
      <w:tr>
        <w:trPr>
          <w:trHeight w:val="348" w:hRule="exact"/>
        </w:trPr>
        <w:tc>
          <w:tcPr>
            <w:tcW w:w="568" w:type="dxa"/>
            <w:vMerge/>
            <w:tcBorders>
              <w:left w:val="single" w:sz="6" w:space="0" w:color="000000"/>
              <w:right w:val="single" w:sz="6" w:space="0" w:color="000000"/>
            </w:tcBorders>
          </w:tcPr>
          <w:p>
            <w:pPr/>
          </w:p>
        </w:tc>
        <w:tc>
          <w:tcPr>
            <w:tcW w:w="992" w:type="dxa"/>
            <w:vMerge/>
            <w:tcBorders>
              <w:left w:val="single" w:sz="6" w:space="0" w:color="000000"/>
              <w:right w:val="single" w:sz="6" w:space="0" w:color="000000"/>
            </w:tcBorders>
          </w:tcPr>
          <w:p>
            <w:pPr/>
          </w:p>
        </w:tc>
        <w:tc>
          <w:tcPr>
            <w:tcW w:w="56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公司</w:t>
            </w:r>
            <w:r>
              <w:rPr>
                <w:rFonts w:ascii="Times New Roman" w:hAnsi="Times New Roman" w:cs="Times New Roman" w:eastAsia="Times New Roman" w:hint="default"/>
                <w:sz w:val="18"/>
                <w:szCs w:val="18"/>
              </w:rPr>
              <w:t>2016</w:t>
            </w:r>
            <w:r>
              <w:rPr>
                <w:rFonts w:ascii="宋体" w:hAnsi="宋体" w:cs="宋体" w:eastAsia="宋体" w:hint="default"/>
                <w:sz w:val="18"/>
                <w:szCs w:val="18"/>
              </w:rPr>
              <w:t>年年度报告摘要</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42" w:right="0"/>
              <w:jc w:val="left"/>
              <w:rPr>
                <w:rFonts w:ascii="Times New Roman" w:hAnsi="Times New Roman" w:cs="Times New Roman" w:eastAsia="Times New Roman" w:hint="default"/>
                <w:sz w:val="18"/>
                <w:szCs w:val="18"/>
              </w:rPr>
            </w:pPr>
            <w:r>
              <w:rPr>
                <w:rFonts w:ascii="Times New Roman"/>
                <w:sz w:val="18"/>
              </w:rPr>
              <w:t>2017-023</w:t>
            </w:r>
          </w:p>
        </w:tc>
        <w:tc>
          <w:tcPr>
            <w:tcW w:w="991" w:type="dxa"/>
            <w:vMerge/>
            <w:tcBorders>
              <w:left w:val="single" w:sz="6" w:space="0" w:color="000000"/>
              <w:right w:val="single" w:sz="6" w:space="0" w:color="000000"/>
            </w:tcBorders>
          </w:tcPr>
          <w:p>
            <w:pPr/>
          </w:p>
        </w:tc>
      </w:tr>
      <w:tr>
        <w:trPr>
          <w:trHeight w:val="347" w:hRule="exact"/>
        </w:trPr>
        <w:tc>
          <w:tcPr>
            <w:tcW w:w="568" w:type="dxa"/>
            <w:vMerge/>
            <w:tcBorders>
              <w:left w:val="single" w:sz="6" w:space="0" w:color="000000"/>
              <w:right w:val="single" w:sz="6" w:space="0" w:color="000000"/>
            </w:tcBorders>
          </w:tcPr>
          <w:p>
            <w:pPr/>
          </w:p>
        </w:tc>
        <w:tc>
          <w:tcPr>
            <w:tcW w:w="992" w:type="dxa"/>
            <w:vMerge/>
            <w:tcBorders>
              <w:left w:val="single" w:sz="6" w:space="0" w:color="000000"/>
              <w:right w:val="single" w:sz="6" w:space="0" w:color="000000"/>
            </w:tcBorders>
          </w:tcPr>
          <w:p>
            <w:pPr/>
          </w:p>
        </w:tc>
        <w:tc>
          <w:tcPr>
            <w:tcW w:w="56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6"/>
                <w:sz w:val="18"/>
                <w:szCs w:val="18"/>
              </w:rPr>
              <w:t> </w:t>
            </w:r>
            <w:r>
              <w:rPr>
                <w:rFonts w:ascii="宋体" w:hAnsi="宋体" w:cs="宋体" w:eastAsia="宋体" w:hint="default"/>
                <w:sz w:val="18"/>
                <w:szCs w:val="18"/>
              </w:rPr>
              <w:t>年年度报告</w:t>
            </w:r>
          </w:p>
        </w:tc>
        <w:tc>
          <w:tcPr>
            <w:tcW w:w="992" w:type="dxa"/>
            <w:tcBorders>
              <w:top w:val="single" w:sz="6" w:space="0" w:color="000000"/>
              <w:left w:val="single" w:sz="6" w:space="0" w:color="000000"/>
              <w:bottom w:val="single" w:sz="6" w:space="0" w:color="000000"/>
              <w:right w:val="single" w:sz="6" w:space="0" w:color="000000"/>
            </w:tcBorders>
          </w:tcPr>
          <w:p>
            <w:pPr/>
          </w:p>
        </w:tc>
        <w:tc>
          <w:tcPr>
            <w:tcW w:w="991" w:type="dxa"/>
            <w:vMerge/>
            <w:tcBorders>
              <w:left w:val="single" w:sz="6" w:space="0" w:color="000000"/>
              <w:right w:val="single" w:sz="6" w:space="0" w:color="000000"/>
            </w:tcBorders>
          </w:tcPr>
          <w:p>
            <w:pPr/>
          </w:p>
        </w:tc>
      </w:tr>
      <w:tr>
        <w:trPr>
          <w:trHeight w:val="347" w:hRule="exact"/>
        </w:trPr>
        <w:tc>
          <w:tcPr>
            <w:tcW w:w="568" w:type="dxa"/>
            <w:vMerge/>
            <w:tcBorders>
              <w:left w:val="single" w:sz="6" w:space="0" w:color="000000"/>
              <w:right w:val="single" w:sz="6" w:space="0" w:color="000000"/>
            </w:tcBorders>
          </w:tcPr>
          <w:p>
            <w:pPr/>
          </w:p>
        </w:tc>
        <w:tc>
          <w:tcPr>
            <w:tcW w:w="992" w:type="dxa"/>
            <w:vMerge/>
            <w:tcBorders>
              <w:left w:val="single" w:sz="6" w:space="0" w:color="000000"/>
              <w:right w:val="single" w:sz="6" w:space="0" w:color="000000"/>
            </w:tcBorders>
          </w:tcPr>
          <w:p>
            <w:pPr/>
          </w:p>
        </w:tc>
        <w:tc>
          <w:tcPr>
            <w:tcW w:w="56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6"/>
                <w:sz w:val="18"/>
                <w:szCs w:val="18"/>
              </w:rPr>
              <w:t> </w:t>
            </w:r>
            <w:r>
              <w:rPr>
                <w:rFonts w:ascii="宋体" w:hAnsi="宋体" w:cs="宋体" w:eastAsia="宋体" w:hint="default"/>
                <w:sz w:val="18"/>
                <w:szCs w:val="18"/>
              </w:rPr>
              <w:t>年第一季度报告</w:t>
            </w:r>
          </w:p>
        </w:tc>
        <w:tc>
          <w:tcPr>
            <w:tcW w:w="992" w:type="dxa"/>
            <w:tcBorders>
              <w:top w:val="single" w:sz="6" w:space="0" w:color="000000"/>
              <w:left w:val="single" w:sz="6" w:space="0" w:color="000000"/>
              <w:bottom w:val="single" w:sz="6" w:space="0" w:color="000000"/>
              <w:right w:val="single" w:sz="6" w:space="0" w:color="000000"/>
            </w:tcBorders>
          </w:tcPr>
          <w:p>
            <w:pPr/>
          </w:p>
        </w:tc>
        <w:tc>
          <w:tcPr>
            <w:tcW w:w="991" w:type="dxa"/>
            <w:vMerge/>
            <w:tcBorders>
              <w:left w:val="single" w:sz="6" w:space="0" w:color="000000"/>
              <w:right w:val="single" w:sz="6" w:space="0" w:color="000000"/>
            </w:tcBorders>
          </w:tcPr>
          <w:p>
            <w:pPr/>
          </w:p>
        </w:tc>
      </w:tr>
      <w:tr>
        <w:trPr>
          <w:trHeight w:val="347" w:hRule="exact"/>
        </w:trPr>
        <w:tc>
          <w:tcPr>
            <w:tcW w:w="568" w:type="dxa"/>
            <w:vMerge/>
            <w:tcBorders>
              <w:left w:val="single" w:sz="6" w:space="0" w:color="000000"/>
              <w:right w:val="single" w:sz="6" w:space="0" w:color="000000"/>
            </w:tcBorders>
          </w:tcPr>
          <w:p>
            <w:pPr/>
          </w:p>
        </w:tc>
        <w:tc>
          <w:tcPr>
            <w:tcW w:w="992" w:type="dxa"/>
            <w:vMerge/>
            <w:tcBorders>
              <w:left w:val="single" w:sz="6" w:space="0" w:color="000000"/>
              <w:right w:val="single" w:sz="6" w:space="0" w:color="000000"/>
            </w:tcBorders>
          </w:tcPr>
          <w:p>
            <w:pPr/>
          </w:p>
        </w:tc>
        <w:tc>
          <w:tcPr>
            <w:tcW w:w="56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6"/>
                <w:sz w:val="18"/>
                <w:szCs w:val="18"/>
              </w:rPr>
              <w:t> </w:t>
            </w:r>
            <w:r>
              <w:rPr>
                <w:rFonts w:ascii="宋体" w:hAnsi="宋体" w:cs="宋体" w:eastAsia="宋体" w:hint="default"/>
                <w:sz w:val="18"/>
                <w:szCs w:val="18"/>
              </w:rPr>
              <w:t>年度财务决算报告</w:t>
            </w:r>
          </w:p>
        </w:tc>
        <w:tc>
          <w:tcPr>
            <w:tcW w:w="992" w:type="dxa"/>
            <w:tcBorders>
              <w:top w:val="single" w:sz="6" w:space="0" w:color="000000"/>
              <w:left w:val="single" w:sz="6" w:space="0" w:color="000000"/>
              <w:bottom w:val="single" w:sz="6" w:space="0" w:color="000000"/>
              <w:right w:val="single" w:sz="6" w:space="0" w:color="000000"/>
            </w:tcBorders>
          </w:tcPr>
          <w:p>
            <w:pPr/>
          </w:p>
        </w:tc>
        <w:tc>
          <w:tcPr>
            <w:tcW w:w="991" w:type="dxa"/>
            <w:vMerge/>
            <w:tcBorders>
              <w:left w:val="single" w:sz="6" w:space="0" w:color="000000"/>
              <w:right w:val="single" w:sz="6" w:space="0" w:color="000000"/>
            </w:tcBorders>
          </w:tcPr>
          <w:p>
            <w:pPr/>
          </w:p>
        </w:tc>
      </w:tr>
      <w:tr>
        <w:trPr>
          <w:trHeight w:val="347" w:hRule="exact"/>
        </w:trPr>
        <w:tc>
          <w:tcPr>
            <w:tcW w:w="568" w:type="dxa"/>
            <w:vMerge/>
            <w:tcBorders>
              <w:left w:val="single" w:sz="6" w:space="0" w:color="000000"/>
              <w:right w:val="single" w:sz="6" w:space="0" w:color="000000"/>
            </w:tcBorders>
          </w:tcPr>
          <w:p>
            <w:pPr/>
          </w:p>
        </w:tc>
        <w:tc>
          <w:tcPr>
            <w:tcW w:w="992" w:type="dxa"/>
            <w:vMerge/>
            <w:tcBorders>
              <w:left w:val="single" w:sz="6" w:space="0" w:color="000000"/>
              <w:right w:val="single" w:sz="6" w:space="0" w:color="000000"/>
            </w:tcBorders>
          </w:tcPr>
          <w:p>
            <w:pPr/>
          </w:p>
        </w:tc>
        <w:tc>
          <w:tcPr>
            <w:tcW w:w="56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6"/>
                <w:sz w:val="18"/>
                <w:szCs w:val="18"/>
              </w:rPr>
              <w:t> </w:t>
            </w:r>
            <w:r>
              <w:rPr>
                <w:rFonts w:ascii="宋体" w:hAnsi="宋体" w:cs="宋体" w:eastAsia="宋体" w:hint="default"/>
                <w:sz w:val="18"/>
                <w:szCs w:val="18"/>
              </w:rPr>
              <w:t>年度监事会工作报告</w:t>
            </w:r>
          </w:p>
        </w:tc>
        <w:tc>
          <w:tcPr>
            <w:tcW w:w="992" w:type="dxa"/>
            <w:tcBorders>
              <w:top w:val="single" w:sz="6" w:space="0" w:color="000000"/>
              <w:left w:val="single" w:sz="6" w:space="0" w:color="000000"/>
              <w:bottom w:val="single" w:sz="6" w:space="0" w:color="000000"/>
              <w:right w:val="single" w:sz="6" w:space="0" w:color="000000"/>
            </w:tcBorders>
          </w:tcPr>
          <w:p>
            <w:pPr/>
          </w:p>
        </w:tc>
        <w:tc>
          <w:tcPr>
            <w:tcW w:w="991" w:type="dxa"/>
            <w:vMerge/>
            <w:tcBorders>
              <w:left w:val="single" w:sz="6" w:space="0" w:color="000000"/>
              <w:right w:val="single" w:sz="6" w:space="0" w:color="000000"/>
            </w:tcBorders>
          </w:tcPr>
          <w:p>
            <w:pPr/>
          </w:p>
        </w:tc>
      </w:tr>
      <w:tr>
        <w:trPr>
          <w:trHeight w:val="347" w:hRule="exact"/>
        </w:trPr>
        <w:tc>
          <w:tcPr>
            <w:tcW w:w="568" w:type="dxa"/>
            <w:vMerge/>
            <w:tcBorders>
              <w:left w:val="single" w:sz="6" w:space="0" w:color="000000"/>
              <w:right w:val="single" w:sz="6" w:space="0" w:color="000000"/>
            </w:tcBorders>
          </w:tcPr>
          <w:p>
            <w:pPr/>
          </w:p>
        </w:tc>
        <w:tc>
          <w:tcPr>
            <w:tcW w:w="992" w:type="dxa"/>
            <w:vMerge/>
            <w:tcBorders>
              <w:left w:val="single" w:sz="6" w:space="0" w:color="000000"/>
              <w:right w:val="single" w:sz="6" w:space="0" w:color="000000"/>
            </w:tcBorders>
          </w:tcPr>
          <w:p>
            <w:pPr/>
          </w:p>
        </w:tc>
        <w:tc>
          <w:tcPr>
            <w:tcW w:w="56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6"/>
                <w:sz w:val="18"/>
                <w:szCs w:val="18"/>
              </w:rPr>
              <w:t> </w:t>
            </w:r>
            <w:r>
              <w:rPr>
                <w:rFonts w:ascii="宋体" w:hAnsi="宋体" w:cs="宋体" w:eastAsia="宋体" w:hint="default"/>
                <w:sz w:val="18"/>
                <w:szCs w:val="18"/>
              </w:rPr>
              <w:t>年度募集资金存放与实际使用情况的专项报告</w:t>
            </w:r>
          </w:p>
        </w:tc>
        <w:tc>
          <w:tcPr>
            <w:tcW w:w="992" w:type="dxa"/>
            <w:tcBorders>
              <w:top w:val="single" w:sz="6" w:space="0" w:color="000000"/>
              <w:left w:val="single" w:sz="6" w:space="0" w:color="000000"/>
              <w:bottom w:val="single" w:sz="6" w:space="0" w:color="000000"/>
              <w:right w:val="single" w:sz="6" w:space="0" w:color="000000"/>
            </w:tcBorders>
          </w:tcPr>
          <w:p>
            <w:pPr/>
          </w:p>
        </w:tc>
        <w:tc>
          <w:tcPr>
            <w:tcW w:w="991" w:type="dxa"/>
            <w:vMerge/>
            <w:tcBorders>
              <w:left w:val="single" w:sz="6" w:space="0" w:color="000000"/>
              <w:right w:val="single" w:sz="6" w:space="0" w:color="000000"/>
            </w:tcBorders>
          </w:tcPr>
          <w:p>
            <w:pPr/>
          </w:p>
        </w:tc>
      </w:tr>
      <w:tr>
        <w:trPr>
          <w:trHeight w:val="348" w:hRule="exact"/>
        </w:trPr>
        <w:tc>
          <w:tcPr>
            <w:tcW w:w="568" w:type="dxa"/>
            <w:vMerge/>
            <w:tcBorders>
              <w:left w:val="single" w:sz="6" w:space="0" w:color="000000"/>
              <w:right w:val="single" w:sz="6" w:space="0" w:color="000000"/>
            </w:tcBorders>
          </w:tcPr>
          <w:p>
            <w:pPr/>
          </w:p>
        </w:tc>
        <w:tc>
          <w:tcPr>
            <w:tcW w:w="992" w:type="dxa"/>
            <w:vMerge/>
            <w:tcBorders>
              <w:left w:val="single" w:sz="6" w:space="0" w:color="000000"/>
              <w:right w:val="single" w:sz="6" w:space="0" w:color="000000"/>
            </w:tcBorders>
          </w:tcPr>
          <w:p>
            <w:pPr/>
          </w:p>
        </w:tc>
        <w:tc>
          <w:tcPr>
            <w:tcW w:w="56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6"/>
                <w:sz w:val="18"/>
                <w:szCs w:val="18"/>
              </w:rPr>
              <w:t> </w:t>
            </w:r>
            <w:r>
              <w:rPr>
                <w:rFonts w:ascii="宋体" w:hAnsi="宋体" w:cs="宋体" w:eastAsia="宋体" w:hint="default"/>
                <w:sz w:val="18"/>
                <w:szCs w:val="18"/>
              </w:rPr>
              <w:t>年度内部控制自我评价报告</w:t>
            </w:r>
          </w:p>
        </w:tc>
        <w:tc>
          <w:tcPr>
            <w:tcW w:w="992" w:type="dxa"/>
            <w:tcBorders>
              <w:top w:val="single" w:sz="6" w:space="0" w:color="000000"/>
              <w:left w:val="single" w:sz="6" w:space="0" w:color="000000"/>
              <w:bottom w:val="single" w:sz="6" w:space="0" w:color="000000"/>
              <w:right w:val="single" w:sz="6" w:space="0" w:color="000000"/>
            </w:tcBorders>
          </w:tcPr>
          <w:p>
            <w:pPr/>
          </w:p>
        </w:tc>
        <w:tc>
          <w:tcPr>
            <w:tcW w:w="991" w:type="dxa"/>
            <w:vMerge/>
            <w:tcBorders>
              <w:left w:val="single" w:sz="6" w:space="0" w:color="000000"/>
              <w:right w:val="single" w:sz="6" w:space="0" w:color="000000"/>
            </w:tcBorders>
          </w:tcPr>
          <w:p>
            <w:pPr/>
          </w:p>
        </w:tc>
      </w:tr>
      <w:tr>
        <w:trPr>
          <w:trHeight w:val="347" w:hRule="exact"/>
        </w:trPr>
        <w:tc>
          <w:tcPr>
            <w:tcW w:w="568" w:type="dxa"/>
            <w:vMerge/>
            <w:tcBorders>
              <w:left w:val="single" w:sz="6" w:space="0" w:color="000000"/>
              <w:right w:val="single" w:sz="6" w:space="0" w:color="000000"/>
            </w:tcBorders>
          </w:tcPr>
          <w:p>
            <w:pPr/>
          </w:p>
        </w:tc>
        <w:tc>
          <w:tcPr>
            <w:tcW w:w="992" w:type="dxa"/>
            <w:vMerge/>
            <w:tcBorders>
              <w:left w:val="single" w:sz="6" w:space="0" w:color="000000"/>
              <w:right w:val="single" w:sz="6" w:space="0" w:color="000000"/>
            </w:tcBorders>
          </w:tcPr>
          <w:p>
            <w:pPr/>
          </w:p>
        </w:tc>
        <w:tc>
          <w:tcPr>
            <w:tcW w:w="56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独立董事提名人声明（赵明）</w:t>
            </w:r>
          </w:p>
        </w:tc>
        <w:tc>
          <w:tcPr>
            <w:tcW w:w="992" w:type="dxa"/>
            <w:tcBorders>
              <w:top w:val="single" w:sz="6" w:space="0" w:color="000000"/>
              <w:left w:val="single" w:sz="6" w:space="0" w:color="000000"/>
              <w:bottom w:val="single" w:sz="6" w:space="0" w:color="000000"/>
              <w:right w:val="single" w:sz="6" w:space="0" w:color="000000"/>
            </w:tcBorders>
          </w:tcPr>
          <w:p>
            <w:pPr/>
          </w:p>
        </w:tc>
        <w:tc>
          <w:tcPr>
            <w:tcW w:w="991" w:type="dxa"/>
            <w:vMerge/>
            <w:tcBorders>
              <w:left w:val="single" w:sz="6" w:space="0" w:color="000000"/>
              <w:right w:val="single" w:sz="6" w:space="0" w:color="000000"/>
            </w:tcBorders>
          </w:tcPr>
          <w:p>
            <w:pPr/>
          </w:p>
        </w:tc>
      </w:tr>
      <w:tr>
        <w:trPr>
          <w:trHeight w:val="347" w:hRule="exact"/>
        </w:trPr>
        <w:tc>
          <w:tcPr>
            <w:tcW w:w="568" w:type="dxa"/>
            <w:vMerge/>
            <w:tcBorders>
              <w:left w:val="single" w:sz="6" w:space="0" w:color="000000"/>
              <w:right w:val="single" w:sz="6" w:space="0" w:color="000000"/>
            </w:tcBorders>
          </w:tcPr>
          <w:p>
            <w:pPr/>
          </w:p>
        </w:tc>
        <w:tc>
          <w:tcPr>
            <w:tcW w:w="992" w:type="dxa"/>
            <w:vMerge/>
            <w:tcBorders>
              <w:left w:val="single" w:sz="6" w:space="0" w:color="000000"/>
              <w:right w:val="single" w:sz="6" w:space="0" w:color="000000"/>
            </w:tcBorders>
          </w:tcPr>
          <w:p>
            <w:pPr/>
          </w:p>
        </w:tc>
        <w:tc>
          <w:tcPr>
            <w:tcW w:w="56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独立董事提名人声明（王健）</w:t>
            </w:r>
          </w:p>
        </w:tc>
        <w:tc>
          <w:tcPr>
            <w:tcW w:w="992" w:type="dxa"/>
            <w:tcBorders>
              <w:top w:val="single" w:sz="6" w:space="0" w:color="000000"/>
              <w:left w:val="single" w:sz="6" w:space="0" w:color="000000"/>
              <w:bottom w:val="single" w:sz="6" w:space="0" w:color="000000"/>
              <w:right w:val="single" w:sz="6" w:space="0" w:color="000000"/>
            </w:tcBorders>
          </w:tcPr>
          <w:p>
            <w:pPr/>
          </w:p>
        </w:tc>
        <w:tc>
          <w:tcPr>
            <w:tcW w:w="991" w:type="dxa"/>
            <w:vMerge/>
            <w:tcBorders>
              <w:left w:val="single" w:sz="6" w:space="0" w:color="000000"/>
              <w:right w:val="single" w:sz="6" w:space="0" w:color="000000"/>
            </w:tcBorders>
          </w:tcPr>
          <w:p>
            <w:pPr/>
          </w:p>
        </w:tc>
      </w:tr>
      <w:tr>
        <w:trPr>
          <w:trHeight w:val="347" w:hRule="exact"/>
        </w:trPr>
        <w:tc>
          <w:tcPr>
            <w:tcW w:w="568" w:type="dxa"/>
            <w:vMerge/>
            <w:tcBorders>
              <w:left w:val="single" w:sz="6" w:space="0" w:color="000000"/>
              <w:right w:val="single" w:sz="6" w:space="0" w:color="000000"/>
            </w:tcBorders>
          </w:tcPr>
          <w:p>
            <w:pPr/>
          </w:p>
        </w:tc>
        <w:tc>
          <w:tcPr>
            <w:tcW w:w="992" w:type="dxa"/>
            <w:vMerge/>
            <w:tcBorders>
              <w:left w:val="single" w:sz="6" w:space="0" w:color="000000"/>
              <w:right w:val="single" w:sz="6" w:space="0" w:color="000000"/>
            </w:tcBorders>
          </w:tcPr>
          <w:p>
            <w:pPr/>
          </w:p>
        </w:tc>
        <w:tc>
          <w:tcPr>
            <w:tcW w:w="56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独立董事提名人声明（赵立三）</w:t>
            </w:r>
          </w:p>
        </w:tc>
        <w:tc>
          <w:tcPr>
            <w:tcW w:w="992" w:type="dxa"/>
            <w:tcBorders>
              <w:top w:val="single" w:sz="6" w:space="0" w:color="000000"/>
              <w:left w:val="single" w:sz="6" w:space="0" w:color="000000"/>
              <w:bottom w:val="single" w:sz="6" w:space="0" w:color="000000"/>
              <w:right w:val="single" w:sz="6" w:space="0" w:color="000000"/>
            </w:tcBorders>
          </w:tcPr>
          <w:p>
            <w:pPr/>
          </w:p>
        </w:tc>
        <w:tc>
          <w:tcPr>
            <w:tcW w:w="991" w:type="dxa"/>
            <w:vMerge/>
            <w:tcBorders>
              <w:left w:val="single" w:sz="6" w:space="0" w:color="000000"/>
              <w:right w:val="single" w:sz="6" w:space="0" w:color="000000"/>
            </w:tcBorders>
          </w:tcPr>
          <w:p>
            <w:pPr/>
          </w:p>
        </w:tc>
      </w:tr>
      <w:tr>
        <w:trPr>
          <w:trHeight w:val="347" w:hRule="exact"/>
        </w:trPr>
        <w:tc>
          <w:tcPr>
            <w:tcW w:w="568" w:type="dxa"/>
            <w:vMerge/>
            <w:tcBorders>
              <w:left w:val="single" w:sz="6" w:space="0" w:color="000000"/>
              <w:right w:val="single" w:sz="6" w:space="0" w:color="000000"/>
            </w:tcBorders>
          </w:tcPr>
          <w:p>
            <w:pPr/>
          </w:p>
        </w:tc>
        <w:tc>
          <w:tcPr>
            <w:tcW w:w="992" w:type="dxa"/>
            <w:vMerge/>
            <w:tcBorders>
              <w:left w:val="single" w:sz="6" w:space="0" w:color="000000"/>
              <w:right w:val="single" w:sz="6" w:space="0" w:color="000000"/>
            </w:tcBorders>
          </w:tcPr>
          <w:p>
            <w:pPr/>
          </w:p>
        </w:tc>
        <w:tc>
          <w:tcPr>
            <w:tcW w:w="56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关于 </w:t>
            </w:r>
            <w:r>
              <w:rPr>
                <w:rFonts w:ascii="Times New Roman" w:hAnsi="Times New Roman" w:cs="Times New Roman" w:eastAsia="Times New Roman" w:hint="default"/>
                <w:sz w:val="18"/>
                <w:szCs w:val="18"/>
              </w:rPr>
              <w:t>2016  </w:t>
            </w:r>
            <w:r>
              <w:rPr>
                <w:rFonts w:ascii="宋体" w:hAnsi="宋体" w:cs="宋体" w:eastAsia="宋体" w:hint="default"/>
                <w:sz w:val="18"/>
                <w:szCs w:val="18"/>
              </w:rPr>
              <w:t>年度同一控制下企业合并调整</w:t>
            </w:r>
            <w:r>
              <w:rPr>
                <w:rFonts w:ascii="宋体" w:hAnsi="宋体" w:cs="宋体" w:eastAsia="宋体" w:hint="default"/>
                <w:spacing w:val="-56"/>
                <w:sz w:val="18"/>
                <w:szCs w:val="18"/>
              </w:rPr>
              <w:t> </w:t>
            </w:r>
            <w:r>
              <w:rPr>
                <w:rFonts w:ascii="宋体" w:hAnsi="宋体" w:cs="宋体" w:eastAsia="宋体" w:hint="default"/>
                <w:sz w:val="18"/>
                <w:szCs w:val="18"/>
              </w:rPr>
              <w:t>比较报表的专项说明</w:t>
            </w:r>
          </w:p>
        </w:tc>
        <w:tc>
          <w:tcPr>
            <w:tcW w:w="992" w:type="dxa"/>
            <w:tcBorders>
              <w:top w:val="single" w:sz="6" w:space="0" w:color="000000"/>
              <w:left w:val="single" w:sz="6" w:space="0" w:color="000000"/>
              <w:bottom w:val="single" w:sz="6" w:space="0" w:color="000000"/>
              <w:right w:val="single" w:sz="6" w:space="0" w:color="000000"/>
            </w:tcBorders>
          </w:tcPr>
          <w:p>
            <w:pPr/>
          </w:p>
        </w:tc>
        <w:tc>
          <w:tcPr>
            <w:tcW w:w="991" w:type="dxa"/>
            <w:vMerge/>
            <w:tcBorders>
              <w:left w:val="single" w:sz="6" w:space="0" w:color="000000"/>
              <w:right w:val="single" w:sz="6" w:space="0" w:color="000000"/>
            </w:tcBorders>
          </w:tcPr>
          <w:p>
            <w:pPr/>
          </w:p>
        </w:tc>
      </w:tr>
      <w:tr>
        <w:trPr>
          <w:trHeight w:val="347" w:hRule="exact"/>
        </w:trPr>
        <w:tc>
          <w:tcPr>
            <w:tcW w:w="568" w:type="dxa"/>
            <w:vMerge/>
            <w:tcBorders>
              <w:left w:val="single" w:sz="6" w:space="0" w:color="000000"/>
              <w:right w:val="single" w:sz="6" w:space="0" w:color="000000"/>
            </w:tcBorders>
          </w:tcPr>
          <w:p>
            <w:pPr/>
          </w:p>
        </w:tc>
        <w:tc>
          <w:tcPr>
            <w:tcW w:w="992" w:type="dxa"/>
            <w:vMerge/>
            <w:tcBorders>
              <w:left w:val="single" w:sz="6" w:space="0" w:color="000000"/>
              <w:right w:val="single" w:sz="6" w:space="0" w:color="000000"/>
            </w:tcBorders>
          </w:tcPr>
          <w:p>
            <w:pPr/>
          </w:p>
        </w:tc>
        <w:tc>
          <w:tcPr>
            <w:tcW w:w="56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关于发行股份及支付现金购买资产 </w:t>
            </w:r>
            <w:r>
              <w:rPr>
                <w:rFonts w:ascii="Times New Roman" w:hAnsi="Times New Roman" w:cs="Times New Roman" w:eastAsia="Times New Roman" w:hint="default"/>
                <w:sz w:val="18"/>
                <w:szCs w:val="18"/>
              </w:rPr>
              <w:t>2016  </w:t>
            </w:r>
            <w:r>
              <w:rPr>
                <w:rFonts w:ascii="宋体" w:hAnsi="宋体" w:cs="宋体" w:eastAsia="宋体" w:hint="default"/>
                <w:sz w:val="18"/>
                <w:szCs w:val="18"/>
              </w:rPr>
              <w:t>年度</w:t>
            </w:r>
            <w:r>
              <w:rPr>
                <w:rFonts w:ascii="宋体" w:hAnsi="宋体" w:cs="宋体" w:eastAsia="宋体" w:hint="default"/>
                <w:spacing w:val="-56"/>
                <w:sz w:val="18"/>
                <w:szCs w:val="18"/>
              </w:rPr>
              <w:t> </w:t>
            </w:r>
            <w:r>
              <w:rPr>
                <w:rFonts w:ascii="宋体" w:hAnsi="宋体" w:cs="宋体" w:eastAsia="宋体" w:hint="default"/>
                <w:sz w:val="18"/>
                <w:szCs w:val="18"/>
              </w:rPr>
              <w:t>业绩承诺实现情况的说明</w:t>
            </w:r>
          </w:p>
        </w:tc>
        <w:tc>
          <w:tcPr>
            <w:tcW w:w="992" w:type="dxa"/>
            <w:tcBorders>
              <w:top w:val="single" w:sz="6" w:space="0" w:color="000000"/>
              <w:left w:val="single" w:sz="6" w:space="0" w:color="000000"/>
              <w:bottom w:val="single" w:sz="6" w:space="0" w:color="000000"/>
              <w:right w:val="single" w:sz="6" w:space="0" w:color="000000"/>
            </w:tcBorders>
          </w:tcPr>
          <w:p>
            <w:pPr/>
          </w:p>
        </w:tc>
        <w:tc>
          <w:tcPr>
            <w:tcW w:w="991" w:type="dxa"/>
            <w:vMerge/>
            <w:tcBorders>
              <w:left w:val="single" w:sz="6" w:space="0" w:color="000000"/>
              <w:right w:val="single" w:sz="6" w:space="0" w:color="000000"/>
            </w:tcBorders>
          </w:tcPr>
          <w:p>
            <w:pPr/>
          </w:p>
        </w:tc>
      </w:tr>
      <w:tr>
        <w:trPr>
          <w:trHeight w:val="348" w:hRule="exact"/>
        </w:trPr>
        <w:tc>
          <w:tcPr>
            <w:tcW w:w="568" w:type="dxa"/>
            <w:vMerge/>
            <w:tcBorders>
              <w:left w:val="single" w:sz="6" w:space="0" w:color="000000"/>
              <w:right w:val="single" w:sz="6" w:space="0" w:color="000000"/>
            </w:tcBorders>
          </w:tcPr>
          <w:p>
            <w:pPr/>
          </w:p>
        </w:tc>
        <w:tc>
          <w:tcPr>
            <w:tcW w:w="992" w:type="dxa"/>
            <w:vMerge/>
            <w:tcBorders>
              <w:left w:val="single" w:sz="6" w:space="0" w:color="000000"/>
              <w:right w:val="single" w:sz="6" w:space="0" w:color="000000"/>
            </w:tcBorders>
          </w:tcPr>
          <w:p>
            <w:pPr/>
          </w:p>
        </w:tc>
        <w:tc>
          <w:tcPr>
            <w:tcW w:w="56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公司章程修订对照表</w:t>
            </w:r>
          </w:p>
        </w:tc>
        <w:tc>
          <w:tcPr>
            <w:tcW w:w="992" w:type="dxa"/>
            <w:tcBorders>
              <w:top w:val="single" w:sz="6" w:space="0" w:color="000000"/>
              <w:left w:val="single" w:sz="6" w:space="0" w:color="000000"/>
              <w:bottom w:val="single" w:sz="6" w:space="0" w:color="000000"/>
              <w:right w:val="single" w:sz="6" w:space="0" w:color="000000"/>
            </w:tcBorders>
          </w:tcPr>
          <w:p>
            <w:pPr/>
          </w:p>
        </w:tc>
        <w:tc>
          <w:tcPr>
            <w:tcW w:w="991" w:type="dxa"/>
            <w:vMerge/>
            <w:tcBorders>
              <w:left w:val="single" w:sz="6" w:space="0" w:color="000000"/>
              <w:right w:val="single" w:sz="6" w:space="0" w:color="000000"/>
            </w:tcBorders>
          </w:tcPr>
          <w:p>
            <w:pPr/>
          </w:p>
        </w:tc>
      </w:tr>
      <w:tr>
        <w:trPr>
          <w:trHeight w:val="347" w:hRule="exact"/>
        </w:trPr>
        <w:tc>
          <w:tcPr>
            <w:tcW w:w="568" w:type="dxa"/>
            <w:vMerge/>
            <w:tcBorders>
              <w:left w:val="single" w:sz="6" w:space="0" w:color="000000"/>
              <w:right w:val="single" w:sz="6" w:space="0" w:color="000000"/>
            </w:tcBorders>
          </w:tcPr>
          <w:p>
            <w:pPr/>
          </w:p>
        </w:tc>
        <w:tc>
          <w:tcPr>
            <w:tcW w:w="992" w:type="dxa"/>
            <w:vMerge/>
            <w:tcBorders>
              <w:left w:val="single" w:sz="6" w:space="0" w:color="000000"/>
              <w:right w:val="single" w:sz="6" w:space="0" w:color="000000"/>
            </w:tcBorders>
          </w:tcPr>
          <w:p>
            <w:pPr/>
          </w:p>
        </w:tc>
        <w:tc>
          <w:tcPr>
            <w:tcW w:w="56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关于公司</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7"/>
                <w:sz w:val="18"/>
                <w:szCs w:val="18"/>
              </w:rPr>
              <w:t> </w:t>
            </w:r>
            <w:r>
              <w:rPr>
                <w:rFonts w:ascii="宋体" w:hAnsi="宋体" w:cs="宋体" w:eastAsia="宋体" w:hint="default"/>
                <w:sz w:val="18"/>
                <w:szCs w:val="18"/>
              </w:rPr>
              <w:t>年度同一控制下企业合并调整比较报表的专项说明</w:t>
            </w:r>
          </w:p>
        </w:tc>
        <w:tc>
          <w:tcPr>
            <w:tcW w:w="992" w:type="dxa"/>
            <w:tcBorders>
              <w:top w:val="single" w:sz="6" w:space="0" w:color="000000"/>
              <w:left w:val="single" w:sz="6" w:space="0" w:color="000000"/>
              <w:bottom w:val="single" w:sz="6" w:space="0" w:color="000000"/>
              <w:right w:val="single" w:sz="6" w:space="0" w:color="000000"/>
            </w:tcBorders>
          </w:tcPr>
          <w:p>
            <w:pPr/>
          </w:p>
        </w:tc>
        <w:tc>
          <w:tcPr>
            <w:tcW w:w="991" w:type="dxa"/>
            <w:vMerge/>
            <w:tcBorders>
              <w:left w:val="single" w:sz="6" w:space="0" w:color="000000"/>
              <w:right w:val="single" w:sz="6" w:space="0" w:color="000000"/>
            </w:tcBorders>
          </w:tcPr>
          <w:p>
            <w:pPr/>
          </w:p>
        </w:tc>
      </w:tr>
      <w:tr>
        <w:trPr>
          <w:trHeight w:val="659" w:hRule="exact"/>
        </w:trPr>
        <w:tc>
          <w:tcPr>
            <w:tcW w:w="568" w:type="dxa"/>
            <w:vMerge/>
            <w:tcBorders>
              <w:left w:val="single" w:sz="6" w:space="0" w:color="000000"/>
              <w:right w:val="single" w:sz="6" w:space="0" w:color="000000"/>
            </w:tcBorders>
          </w:tcPr>
          <w:p>
            <w:pPr/>
          </w:p>
        </w:tc>
        <w:tc>
          <w:tcPr>
            <w:tcW w:w="992" w:type="dxa"/>
            <w:vMerge/>
            <w:tcBorders>
              <w:left w:val="single" w:sz="6" w:space="0" w:color="000000"/>
              <w:right w:val="single" w:sz="6" w:space="0" w:color="000000"/>
            </w:tcBorders>
          </w:tcPr>
          <w:p>
            <w:pPr/>
          </w:p>
        </w:tc>
        <w:tc>
          <w:tcPr>
            <w:tcW w:w="5671"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73"/>
              <w:jc w:val="left"/>
              <w:rPr>
                <w:rFonts w:ascii="宋体" w:hAnsi="宋体" w:cs="宋体" w:eastAsia="宋体" w:hint="default"/>
                <w:sz w:val="18"/>
                <w:szCs w:val="18"/>
              </w:rPr>
            </w:pPr>
            <w:r>
              <w:rPr>
                <w:rFonts w:ascii="宋体" w:hAnsi="宋体" w:cs="宋体" w:eastAsia="宋体" w:hint="default"/>
                <w:sz w:val="18"/>
                <w:szCs w:val="18"/>
              </w:rPr>
              <w:t>关于公司发行股份及支付现金购买资产业绩承诺实现情况的专项审核报 告</w:t>
            </w:r>
          </w:p>
        </w:tc>
        <w:tc>
          <w:tcPr>
            <w:tcW w:w="992" w:type="dxa"/>
            <w:tcBorders>
              <w:top w:val="single" w:sz="6" w:space="0" w:color="000000"/>
              <w:left w:val="single" w:sz="6" w:space="0" w:color="000000"/>
              <w:bottom w:val="single" w:sz="6" w:space="0" w:color="000000"/>
              <w:right w:val="single" w:sz="6" w:space="0" w:color="000000"/>
            </w:tcBorders>
          </w:tcPr>
          <w:p>
            <w:pPr/>
          </w:p>
        </w:tc>
        <w:tc>
          <w:tcPr>
            <w:tcW w:w="991" w:type="dxa"/>
            <w:vMerge/>
            <w:tcBorders>
              <w:left w:val="single" w:sz="6" w:space="0" w:color="000000"/>
              <w:right w:val="single" w:sz="6" w:space="0" w:color="000000"/>
            </w:tcBorders>
          </w:tcPr>
          <w:p>
            <w:pPr/>
          </w:p>
        </w:tc>
      </w:tr>
      <w:tr>
        <w:trPr>
          <w:trHeight w:val="347" w:hRule="exact"/>
        </w:trPr>
        <w:tc>
          <w:tcPr>
            <w:tcW w:w="568" w:type="dxa"/>
            <w:vMerge/>
            <w:tcBorders>
              <w:left w:val="single" w:sz="6" w:space="0" w:color="000000"/>
              <w:right w:val="single" w:sz="6" w:space="0" w:color="000000"/>
            </w:tcBorders>
          </w:tcPr>
          <w:p>
            <w:pPr/>
          </w:p>
        </w:tc>
        <w:tc>
          <w:tcPr>
            <w:tcW w:w="992" w:type="dxa"/>
            <w:vMerge/>
            <w:tcBorders>
              <w:left w:val="single" w:sz="6" w:space="0" w:color="000000"/>
              <w:right w:val="single" w:sz="6" w:space="0" w:color="000000"/>
            </w:tcBorders>
          </w:tcPr>
          <w:p>
            <w:pPr/>
          </w:p>
        </w:tc>
        <w:tc>
          <w:tcPr>
            <w:tcW w:w="56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关于公司控股股东及其他关联方资金占用情况汇总表的专项审核报告</w:t>
            </w:r>
          </w:p>
        </w:tc>
        <w:tc>
          <w:tcPr>
            <w:tcW w:w="992" w:type="dxa"/>
            <w:tcBorders>
              <w:top w:val="single" w:sz="6" w:space="0" w:color="000000"/>
              <w:left w:val="single" w:sz="6" w:space="0" w:color="000000"/>
              <w:bottom w:val="single" w:sz="6" w:space="0" w:color="000000"/>
              <w:right w:val="single" w:sz="6" w:space="0" w:color="000000"/>
            </w:tcBorders>
          </w:tcPr>
          <w:p>
            <w:pPr/>
          </w:p>
        </w:tc>
        <w:tc>
          <w:tcPr>
            <w:tcW w:w="991" w:type="dxa"/>
            <w:vMerge/>
            <w:tcBorders>
              <w:left w:val="single" w:sz="6" w:space="0" w:color="000000"/>
              <w:right w:val="single" w:sz="6" w:space="0" w:color="000000"/>
            </w:tcBorders>
          </w:tcPr>
          <w:p>
            <w:pPr/>
          </w:p>
        </w:tc>
      </w:tr>
      <w:tr>
        <w:trPr>
          <w:trHeight w:val="347" w:hRule="exact"/>
        </w:trPr>
        <w:tc>
          <w:tcPr>
            <w:tcW w:w="568" w:type="dxa"/>
            <w:vMerge/>
            <w:tcBorders>
              <w:left w:val="single" w:sz="6" w:space="0" w:color="000000"/>
              <w:right w:val="single" w:sz="6" w:space="0" w:color="000000"/>
            </w:tcBorders>
          </w:tcPr>
          <w:p>
            <w:pPr/>
          </w:p>
        </w:tc>
        <w:tc>
          <w:tcPr>
            <w:tcW w:w="992" w:type="dxa"/>
            <w:vMerge/>
            <w:tcBorders>
              <w:left w:val="single" w:sz="6" w:space="0" w:color="000000"/>
              <w:right w:val="single" w:sz="6" w:space="0" w:color="000000"/>
            </w:tcBorders>
          </w:tcPr>
          <w:p>
            <w:pPr/>
          </w:p>
        </w:tc>
        <w:tc>
          <w:tcPr>
            <w:tcW w:w="56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关于公司募集资金年度存放与实际使用情况的鉴证报告</w:t>
            </w:r>
          </w:p>
        </w:tc>
        <w:tc>
          <w:tcPr>
            <w:tcW w:w="992" w:type="dxa"/>
            <w:tcBorders>
              <w:top w:val="single" w:sz="6" w:space="0" w:color="000000"/>
              <w:left w:val="single" w:sz="6" w:space="0" w:color="000000"/>
              <w:bottom w:val="single" w:sz="6" w:space="0" w:color="000000"/>
              <w:right w:val="single" w:sz="6" w:space="0" w:color="000000"/>
            </w:tcBorders>
          </w:tcPr>
          <w:p>
            <w:pPr/>
          </w:p>
        </w:tc>
        <w:tc>
          <w:tcPr>
            <w:tcW w:w="991" w:type="dxa"/>
            <w:vMerge/>
            <w:tcBorders>
              <w:left w:val="single" w:sz="6" w:space="0" w:color="000000"/>
              <w:right w:val="single" w:sz="6" w:space="0" w:color="000000"/>
            </w:tcBorders>
          </w:tcPr>
          <w:p>
            <w:pPr/>
          </w:p>
        </w:tc>
      </w:tr>
      <w:tr>
        <w:trPr>
          <w:trHeight w:val="347" w:hRule="exact"/>
        </w:trPr>
        <w:tc>
          <w:tcPr>
            <w:tcW w:w="568" w:type="dxa"/>
            <w:vMerge/>
            <w:tcBorders>
              <w:left w:val="single" w:sz="6" w:space="0" w:color="000000"/>
              <w:right w:val="single" w:sz="6" w:space="0" w:color="000000"/>
            </w:tcBorders>
          </w:tcPr>
          <w:p>
            <w:pPr/>
          </w:p>
        </w:tc>
        <w:tc>
          <w:tcPr>
            <w:tcW w:w="992" w:type="dxa"/>
            <w:vMerge/>
            <w:tcBorders>
              <w:left w:val="single" w:sz="6" w:space="0" w:color="000000"/>
              <w:right w:val="single" w:sz="6" w:space="0" w:color="000000"/>
            </w:tcBorders>
          </w:tcPr>
          <w:p>
            <w:pPr/>
          </w:p>
        </w:tc>
        <w:tc>
          <w:tcPr>
            <w:tcW w:w="56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兴业证券股份有限公司关于公司募集资金年度使用情况的专项核查意见</w:t>
            </w:r>
          </w:p>
        </w:tc>
        <w:tc>
          <w:tcPr>
            <w:tcW w:w="992" w:type="dxa"/>
            <w:tcBorders>
              <w:top w:val="single" w:sz="6" w:space="0" w:color="000000"/>
              <w:left w:val="single" w:sz="6" w:space="0" w:color="000000"/>
              <w:bottom w:val="single" w:sz="6" w:space="0" w:color="000000"/>
              <w:right w:val="single" w:sz="6" w:space="0" w:color="000000"/>
            </w:tcBorders>
          </w:tcPr>
          <w:p>
            <w:pPr/>
          </w:p>
        </w:tc>
        <w:tc>
          <w:tcPr>
            <w:tcW w:w="991" w:type="dxa"/>
            <w:vMerge/>
            <w:tcBorders>
              <w:left w:val="single" w:sz="6" w:space="0" w:color="000000"/>
              <w:right w:val="single" w:sz="6" w:space="0" w:color="000000"/>
            </w:tcBorders>
          </w:tcPr>
          <w:p>
            <w:pPr/>
          </w:p>
        </w:tc>
      </w:tr>
      <w:tr>
        <w:trPr>
          <w:trHeight w:val="348" w:hRule="exact"/>
        </w:trPr>
        <w:tc>
          <w:tcPr>
            <w:tcW w:w="568" w:type="dxa"/>
            <w:vMerge/>
            <w:tcBorders>
              <w:left w:val="single" w:sz="6" w:space="0" w:color="000000"/>
              <w:right w:val="single" w:sz="6" w:space="0" w:color="000000"/>
            </w:tcBorders>
          </w:tcPr>
          <w:p>
            <w:pPr/>
          </w:p>
        </w:tc>
        <w:tc>
          <w:tcPr>
            <w:tcW w:w="992" w:type="dxa"/>
            <w:vMerge/>
            <w:tcBorders>
              <w:left w:val="single" w:sz="6" w:space="0" w:color="000000"/>
              <w:right w:val="single" w:sz="6" w:space="0" w:color="000000"/>
            </w:tcBorders>
          </w:tcPr>
          <w:p>
            <w:pPr/>
          </w:p>
        </w:tc>
        <w:tc>
          <w:tcPr>
            <w:tcW w:w="56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独立董事关于二届三十五次董事会相关事项的独立意见</w:t>
            </w:r>
          </w:p>
        </w:tc>
        <w:tc>
          <w:tcPr>
            <w:tcW w:w="992" w:type="dxa"/>
            <w:tcBorders>
              <w:top w:val="single" w:sz="6" w:space="0" w:color="000000"/>
              <w:left w:val="single" w:sz="6" w:space="0" w:color="000000"/>
              <w:bottom w:val="single" w:sz="6" w:space="0" w:color="000000"/>
              <w:right w:val="single" w:sz="6" w:space="0" w:color="000000"/>
            </w:tcBorders>
          </w:tcPr>
          <w:p>
            <w:pPr/>
          </w:p>
        </w:tc>
        <w:tc>
          <w:tcPr>
            <w:tcW w:w="991" w:type="dxa"/>
            <w:vMerge/>
            <w:tcBorders>
              <w:left w:val="single" w:sz="6" w:space="0" w:color="000000"/>
              <w:right w:val="single" w:sz="6" w:space="0" w:color="000000"/>
            </w:tcBorders>
          </w:tcPr>
          <w:p>
            <w:pPr/>
          </w:p>
        </w:tc>
      </w:tr>
      <w:tr>
        <w:trPr>
          <w:trHeight w:val="347" w:hRule="exact"/>
        </w:trPr>
        <w:tc>
          <w:tcPr>
            <w:tcW w:w="568" w:type="dxa"/>
            <w:vMerge/>
            <w:tcBorders>
              <w:left w:val="single" w:sz="6" w:space="0" w:color="000000"/>
              <w:right w:val="single" w:sz="6" w:space="0" w:color="000000"/>
            </w:tcBorders>
          </w:tcPr>
          <w:p>
            <w:pPr/>
          </w:p>
        </w:tc>
        <w:tc>
          <w:tcPr>
            <w:tcW w:w="992" w:type="dxa"/>
            <w:vMerge/>
            <w:tcBorders>
              <w:left w:val="single" w:sz="6" w:space="0" w:color="000000"/>
              <w:right w:val="single" w:sz="6" w:space="0" w:color="000000"/>
            </w:tcBorders>
          </w:tcPr>
          <w:p>
            <w:pPr/>
          </w:p>
        </w:tc>
        <w:tc>
          <w:tcPr>
            <w:tcW w:w="56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独立董事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年度述职报告（庞贵永）</w:t>
            </w:r>
          </w:p>
        </w:tc>
        <w:tc>
          <w:tcPr>
            <w:tcW w:w="992" w:type="dxa"/>
            <w:tcBorders>
              <w:top w:val="single" w:sz="6" w:space="0" w:color="000000"/>
              <w:left w:val="single" w:sz="6" w:space="0" w:color="000000"/>
              <w:bottom w:val="single" w:sz="6" w:space="0" w:color="000000"/>
              <w:right w:val="single" w:sz="6" w:space="0" w:color="000000"/>
            </w:tcBorders>
          </w:tcPr>
          <w:p>
            <w:pPr/>
          </w:p>
        </w:tc>
        <w:tc>
          <w:tcPr>
            <w:tcW w:w="991" w:type="dxa"/>
            <w:vMerge/>
            <w:tcBorders>
              <w:left w:val="single" w:sz="6" w:space="0" w:color="000000"/>
              <w:right w:val="single" w:sz="6" w:space="0" w:color="000000"/>
            </w:tcBorders>
          </w:tcPr>
          <w:p>
            <w:pPr/>
          </w:p>
        </w:tc>
      </w:tr>
      <w:tr>
        <w:trPr>
          <w:trHeight w:val="347" w:hRule="exact"/>
        </w:trPr>
        <w:tc>
          <w:tcPr>
            <w:tcW w:w="568" w:type="dxa"/>
            <w:vMerge/>
            <w:tcBorders>
              <w:left w:val="single" w:sz="6" w:space="0" w:color="000000"/>
              <w:right w:val="single" w:sz="6" w:space="0" w:color="000000"/>
            </w:tcBorders>
          </w:tcPr>
          <w:p>
            <w:pPr/>
          </w:p>
        </w:tc>
        <w:tc>
          <w:tcPr>
            <w:tcW w:w="992" w:type="dxa"/>
            <w:vMerge/>
            <w:tcBorders>
              <w:left w:val="single" w:sz="6" w:space="0" w:color="000000"/>
              <w:right w:val="single" w:sz="6" w:space="0" w:color="000000"/>
            </w:tcBorders>
          </w:tcPr>
          <w:p>
            <w:pPr/>
          </w:p>
        </w:tc>
        <w:tc>
          <w:tcPr>
            <w:tcW w:w="56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独立董事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年度述职报告（陈爱珍）</w:t>
            </w:r>
          </w:p>
        </w:tc>
        <w:tc>
          <w:tcPr>
            <w:tcW w:w="992" w:type="dxa"/>
            <w:tcBorders>
              <w:top w:val="single" w:sz="6" w:space="0" w:color="000000"/>
              <w:left w:val="single" w:sz="6" w:space="0" w:color="000000"/>
              <w:bottom w:val="single" w:sz="6" w:space="0" w:color="000000"/>
              <w:right w:val="single" w:sz="6" w:space="0" w:color="000000"/>
            </w:tcBorders>
          </w:tcPr>
          <w:p>
            <w:pPr/>
          </w:p>
        </w:tc>
        <w:tc>
          <w:tcPr>
            <w:tcW w:w="991" w:type="dxa"/>
            <w:vMerge/>
            <w:tcBorders>
              <w:left w:val="single" w:sz="6" w:space="0" w:color="000000"/>
              <w:right w:val="single" w:sz="6" w:space="0" w:color="000000"/>
            </w:tcBorders>
          </w:tcPr>
          <w:p>
            <w:pPr/>
          </w:p>
        </w:tc>
      </w:tr>
      <w:tr>
        <w:trPr>
          <w:trHeight w:val="347" w:hRule="exact"/>
        </w:trPr>
        <w:tc>
          <w:tcPr>
            <w:tcW w:w="568" w:type="dxa"/>
            <w:vMerge/>
            <w:tcBorders>
              <w:left w:val="single" w:sz="6" w:space="0" w:color="000000"/>
              <w:right w:val="single" w:sz="6" w:space="0" w:color="000000"/>
            </w:tcBorders>
          </w:tcPr>
          <w:p>
            <w:pPr/>
          </w:p>
        </w:tc>
        <w:tc>
          <w:tcPr>
            <w:tcW w:w="992" w:type="dxa"/>
            <w:vMerge/>
            <w:tcBorders>
              <w:left w:val="single" w:sz="6" w:space="0" w:color="000000"/>
              <w:right w:val="single" w:sz="6" w:space="0" w:color="000000"/>
            </w:tcBorders>
          </w:tcPr>
          <w:p>
            <w:pPr/>
          </w:p>
        </w:tc>
        <w:tc>
          <w:tcPr>
            <w:tcW w:w="56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独立董事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年度述职报告（闫成德）</w:t>
            </w:r>
          </w:p>
        </w:tc>
        <w:tc>
          <w:tcPr>
            <w:tcW w:w="992" w:type="dxa"/>
            <w:tcBorders>
              <w:top w:val="single" w:sz="6" w:space="0" w:color="000000"/>
              <w:left w:val="single" w:sz="6" w:space="0" w:color="000000"/>
              <w:bottom w:val="single" w:sz="6" w:space="0" w:color="000000"/>
              <w:right w:val="single" w:sz="6" w:space="0" w:color="000000"/>
            </w:tcBorders>
          </w:tcPr>
          <w:p>
            <w:pPr/>
          </w:p>
        </w:tc>
        <w:tc>
          <w:tcPr>
            <w:tcW w:w="991" w:type="dxa"/>
            <w:vMerge/>
            <w:tcBorders>
              <w:left w:val="single" w:sz="6" w:space="0" w:color="000000"/>
              <w:right w:val="single" w:sz="6" w:space="0" w:color="000000"/>
            </w:tcBorders>
          </w:tcPr>
          <w:p>
            <w:pPr/>
          </w:p>
        </w:tc>
      </w:tr>
      <w:tr>
        <w:trPr>
          <w:trHeight w:val="347" w:hRule="exact"/>
        </w:trPr>
        <w:tc>
          <w:tcPr>
            <w:tcW w:w="568" w:type="dxa"/>
            <w:vMerge/>
            <w:tcBorders>
              <w:left w:val="single" w:sz="6" w:space="0" w:color="000000"/>
              <w:right w:val="single" w:sz="6" w:space="0" w:color="000000"/>
            </w:tcBorders>
          </w:tcPr>
          <w:p>
            <w:pPr/>
          </w:p>
        </w:tc>
        <w:tc>
          <w:tcPr>
            <w:tcW w:w="992" w:type="dxa"/>
            <w:vMerge/>
            <w:tcBorders>
              <w:left w:val="single" w:sz="6" w:space="0" w:color="000000"/>
              <w:right w:val="single" w:sz="6" w:space="0" w:color="000000"/>
            </w:tcBorders>
          </w:tcPr>
          <w:p>
            <w:pPr/>
          </w:p>
        </w:tc>
        <w:tc>
          <w:tcPr>
            <w:tcW w:w="56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独立董事候选人声明（赵明）</w:t>
            </w:r>
          </w:p>
        </w:tc>
        <w:tc>
          <w:tcPr>
            <w:tcW w:w="992" w:type="dxa"/>
            <w:tcBorders>
              <w:top w:val="single" w:sz="6" w:space="0" w:color="000000"/>
              <w:left w:val="single" w:sz="6" w:space="0" w:color="000000"/>
              <w:bottom w:val="single" w:sz="6" w:space="0" w:color="000000"/>
              <w:right w:val="single" w:sz="6" w:space="0" w:color="000000"/>
            </w:tcBorders>
          </w:tcPr>
          <w:p>
            <w:pPr/>
          </w:p>
        </w:tc>
        <w:tc>
          <w:tcPr>
            <w:tcW w:w="991" w:type="dxa"/>
            <w:vMerge/>
            <w:tcBorders>
              <w:left w:val="single" w:sz="6" w:space="0" w:color="000000"/>
              <w:right w:val="single" w:sz="6" w:space="0" w:color="000000"/>
            </w:tcBorders>
          </w:tcPr>
          <w:p>
            <w:pPr/>
          </w:p>
        </w:tc>
      </w:tr>
      <w:tr>
        <w:trPr>
          <w:trHeight w:val="347" w:hRule="exact"/>
        </w:trPr>
        <w:tc>
          <w:tcPr>
            <w:tcW w:w="568" w:type="dxa"/>
            <w:vMerge/>
            <w:tcBorders>
              <w:left w:val="single" w:sz="6" w:space="0" w:color="000000"/>
              <w:right w:val="single" w:sz="6" w:space="0" w:color="000000"/>
            </w:tcBorders>
          </w:tcPr>
          <w:p>
            <w:pPr/>
          </w:p>
        </w:tc>
        <w:tc>
          <w:tcPr>
            <w:tcW w:w="992" w:type="dxa"/>
            <w:vMerge/>
            <w:tcBorders>
              <w:left w:val="single" w:sz="6" w:space="0" w:color="000000"/>
              <w:right w:val="single" w:sz="6" w:space="0" w:color="000000"/>
            </w:tcBorders>
          </w:tcPr>
          <w:p>
            <w:pPr/>
          </w:p>
        </w:tc>
        <w:tc>
          <w:tcPr>
            <w:tcW w:w="56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独立董事候选人声明（赵立三）</w:t>
            </w:r>
          </w:p>
        </w:tc>
        <w:tc>
          <w:tcPr>
            <w:tcW w:w="992" w:type="dxa"/>
            <w:tcBorders>
              <w:top w:val="single" w:sz="6" w:space="0" w:color="000000"/>
              <w:left w:val="single" w:sz="6" w:space="0" w:color="000000"/>
              <w:bottom w:val="single" w:sz="6" w:space="0" w:color="000000"/>
              <w:right w:val="single" w:sz="6" w:space="0" w:color="000000"/>
            </w:tcBorders>
          </w:tcPr>
          <w:p>
            <w:pPr/>
          </w:p>
        </w:tc>
        <w:tc>
          <w:tcPr>
            <w:tcW w:w="991" w:type="dxa"/>
            <w:vMerge/>
            <w:tcBorders>
              <w:left w:val="single" w:sz="6" w:space="0" w:color="000000"/>
              <w:right w:val="single" w:sz="6" w:space="0" w:color="000000"/>
            </w:tcBorders>
          </w:tcPr>
          <w:p>
            <w:pPr/>
          </w:p>
        </w:tc>
      </w:tr>
      <w:tr>
        <w:trPr>
          <w:trHeight w:val="348" w:hRule="exact"/>
        </w:trPr>
        <w:tc>
          <w:tcPr>
            <w:tcW w:w="568" w:type="dxa"/>
            <w:vMerge/>
            <w:tcBorders>
              <w:left w:val="single" w:sz="6" w:space="0" w:color="000000"/>
              <w:right w:val="single" w:sz="6" w:space="0" w:color="000000"/>
            </w:tcBorders>
          </w:tcPr>
          <w:p>
            <w:pPr/>
          </w:p>
        </w:tc>
        <w:tc>
          <w:tcPr>
            <w:tcW w:w="992" w:type="dxa"/>
            <w:vMerge/>
            <w:tcBorders>
              <w:left w:val="single" w:sz="6" w:space="0" w:color="000000"/>
              <w:right w:val="single" w:sz="6" w:space="0" w:color="000000"/>
            </w:tcBorders>
          </w:tcPr>
          <w:p>
            <w:pPr/>
          </w:p>
        </w:tc>
        <w:tc>
          <w:tcPr>
            <w:tcW w:w="56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独立董事候选人声明（王健）</w:t>
            </w:r>
          </w:p>
        </w:tc>
        <w:tc>
          <w:tcPr>
            <w:tcW w:w="992" w:type="dxa"/>
            <w:tcBorders>
              <w:top w:val="single" w:sz="6" w:space="0" w:color="000000"/>
              <w:left w:val="single" w:sz="6" w:space="0" w:color="000000"/>
              <w:bottom w:val="single" w:sz="6" w:space="0" w:color="000000"/>
              <w:right w:val="single" w:sz="6" w:space="0" w:color="000000"/>
            </w:tcBorders>
          </w:tcPr>
          <w:p>
            <w:pPr/>
          </w:p>
        </w:tc>
        <w:tc>
          <w:tcPr>
            <w:tcW w:w="991" w:type="dxa"/>
            <w:vMerge/>
            <w:tcBorders>
              <w:left w:val="single" w:sz="6" w:space="0" w:color="000000"/>
              <w:right w:val="single" w:sz="6" w:space="0" w:color="000000"/>
            </w:tcBorders>
          </w:tcPr>
          <w:p>
            <w:pPr/>
          </w:p>
        </w:tc>
      </w:tr>
      <w:tr>
        <w:trPr>
          <w:trHeight w:val="347" w:hRule="exact"/>
        </w:trPr>
        <w:tc>
          <w:tcPr>
            <w:tcW w:w="568" w:type="dxa"/>
            <w:vMerge/>
            <w:tcBorders>
              <w:left w:val="single" w:sz="6" w:space="0" w:color="000000"/>
              <w:bottom w:val="single" w:sz="6" w:space="0" w:color="000000"/>
              <w:right w:val="single" w:sz="6" w:space="0" w:color="000000"/>
            </w:tcBorders>
          </w:tcPr>
          <w:p>
            <w:pPr/>
          </w:p>
        </w:tc>
        <w:tc>
          <w:tcPr>
            <w:tcW w:w="992" w:type="dxa"/>
            <w:vMerge/>
            <w:tcBorders>
              <w:left w:val="single" w:sz="6" w:space="0" w:color="000000"/>
              <w:bottom w:val="single" w:sz="6" w:space="0" w:color="000000"/>
              <w:right w:val="single" w:sz="6" w:space="0" w:color="000000"/>
            </w:tcBorders>
          </w:tcPr>
          <w:p>
            <w:pPr/>
          </w:p>
        </w:tc>
        <w:tc>
          <w:tcPr>
            <w:tcW w:w="56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宋体" w:hAnsi="宋体" w:cs="宋体" w:eastAsia="宋体" w:hint="default"/>
                <w:sz w:val="18"/>
                <w:szCs w:val="18"/>
              </w:rPr>
              <w:t>年年度审计报告</w:t>
            </w:r>
          </w:p>
        </w:tc>
        <w:tc>
          <w:tcPr>
            <w:tcW w:w="992" w:type="dxa"/>
            <w:tcBorders>
              <w:top w:val="single" w:sz="6" w:space="0" w:color="000000"/>
              <w:left w:val="single" w:sz="6" w:space="0" w:color="000000"/>
              <w:bottom w:val="single" w:sz="6" w:space="0" w:color="000000"/>
              <w:right w:val="single" w:sz="6" w:space="0" w:color="000000"/>
            </w:tcBorders>
          </w:tcPr>
          <w:p>
            <w:pPr/>
          </w:p>
        </w:tc>
        <w:tc>
          <w:tcPr>
            <w:tcW w:w="991" w:type="dxa"/>
            <w:vMerge/>
            <w:tcBorders>
              <w:left w:val="single" w:sz="6" w:space="0" w:color="000000"/>
              <w:bottom w:val="single" w:sz="6" w:space="0" w:color="000000"/>
              <w:right w:val="single" w:sz="6" w:space="0" w:color="000000"/>
            </w:tcBorders>
          </w:tcPr>
          <w:p>
            <w:pPr/>
          </w:p>
        </w:tc>
      </w:tr>
      <w:tr>
        <w:trPr>
          <w:trHeight w:val="347" w:hRule="exact"/>
        </w:trPr>
        <w:tc>
          <w:tcPr>
            <w:tcW w:w="5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89"/>
              <w:jc w:val="right"/>
              <w:rPr>
                <w:rFonts w:ascii="Times New Roman" w:hAnsi="Times New Roman" w:cs="Times New Roman" w:eastAsia="Times New Roman" w:hint="default"/>
                <w:sz w:val="18"/>
                <w:szCs w:val="18"/>
              </w:rPr>
            </w:pPr>
            <w:r>
              <w:rPr>
                <w:rFonts w:ascii="Times New Roman"/>
                <w:sz w:val="18"/>
              </w:rPr>
              <w:t>16</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2017-04-27</w:t>
            </w:r>
          </w:p>
        </w:tc>
        <w:tc>
          <w:tcPr>
            <w:tcW w:w="56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股票交易异常波动公告</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42" w:right="0"/>
              <w:jc w:val="left"/>
              <w:rPr>
                <w:rFonts w:ascii="Times New Roman" w:hAnsi="Times New Roman" w:cs="Times New Roman" w:eastAsia="Times New Roman" w:hint="default"/>
                <w:sz w:val="18"/>
                <w:szCs w:val="18"/>
              </w:rPr>
            </w:pPr>
            <w:r>
              <w:rPr>
                <w:rFonts w:ascii="Times New Roman"/>
                <w:sz w:val="18"/>
              </w:rPr>
              <w:t>2017-024</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347" w:hRule="exact"/>
        </w:trPr>
        <w:tc>
          <w:tcPr>
            <w:tcW w:w="5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89"/>
              <w:jc w:val="right"/>
              <w:rPr>
                <w:rFonts w:ascii="Times New Roman" w:hAnsi="Times New Roman" w:cs="Times New Roman" w:eastAsia="Times New Roman" w:hint="default"/>
                <w:sz w:val="18"/>
                <w:szCs w:val="18"/>
              </w:rPr>
            </w:pPr>
            <w:r>
              <w:rPr>
                <w:rFonts w:ascii="Times New Roman"/>
                <w:sz w:val="18"/>
              </w:rPr>
              <w:t>17</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2017-05-10</w:t>
            </w:r>
          </w:p>
        </w:tc>
        <w:tc>
          <w:tcPr>
            <w:tcW w:w="56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关于参加河北辖区 </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年度投资者网上集体接待日活动的</w:t>
            </w:r>
            <w:r>
              <w:rPr>
                <w:rFonts w:ascii="宋体" w:hAnsi="宋体" w:cs="宋体" w:eastAsia="宋体" w:hint="default"/>
                <w:spacing w:val="-54"/>
                <w:sz w:val="18"/>
                <w:szCs w:val="18"/>
              </w:rPr>
              <w:t> </w:t>
            </w:r>
            <w:r>
              <w:rPr>
                <w:rFonts w:ascii="宋体" w:hAnsi="宋体" w:cs="宋体" w:eastAsia="宋体" w:hint="default"/>
                <w:sz w:val="18"/>
                <w:szCs w:val="18"/>
              </w:rPr>
              <w:t>公告</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42" w:right="0"/>
              <w:jc w:val="left"/>
              <w:rPr>
                <w:rFonts w:ascii="Times New Roman" w:hAnsi="Times New Roman" w:cs="Times New Roman" w:eastAsia="Times New Roman" w:hint="default"/>
                <w:sz w:val="18"/>
                <w:szCs w:val="18"/>
              </w:rPr>
            </w:pPr>
            <w:r>
              <w:rPr>
                <w:rFonts w:ascii="Times New Roman"/>
                <w:sz w:val="18"/>
              </w:rPr>
              <w:t>2017-025</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347" w:hRule="exact"/>
        </w:trPr>
        <w:tc>
          <w:tcPr>
            <w:tcW w:w="5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89"/>
              <w:jc w:val="right"/>
              <w:rPr>
                <w:rFonts w:ascii="Times New Roman" w:hAnsi="Times New Roman" w:cs="Times New Roman" w:eastAsia="Times New Roman" w:hint="default"/>
                <w:sz w:val="18"/>
                <w:szCs w:val="18"/>
              </w:rPr>
            </w:pPr>
            <w:r>
              <w:rPr>
                <w:rFonts w:ascii="Times New Roman"/>
                <w:sz w:val="18"/>
              </w:rPr>
              <w:t>18</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2017-05-19</w:t>
            </w:r>
          </w:p>
        </w:tc>
        <w:tc>
          <w:tcPr>
            <w:tcW w:w="56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换届选举职工代表监事的公告</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42" w:right="0"/>
              <w:jc w:val="left"/>
              <w:rPr>
                <w:rFonts w:ascii="Times New Roman" w:hAnsi="Times New Roman" w:cs="Times New Roman" w:eastAsia="Times New Roman" w:hint="default"/>
                <w:sz w:val="18"/>
                <w:szCs w:val="18"/>
              </w:rPr>
            </w:pPr>
            <w:r>
              <w:rPr>
                <w:rFonts w:ascii="Times New Roman"/>
                <w:sz w:val="18"/>
              </w:rPr>
              <w:t>2017-026</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347" w:hRule="exact"/>
        </w:trPr>
        <w:tc>
          <w:tcPr>
            <w:tcW w:w="568" w:type="dxa"/>
            <w:vMerge w:val="restart"/>
            <w:tcBorders>
              <w:top w:val="single" w:sz="6" w:space="0" w:color="000000"/>
              <w:left w:val="single" w:sz="6" w:space="0" w:color="000000"/>
              <w:right w:val="single" w:sz="6" w:space="0" w:color="000000"/>
            </w:tcBorders>
          </w:tcPr>
          <w:p>
            <w:pPr/>
          </w:p>
        </w:tc>
        <w:tc>
          <w:tcPr>
            <w:tcW w:w="992" w:type="dxa"/>
            <w:vMerge w:val="restart"/>
            <w:tcBorders>
              <w:top w:val="single" w:sz="6" w:space="0" w:color="000000"/>
              <w:left w:val="single" w:sz="6" w:space="0" w:color="000000"/>
              <w:right w:val="single" w:sz="6" w:space="0" w:color="000000"/>
            </w:tcBorders>
          </w:tcPr>
          <w:p>
            <w:pPr/>
          </w:p>
        </w:tc>
        <w:tc>
          <w:tcPr>
            <w:tcW w:w="56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6"/>
                <w:sz w:val="18"/>
                <w:szCs w:val="18"/>
              </w:rPr>
              <w:t> </w:t>
            </w:r>
            <w:r>
              <w:rPr>
                <w:rFonts w:ascii="宋体" w:hAnsi="宋体" w:cs="宋体" w:eastAsia="宋体" w:hint="default"/>
                <w:sz w:val="18"/>
                <w:szCs w:val="18"/>
              </w:rPr>
              <w:t>年度股东大会决议公告</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42" w:right="0"/>
              <w:jc w:val="left"/>
              <w:rPr>
                <w:rFonts w:ascii="Times New Roman" w:hAnsi="Times New Roman" w:cs="Times New Roman" w:eastAsia="Times New Roman" w:hint="default"/>
                <w:sz w:val="18"/>
                <w:szCs w:val="18"/>
              </w:rPr>
            </w:pPr>
            <w:r>
              <w:rPr>
                <w:rFonts w:ascii="Times New Roman"/>
                <w:sz w:val="18"/>
              </w:rPr>
              <w:t>2017-027</w:t>
            </w:r>
          </w:p>
        </w:tc>
        <w:tc>
          <w:tcPr>
            <w:tcW w:w="991" w:type="dxa"/>
            <w:vMerge w:val="restart"/>
            <w:tcBorders>
              <w:top w:val="single" w:sz="6" w:space="0" w:color="000000"/>
              <w:left w:val="single" w:sz="6" w:space="0" w:color="000000"/>
              <w:right w:val="single" w:sz="6" w:space="0" w:color="000000"/>
            </w:tcBorders>
          </w:tcPr>
          <w:p>
            <w:pPr/>
          </w:p>
        </w:tc>
      </w:tr>
      <w:tr>
        <w:trPr>
          <w:trHeight w:val="348" w:hRule="exact"/>
        </w:trPr>
        <w:tc>
          <w:tcPr>
            <w:tcW w:w="568" w:type="dxa"/>
            <w:vMerge/>
            <w:tcBorders>
              <w:left w:val="single" w:sz="6" w:space="0" w:color="000000"/>
              <w:bottom w:val="single" w:sz="6" w:space="0" w:color="000000"/>
              <w:right w:val="single" w:sz="6" w:space="0" w:color="000000"/>
            </w:tcBorders>
          </w:tcPr>
          <w:p>
            <w:pPr/>
          </w:p>
        </w:tc>
        <w:tc>
          <w:tcPr>
            <w:tcW w:w="992" w:type="dxa"/>
            <w:vMerge/>
            <w:tcBorders>
              <w:left w:val="single" w:sz="6" w:space="0" w:color="000000"/>
              <w:bottom w:val="single" w:sz="6" w:space="0" w:color="000000"/>
              <w:right w:val="single" w:sz="6" w:space="0" w:color="000000"/>
            </w:tcBorders>
          </w:tcPr>
          <w:p>
            <w:pPr/>
          </w:p>
        </w:tc>
        <w:tc>
          <w:tcPr>
            <w:tcW w:w="56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第三届董事会第一次会议决议公告</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42" w:right="0"/>
              <w:jc w:val="left"/>
              <w:rPr>
                <w:rFonts w:ascii="Times New Roman" w:hAnsi="Times New Roman" w:cs="Times New Roman" w:eastAsia="Times New Roman" w:hint="default"/>
                <w:sz w:val="18"/>
                <w:szCs w:val="18"/>
              </w:rPr>
            </w:pPr>
            <w:r>
              <w:rPr>
                <w:rFonts w:ascii="Times New Roman"/>
                <w:sz w:val="18"/>
              </w:rPr>
              <w:t>2017-028</w:t>
            </w:r>
          </w:p>
        </w:tc>
        <w:tc>
          <w:tcPr>
            <w:tcW w:w="991" w:type="dxa"/>
            <w:vMerge/>
            <w:tcBorders>
              <w:left w:val="single" w:sz="6" w:space="0" w:color="000000"/>
              <w:bottom w:val="single" w:sz="6" w:space="0" w:color="000000"/>
              <w:right w:val="single" w:sz="6" w:space="0" w:color="000000"/>
            </w:tcBorders>
          </w:tcPr>
          <w:p>
            <w:pPr/>
          </w:p>
        </w:tc>
      </w:tr>
    </w:tbl>
    <w:p>
      <w:pPr>
        <w:spacing w:after="0"/>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6" w:type="dxa"/>
        <w:tblLayout w:type="fixed"/>
        <w:tblCellMar>
          <w:top w:w="0" w:type="dxa"/>
          <w:left w:w="0" w:type="dxa"/>
          <w:bottom w:w="0" w:type="dxa"/>
          <w:right w:w="0" w:type="dxa"/>
        </w:tblCellMar>
        <w:tblLook w:val="01E0"/>
      </w:tblPr>
      <w:tblGrid>
        <w:gridCol w:w="568"/>
        <w:gridCol w:w="992"/>
        <w:gridCol w:w="5671"/>
        <w:gridCol w:w="992"/>
        <w:gridCol w:w="991"/>
      </w:tblGrid>
      <w:tr>
        <w:trPr>
          <w:trHeight w:val="347" w:hRule="exact"/>
        </w:trPr>
        <w:tc>
          <w:tcPr>
            <w:tcW w:w="568" w:type="dxa"/>
            <w:vMerge w:val="restart"/>
            <w:tcBorders>
              <w:top w:val="single" w:sz="6" w:space="0" w:color="000000"/>
              <w:left w:val="single" w:sz="6" w:space="0" w:color="000000"/>
              <w:right w:val="single" w:sz="6" w:space="0" w:color="000000"/>
            </w:tcBorders>
          </w:tcPr>
          <w:p>
            <w:pPr>
              <w:pStyle w:val="TableParagraph"/>
              <w:spacing w:line="240" w:lineRule="auto" w:before="61"/>
              <w:ind w:left="182" w:right="0"/>
              <w:jc w:val="left"/>
              <w:rPr>
                <w:rFonts w:ascii="Times New Roman" w:hAnsi="Times New Roman" w:cs="Times New Roman" w:eastAsia="Times New Roman" w:hint="default"/>
                <w:sz w:val="18"/>
                <w:szCs w:val="18"/>
              </w:rPr>
            </w:pPr>
            <w:r>
              <w:rPr>
                <w:rFonts w:ascii="Times New Roman"/>
                <w:sz w:val="18"/>
              </w:rPr>
              <w:t>19</w:t>
            </w:r>
          </w:p>
        </w:tc>
        <w:tc>
          <w:tcPr>
            <w:tcW w:w="992" w:type="dxa"/>
            <w:vMerge w:val="restart"/>
            <w:tcBorders>
              <w:top w:val="single" w:sz="6" w:space="0" w:color="000000"/>
              <w:left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2017-05-22</w:t>
            </w:r>
          </w:p>
        </w:tc>
        <w:tc>
          <w:tcPr>
            <w:tcW w:w="56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第三届监事会第一次会议决议公告</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42" w:right="0"/>
              <w:jc w:val="left"/>
              <w:rPr>
                <w:rFonts w:ascii="Times New Roman" w:hAnsi="Times New Roman" w:cs="Times New Roman" w:eastAsia="Times New Roman" w:hint="default"/>
                <w:sz w:val="18"/>
                <w:szCs w:val="18"/>
              </w:rPr>
            </w:pPr>
            <w:r>
              <w:rPr>
                <w:rFonts w:ascii="Times New Roman"/>
                <w:sz w:val="18"/>
              </w:rPr>
              <w:t>2017-029</w:t>
            </w:r>
          </w:p>
        </w:tc>
        <w:tc>
          <w:tcPr>
            <w:tcW w:w="991" w:type="dxa"/>
            <w:vMerge w:val="restart"/>
            <w:tcBorders>
              <w:top w:val="single" w:sz="6" w:space="0" w:color="000000"/>
              <w:left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347" w:hRule="exact"/>
        </w:trPr>
        <w:tc>
          <w:tcPr>
            <w:tcW w:w="568" w:type="dxa"/>
            <w:vMerge/>
            <w:tcBorders>
              <w:left w:val="single" w:sz="6" w:space="0" w:color="000000"/>
              <w:right w:val="single" w:sz="6" w:space="0" w:color="000000"/>
            </w:tcBorders>
          </w:tcPr>
          <w:p>
            <w:pPr/>
          </w:p>
        </w:tc>
        <w:tc>
          <w:tcPr>
            <w:tcW w:w="992" w:type="dxa"/>
            <w:vMerge/>
            <w:tcBorders>
              <w:left w:val="single" w:sz="6" w:space="0" w:color="000000"/>
              <w:right w:val="single" w:sz="6" w:space="0" w:color="000000"/>
            </w:tcBorders>
          </w:tcPr>
          <w:p>
            <w:pPr/>
          </w:p>
        </w:tc>
        <w:tc>
          <w:tcPr>
            <w:tcW w:w="56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独立董事对聘任公司高级管理人员的独立意见</w:t>
            </w:r>
          </w:p>
        </w:tc>
        <w:tc>
          <w:tcPr>
            <w:tcW w:w="992" w:type="dxa"/>
            <w:tcBorders>
              <w:top w:val="single" w:sz="6" w:space="0" w:color="000000"/>
              <w:left w:val="single" w:sz="6" w:space="0" w:color="000000"/>
              <w:bottom w:val="single" w:sz="6" w:space="0" w:color="000000"/>
              <w:right w:val="single" w:sz="6" w:space="0" w:color="000000"/>
            </w:tcBorders>
          </w:tcPr>
          <w:p>
            <w:pPr/>
          </w:p>
        </w:tc>
        <w:tc>
          <w:tcPr>
            <w:tcW w:w="991" w:type="dxa"/>
            <w:vMerge/>
            <w:tcBorders>
              <w:left w:val="single" w:sz="6" w:space="0" w:color="000000"/>
              <w:right w:val="single" w:sz="6" w:space="0" w:color="000000"/>
            </w:tcBorders>
          </w:tcPr>
          <w:p>
            <w:pPr/>
          </w:p>
        </w:tc>
      </w:tr>
      <w:tr>
        <w:trPr>
          <w:trHeight w:val="348" w:hRule="exact"/>
        </w:trPr>
        <w:tc>
          <w:tcPr>
            <w:tcW w:w="568" w:type="dxa"/>
            <w:vMerge/>
            <w:tcBorders>
              <w:left w:val="single" w:sz="6" w:space="0" w:color="000000"/>
              <w:bottom w:val="single" w:sz="6" w:space="0" w:color="000000"/>
              <w:right w:val="single" w:sz="6" w:space="0" w:color="000000"/>
            </w:tcBorders>
          </w:tcPr>
          <w:p>
            <w:pPr/>
          </w:p>
        </w:tc>
        <w:tc>
          <w:tcPr>
            <w:tcW w:w="992" w:type="dxa"/>
            <w:vMerge/>
            <w:tcBorders>
              <w:left w:val="single" w:sz="6" w:space="0" w:color="000000"/>
              <w:bottom w:val="single" w:sz="6" w:space="0" w:color="000000"/>
              <w:right w:val="single" w:sz="6" w:space="0" w:color="000000"/>
            </w:tcBorders>
          </w:tcPr>
          <w:p>
            <w:pPr/>
          </w:p>
        </w:tc>
        <w:tc>
          <w:tcPr>
            <w:tcW w:w="56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宋体" w:hAnsi="宋体" w:cs="宋体" w:eastAsia="宋体" w:hint="default"/>
                <w:sz w:val="18"/>
                <w:szCs w:val="18"/>
              </w:rPr>
              <w:t>年年度股东大会法律意见书</w:t>
            </w:r>
          </w:p>
        </w:tc>
        <w:tc>
          <w:tcPr>
            <w:tcW w:w="992" w:type="dxa"/>
            <w:tcBorders>
              <w:top w:val="single" w:sz="6" w:space="0" w:color="000000"/>
              <w:left w:val="single" w:sz="6" w:space="0" w:color="000000"/>
              <w:bottom w:val="single" w:sz="6" w:space="0" w:color="000000"/>
              <w:right w:val="single" w:sz="6" w:space="0" w:color="000000"/>
            </w:tcBorders>
          </w:tcPr>
          <w:p>
            <w:pPr/>
          </w:p>
        </w:tc>
        <w:tc>
          <w:tcPr>
            <w:tcW w:w="991" w:type="dxa"/>
            <w:vMerge/>
            <w:tcBorders>
              <w:left w:val="single" w:sz="6" w:space="0" w:color="000000"/>
              <w:bottom w:val="single" w:sz="6" w:space="0" w:color="000000"/>
              <w:right w:val="single" w:sz="6" w:space="0" w:color="000000"/>
            </w:tcBorders>
          </w:tcPr>
          <w:p>
            <w:pPr/>
          </w:p>
        </w:tc>
      </w:tr>
      <w:tr>
        <w:trPr>
          <w:trHeight w:val="347" w:hRule="exact"/>
        </w:trPr>
        <w:tc>
          <w:tcPr>
            <w:tcW w:w="5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89"/>
              <w:jc w:val="right"/>
              <w:rPr>
                <w:rFonts w:ascii="Times New Roman" w:hAnsi="Times New Roman" w:cs="Times New Roman" w:eastAsia="Times New Roman" w:hint="default"/>
                <w:sz w:val="18"/>
                <w:szCs w:val="18"/>
              </w:rPr>
            </w:pPr>
            <w:r>
              <w:rPr>
                <w:rFonts w:ascii="Times New Roman"/>
                <w:sz w:val="18"/>
              </w:rPr>
              <w:t>20</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left"/>
              <w:rPr>
                <w:rFonts w:ascii="Times New Roman" w:hAnsi="Times New Roman" w:cs="Times New Roman" w:eastAsia="Times New Roman" w:hint="default"/>
                <w:sz w:val="18"/>
                <w:szCs w:val="18"/>
              </w:rPr>
            </w:pPr>
            <w:r>
              <w:rPr>
                <w:rFonts w:ascii="Times New Roman"/>
                <w:sz w:val="18"/>
              </w:rPr>
              <w:t>2017-05-25</w:t>
            </w:r>
          </w:p>
        </w:tc>
        <w:tc>
          <w:tcPr>
            <w:tcW w:w="56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关于控股股东办理股票质押式回购交易及部分质押股份解质押的公告</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142" w:right="0"/>
              <w:jc w:val="left"/>
              <w:rPr>
                <w:rFonts w:ascii="Times New Roman" w:hAnsi="Times New Roman" w:cs="Times New Roman" w:eastAsia="Times New Roman" w:hint="default"/>
                <w:sz w:val="18"/>
                <w:szCs w:val="18"/>
              </w:rPr>
            </w:pPr>
            <w:r>
              <w:rPr>
                <w:rFonts w:ascii="Times New Roman"/>
                <w:sz w:val="18"/>
              </w:rPr>
              <w:t>2017-030</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347" w:hRule="exact"/>
        </w:trPr>
        <w:tc>
          <w:tcPr>
            <w:tcW w:w="5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89"/>
              <w:jc w:val="right"/>
              <w:rPr>
                <w:rFonts w:ascii="Times New Roman" w:hAnsi="Times New Roman" w:cs="Times New Roman" w:eastAsia="Times New Roman" w:hint="default"/>
                <w:sz w:val="18"/>
                <w:szCs w:val="18"/>
              </w:rPr>
            </w:pPr>
            <w:r>
              <w:rPr>
                <w:rFonts w:ascii="Times New Roman"/>
                <w:sz w:val="18"/>
              </w:rPr>
              <w:t>21</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2017-06-17</w:t>
            </w:r>
          </w:p>
        </w:tc>
        <w:tc>
          <w:tcPr>
            <w:tcW w:w="56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关于获得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年河北省政府质量奖的公告</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42" w:right="0"/>
              <w:jc w:val="left"/>
              <w:rPr>
                <w:rFonts w:ascii="Times New Roman" w:hAnsi="Times New Roman" w:cs="Times New Roman" w:eastAsia="Times New Roman" w:hint="default"/>
                <w:sz w:val="18"/>
                <w:szCs w:val="18"/>
              </w:rPr>
            </w:pPr>
            <w:r>
              <w:rPr>
                <w:rFonts w:ascii="Times New Roman"/>
                <w:sz w:val="18"/>
              </w:rPr>
              <w:t>2017-031</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347" w:hRule="exact"/>
        </w:trPr>
        <w:tc>
          <w:tcPr>
            <w:tcW w:w="5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89"/>
              <w:jc w:val="right"/>
              <w:rPr>
                <w:rFonts w:ascii="Times New Roman" w:hAnsi="Times New Roman" w:cs="Times New Roman" w:eastAsia="Times New Roman" w:hint="default"/>
                <w:sz w:val="18"/>
                <w:szCs w:val="18"/>
              </w:rPr>
            </w:pPr>
            <w:r>
              <w:rPr>
                <w:rFonts w:ascii="Times New Roman"/>
                <w:sz w:val="18"/>
              </w:rPr>
              <w:t>22</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2017-06-26</w:t>
            </w:r>
          </w:p>
        </w:tc>
        <w:tc>
          <w:tcPr>
            <w:tcW w:w="56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6"/>
                <w:sz w:val="18"/>
                <w:szCs w:val="18"/>
              </w:rPr>
              <w:t> </w:t>
            </w:r>
            <w:r>
              <w:rPr>
                <w:rFonts w:ascii="宋体" w:hAnsi="宋体" w:cs="宋体" w:eastAsia="宋体" w:hint="default"/>
                <w:sz w:val="18"/>
                <w:szCs w:val="18"/>
              </w:rPr>
              <w:t>年度权益分派实施公告</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42" w:right="0"/>
              <w:jc w:val="left"/>
              <w:rPr>
                <w:rFonts w:ascii="Times New Roman" w:hAnsi="Times New Roman" w:cs="Times New Roman" w:eastAsia="Times New Roman" w:hint="default"/>
                <w:sz w:val="18"/>
                <w:szCs w:val="18"/>
              </w:rPr>
            </w:pPr>
            <w:r>
              <w:rPr>
                <w:rFonts w:ascii="Times New Roman"/>
                <w:sz w:val="18"/>
              </w:rPr>
              <w:t>2017-032</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347" w:hRule="exact"/>
        </w:trPr>
        <w:tc>
          <w:tcPr>
            <w:tcW w:w="5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89"/>
              <w:jc w:val="right"/>
              <w:rPr>
                <w:rFonts w:ascii="Times New Roman" w:hAnsi="Times New Roman" w:cs="Times New Roman" w:eastAsia="Times New Roman" w:hint="default"/>
                <w:sz w:val="18"/>
                <w:szCs w:val="18"/>
              </w:rPr>
            </w:pPr>
            <w:r>
              <w:rPr>
                <w:rFonts w:ascii="Times New Roman"/>
                <w:sz w:val="18"/>
              </w:rPr>
              <w:t>23</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2017-07-13</w:t>
            </w:r>
          </w:p>
        </w:tc>
        <w:tc>
          <w:tcPr>
            <w:tcW w:w="56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年半年度业绩预告</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42" w:right="0"/>
              <w:jc w:val="left"/>
              <w:rPr>
                <w:rFonts w:ascii="Times New Roman" w:hAnsi="Times New Roman" w:cs="Times New Roman" w:eastAsia="Times New Roman" w:hint="default"/>
                <w:sz w:val="18"/>
                <w:szCs w:val="18"/>
              </w:rPr>
            </w:pPr>
            <w:r>
              <w:rPr>
                <w:rFonts w:ascii="Times New Roman"/>
                <w:sz w:val="18"/>
              </w:rPr>
              <w:t>2017-033</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347" w:hRule="exact"/>
        </w:trPr>
        <w:tc>
          <w:tcPr>
            <w:tcW w:w="568" w:type="dxa"/>
            <w:vMerge w:val="restart"/>
            <w:tcBorders>
              <w:top w:val="single" w:sz="6" w:space="0" w:color="000000"/>
              <w:left w:val="single" w:sz="6" w:space="0" w:color="000000"/>
              <w:right w:val="single" w:sz="6" w:space="0" w:color="000000"/>
            </w:tcBorders>
          </w:tcPr>
          <w:p>
            <w:pPr>
              <w:pStyle w:val="TableParagraph"/>
              <w:spacing w:line="240" w:lineRule="auto" w:before="61"/>
              <w:ind w:left="182" w:right="0"/>
              <w:jc w:val="left"/>
              <w:rPr>
                <w:rFonts w:ascii="Times New Roman" w:hAnsi="Times New Roman" w:cs="Times New Roman" w:eastAsia="Times New Roman" w:hint="default"/>
                <w:sz w:val="18"/>
                <w:szCs w:val="18"/>
              </w:rPr>
            </w:pPr>
            <w:r>
              <w:rPr>
                <w:rFonts w:ascii="Times New Roman"/>
                <w:sz w:val="18"/>
              </w:rPr>
              <w:t>24</w:t>
            </w:r>
          </w:p>
        </w:tc>
        <w:tc>
          <w:tcPr>
            <w:tcW w:w="992" w:type="dxa"/>
            <w:vMerge w:val="restart"/>
            <w:tcBorders>
              <w:top w:val="single" w:sz="6" w:space="0" w:color="000000"/>
              <w:left w:val="single" w:sz="6" w:space="0" w:color="000000"/>
              <w:right w:val="single" w:sz="6" w:space="0" w:color="000000"/>
            </w:tcBorders>
          </w:tcPr>
          <w:p>
            <w:pPr>
              <w:pStyle w:val="TableParagraph"/>
              <w:spacing w:line="240" w:lineRule="auto" w:before="61"/>
              <w:ind w:left="68" w:right="0"/>
              <w:jc w:val="left"/>
              <w:rPr>
                <w:rFonts w:ascii="Times New Roman" w:hAnsi="Times New Roman" w:cs="Times New Roman" w:eastAsia="Times New Roman" w:hint="default"/>
                <w:sz w:val="18"/>
                <w:szCs w:val="18"/>
              </w:rPr>
            </w:pPr>
            <w:r>
              <w:rPr>
                <w:rFonts w:ascii="Times New Roman"/>
                <w:sz w:val="18"/>
              </w:rPr>
              <w:t>2017-08-10</w:t>
            </w:r>
          </w:p>
        </w:tc>
        <w:tc>
          <w:tcPr>
            <w:tcW w:w="56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关于控股股东、部分董事减持股份的预披露公告</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42" w:right="0"/>
              <w:jc w:val="left"/>
              <w:rPr>
                <w:rFonts w:ascii="Times New Roman" w:hAnsi="Times New Roman" w:cs="Times New Roman" w:eastAsia="Times New Roman" w:hint="default"/>
                <w:sz w:val="18"/>
                <w:szCs w:val="18"/>
              </w:rPr>
            </w:pPr>
            <w:r>
              <w:rPr>
                <w:rFonts w:ascii="Times New Roman"/>
                <w:sz w:val="18"/>
              </w:rPr>
              <w:t>2017-034</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348" w:hRule="exact"/>
        </w:trPr>
        <w:tc>
          <w:tcPr>
            <w:tcW w:w="568" w:type="dxa"/>
            <w:vMerge/>
            <w:tcBorders>
              <w:left w:val="single" w:sz="6" w:space="0" w:color="000000"/>
              <w:bottom w:val="single" w:sz="6" w:space="0" w:color="000000"/>
              <w:right w:val="single" w:sz="6" w:space="0" w:color="000000"/>
            </w:tcBorders>
          </w:tcPr>
          <w:p>
            <w:pPr/>
          </w:p>
        </w:tc>
        <w:tc>
          <w:tcPr>
            <w:tcW w:w="992" w:type="dxa"/>
            <w:vMerge/>
            <w:tcBorders>
              <w:left w:val="single" w:sz="6" w:space="0" w:color="000000"/>
              <w:bottom w:val="single" w:sz="6" w:space="0" w:color="000000"/>
              <w:right w:val="single" w:sz="6" w:space="0" w:color="000000"/>
            </w:tcBorders>
          </w:tcPr>
          <w:p>
            <w:pPr/>
          </w:p>
        </w:tc>
        <w:tc>
          <w:tcPr>
            <w:tcW w:w="56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关于收到政府补助的公告</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42" w:right="0"/>
              <w:jc w:val="left"/>
              <w:rPr>
                <w:rFonts w:ascii="Times New Roman" w:hAnsi="Times New Roman" w:cs="Times New Roman" w:eastAsia="Times New Roman" w:hint="default"/>
                <w:sz w:val="18"/>
                <w:szCs w:val="18"/>
              </w:rPr>
            </w:pPr>
            <w:r>
              <w:rPr>
                <w:rFonts w:ascii="Times New Roman"/>
                <w:sz w:val="18"/>
              </w:rPr>
              <w:t>2017-035</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347" w:hRule="exact"/>
        </w:trPr>
        <w:tc>
          <w:tcPr>
            <w:tcW w:w="568" w:type="dxa"/>
            <w:vMerge w:val="restart"/>
            <w:tcBorders>
              <w:top w:val="single" w:sz="6" w:space="0" w:color="000000"/>
              <w:left w:val="single" w:sz="6" w:space="0" w:color="000000"/>
              <w:right w:val="single" w:sz="6" w:space="0" w:color="000000"/>
            </w:tcBorders>
          </w:tcPr>
          <w:p>
            <w:pPr>
              <w:pStyle w:val="TableParagraph"/>
              <w:spacing w:line="240" w:lineRule="auto" w:before="60"/>
              <w:ind w:left="182" w:right="0"/>
              <w:jc w:val="left"/>
              <w:rPr>
                <w:rFonts w:ascii="Times New Roman" w:hAnsi="Times New Roman" w:cs="Times New Roman" w:eastAsia="Times New Roman" w:hint="default"/>
                <w:sz w:val="18"/>
                <w:szCs w:val="18"/>
              </w:rPr>
            </w:pPr>
            <w:r>
              <w:rPr>
                <w:rFonts w:ascii="Times New Roman"/>
                <w:sz w:val="18"/>
              </w:rPr>
              <w:t>25</w:t>
            </w:r>
          </w:p>
        </w:tc>
        <w:tc>
          <w:tcPr>
            <w:tcW w:w="992" w:type="dxa"/>
            <w:vMerge w:val="restart"/>
            <w:tcBorders>
              <w:top w:val="single" w:sz="6" w:space="0" w:color="000000"/>
              <w:left w:val="single" w:sz="6" w:space="0" w:color="000000"/>
              <w:right w:val="single" w:sz="6" w:space="0" w:color="000000"/>
            </w:tcBorders>
          </w:tcPr>
          <w:p>
            <w:pPr>
              <w:pStyle w:val="TableParagraph"/>
              <w:spacing w:line="240" w:lineRule="auto" w:before="60"/>
              <w:ind w:left="68" w:right="0"/>
              <w:jc w:val="left"/>
              <w:rPr>
                <w:rFonts w:ascii="Times New Roman" w:hAnsi="Times New Roman" w:cs="Times New Roman" w:eastAsia="Times New Roman" w:hint="default"/>
                <w:sz w:val="18"/>
                <w:szCs w:val="18"/>
              </w:rPr>
            </w:pPr>
            <w:r>
              <w:rPr>
                <w:rFonts w:ascii="Times New Roman"/>
                <w:sz w:val="18"/>
              </w:rPr>
              <w:t>2017-08-26</w:t>
            </w:r>
          </w:p>
        </w:tc>
        <w:tc>
          <w:tcPr>
            <w:tcW w:w="56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第三届董事会第二次会议决议公告</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142" w:right="0"/>
              <w:jc w:val="left"/>
              <w:rPr>
                <w:rFonts w:ascii="Times New Roman" w:hAnsi="Times New Roman" w:cs="Times New Roman" w:eastAsia="Times New Roman" w:hint="default"/>
                <w:sz w:val="18"/>
                <w:szCs w:val="18"/>
              </w:rPr>
            </w:pPr>
            <w:r>
              <w:rPr>
                <w:rFonts w:ascii="Times New Roman"/>
                <w:sz w:val="18"/>
              </w:rPr>
              <w:t>2017-036</w:t>
            </w:r>
          </w:p>
        </w:tc>
        <w:tc>
          <w:tcPr>
            <w:tcW w:w="991" w:type="dxa"/>
            <w:vMerge w:val="restart"/>
            <w:tcBorders>
              <w:top w:val="single" w:sz="6" w:space="0" w:color="000000"/>
              <w:left w:val="single" w:sz="6" w:space="0" w:color="000000"/>
              <w:right w:val="single" w:sz="6" w:space="0" w:color="000000"/>
            </w:tcBorders>
          </w:tcPr>
          <w:p>
            <w:pPr>
              <w:pStyle w:val="TableParagraph"/>
              <w:spacing w:line="240" w:lineRule="auto" w:before="20"/>
              <w:ind w:left="38"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347" w:hRule="exact"/>
        </w:trPr>
        <w:tc>
          <w:tcPr>
            <w:tcW w:w="568" w:type="dxa"/>
            <w:vMerge/>
            <w:tcBorders>
              <w:left w:val="single" w:sz="6" w:space="0" w:color="000000"/>
              <w:right w:val="single" w:sz="6" w:space="0" w:color="000000"/>
            </w:tcBorders>
          </w:tcPr>
          <w:p>
            <w:pPr/>
          </w:p>
        </w:tc>
        <w:tc>
          <w:tcPr>
            <w:tcW w:w="992" w:type="dxa"/>
            <w:vMerge/>
            <w:tcBorders>
              <w:left w:val="single" w:sz="6" w:space="0" w:color="000000"/>
              <w:right w:val="single" w:sz="6" w:space="0" w:color="000000"/>
            </w:tcBorders>
          </w:tcPr>
          <w:p>
            <w:pPr/>
          </w:p>
        </w:tc>
        <w:tc>
          <w:tcPr>
            <w:tcW w:w="56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关于会计政策变更公告</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42" w:right="0"/>
              <w:jc w:val="left"/>
              <w:rPr>
                <w:rFonts w:ascii="Times New Roman" w:hAnsi="Times New Roman" w:cs="Times New Roman" w:eastAsia="Times New Roman" w:hint="default"/>
                <w:sz w:val="18"/>
                <w:szCs w:val="18"/>
              </w:rPr>
            </w:pPr>
            <w:r>
              <w:rPr>
                <w:rFonts w:ascii="Times New Roman"/>
                <w:sz w:val="18"/>
              </w:rPr>
              <w:t>2017-037</w:t>
            </w:r>
          </w:p>
        </w:tc>
        <w:tc>
          <w:tcPr>
            <w:tcW w:w="991" w:type="dxa"/>
            <w:vMerge/>
            <w:tcBorders>
              <w:left w:val="single" w:sz="6" w:space="0" w:color="000000"/>
              <w:right w:val="single" w:sz="6" w:space="0" w:color="000000"/>
            </w:tcBorders>
          </w:tcPr>
          <w:p>
            <w:pPr/>
          </w:p>
        </w:tc>
      </w:tr>
      <w:tr>
        <w:trPr>
          <w:trHeight w:val="347" w:hRule="exact"/>
        </w:trPr>
        <w:tc>
          <w:tcPr>
            <w:tcW w:w="568" w:type="dxa"/>
            <w:vMerge/>
            <w:tcBorders>
              <w:left w:val="single" w:sz="6" w:space="0" w:color="000000"/>
              <w:right w:val="single" w:sz="6" w:space="0" w:color="000000"/>
            </w:tcBorders>
          </w:tcPr>
          <w:p>
            <w:pPr/>
          </w:p>
        </w:tc>
        <w:tc>
          <w:tcPr>
            <w:tcW w:w="992" w:type="dxa"/>
            <w:vMerge/>
            <w:tcBorders>
              <w:left w:val="single" w:sz="6" w:space="0" w:color="000000"/>
              <w:right w:val="single" w:sz="6" w:space="0" w:color="000000"/>
            </w:tcBorders>
          </w:tcPr>
          <w:p>
            <w:pPr/>
          </w:p>
        </w:tc>
        <w:tc>
          <w:tcPr>
            <w:tcW w:w="56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关于</w:t>
            </w:r>
            <w:r>
              <w:rPr>
                <w:rFonts w:ascii="Times New Roman" w:hAnsi="Times New Roman" w:cs="Times New Roman" w:eastAsia="Times New Roman" w:hint="default"/>
                <w:sz w:val="18"/>
                <w:szCs w:val="18"/>
              </w:rPr>
              <w:t>2017</w:t>
            </w:r>
            <w:r>
              <w:rPr>
                <w:rFonts w:ascii="宋体" w:hAnsi="宋体" w:cs="宋体" w:eastAsia="宋体" w:hint="default"/>
                <w:sz w:val="18"/>
                <w:szCs w:val="18"/>
              </w:rPr>
              <w:t>年半年度报告披露的提示性公告</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42" w:right="0"/>
              <w:jc w:val="left"/>
              <w:rPr>
                <w:rFonts w:ascii="Times New Roman" w:hAnsi="Times New Roman" w:cs="Times New Roman" w:eastAsia="Times New Roman" w:hint="default"/>
                <w:sz w:val="18"/>
                <w:szCs w:val="18"/>
              </w:rPr>
            </w:pPr>
            <w:r>
              <w:rPr>
                <w:rFonts w:ascii="Times New Roman"/>
                <w:sz w:val="18"/>
              </w:rPr>
              <w:t>2017-038</w:t>
            </w:r>
          </w:p>
        </w:tc>
        <w:tc>
          <w:tcPr>
            <w:tcW w:w="991" w:type="dxa"/>
            <w:vMerge/>
            <w:tcBorders>
              <w:left w:val="single" w:sz="6" w:space="0" w:color="000000"/>
              <w:right w:val="single" w:sz="6" w:space="0" w:color="000000"/>
            </w:tcBorders>
          </w:tcPr>
          <w:p>
            <w:pPr/>
          </w:p>
        </w:tc>
      </w:tr>
      <w:tr>
        <w:trPr>
          <w:trHeight w:val="347" w:hRule="exact"/>
        </w:trPr>
        <w:tc>
          <w:tcPr>
            <w:tcW w:w="568" w:type="dxa"/>
            <w:vMerge/>
            <w:tcBorders>
              <w:left w:val="single" w:sz="6" w:space="0" w:color="000000"/>
              <w:right w:val="single" w:sz="6" w:space="0" w:color="000000"/>
            </w:tcBorders>
          </w:tcPr>
          <w:p>
            <w:pPr/>
          </w:p>
        </w:tc>
        <w:tc>
          <w:tcPr>
            <w:tcW w:w="992" w:type="dxa"/>
            <w:vMerge/>
            <w:tcBorders>
              <w:left w:val="single" w:sz="6" w:space="0" w:color="000000"/>
              <w:right w:val="single" w:sz="6" w:space="0" w:color="000000"/>
            </w:tcBorders>
          </w:tcPr>
          <w:p>
            <w:pPr/>
          </w:p>
        </w:tc>
        <w:tc>
          <w:tcPr>
            <w:tcW w:w="56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年半年度报告摘要</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42" w:right="0"/>
              <w:jc w:val="left"/>
              <w:rPr>
                <w:rFonts w:ascii="Times New Roman" w:hAnsi="Times New Roman" w:cs="Times New Roman" w:eastAsia="Times New Roman" w:hint="default"/>
                <w:sz w:val="18"/>
                <w:szCs w:val="18"/>
              </w:rPr>
            </w:pPr>
            <w:r>
              <w:rPr>
                <w:rFonts w:ascii="Times New Roman"/>
                <w:sz w:val="18"/>
              </w:rPr>
              <w:t>2017-039</w:t>
            </w:r>
          </w:p>
        </w:tc>
        <w:tc>
          <w:tcPr>
            <w:tcW w:w="991" w:type="dxa"/>
            <w:vMerge/>
            <w:tcBorders>
              <w:left w:val="single" w:sz="6" w:space="0" w:color="000000"/>
              <w:right w:val="single" w:sz="6" w:space="0" w:color="000000"/>
            </w:tcBorders>
          </w:tcPr>
          <w:p>
            <w:pPr/>
          </w:p>
        </w:tc>
      </w:tr>
      <w:tr>
        <w:trPr>
          <w:trHeight w:val="347" w:hRule="exact"/>
        </w:trPr>
        <w:tc>
          <w:tcPr>
            <w:tcW w:w="568" w:type="dxa"/>
            <w:vMerge/>
            <w:tcBorders>
              <w:left w:val="single" w:sz="6" w:space="0" w:color="000000"/>
              <w:right w:val="single" w:sz="6" w:space="0" w:color="000000"/>
            </w:tcBorders>
          </w:tcPr>
          <w:p>
            <w:pPr/>
          </w:p>
        </w:tc>
        <w:tc>
          <w:tcPr>
            <w:tcW w:w="992" w:type="dxa"/>
            <w:vMerge/>
            <w:tcBorders>
              <w:left w:val="single" w:sz="6" w:space="0" w:color="000000"/>
              <w:right w:val="single" w:sz="6" w:space="0" w:color="000000"/>
            </w:tcBorders>
          </w:tcPr>
          <w:p>
            <w:pPr/>
          </w:p>
        </w:tc>
        <w:tc>
          <w:tcPr>
            <w:tcW w:w="56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第三届监事会第二次会议决议公告</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42" w:right="0"/>
              <w:jc w:val="left"/>
              <w:rPr>
                <w:rFonts w:ascii="Times New Roman" w:hAnsi="Times New Roman" w:cs="Times New Roman" w:eastAsia="Times New Roman" w:hint="default"/>
                <w:sz w:val="18"/>
                <w:szCs w:val="18"/>
              </w:rPr>
            </w:pPr>
            <w:r>
              <w:rPr>
                <w:rFonts w:ascii="Times New Roman"/>
                <w:sz w:val="18"/>
              </w:rPr>
              <w:t>2017-040</w:t>
            </w:r>
          </w:p>
        </w:tc>
        <w:tc>
          <w:tcPr>
            <w:tcW w:w="991" w:type="dxa"/>
            <w:vMerge/>
            <w:tcBorders>
              <w:left w:val="single" w:sz="6" w:space="0" w:color="000000"/>
              <w:right w:val="single" w:sz="6" w:space="0" w:color="000000"/>
            </w:tcBorders>
          </w:tcPr>
          <w:p>
            <w:pPr/>
          </w:p>
        </w:tc>
      </w:tr>
      <w:tr>
        <w:trPr>
          <w:trHeight w:val="348" w:hRule="exact"/>
        </w:trPr>
        <w:tc>
          <w:tcPr>
            <w:tcW w:w="568" w:type="dxa"/>
            <w:vMerge/>
            <w:tcBorders>
              <w:left w:val="single" w:sz="6" w:space="0" w:color="000000"/>
              <w:right w:val="single" w:sz="6" w:space="0" w:color="000000"/>
            </w:tcBorders>
          </w:tcPr>
          <w:p>
            <w:pPr/>
          </w:p>
        </w:tc>
        <w:tc>
          <w:tcPr>
            <w:tcW w:w="992" w:type="dxa"/>
            <w:vMerge/>
            <w:tcBorders>
              <w:left w:val="single" w:sz="6" w:space="0" w:color="000000"/>
              <w:right w:val="single" w:sz="6" w:space="0" w:color="000000"/>
            </w:tcBorders>
          </w:tcPr>
          <w:p>
            <w:pPr/>
          </w:p>
        </w:tc>
        <w:tc>
          <w:tcPr>
            <w:tcW w:w="56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年半年度募集资金存放与使用情况的专项报告</w:t>
            </w:r>
          </w:p>
        </w:tc>
        <w:tc>
          <w:tcPr>
            <w:tcW w:w="992" w:type="dxa"/>
            <w:tcBorders>
              <w:top w:val="single" w:sz="6" w:space="0" w:color="000000"/>
              <w:left w:val="single" w:sz="6" w:space="0" w:color="000000"/>
              <w:bottom w:val="single" w:sz="6" w:space="0" w:color="000000"/>
              <w:right w:val="single" w:sz="6" w:space="0" w:color="000000"/>
            </w:tcBorders>
          </w:tcPr>
          <w:p>
            <w:pPr/>
          </w:p>
        </w:tc>
        <w:tc>
          <w:tcPr>
            <w:tcW w:w="991" w:type="dxa"/>
            <w:vMerge/>
            <w:tcBorders>
              <w:left w:val="single" w:sz="6" w:space="0" w:color="000000"/>
              <w:right w:val="single" w:sz="6" w:space="0" w:color="000000"/>
            </w:tcBorders>
          </w:tcPr>
          <w:p>
            <w:pPr/>
          </w:p>
        </w:tc>
      </w:tr>
      <w:tr>
        <w:trPr>
          <w:trHeight w:val="347" w:hRule="exact"/>
        </w:trPr>
        <w:tc>
          <w:tcPr>
            <w:tcW w:w="568" w:type="dxa"/>
            <w:vMerge/>
            <w:tcBorders>
              <w:left w:val="single" w:sz="6" w:space="0" w:color="000000"/>
              <w:right w:val="single" w:sz="6" w:space="0" w:color="000000"/>
            </w:tcBorders>
          </w:tcPr>
          <w:p>
            <w:pPr/>
          </w:p>
        </w:tc>
        <w:tc>
          <w:tcPr>
            <w:tcW w:w="992" w:type="dxa"/>
            <w:vMerge/>
            <w:tcBorders>
              <w:left w:val="single" w:sz="6" w:space="0" w:color="000000"/>
              <w:right w:val="single" w:sz="6" w:space="0" w:color="000000"/>
            </w:tcBorders>
          </w:tcPr>
          <w:p>
            <w:pPr/>
          </w:p>
        </w:tc>
        <w:tc>
          <w:tcPr>
            <w:tcW w:w="56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独立董事关于相关事项的独立意见</w:t>
            </w:r>
          </w:p>
        </w:tc>
        <w:tc>
          <w:tcPr>
            <w:tcW w:w="992" w:type="dxa"/>
            <w:tcBorders>
              <w:top w:val="single" w:sz="6" w:space="0" w:color="000000"/>
              <w:left w:val="single" w:sz="6" w:space="0" w:color="000000"/>
              <w:bottom w:val="single" w:sz="6" w:space="0" w:color="000000"/>
              <w:right w:val="single" w:sz="6" w:space="0" w:color="000000"/>
            </w:tcBorders>
          </w:tcPr>
          <w:p>
            <w:pPr/>
          </w:p>
        </w:tc>
        <w:tc>
          <w:tcPr>
            <w:tcW w:w="991" w:type="dxa"/>
            <w:vMerge/>
            <w:tcBorders>
              <w:left w:val="single" w:sz="6" w:space="0" w:color="000000"/>
              <w:right w:val="single" w:sz="6" w:space="0" w:color="000000"/>
            </w:tcBorders>
          </w:tcPr>
          <w:p>
            <w:pPr/>
          </w:p>
        </w:tc>
      </w:tr>
      <w:tr>
        <w:trPr>
          <w:trHeight w:val="347" w:hRule="exact"/>
        </w:trPr>
        <w:tc>
          <w:tcPr>
            <w:tcW w:w="568" w:type="dxa"/>
            <w:vMerge/>
            <w:tcBorders>
              <w:left w:val="single" w:sz="6" w:space="0" w:color="000000"/>
              <w:bottom w:val="single" w:sz="6" w:space="0" w:color="000000"/>
              <w:right w:val="single" w:sz="6" w:space="0" w:color="000000"/>
            </w:tcBorders>
          </w:tcPr>
          <w:p>
            <w:pPr/>
          </w:p>
        </w:tc>
        <w:tc>
          <w:tcPr>
            <w:tcW w:w="992" w:type="dxa"/>
            <w:vMerge/>
            <w:tcBorders>
              <w:left w:val="single" w:sz="6" w:space="0" w:color="000000"/>
              <w:bottom w:val="single" w:sz="6" w:space="0" w:color="000000"/>
              <w:right w:val="single" w:sz="6" w:space="0" w:color="000000"/>
            </w:tcBorders>
          </w:tcPr>
          <w:p>
            <w:pPr/>
          </w:p>
        </w:tc>
        <w:tc>
          <w:tcPr>
            <w:tcW w:w="56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年半年度报告</w:t>
            </w:r>
          </w:p>
        </w:tc>
        <w:tc>
          <w:tcPr>
            <w:tcW w:w="992" w:type="dxa"/>
            <w:tcBorders>
              <w:top w:val="single" w:sz="6" w:space="0" w:color="000000"/>
              <w:left w:val="single" w:sz="6" w:space="0" w:color="000000"/>
              <w:bottom w:val="single" w:sz="6" w:space="0" w:color="000000"/>
              <w:right w:val="single" w:sz="6" w:space="0" w:color="000000"/>
            </w:tcBorders>
          </w:tcPr>
          <w:p>
            <w:pPr/>
          </w:p>
        </w:tc>
        <w:tc>
          <w:tcPr>
            <w:tcW w:w="991" w:type="dxa"/>
            <w:vMerge/>
            <w:tcBorders>
              <w:left w:val="single" w:sz="6" w:space="0" w:color="000000"/>
              <w:bottom w:val="single" w:sz="6" w:space="0" w:color="000000"/>
              <w:right w:val="single" w:sz="6" w:space="0" w:color="000000"/>
            </w:tcBorders>
          </w:tcPr>
          <w:p>
            <w:pPr/>
          </w:p>
        </w:tc>
      </w:tr>
      <w:tr>
        <w:trPr>
          <w:trHeight w:val="659" w:hRule="exact"/>
        </w:trPr>
        <w:tc>
          <w:tcPr>
            <w:tcW w:w="5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89"/>
              <w:jc w:val="right"/>
              <w:rPr>
                <w:rFonts w:ascii="Times New Roman" w:hAnsi="Times New Roman" w:cs="Times New Roman" w:eastAsia="Times New Roman" w:hint="default"/>
                <w:sz w:val="18"/>
                <w:szCs w:val="18"/>
              </w:rPr>
            </w:pPr>
            <w:r>
              <w:rPr>
                <w:rFonts w:ascii="Times New Roman"/>
                <w:sz w:val="18"/>
              </w:rPr>
              <w:t>26</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68" w:right="0"/>
              <w:jc w:val="left"/>
              <w:rPr>
                <w:rFonts w:ascii="Times New Roman" w:hAnsi="Times New Roman" w:cs="Times New Roman" w:eastAsia="Times New Roman" w:hint="default"/>
                <w:sz w:val="18"/>
                <w:szCs w:val="18"/>
              </w:rPr>
            </w:pPr>
            <w:r>
              <w:rPr>
                <w:rFonts w:ascii="Times New Roman"/>
                <w:sz w:val="18"/>
              </w:rPr>
              <w:t>2017-09-29</w:t>
            </w:r>
          </w:p>
        </w:tc>
        <w:tc>
          <w:tcPr>
            <w:tcW w:w="5671"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21"/>
              <w:ind w:left="2" w:right="48"/>
              <w:jc w:val="left"/>
              <w:rPr>
                <w:rFonts w:ascii="宋体" w:hAnsi="宋体" w:cs="宋体" w:eastAsia="宋体" w:hint="default"/>
                <w:sz w:val="18"/>
                <w:szCs w:val="18"/>
              </w:rPr>
            </w:pPr>
            <w:r>
              <w:rPr>
                <w:rFonts w:ascii="宋体" w:hAnsi="宋体" w:cs="宋体" w:eastAsia="宋体" w:hint="default"/>
                <w:sz w:val="18"/>
                <w:szCs w:val="18"/>
              </w:rPr>
              <w:t>关于</w:t>
            </w:r>
            <w:r>
              <w:rPr>
                <w:rFonts w:ascii="Times New Roman" w:hAnsi="Times New Roman" w:cs="Times New Roman" w:eastAsia="Times New Roman" w:hint="default"/>
                <w:sz w:val="18"/>
                <w:szCs w:val="18"/>
              </w:rPr>
              <w:t>“</w:t>
            </w:r>
            <w:r>
              <w:rPr>
                <w:rFonts w:ascii="宋体" w:hAnsi="宋体" w:cs="宋体" w:eastAsia="宋体" w:hint="default"/>
                <w:sz w:val="18"/>
                <w:szCs w:val="18"/>
              </w:rPr>
              <w:t>河北省环境监测中心</w:t>
            </w:r>
            <w:r>
              <w:rPr>
                <w:rFonts w:ascii="Times New Roman" w:hAnsi="Times New Roman" w:cs="Times New Roman" w:eastAsia="Times New Roman" w:hint="default"/>
                <w:sz w:val="18"/>
                <w:szCs w:val="18"/>
              </w:rPr>
              <w:t>‘1+18’</w:t>
            </w:r>
            <w:r>
              <w:rPr>
                <w:rFonts w:ascii="宋体" w:hAnsi="宋体" w:cs="宋体" w:eastAsia="宋体" w:hint="default"/>
                <w:sz w:val="18"/>
                <w:szCs w:val="18"/>
              </w:rPr>
              <w:t>大气监测专项</w:t>
            </w:r>
            <w:r>
              <w:rPr>
                <w:rFonts w:ascii="Times New Roman" w:hAnsi="Times New Roman" w:cs="Times New Roman" w:eastAsia="Times New Roman" w:hint="default"/>
                <w:sz w:val="18"/>
                <w:szCs w:val="18"/>
              </w:rPr>
              <w:t>1</w:t>
            </w:r>
            <w:r>
              <w:rPr>
                <w:rFonts w:ascii="宋体" w:hAnsi="宋体" w:cs="宋体" w:eastAsia="宋体" w:hint="default"/>
                <w:sz w:val="18"/>
                <w:szCs w:val="18"/>
              </w:rPr>
              <w:t>包省控自动站建设</w:t>
            </w:r>
            <w:r>
              <w:rPr>
                <w:rFonts w:ascii="Times New Roman" w:hAnsi="Times New Roman" w:cs="Times New Roman" w:eastAsia="Times New Roman" w:hint="default"/>
                <w:sz w:val="18"/>
                <w:szCs w:val="18"/>
              </w:rPr>
              <w:t>”</w:t>
            </w:r>
            <w:r>
              <w:rPr>
                <w:rFonts w:ascii="宋体" w:hAnsi="宋体" w:cs="宋体" w:eastAsia="宋体" w:hint="default"/>
                <w:sz w:val="18"/>
                <w:szCs w:val="18"/>
              </w:rPr>
              <w:t>中标 的提示性公告</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42" w:right="0"/>
              <w:jc w:val="left"/>
              <w:rPr>
                <w:rFonts w:ascii="Times New Roman" w:hAnsi="Times New Roman" w:cs="Times New Roman" w:eastAsia="Times New Roman" w:hint="default"/>
                <w:sz w:val="18"/>
                <w:szCs w:val="18"/>
              </w:rPr>
            </w:pPr>
            <w:r>
              <w:rPr>
                <w:rFonts w:ascii="Times New Roman"/>
                <w:sz w:val="18"/>
              </w:rPr>
              <w:t>2017-041</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347" w:hRule="exact"/>
        </w:trPr>
        <w:tc>
          <w:tcPr>
            <w:tcW w:w="5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89"/>
              <w:jc w:val="right"/>
              <w:rPr>
                <w:rFonts w:ascii="Times New Roman" w:hAnsi="Times New Roman" w:cs="Times New Roman" w:eastAsia="Times New Roman" w:hint="default"/>
                <w:sz w:val="18"/>
                <w:szCs w:val="18"/>
              </w:rPr>
            </w:pPr>
            <w:r>
              <w:rPr>
                <w:rFonts w:ascii="Times New Roman"/>
                <w:sz w:val="18"/>
              </w:rPr>
              <w:t>27</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2017-10-11</w:t>
            </w:r>
          </w:p>
        </w:tc>
        <w:tc>
          <w:tcPr>
            <w:tcW w:w="56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年前三季度业绩预告</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42" w:right="0"/>
              <w:jc w:val="left"/>
              <w:rPr>
                <w:rFonts w:ascii="Times New Roman" w:hAnsi="Times New Roman" w:cs="Times New Roman" w:eastAsia="Times New Roman" w:hint="default"/>
                <w:sz w:val="18"/>
                <w:szCs w:val="18"/>
              </w:rPr>
            </w:pPr>
            <w:r>
              <w:rPr>
                <w:rFonts w:ascii="Times New Roman"/>
                <w:sz w:val="18"/>
              </w:rPr>
              <w:t>2017-042</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347" w:hRule="exact"/>
        </w:trPr>
        <w:tc>
          <w:tcPr>
            <w:tcW w:w="5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89"/>
              <w:jc w:val="right"/>
              <w:rPr>
                <w:rFonts w:ascii="Times New Roman" w:hAnsi="Times New Roman" w:cs="Times New Roman" w:eastAsia="Times New Roman" w:hint="default"/>
                <w:sz w:val="18"/>
                <w:szCs w:val="18"/>
              </w:rPr>
            </w:pPr>
            <w:r>
              <w:rPr>
                <w:rFonts w:ascii="Times New Roman"/>
                <w:sz w:val="18"/>
              </w:rPr>
              <w:t>28</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2017-10-17</w:t>
            </w:r>
          </w:p>
        </w:tc>
        <w:tc>
          <w:tcPr>
            <w:tcW w:w="56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关于控股股东质押式回购交易延期购回的公告</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42" w:right="0"/>
              <w:jc w:val="left"/>
              <w:rPr>
                <w:rFonts w:ascii="Times New Roman" w:hAnsi="Times New Roman" w:cs="Times New Roman" w:eastAsia="Times New Roman" w:hint="default"/>
                <w:sz w:val="18"/>
                <w:szCs w:val="18"/>
              </w:rPr>
            </w:pPr>
            <w:r>
              <w:rPr>
                <w:rFonts w:ascii="Times New Roman"/>
                <w:sz w:val="18"/>
              </w:rPr>
              <w:t>2017-043</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348" w:hRule="exact"/>
        </w:trPr>
        <w:tc>
          <w:tcPr>
            <w:tcW w:w="5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89"/>
              <w:jc w:val="right"/>
              <w:rPr>
                <w:rFonts w:ascii="Times New Roman" w:hAnsi="Times New Roman" w:cs="Times New Roman" w:eastAsia="Times New Roman" w:hint="default"/>
                <w:sz w:val="18"/>
                <w:szCs w:val="18"/>
              </w:rPr>
            </w:pPr>
            <w:r>
              <w:rPr>
                <w:rFonts w:ascii="Times New Roman"/>
                <w:sz w:val="18"/>
              </w:rPr>
              <w:t>29</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2017-10-19</w:t>
            </w:r>
          </w:p>
        </w:tc>
        <w:tc>
          <w:tcPr>
            <w:tcW w:w="56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关于签署日常经营合同的公告</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42" w:right="0"/>
              <w:jc w:val="left"/>
              <w:rPr>
                <w:rFonts w:ascii="Times New Roman" w:hAnsi="Times New Roman" w:cs="Times New Roman" w:eastAsia="Times New Roman" w:hint="default"/>
                <w:sz w:val="18"/>
                <w:szCs w:val="18"/>
              </w:rPr>
            </w:pPr>
            <w:r>
              <w:rPr>
                <w:rFonts w:ascii="Times New Roman"/>
                <w:sz w:val="18"/>
              </w:rPr>
              <w:t>2017-044</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347" w:hRule="exact"/>
        </w:trPr>
        <w:tc>
          <w:tcPr>
            <w:tcW w:w="568" w:type="dxa"/>
            <w:vMerge w:val="restart"/>
            <w:tcBorders>
              <w:top w:val="single" w:sz="6" w:space="0" w:color="000000"/>
              <w:left w:val="single" w:sz="6" w:space="0" w:color="000000"/>
              <w:right w:val="single" w:sz="6" w:space="0" w:color="000000"/>
            </w:tcBorders>
          </w:tcPr>
          <w:p>
            <w:pPr>
              <w:pStyle w:val="TableParagraph"/>
              <w:spacing w:line="240" w:lineRule="auto" w:before="60"/>
              <w:ind w:left="182" w:right="0"/>
              <w:jc w:val="left"/>
              <w:rPr>
                <w:rFonts w:ascii="Times New Roman" w:hAnsi="Times New Roman" w:cs="Times New Roman" w:eastAsia="Times New Roman" w:hint="default"/>
                <w:sz w:val="18"/>
                <w:szCs w:val="18"/>
              </w:rPr>
            </w:pPr>
            <w:r>
              <w:rPr>
                <w:rFonts w:ascii="Times New Roman"/>
                <w:sz w:val="18"/>
              </w:rPr>
              <w:t>30</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left"/>
              <w:rPr>
                <w:rFonts w:ascii="Times New Roman" w:hAnsi="Times New Roman" w:cs="Times New Roman" w:eastAsia="Times New Roman" w:hint="default"/>
                <w:sz w:val="18"/>
                <w:szCs w:val="18"/>
              </w:rPr>
            </w:pPr>
            <w:r>
              <w:rPr>
                <w:rFonts w:ascii="Times New Roman"/>
                <w:sz w:val="18"/>
              </w:rPr>
              <w:t>2017-10-28</w:t>
            </w:r>
          </w:p>
        </w:tc>
        <w:tc>
          <w:tcPr>
            <w:tcW w:w="56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第三届董事会第三次会议决议公告</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142" w:right="0"/>
              <w:jc w:val="left"/>
              <w:rPr>
                <w:rFonts w:ascii="Times New Roman" w:hAnsi="Times New Roman" w:cs="Times New Roman" w:eastAsia="Times New Roman" w:hint="default"/>
                <w:sz w:val="18"/>
                <w:szCs w:val="18"/>
              </w:rPr>
            </w:pPr>
            <w:r>
              <w:rPr>
                <w:rFonts w:ascii="Times New Roman"/>
                <w:sz w:val="18"/>
              </w:rPr>
              <w:t>2017-045</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347" w:hRule="exact"/>
        </w:trPr>
        <w:tc>
          <w:tcPr>
            <w:tcW w:w="568" w:type="dxa"/>
            <w:vMerge/>
            <w:tcBorders>
              <w:left w:val="single" w:sz="6" w:space="0" w:color="000000"/>
              <w:right w:val="single" w:sz="6" w:space="0" w:color="000000"/>
            </w:tcBorders>
          </w:tcPr>
          <w:p>
            <w:pPr/>
          </w:p>
        </w:tc>
        <w:tc>
          <w:tcPr>
            <w:tcW w:w="992" w:type="dxa"/>
            <w:vMerge w:val="restart"/>
            <w:tcBorders>
              <w:top w:val="single" w:sz="6" w:space="0" w:color="000000"/>
              <w:left w:val="single" w:sz="6" w:space="0" w:color="000000"/>
              <w:right w:val="single" w:sz="6" w:space="0" w:color="000000"/>
            </w:tcBorders>
          </w:tcPr>
          <w:p>
            <w:pPr>
              <w:pStyle w:val="TableParagraph"/>
              <w:spacing w:line="240" w:lineRule="auto" w:before="61"/>
              <w:ind w:left="68" w:right="0"/>
              <w:jc w:val="left"/>
              <w:rPr>
                <w:rFonts w:ascii="Times New Roman" w:hAnsi="Times New Roman" w:cs="Times New Roman" w:eastAsia="Times New Roman" w:hint="default"/>
                <w:sz w:val="18"/>
                <w:szCs w:val="18"/>
              </w:rPr>
            </w:pPr>
            <w:r>
              <w:rPr>
                <w:rFonts w:ascii="Times New Roman"/>
                <w:sz w:val="18"/>
              </w:rPr>
              <w:t>2017-10-28</w:t>
            </w:r>
          </w:p>
        </w:tc>
        <w:tc>
          <w:tcPr>
            <w:tcW w:w="56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关于</w:t>
            </w:r>
            <w:r>
              <w:rPr>
                <w:rFonts w:ascii="Times New Roman" w:hAnsi="Times New Roman" w:cs="Times New Roman" w:eastAsia="Times New Roman" w:hint="default"/>
                <w:sz w:val="18"/>
                <w:szCs w:val="18"/>
              </w:rPr>
              <w:t>2017</w:t>
            </w:r>
            <w:r>
              <w:rPr>
                <w:rFonts w:ascii="宋体" w:hAnsi="宋体" w:cs="宋体" w:eastAsia="宋体" w:hint="default"/>
                <w:sz w:val="18"/>
                <w:szCs w:val="18"/>
              </w:rPr>
              <w:t>年第三季度报告披露的提示性公告</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42" w:right="0"/>
              <w:jc w:val="left"/>
              <w:rPr>
                <w:rFonts w:ascii="Times New Roman" w:hAnsi="Times New Roman" w:cs="Times New Roman" w:eastAsia="Times New Roman" w:hint="default"/>
                <w:sz w:val="18"/>
                <w:szCs w:val="18"/>
              </w:rPr>
            </w:pPr>
            <w:r>
              <w:rPr>
                <w:rFonts w:ascii="Times New Roman"/>
                <w:sz w:val="18"/>
              </w:rPr>
              <w:t>2017-046</w:t>
            </w:r>
          </w:p>
        </w:tc>
        <w:tc>
          <w:tcPr>
            <w:tcW w:w="991" w:type="dxa"/>
            <w:vMerge w:val="restart"/>
            <w:tcBorders>
              <w:top w:val="single" w:sz="6" w:space="0" w:color="000000"/>
              <w:left w:val="single" w:sz="6" w:space="0" w:color="000000"/>
              <w:right w:val="single" w:sz="6" w:space="0" w:color="000000"/>
            </w:tcBorders>
          </w:tcPr>
          <w:p>
            <w:pPr>
              <w:pStyle w:val="TableParagraph"/>
              <w:spacing w:line="240" w:lineRule="auto" w:before="21"/>
              <w:ind w:left="38"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347" w:hRule="exact"/>
        </w:trPr>
        <w:tc>
          <w:tcPr>
            <w:tcW w:w="568" w:type="dxa"/>
            <w:vMerge/>
            <w:tcBorders>
              <w:left w:val="single" w:sz="6" w:space="0" w:color="000000"/>
              <w:right w:val="single" w:sz="6" w:space="0" w:color="000000"/>
            </w:tcBorders>
          </w:tcPr>
          <w:p>
            <w:pPr/>
          </w:p>
        </w:tc>
        <w:tc>
          <w:tcPr>
            <w:tcW w:w="992" w:type="dxa"/>
            <w:vMerge/>
            <w:tcBorders>
              <w:left w:val="single" w:sz="6" w:space="0" w:color="000000"/>
              <w:right w:val="single" w:sz="6" w:space="0" w:color="000000"/>
            </w:tcBorders>
          </w:tcPr>
          <w:p>
            <w:pPr/>
          </w:p>
        </w:tc>
        <w:tc>
          <w:tcPr>
            <w:tcW w:w="56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关于子公司转让股权暨关联交易的公告</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42" w:right="0"/>
              <w:jc w:val="left"/>
              <w:rPr>
                <w:rFonts w:ascii="Times New Roman" w:hAnsi="Times New Roman" w:cs="Times New Roman" w:eastAsia="Times New Roman" w:hint="default"/>
                <w:sz w:val="18"/>
                <w:szCs w:val="18"/>
              </w:rPr>
            </w:pPr>
            <w:r>
              <w:rPr>
                <w:rFonts w:ascii="Times New Roman"/>
                <w:sz w:val="18"/>
              </w:rPr>
              <w:t>2017-047</w:t>
            </w:r>
          </w:p>
        </w:tc>
        <w:tc>
          <w:tcPr>
            <w:tcW w:w="991" w:type="dxa"/>
            <w:vMerge/>
            <w:tcBorders>
              <w:left w:val="single" w:sz="6" w:space="0" w:color="000000"/>
              <w:right w:val="single" w:sz="6" w:space="0" w:color="000000"/>
            </w:tcBorders>
          </w:tcPr>
          <w:p>
            <w:pPr/>
          </w:p>
        </w:tc>
      </w:tr>
      <w:tr>
        <w:trPr>
          <w:trHeight w:val="347" w:hRule="exact"/>
        </w:trPr>
        <w:tc>
          <w:tcPr>
            <w:tcW w:w="568" w:type="dxa"/>
            <w:vMerge/>
            <w:tcBorders>
              <w:left w:val="single" w:sz="6" w:space="0" w:color="000000"/>
              <w:right w:val="single" w:sz="6" w:space="0" w:color="000000"/>
            </w:tcBorders>
          </w:tcPr>
          <w:p>
            <w:pPr/>
          </w:p>
        </w:tc>
        <w:tc>
          <w:tcPr>
            <w:tcW w:w="992" w:type="dxa"/>
            <w:vMerge/>
            <w:tcBorders>
              <w:left w:val="single" w:sz="6" w:space="0" w:color="000000"/>
              <w:right w:val="single" w:sz="6" w:space="0" w:color="000000"/>
            </w:tcBorders>
          </w:tcPr>
          <w:p>
            <w:pPr/>
          </w:p>
        </w:tc>
        <w:tc>
          <w:tcPr>
            <w:tcW w:w="56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关于召开</w:t>
            </w:r>
            <w:r>
              <w:rPr>
                <w:rFonts w:ascii="Times New Roman" w:hAnsi="Times New Roman" w:cs="Times New Roman" w:eastAsia="Times New Roman" w:hint="default"/>
                <w:sz w:val="18"/>
                <w:szCs w:val="18"/>
              </w:rPr>
              <w:t>2017</w:t>
            </w:r>
            <w:r>
              <w:rPr>
                <w:rFonts w:ascii="宋体" w:hAnsi="宋体" w:cs="宋体" w:eastAsia="宋体" w:hint="default"/>
                <w:sz w:val="18"/>
                <w:szCs w:val="18"/>
              </w:rPr>
              <w:t>年第一次临时股东大会的通知</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42" w:right="0"/>
              <w:jc w:val="left"/>
              <w:rPr>
                <w:rFonts w:ascii="Times New Roman" w:hAnsi="Times New Roman" w:cs="Times New Roman" w:eastAsia="Times New Roman" w:hint="default"/>
                <w:sz w:val="18"/>
                <w:szCs w:val="18"/>
              </w:rPr>
            </w:pPr>
            <w:r>
              <w:rPr>
                <w:rFonts w:ascii="Times New Roman"/>
                <w:sz w:val="18"/>
              </w:rPr>
              <w:t>2017-048</w:t>
            </w:r>
          </w:p>
        </w:tc>
        <w:tc>
          <w:tcPr>
            <w:tcW w:w="991" w:type="dxa"/>
            <w:vMerge/>
            <w:tcBorders>
              <w:left w:val="single" w:sz="6" w:space="0" w:color="000000"/>
              <w:right w:val="single" w:sz="6" w:space="0" w:color="000000"/>
            </w:tcBorders>
          </w:tcPr>
          <w:p>
            <w:pPr/>
          </w:p>
        </w:tc>
      </w:tr>
      <w:tr>
        <w:trPr>
          <w:trHeight w:val="347" w:hRule="exact"/>
        </w:trPr>
        <w:tc>
          <w:tcPr>
            <w:tcW w:w="568" w:type="dxa"/>
            <w:vMerge/>
            <w:tcBorders>
              <w:left w:val="single" w:sz="6" w:space="0" w:color="000000"/>
              <w:right w:val="single" w:sz="6" w:space="0" w:color="000000"/>
            </w:tcBorders>
          </w:tcPr>
          <w:p>
            <w:pPr/>
          </w:p>
        </w:tc>
        <w:tc>
          <w:tcPr>
            <w:tcW w:w="992" w:type="dxa"/>
            <w:vMerge/>
            <w:tcBorders>
              <w:left w:val="single" w:sz="6" w:space="0" w:color="000000"/>
              <w:right w:val="single" w:sz="6" w:space="0" w:color="000000"/>
            </w:tcBorders>
          </w:tcPr>
          <w:p>
            <w:pPr/>
          </w:p>
        </w:tc>
        <w:tc>
          <w:tcPr>
            <w:tcW w:w="56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第三届监事会第三次会议决议公告</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42" w:right="0"/>
              <w:jc w:val="left"/>
              <w:rPr>
                <w:rFonts w:ascii="Times New Roman" w:hAnsi="Times New Roman" w:cs="Times New Roman" w:eastAsia="Times New Roman" w:hint="default"/>
                <w:sz w:val="18"/>
                <w:szCs w:val="18"/>
              </w:rPr>
            </w:pPr>
            <w:r>
              <w:rPr>
                <w:rFonts w:ascii="Times New Roman"/>
                <w:sz w:val="18"/>
              </w:rPr>
              <w:t>2017-049</w:t>
            </w:r>
          </w:p>
        </w:tc>
        <w:tc>
          <w:tcPr>
            <w:tcW w:w="991" w:type="dxa"/>
            <w:vMerge/>
            <w:tcBorders>
              <w:left w:val="single" w:sz="6" w:space="0" w:color="000000"/>
              <w:right w:val="single" w:sz="6" w:space="0" w:color="000000"/>
            </w:tcBorders>
          </w:tcPr>
          <w:p>
            <w:pPr/>
          </w:p>
        </w:tc>
      </w:tr>
      <w:tr>
        <w:trPr>
          <w:trHeight w:val="348" w:hRule="exact"/>
        </w:trPr>
        <w:tc>
          <w:tcPr>
            <w:tcW w:w="568" w:type="dxa"/>
            <w:vMerge/>
            <w:tcBorders>
              <w:left w:val="single" w:sz="6" w:space="0" w:color="000000"/>
              <w:right w:val="single" w:sz="6" w:space="0" w:color="000000"/>
            </w:tcBorders>
          </w:tcPr>
          <w:p>
            <w:pPr/>
          </w:p>
        </w:tc>
        <w:tc>
          <w:tcPr>
            <w:tcW w:w="992" w:type="dxa"/>
            <w:vMerge/>
            <w:tcBorders>
              <w:left w:val="single" w:sz="6" w:space="0" w:color="000000"/>
              <w:right w:val="single" w:sz="6" w:space="0" w:color="000000"/>
            </w:tcBorders>
          </w:tcPr>
          <w:p>
            <w:pPr/>
          </w:p>
        </w:tc>
        <w:tc>
          <w:tcPr>
            <w:tcW w:w="56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年第三季度报告</w:t>
            </w:r>
          </w:p>
        </w:tc>
        <w:tc>
          <w:tcPr>
            <w:tcW w:w="992" w:type="dxa"/>
            <w:tcBorders>
              <w:top w:val="single" w:sz="6" w:space="0" w:color="000000"/>
              <w:left w:val="single" w:sz="6" w:space="0" w:color="000000"/>
              <w:bottom w:val="single" w:sz="6" w:space="0" w:color="000000"/>
              <w:right w:val="single" w:sz="6" w:space="0" w:color="000000"/>
            </w:tcBorders>
          </w:tcPr>
          <w:p>
            <w:pPr/>
          </w:p>
        </w:tc>
        <w:tc>
          <w:tcPr>
            <w:tcW w:w="991" w:type="dxa"/>
            <w:vMerge/>
            <w:tcBorders>
              <w:left w:val="single" w:sz="6" w:space="0" w:color="000000"/>
              <w:right w:val="single" w:sz="6" w:space="0" w:color="000000"/>
            </w:tcBorders>
          </w:tcPr>
          <w:p>
            <w:pPr/>
          </w:p>
        </w:tc>
      </w:tr>
      <w:tr>
        <w:trPr>
          <w:trHeight w:val="347" w:hRule="exact"/>
        </w:trPr>
        <w:tc>
          <w:tcPr>
            <w:tcW w:w="568" w:type="dxa"/>
            <w:vMerge/>
            <w:tcBorders>
              <w:left w:val="single" w:sz="6" w:space="0" w:color="000000"/>
              <w:right w:val="single" w:sz="6" w:space="0" w:color="000000"/>
            </w:tcBorders>
          </w:tcPr>
          <w:p>
            <w:pPr/>
          </w:p>
        </w:tc>
        <w:tc>
          <w:tcPr>
            <w:tcW w:w="992" w:type="dxa"/>
            <w:vMerge/>
            <w:tcBorders>
              <w:left w:val="single" w:sz="6" w:space="0" w:color="000000"/>
              <w:right w:val="single" w:sz="6" w:space="0" w:color="000000"/>
            </w:tcBorders>
          </w:tcPr>
          <w:p>
            <w:pPr/>
          </w:p>
        </w:tc>
        <w:tc>
          <w:tcPr>
            <w:tcW w:w="56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独立董事关于相关事项的独立意见</w:t>
            </w:r>
          </w:p>
        </w:tc>
        <w:tc>
          <w:tcPr>
            <w:tcW w:w="992" w:type="dxa"/>
            <w:tcBorders>
              <w:top w:val="single" w:sz="6" w:space="0" w:color="000000"/>
              <w:left w:val="single" w:sz="6" w:space="0" w:color="000000"/>
              <w:bottom w:val="single" w:sz="6" w:space="0" w:color="000000"/>
              <w:right w:val="single" w:sz="6" w:space="0" w:color="000000"/>
            </w:tcBorders>
          </w:tcPr>
          <w:p>
            <w:pPr/>
          </w:p>
        </w:tc>
        <w:tc>
          <w:tcPr>
            <w:tcW w:w="991" w:type="dxa"/>
            <w:vMerge/>
            <w:tcBorders>
              <w:left w:val="single" w:sz="6" w:space="0" w:color="000000"/>
              <w:right w:val="single" w:sz="6" w:space="0" w:color="000000"/>
            </w:tcBorders>
          </w:tcPr>
          <w:p>
            <w:pPr/>
          </w:p>
        </w:tc>
      </w:tr>
      <w:tr>
        <w:trPr>
          <w:trHeight w:val="347" w:hRule="exact"/>
        </w:trPr>
        <w:tc>
          <w:tcPr>
            <w:tcW w:w="568" w:type="dxa"/>
            <w:vMerge/>
            <w:tcBorders>
              <w:left w:val="single" w:sz="6" w:space="0" w:color="000000"/>
              <w:bottom w:val="single" w:sz="6" w:space="0" w:color="000000"/>
              <w:right w:val="single" w:sz="6" w:space="0" w:color="000000"/>
            </w:tcBorders>
          </w:tcPr>
          <w:p>
            <w:pPr/>
          </w:p>
        </w:tc>
        <w:tc>
          <w:tcPr>
            <w:tcW w:w="992" w:type="dxa"/>
            <w:vMerge/>
            <w:tcBorders>
              <w:left w:val="single" w:sz="6" w:space="0" w:color="000000"/>
              <w:bottom w:val="single" w:sz="6" w:space="0" w:color="000000"/>
              <w:right w:val="single" w:sz="6" w:space="0" w:color="000000"/>
            </w:tcBorders>
          </w:tcPr>
          <w:p>
            <w:pPr/>
          </w:p>
        </w:tc>
        <w:tc>
          <w:tcPr>
            <w:tcW w:w="56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独立董事关于子公司转让股权暨关联交易事项的事前认可意见</w:t>
            </w:r>
          </w:p>
        </w:tc>
        <w:tc>
          <w:tcPr>
            <w:tcW w:w="992" w:type="dxa"/>
            <w:tcBorders>
              <w:top w:val="single" w:sz="6" w:space="0" w:color="000000"/>
              <w:left w:val="single" w:sz="6" w:space="0" w:color="000000"/>
              <w:bottom w:val="single" w:sz="6" w:space="0" w:color="000000"/>
              <w:right w:val="single" w:sz="6" w:space="0" w:color="000000"/>
            </w:tcBorders>
          </w:tcPr>
          <w:p>
            <w:pPr/>
          </w:p>
        </w:tc>
        <w:tc>
          <w:tcPr>
            <w:tcW w:w="991" w:type="dxa"/>
            <w:vMerge/>
            <w:tcBorders>
              <w:left w:val="single" w:sz="6" w:space="0" w:color="000000"/>
              <w:bottom w:val="single" w:sz="6" w:space="0" w:color="000000"/>
              <w:right w:val="single" w:sz="6" w:space="0" w:color="000000"/>
            </w:tcBorders>
          </w:tcPr>
          <w:p>
            <w:pPr/>
          </w:p>
        </w:tc>
      </w:tr>
      <w:tr>
        <w:trPr>
          <w:trHeight w:val="347" w:hRule="exact"/>
        </w:trPr>
        <w:tc>
          <w:tcPr>
            <w:tcW w:w="568" w:type="dxa"/>
            <w:vMerge w:val="restart"/>
            <w:tcBorders>
              <w:top w:val="single" w:sz="6" w:space="0" w:color="000000"/>
              <w:left w:val="single" w:sz="6" w:space="0" w:color="000000"/>
              <w:right w:val="single" w:sz="6" w:space="0" w:color="000000"/>
            </w:tcBorders>
          </w:tcPr>
          <w:p>
            <w:pPr>
              <w:pStyle w:val="TableParagraph"/>
              <w:spacing w:line="240" w:lineRule="auto" w:before="61"/>
              <w:ind w:left="182" w:right="0"/>
              <w:jc w:val="left"/>
              <w:rPr>
                <w:rFonts w:ascii="Times New Roman" w:hAnsi="Times New Roman" w:cs="Times New Roman" w:eastAsia="Times New Roman" w:hint="default"/>
                <w:sz w:val="18"/>
                <w:szCs w:val="18"/>
              </w:rPr>
            </w:pPr>
            <w:r>
              <w:rPr>
                <w:rFonts w:ascii="Times New Roman"/>
                <w:sz w:val="18"/>
              </w:rPr>
              <w:t>31</w:t>
            </w:r>
          </w:p>
        </w:tc>
        <w:tc>
          <w:tcPr>
            <w:tcW w:w="992" w:type="dxa"/>
            <w:vMerge w:val="restart"/>
            <w:tcBorders>
              <w:top w:val="single" w:sz="6" w:space="0" w:color="000000"/>
              <w:left w:val="single" w:sz="6" w:space="0" w:color="000000"/>
              <w:right w:val="single" w:sz="6" w:space="0" w:color="000000"/>
            </w:tcBorders>
          </w:tcPr>
          <w:p>
            <w:pPr>
              <w:pStyle w:val="TableParagraph"/>
              <w:spacing w:line="240" w:lineRule="auto" w:before="61"/>
              <w:ind w:left="68" w:right="0"/>
              <w:jc w:val="left"/>
              <w:rPr>
                <w:rFonts w:ascii="Times New Roman" w:hAnsi="Times New Roman" w:cs="Times New Roman" w:eastAsia="Times New Roman" w:hint="default"/>
                <w:sz w:val="18"/>
                <w:szCs w:val="18"/>
              </w:rPr>
            </w:pPr>
            <w:r>
              <w:rPr>
                <w:rFonts w:ascii="Times New Roman"/>
                <w:sz w:val="18"/>
              </w:rPr>
              <w:t>2017-11-13</w:t>
            </w:r>
          </w:p>
        </w:tc>
        <w:tc>
          <w:tcPr>
            <w:tcW w:w="56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年第一次临时股东大会决议公告</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42" w:right="0"/>
              <w:jc w:val="left"/>
              <w:rPr>
                <w:rFonts w:ascii="Times New Roman" w:hAnsi="Times New Roman" w:cs="Times New Roman" w:eastAsia="Times New Roman" w:hint="default"/>
                <w:sz w:val="18"/>
                <w:szCs w:val="18"/>
              </w:rPr>
            </w:pPr>
            <w:r>
              <w:rPr>
                <w:rFonts w:ascii="Times New Roman"/>
                <w:sz w:val="18"/>
              </w:rPr>
              <w:t>2017-050</w:t>
            </w:r>
          </w:p>
        </w:tc>
        <w:tc>
          <w:tcPr>
            <w:tcW w:w="991" w:type="dxa"/>
            <w:vMerge w:val="restart"/>
            <w:tcBorders>
              <w:top w:val="single" w:sz="6" w:space="0" w:color="000000"/>
              <w:left w:val="single" w:sz="6" w:space="0" w:color="000000"/>
              <w:right w:val="single" w:sz="6" w:space="0" w:color="000000"/>
            </w:tcBorders>
          </w:tcPr>
          <w:p>
            <w:pPr>
              <w:pStyle w:val="TableParagraph"/>
              <w:spacing w:line="240" w:lineRule="auto" w:before="21"/>
              <w:ind w:left="38"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347" w:hRule="exact"/>
        </w:trPr>
        <w:tc>
          <w:tcPr>
            <w:tcW w:w="568" w:type="dxa"/>
            <w:vMerge/>
            <w:tcBorders>
              <w:left w:val="single" w:sz="6" w:space="0" w:color="000000"/>
              <w:bottom w:val="single" w:sz="6" w:space="0" w:color="000000"/>
              <w:right w:val="single" w:sz="6" w:space="0" w:color="000000"/>
            </w:tcBorders>
          </w:tcPr>
          <w:p>
            <w:pPr/>
          </w:p>
        </w:tc>
        <w:tc>
          <w:tcPr>
            <w:tcW w:w="992" w:type="dxa"/>
            <w:vMerge/>
            <w:tcBorders>
              <w:left w:val="single" w:sz="6" w:space="0" w:color="000000"/>
              <w:bottom w:val="single" w:sz="6" w:space="0" w:color="000000"/>
              <w:right w:val="single" w:sz="6" w:space="0" w:color="000000"/>
            </w:tcBorders>
          </w:tcPr>
          <w:p>
            <w:pPr/>
          </w:p>
        </w:tc>
        <w:tc>
          <w:tcPr>
            <w:tcW w:w="56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年第一次临时股东大会的法律意见书</w:t>
            </w:r>
          </w:p>
        </w:tc>
        <w:tc>
          <w:tcPr>
            <w:tcW w:w="992" w:type="dxa"/>
            <w:tcBorders>
              <w:top w:val="single" w:sz="6" w:space="0" w:color="000000"/>
              <w:left w:val="single" w:sz="6" w:space="0" w:color="000000"/>
              <w:bottom w:val="single" w:sz="6" w:space="0" w:color="000000"/>
              <w:right w:val="single" w:sz="6" w:space="0" w:color="000000"/>
            </w:tcBorders>
          </w:tcPr>
          <w:p>
            <w:pPr/>
          </w:p>
        </w:tc>
        <w:tc>
          <w:tcPr>
            <w:tcW w:w="991" w:type="dxa"/>
            <w:vMerge/>
            <w:tcBorders>
              <w:left w:val="single" w:sz="6" w:space="0" w:color="000000"/>
              <w:bottom w:val="single" w:sz="6" w:space="0" w:color="000000"/>
              <w:right w:val="single" w:sz="6" w:space="0" w:color="000000"/>
            </w:tcBorders>
          </w:tcPr>
          <w:p>
            <w:pPr/>
          </w:p>
        </w:tc>
      </w:tr>
      <w:tr>
        <w:trPr>
          <w:trHeight w:val="347" w:hRule="exact"/>
        </w:trPr>
        <w:tc>
          <w:tcPr>
            <w:tcW w:w="5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89"/>
              <w:jc w:val="right"/>
              <w:rPr>
                <w:rFonts w:ascii="Times New Roman" w:hAnsi="Times New Roman" w:cs="Times New Roman" w:eastAsia="Times New Roman" w:hint="default"/>
                <w:sz w:val="18"/>
                <w:szCs w:val="18"/>
              </w:rPr>
            </w:pPr>
            <w:r>
              <w:rPr>
                <w:rFonts w:ascii="Times New Roman"/>
                <w:sz w:val="18"/>
              </w:rPr>
              <w:t>32</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2017-11-29</w:t>
            </w:r>
          </w:p>
        </w:tc>
        <w:tc>
          <w:tcPr>
            <w:tcW w:w="56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关于控股股东、部分董事减持股份计划实施进展情况的公告</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42" w:right="0"/>
              <w:jc w:val="left"/>
              <w:rPr>
                <w:rFonts w:ascii="Times New Roman" w:hAnsi="Times New Roman" w:cs="Times New Roman" w:eastAsia="Times New Roman" w:hint="default"/>
                <w:sz w:val="18"/>
                <w:szCs w:val="18"/>
              </w:rPr>
            </w:pPr>
            <w:r>
              <w:rPr>
                <w:rFonts w:ascii="Times New Roman"/>
                <w:sz w:val="18"/>
              </w:rPr>
              <w:t>2017-051</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348" w:hRule="exact"/>
        </w:trPr>
        <w:tc>
          <w:tcPr>
            <w:tcW w:w="5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89"/>
              <w:jc w:val="right"/>
              <w:rPr>
                <w:rFonts w:ascii="Times New Roman" w:hAnsi="Times New Roman" w:cs="Times New Roman" w:eastAsia="Times New Roman" w:hint="default"/>
                <w:sz w:val="18"/>
                <w:szCs w:val="18"/>
              </w:rPr>
            </w:pPr>
            <w:r>
              <w:rPr>
                <w:rFonts w:ascii="Times New Roman"/>
                <w:sz w:val="18"/>
              </w:rPr>
              <w:t>33</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2017-12-15</w:t>
            </w:r>
          </w:p>
        </w:tc>
        <w:tc>
          <w:tcPr>
            <w:tcW w:w="56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关于签署日常经营合同的公告</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42" w:right="0"/>
              <w:jc w:val="left"/>
              <w:rPr>
                <w:rFonts w:ascii="Times New Roman" w:hAnsi="Times New Roman" w:cs="Times New Roman" w:eastAsia="Times New Roman" w:hint="default"/>
                <w:sz w:val="18"/>
                <w:szCs w:val="18"/>
              </w:rPr>
            </w:pPr>
            <w:r>
              <w:rPr>
                <w:rFonts w:ascii="Times New Roman"/>
                <w:sz w:val="18"/>
              </w:rPr>
              <w:t>2017-052</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bl>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27"/>
          <w:szCs w:val="27"/>
        </w:rPr>
      </w:pPr>
    </w:p>
    <w:p>
      <w:pPr>
        <w:pStyle w:val="Heading2"/>
        <w:spacing w:line="240" w:lineRule="auto" w:before="26"/>
        <w:ind w:left="1134" w:right="0"/>
        <w:jc w:val="left"/>
        <w:rPr>
          <w:b w:val="0"/>
          <w:bCs w:val="0"/>
        </w:rPr>
      </w:pPr>
      <w:bookmarkStart w:name="十九、公司子公司重大事项" w:id="103"/>
      <w:bookmarkEnd w:id="103"/>
      <w:r>
        <w:rPr>
          <w:b w:val="0"/>
          <w:bCs w:val="0"/>
        </w:rPr>
      </w:r>
      <w:r>
        <w:rPr/>
        <w:t>十九、公司子公司重大事项</w:t>
      </w:r>
      <w:r>
        <w:rPr>
          <w:b w:val="0"/>
          <w:bCs w:val="0"/>
        </w:rPr>
      </w:r>
    </w:p>
    <w:p>
      <w:pPr>
        <w:spacing w:line="240" w:lineRule="auto" w:before="7"/>
        <w:rPr>
          <w:rFonts w:ascii="宋体" w:hAnsi="宋体" w:cs="宋体" w:eastAsia="宋体" w:hint="default"/>
          <w:b/>
          <w:bCs/>
          <w:sz w:val="26"/>
          <w:szCs w:val="26"/>
        </w:rPr>
      </w:pPr>
    </w:p>
    <w:p>
      <w:pPr>
        <w:pStyle w:val="BodyText"/>
        <w:spacing w:line="338" w:lineRule="auto"/>
        <w:ind w:left="1493" w:right="1139" w:hanging="3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公司第三届董事会三次会议、</w:t>
      </w:r>
      <w:r>
        <w:rPr>
          <w:rFonts w:ascii="Times New Roman" w:hAnsi="Times New Roman" w:cs="Times New Roman" w:eastAsia="Times New Roman" w:hint="default"/>
        </w:rPr>
        <w:t>2017</w:t>
      </w:r>
      <w:r>
        <w:rPr/>
        <w:t>年第一次临时股东大会审议通过了《关于子公司转让股权暨关联交易的议案》</w:t>
      </w:r>
      <w:r>
        <w:rPr>
          <w:spacing w:val="-16"/>
        </w:rPr>
        <w:t> </w:t>
      </w:r>
      <w:r>
        <w:rPr/>
        <w:t>》，</w:t>
      </w:r>
    </w:p>
    <w:p>
      <w:pPr>
        <w:pStyle w:val="BodyText"/>
        <w:spacing w:line="230" w:lineRule="exact"/>
        <w:ind w:right="0"/>
        <w:jc w:val="left"/>
      </w:pPr>
      <w:r>
        <w:rPr/>
        <w:t>广东先河科迪隆科技有限公司以广州市云景信息科技有限公司（以下简称</w:t>
      </w:r>
      <w:r>
        <w:rPr>
          <w:rFonts w:ascii="Times New Roman" w:hAnsi="Times New Roman" w:cs="Times New Roman" w:eastAsia="Times New Roman" w:hint="default"/>
        </w:rPr>
        <w:t>“</w:t>
      </w:r>
      <w:r>
        <w:rPr/>
        <w:t>广州云景</w:t>
      </w:r>
      <w:r>
        <w:rPr>
          <w:rFonts w:ascii="Times New Roman" w:hAnsi="Times New Roman" w:cs="Times New Roman" w:eastAsia="Times New Roman" w:hint="default"/>
        </w:rPr>
        <w:t>”</w:t>
      </w:r>
      <w:r>
        <w:rPr/>
        <w:t>）截至 </w:t>
      </w:r>
      <w:r>
        <w:rPr>
          <w:rFonts w:ascii="Times New Roman" w:hAnsi="Times New Roman" w:cs="Times New Roman" w:eastAsia="Times New Roman" w:hint="default"/>
        </w:rPr>
        <w:t>2016 </w:t>
      </w:r>
      <w:r>
        <w:rPr/>
        <w:t>年 </w:t>
      </w:r>
      <w:r>
        <w:rPr>
          <w:rFonts w:ascii="Times New Roman" w:hAnsi="Times New Roman" w:cs="Times New Roman" w:eastAsia="Times New Roman" w:hint="default"/>
        </w:rPr>
        <w:t>12 </w:t>
      </w:r>
      <w:r>
        <w:rPr/>
        <w:t>月 </w:t>
      </w:r>
      <w:r>
        <w:rPr>
          <w:rFonts w:ascii="Times New Roman" w:hAnsi="Times New Roman" w:cs="Times New Roman" w:eastAsia="Times New Roman" w:hint="default"/>
        </w:rPr>
        <w:t>31</w:t>
      </w:r>
      <w:r>
        <w:rPr>
          <w:rFonts w:ascii="Times New Roman" w:hAnsi="Times New Roman" w:cs="Times New Roman" w:eastAsia="Times New Roman" w:hint="default"/>
          <w:spacing w:val="23"/>
        </w:rPr>
        <w:t> </w:t>
      </w:r>
      <w:r>
        <w:rPr/>
        <w:t>日经审计的</w:t>
      </w:r>
    </w:p>
    <w:p>
      <w:pPr>
        <w:spacing w:after="0" w:line="230" w:lineRule="exact"/>
        <w:jc w:val="left"/>
        <w:sectPr>
          <w:pgSz w:w="11910" w:h="16840"/>
          <w:pgMar w:header="747" w:footer="979" w:top="1060" w:bottom="1160" w:left="0" w:right="0"/>
        </w:sectPr>
      </w:pPr>
    </w:p>
    <w:p>
      <w:pPr>
        <w:spacing w:line="240" w:lineRule="auto" w:before="12"/>
        <w:rPr>
          <w:rFonts w:ascii="宋体" w:hAnsi="宋体" w:cs="宋体" w:eastAsia="宋体" w:hint="default"/>
          <w:sz w:val="25"/>
          <w:szCs w:val="25"/>
        </w:rPr>
      </w:pPr>
    </w:p>
    <w:p>
      <w:pPr>
        <w:pStyle w:val="BodyText"/>
        <w:spacing w:line="300" w:lineRule="auto" w:before="44"/>
        <w:ind w:right="1122"/>
        <w:jc w:val="left"/>
      </w:pPr>
      <w:r>
        <w:rPr/>
        <w:t>净资产 </w:t>
      </w:r>
      <w:r>
        <w:rPr>
          <w:rFonts w:ascii="Times New Roman" w:hAnsi="Times New Roman" w:cs="Times New Roman" w:eastAsia="Times New Roman" w:hint="default"/>
        </w:rPr>
        <w:t>14,357,816.09 </w:t>
      </w:r>
      <w:r>
        <w:rPr/>
        <w:t>元为依据，将其持有广州云景 </w:t>
      </w:r>
      <w:r>
        <w:rPr>
          <w:rFonts w:ascii="Times New Roman" w:hAnsi="Times New Roman" w:cs="Times New Roman" w:eastAsia="Times New Roman" w:hint="default"/>
        </w:rPr>
        <w:t>47.12%</w:t>
      </w:r>
      <w:r>
        <w:rPr/>
        <w:t>的股权以 </w:t>
      </w:r>
      <w:r>
        <w:rPr>
          <w:rFonts w:ascii="Times New Roman" w:hAnsi="Times New Roman" w:cs="Times New Roman" w:eastAsia="Times New Roman" w:hint="default"/>
        </w:rPr>
        <w:t>6,765,402.94</w:t>
      </w:r>
      <w:r>
        <w:rPr>
          <w:rFonts w:ascii="Times New Roman" w:hAnsi="Times New Roman" w:cs="Times New Roman" w:eastAsia="Times New Roman" w:hint="default"/>
          <w:spacing w:val="-3"/>
        </w:rPr>
        <w:t> </w:t>
      </w:r>
      <w:r>
        <w:rPr/>
        <w:t>元转让给本公司，将其持有广州云景 </w:t>
      </w:r>
      <w:r>
        <w:rPr>
          <w:rFonts w:ascii="Times New Roman" w:hAnsi="Times New Roman" w:cs="Times New Roman" w:eastAsia="Times New Roman" w:hint="default"/>
        </w:rPr>
        <w:t>11.78%</w:t>
      </w:r>
      <w:r>
        <w:rPr/>
        <w:t>的股权以 </w:t>
      </w:r>
      <w:r>
        <w:rPr>
          <w:rFonts w:ascii="Times New Roman" w:hAnsi="Times New Roman" w:cs="Times New Roman" w:eastAsia="Times New Roman" w:hint="default"/>
        </w:rPr>
        <w:t>1,691,350.74 </w:t>
      </w:r>
      <w:r>
        <w:rPr/>
        <w:t>元转让给梁常清；转让完成后，本公司直接持有广州云景</w:t>
      </w:r>
      <w:r>
        <w:rPr>
          <w:spacing w:val="-29"/>
        </w:rPr>
        <w:t> </w:t>
      </w:r>
      <w:r>
        <w:rPr>
          <w:rFonts w:ascii="Times New Roman" w:hAnsi="Times New Roman" w:cs="Times New Roman" w:eastAsia="Times New Roman" w:hint="default"/>
        </w:rPr>
        <w:t>47.12%</w:t>
      </w:r>
      <w:r>
        <w:rPr/>
        <w:t>的股权，梁常清直接持有广 州云景</w:t>
      </w:r>
      <w:r>
        <w:rPr>
          <w:spacing w:val="-18"/>
        </w:rPr>
        <w:t> </w:t>
      </w:r>
      <w:r>
        <w:rPr>
          <w:rFonts w:ascii="Times New Roman" w:hAnsi="Times New Roman" w:cs="Times New Roman" w:eastAsia="Times New Roman" w:hint="default"/>
        </w:rPr>
        <w:t>11.78%</w:t>
      </w:r>
      <w:r>
        <w:rPr/>
        <w:t>股权。详见公司于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27</w:t>
      </w:r>
      <w:r>
        <w:rPr/>
        <w:t>日、</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13</w:t>
      </w:r>
      <w:r>
        <w:rPr/>
        <w:t>日披露于巨潮资讯网的相关公告。截止报告期末，该股权 转让事项尚未实施完毕。</w:t>
      </w:r>
    </w:p>
    <w:p>
      <w:pPr>
        <w:spacing w:after="0" w:line="300" w:lineRule="auto"/>
        <w:jc w:val="left"/>
        <w:sectPr>
          <w:pgSz w:w="11910" w:h="16840"/>
          <w:pgMar w:header="747" w:footer="979" w:top="1060" w:bottom="1160" w:left="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pStyle w:val="Heading1"/>
        <w:spacing w:line="240" w:lineRule="auto"/>
        <w:ind w:left="3945" w:right="0"/>
        <w:jc w:val="left"/>
        <w:rPr>
          <w:b w:val="0"/>
          <w:bCs w:val="0"/>
        </w:rPr>
      </w:pPr>
      <w:bookmarkStart w:name="第六节 股份变动及股东情况" w:id="104"/>
      <w:bookmarkEnd w:id="104"/>
      <w:r>
        <w:rPr>
          <w:b w:val="0"/>
          <w:bCs w:val="0"/>
        </w:rPr>
      </w:r>
      <w:bookmarkStart w:name="_bookmark5" w:id="105"/>
      <w:bookmarkEnd w:id="105"/>
      <w:r>
        <w:rPr>
          <w:b w:val="0"/>
          <w:bCs w:val="0"/>
        </w:rPr>
      </w:r>
      <w:r>
        <w:rPr/>
        <w:t>第六节</w:t>
      </w:r>
      <w:r>
        <w:rPr>
          <w:spacing w:val="-10"/>
        </w:rPr>
        <w:t> </w:t>
      </w:r>
      <w:r>
        <w:rPr/>
        <w:t>股份变动及股东情况</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left"/>
        <w:rPr>
          <w:b w:val="0"/>
          <w:bCs w:val="0"/>
        </w:rPr>
      </w:pPr>
      <w:bookmarkStart w:name="一、股份变动情况" w:id="106"/>
      <w:bookmarkEnd w:id="106"/>
      <w:r>
        <w:rPr>
          <w:b w:val="0"/>
          <w:bCs w:val="0"/>
        </w:rPr>
      </w:r>
      <w:r>
        <w:rPr/>
        <w:t>一、股份变动情况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1、股份变动情况" w:id="107"/>
      <w:bookmarkEnd w:id="107"/>
      <w:r>
        <w:rPr>
          <w:b w:val="0"/>
          <w:bCs w:val="0"/>
        </w:rPr>
      </w:r>
      <w:r>
        <w:rPr>
          <w:rFonts w:ascii="Times New Roman" w:hAnsi="Times New Roman" w:cs="Times New Roman" w:eastAsia="Times New Roman" w:hint="default"/>
        </w:rPr>
        <w:t>1</w:t>
      </w:r>
      <w:r>
        <w:rPr/>
        <w:t>、股份变动情况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单位：股</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2216"/>
        <w:gridCol w:w="823"/>
        <w:gridCol w:w="824"/>
        <w:gridCol w:w="822"/>
        <w:gridCol w:w="822"/>
        <w:gridCol w:w="822"/>
        <w:gridCol w:w="822"/>
        <w:gridCol w:w="822"/>
        <w:gridCol w:w="794"/>
        <w:gridCol w:w="794"/>
      </w:tblGrid>
      <w:tr>
        <w:trPr>
          <w:trHeight w:val="402"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164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67" w:right="0"/>
              <w:jc w:val="left"/>
              <w:rPr>
                <w:rFonts w:ascii="宋体" w:hAnsi="宋体" w:cs="宋体" w:eastAsia="宋体" w:hint="default"/>
                <w:sz w:val="18"/>
                <w:szCs w:val="18"/>
              </w:rPr>
            </w:pPr>
            <w:r>
              <w:rPr>
                <w:rFonts w:ascii="宋体" w:hAnsi="宋体" w:cs="宋体" w:eastAsia="宋体" w:hint="default"/>
                <w:sz w:val="18"/>
                <w:szCs w:val="18"/>
              </w:rPr>
              <w:t>本次变动前</w:t>
            </w:r>
          </w:p>
        </w:tc>
        <w:tc>
          <w:tcPr>
            <w:tcW w:w="4110"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59" w:right="0"/>
              <w:jc w:val="left"/>
              <w:rPr>
                <w:rFonts w:ascii="宋体" w:hAnsi="宋体" w:cs="宋体" w:eastAsia="宋体" w:hint="default"/>
                <w:sz w:val="18"/>
                <w:szCs w:val="18"/>
              </w:rPr>
            </w:pPr>
            <w:r>
              <w:rPr>
                <w:rFonts w:ascii="宋体" w:hAnsi="宋体" w:cs="宋体" w:eastAsia="宋体" w:hint="default"/>
                <w:sz w:val="18"/>
                <w:szCs w:val="18"/>
              </w:rPr>
              <w:t>本次变动增减（＋，－）</w:t>
            </w:r>
          </w:p>
        </w:tc>
        <w:tc>
          <w:tcPr>
            <w:tcW w:w="158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39" w:right="0"/>
              <w:jc w:val="left"/>
              <w:rPr>
                <w:rFonts w:ascii="宋体" w:hAnsi="宋体" w:cs="宋体" w:eastAsia="宋体" w:hint="default"/>
                <w:sz w:val="18"/>
                <w:szCs w:val="18"/>
              </w:rPr>
            </w:pPr>
            <w:r>
              <w:rPr>
                <w:rFonts w:ascii="宋体" w:hAnsi="宋体" w:cs="宋体" w:eastAsia="宋体" w:hint="default"/>
                <w:sz w:val="18"/>
                <w:szCs w:val="18"/>
              </w:rPr>
              <w:t>本次变动后</w:t>
            </w:r>
          </w:p>
        </w:tc>
      </w:tr>
      <w:tr>
        <w:trPr>
          <w:trHeight w:val="161" w:hRule="exact"/>
        </w:trPr>
        <w:tc>
          <w:tcPr>
            <w:tcW w:w="2216" w:type="dxa"/>
            <w:vMerge w:val="restart"/>
            <w:tcBorders>
              <w:top w:val="nil" w:sz="6" w:space="0" w:color="auto"/>
              <w:left w:val="single" w:sz="4" w:space="0" w:color="000000"/>
              <w:right w:val="single" w:sz="4" w:space="0" w:color="000000"/>
            </w:tcBorders>
            <w:shd w:val="clear" w:color="auto" w:fill="D2D2D2"/>
          </w:tcPr>
          <w:p>
            <w:pPr/>
          </w:p>
        </w:tc>
        <w:tc>
          <w:tcPr>
            <w:tcW w:w="823" w:type="dxa"/>
            <w:tcBorders>
              <w:top w:val="single" w:sz="4" w:space="0" w:color="000000"/>
              <w:left w:val="single" w:sz="4" w:space="0" w:color="000000"/>
              <w:bottom w:val="nil" w:sz="6" w:space="0" w:color="auto"/>
              <w:right w:val="single" w:sz="4" w:space="0" w:color="000000"/>
            </w:tcBorders>
            <w:shd w:val="clear" w:color="auto" w:fill="D2D2D2"/>
          </w:tcPr>
          <w:p>
            <w:pPr/>
          </w:p>
        </w:tc>
        <w:tc>
          <w:tcPr>
            <w:tcW w:w="824" w:type="dxa"/>
            <w:tcBorders>
              <w:top w:val="single" w:sz="4" w:space="0" w:color="000000"/>
              <w:left w:val="single" w:sz="4" w:space="0" w:color="000000"/>
              <w:bottom w:val="nil" w:sz="6" w:space="0" w:color="auto"/>
              <w:right w:val="single" w:sz="4" w:space="0" w:color="000000"/>
            </w:tcBorders>
            <w:shd w:val="clear" w:color="auto" w:fill="D2D2D2"/>
          </w:tcPr>
          <w:p>
            <w:pPr/>
          </w:p>
        </w:tc>
        <w:tc>
          <w:tcPr>
            <w:tcW w:w="822" w:type="dxa"/>
            <w:tcBorders>
              <w:top w:val="single" w:sz="4" w:space="0" w:color="000000"/>
              <w:left w:val="single" w:sz="4" w:space="0" w:color="000000"/>
              <w:bottom w:val="nil" w:sz="6" w:space="0" w:color="auto"/>
              <w:right w:val="single" w:sz="4" w:space="0" w:color="000000"/>
            </w:tcBorders>
            <w:shd w:val="clear" w:color="auto" w:fill="D2D2D2"/>
          </w:tcPr>
          <w:p>
            <w:pPr/>
          </w:p>
        </w:tc>
        <w:tc>
          <w:tcPr>
            <w:tcW w:w="822" w:type="dxa"/>
            <w:tcBorders>
              <w:top w:val="single" w:sz="4" w:space="0" w:color="000000"/>
              <w:left w:val="single" w:sz="4" w:space="0" w:color="000000"/>
              <w:bottom w:val="nil" w:sz="6" w:space="0" w:color="auto"/>
              <w:right w:val="single" w:sz="4" w:space="0" w:color="000000"/>
            </w:tcBorders>
            <w:shd w:val="clear" w:color="auto" w:fill="D2D2D2"/>
          </w:tcPr>
          <w:p>
            <w:pPr/>
          </w:p>
        </w:tc>
        <w:tc>
          <w:tcPr>
            <w:tcW w:w="82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316" w:right="43" w:hanging="270"/>
              <w:jc w:val="left"/>
              <w:rPr>
                <w:rFonts w:ascii="宋体" w:hAnsi="宋体" w:cs="宋体" w:eastAsia="宋体" w:hint="default"/>
                <w:sz w:val="18"/>
                <w:szCs w:val="18"/>
              </w:rPr>
            </w:pPr>
            <w:r>
              <w:rPr>
                <w:rFonts w:ascii="宋体" w:hAnsi="宋体" w:cs="宋体" w:eastAsia="宋体" w:hint="default"/>
                <w:sz w:val="18"/>
                <w:szCs w:val="18"/>
              </w:rPr>
              <w:t>公积金转 股</w:t>
            </w:r>
          </w:p>
        </w:tc>
        <w:tc>
          <w:tcPr>
            <w:tcW w:w="822" w:type="dxa"/>
            <w:tcBorders>
              <w:top w:val="single" w:sz="4" w:space="0" w:color="000000"/>
              <w:left w:val="single" w:sz="4" w:space="0" w:color="000000"/>
              <w:bottom w:val="nil" w:sz="6" w:space="0" w:color="auto"/>
              <w:right w:val="single" w:sz="4" w:space="0" w:color="000000"/>
            </w:tcBorders>
            <w:shd w:val="clear" w:color="auto" w:fill="D2D2D2"/>
          </w:tcPr>
          <w:p>
            <w:pPr/>
          </w:p>
        </w:tc>
        <w:tc>
          <w:tcPr>
            <w:tcW w:w="822" w:type="dxa"/>
            <w:tcBorders>
              <w:top w:val="single" w:sz="4" w:space="0" w:color="000000"/>
              <w:left w:val="single" w:sz="4" w:space="0" w:color="000000"/>
              <w:bottom w:val="nil" w:sz="6" w:space="0" w:color="auto"/>
              <w:right w:val="single" w:sz="4" w:space="0" w:color="000000"/>
            </w:tcBorders>
            <w:shd w:val="clear" w:color="auto" w:fill="D2D2D2"/>
          </w:tcPr>
          <w:p>
            <w:pPr/>
          </w:p>
        </w:tc>
        <w:tc>
          <w:tcPr>
            <w:tcW w:w="794" w:type="dxa"/>
            <w:tcBorders>
              <w:top w:val="single" w:sz="4" w:space="0" w:color="000000"/>
              <w:left w:val="single" w:sz="4" w:space="0" w:color="000000"/>
              <w:bottom w:val="nil" w:sz="6" w:space="0" w:color="auto"/>
              <w:right w:val="single" w:sz="4" w:space="0" w:color="000000"/>
            </w:tcBorders>
            <w:shd w:val="clear" w:color="auto" w:fill="D2D2D2"/>
          </w:tcPr>
          <w:p>
            <w:pPr/>
          </w:p>
        </w:tc>
        <w:tc>
          <w:tcPr>
            <w:tcW w:w="794"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1" w:hRule="exact"/>
        </w:trPr>
        <w:tc>
          <w:tcPr>
            <w:tcW w:w="2216" w:type="dxa"/>
            <w:vMerge/>
            <w:tcBorders>
              <w:left w:val="single" w:sz="4" w:space="0" w:color="000000"/>
              <w:bottom w:val="nil" w:sz="6" w:space="0" w:color="auto"/>
              <w:right w:val="single" w:sz="4" w:space="0" w:color="000000"/>
            </w:tcBorders>
            <w:shd w:val="clear" w:color="auto" w:fill="D2D2D2"/>
          </w:tcPr>
          <w:p>
            <w:pPr/>
          </w:p>
        </w:tc>
        <w:tc>
          <w:tcPr>
            <w:tcW w:w="82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2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82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2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2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45"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82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26" w:right="0"/>
              <w:jc w:val="left"/>
              <w:rPr>
                <w:rFonts w:ascii="宋体" w:hAnsi="宋体" w:cs="宋体" w:eastAsia="宋体" w:hint="default"/>
                <w:sz w:val="18"/>
                <w:szCs w:val="18"/>
              </w:rPr>
            </w:pPr>
            <w:r>
              <w:rPr>
                <w:rFonts w:ascii="宋体" w:hAnsi="宋体" w:cs="宋体" w:eastAsia="宋体" w:hint="default"/>
                <w:sz w:val="18"/>
                <w:szCs w:val="18"/>
              </w:rPr>
              <w:t>送股</w:t>
            </w:r>
          </w:p>
        </w:tc>
        <w:tc>
          <w:tcPr>
            <w:tcW w:w="822" w:type="dxa"/>
            <w:vMerge/>
            <w:tcBorders>
              <w:left w:val="single" w:sz="4" w:space="0" w:color="000000"/>
              <w:right w:val="single" w:sz="4" w:space="0" w:color="000000"/>
            </w:tcBorders>
            <w:shd w:val="clear" w:color="auto" w:fill="D2D2D2"/>
          </w:tcPr>
          <w:p>
            <w:pPr/>
          </w:p>
        </w:tc>
        <w:tc>
          <w:tcPr>
            <w:tcW w:w="82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2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2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26"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12"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79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11" w:right="0"/>
              <w:jc w:val="left"/>
              <w:rPr>
                <w:rFonts w:ascii="宋体" w:hAnsi="宋体" w:cs="宋体" w:eastAsia="宋体" w:hint="default"/>
                <w:sz w:val="18"/>
                <w:szCs w:val="18"/>
              </w:rPr>
            </w:pPr>
            <w:r>
              <w:rPr>
                <w:rFonts w:ascii="宋体" w:hAnsi="宋体" w:cs="宋体" w:eastAsia="宋体" w:hint="default"/>
                <w:sz w:val="18"/>
                <w:szCs w:val="18"/>
              </w:rPr>
              <w:t>比例</w:t>
            </w:r>
          </w:p>
        </w:tc>
      </w:tr>
      <w:tr>
        <w:trPr>
          <w:trHeight w:val="202" w:hRule="exact"/>
        </w:trPr>
        <w:tc>
          <w:tcPr>
            <w:tcW w:w="2216" w:type="dxa"/>
            <w:vMerge w:val="restart"/>
            <w:tcBorders>
              <w:top w:val="nil" w:sz="6" w:space="0" w:color="auto"/>
              <w:left w:val="single" w:sz="4" w:space="0" w:color="000000"/>
              <w:right w:val="single" w:sz="4" w:space="0" w:color="000000"/>
            </w:tcBorders>
            <w:shd w:val="clear" w:color="auto" w:fill="D2D2D2"/>
          </w:tcPr>
          <w:p>
            <w:pPr/>
          </w:p>
        </w:tc>
        <w:tc>
          <w:tcPr>
            <w:tcW w:w="823" w:type="dxa"/>
            <w:vMerge/>
            <w:tcBorders>
              <w:left w:val="single" w:sz="4" w:space="0" w:color="000000"/>
              <w:bottom w:val="nil" w:sz="6" w:space="0" w:color="auto"/>
              <w:right w:val="single" w:sz="4" w:space="0" w:color="000000"/>
            </w:tcBorders>
            <w:shd w:val="clear" w:color="auto" w:fill="D2D2D2"/>
          </w:tcPr>
          <w:p>
            <w:pPr/>
          </w:p>
        </w:tc>
        <w:tc>
          <w:tcPr>
            <w:tcW w:w="824" w:type="dxa"/>
            <w:vMerge/>
            <w:tcBorders>
              <w:left w:val="single" w:sz="4" w:space="0" w:color="000000"/>
              <w:bottom w:val="nil" w:sz="6" w:space="0" w:color="auto"/>
              <w:right w:val="single" w:sz="4" w:space="0" w:color="000000"/>
            </w:tcBorders>
            <w:shd w:val="clear" w:color="auto" w:fill="D2D2D2"/>
          </w:tcPr>
          <w:p>
            <w:pPr/>
          </w:p>
        </w:tc>
        <w:tc>
          <w:tcPr>
            <w:tcW w:w="822" w:type="dxa"/>
            <w:vMerge/>
            <w:tcBorders>
              <w:left w:val="single" w:sz="4" w:space="0" w:color="000000"/>
              <w:bottom w:val="nil" w:sz="6" w:space="0" w:color="auto"/>
              <w:right w:val="single" w:sz="4" w:space="0" w:color="000000"/>
            </w:tcBorders>
            <w:shd w:val="clear" w:color="auto" w:fill="D2D2D2"/>
          </w:tcPr>
          <w:p>
            <w:pPr/>
          </w:p>
        </w:tc>
        <w:tc>
          <w:tcPr>
            <w:tcW w:w="822" w:type="dxa"/>
            <w:vMerge/>
            <w:tcBorders>
              <w:left w:val="single" w:sz="4" w:space="0" w:color="000000"/>
              <w:bottom w:val="nil" w:sz="6" w:space="0" w:color="auto"/>
              <w:right w:val="single" w:sz="4" w:space="0" w:color="000000"/>
            </w:tcBorders>
            <w:shd w:val="clear" w:color="auto" w:fill="D2D2D2"/>
          </w:tcPr>
          <w:p>
            <w:pPr/>
          </w:p>
        </w:tc>
        <w:tc>
          <w:tcPr>
            <w:tcW w:w="822" w:type="dxa"/>
            <w:vMerge/>
            <w:tcBorders>
              <w:left w:val="single" w:sz="4" w:space="0" w:color="000000"/>
              <w:right w:val="single" w:sz="4" w:space="0" w:color="000000"/>
            </w:tcBorders>
            <w:shd w:val="clear" w:color="auto" w:fill="D2D2D2"/>
          </w:tcPr>
          <w:p>
            <w:pPr/>
          </w:p>
        </w:tc>
        <w:tc>
          <w:tcPr>
            <w:tcW w:w="822" w:type="dxa"/>
            <w:vMerge/>
            <w:tcBorders>
              <w:left w:val="single" w:sz="4" w:space="0" w:color="000000"/>
              <w:bottom w:val="nil" w:sz="6" w:space="0" w:color="auto"/>
              <w:right w:val="single" w:sz="4" w:space="0" w:color="000000"/>
            </w:tcBorders>
            <w:shd w:val="clear" w:color="auto" w:fill="D2D2D2"/>
          </w:tcPr>
          <w:p>
            <w:pPr/>
          </w:p>
        </w:tc>
        <w:tc>
          <w:tcPr>
            <w:tcW w:w="822" w:type="dxa"/>
            <w:vMerge/>
            <w:tcBorders>
              <w:left w:val="single" w:sz="4" w:space="0" w:color="000000"/>
              <w:bottom w:val="nil" w:sz="6" w:space="0" w:color="auto"/>
              <w:right w:val="single" w:sz="4" w:space="0" w:color="000000"/>
            </w:tcBorders>
            <w:shd w:val="clear" w:color="auto" w:fill="D2D2D2"/>
          </w:tcPr>
          <w:p>
            <w:pPr/>
          </w:p>
        </w:tc>
        <w:tc>
          <w:tcPr>
            <w:tcW w:w="794" w:type="dxa"/>
            <w:vMerge/>
            <w:tcBorders>
              <w:left w:val="single" w:sz="4" w:space="0" w:color="000000"/>
              <w:bottom w:val="nil" w:sz="6" w:space="0" w:color="auto"/>
              <w:right w:val="single" w:sz="4" w:space="0" w:color="000000"/>
            </w:tcBorders>
            <w:shd w:val="clear" w:color="auto" w:fill="D2D2D2"/>
          </w:tcPr>
          <w:p>
            <w:pPr/>
          </w:p>
        </w:tc>
        <w:tc>
          <w:tcPr>
            <w:tcW w:w="794" w:type="dxa"/>
            <w:vMerge/>
            <w:tcBorders>
              <w:left w:val="single" w:sz="4" w:space="0" w:color="000000"/>
              <w:bottom w:val="nil" w:sz="6" w:space="0" w:color="auto"/>
              <w:right w:val="single" w:sz="4" w:space="0" w:color="000000"/>
            </w:tcBorders>
            <w:shd w:val="clear" w:color="auto" w:fill="D2D2D2"/>
          </w:tcPr>
          <w:p>
            <w:pPr/>
          </w:p>
        </w:tc>
      </w:tr>
      <w:tr>
        <w:trPr>
          <w:trHeight w:val="161" w:hRule="exact"/>
        </w:trPr>
        <w:tc>
          <w:tcPr>
            <w:tcW w:w="2216" w:type="dxa"/>
            <w:vMerge/>
            <w:tcBorders>
              <w:left w:val="single" w:sz="4" w:space="0" w:color="000000"/>
              <w:bottom w:val="single" w:sz="4" w:space="0" w:color="000000"/>
              <w:right w:val="single" w:sz="4" w:space="0" w:color="000000"/>
            </w:tcBorders>
            <w:shd w:val="clear" w:color="auto" w:fill="D2D2D2"/>
          </w:tcPr>
          <w:p>
            <w:pPr/>
          </w:p>
        </w:tc>
        <w:tc>
          <w:tcPr>
            <w:tcW w:w="823" w:type="dxa"/>
            <w:tcBorders>
              <w:top w:val="nil" w:sz="6" w:space="0" w:color="auto"/>
              <w:left w:val="single" w:sz="4" w:space="0" w:color="000000"/>
              <w:bottom w:val="single" w:sz="4" w:space="0" w:color="000000"/>
              <w:right w:val="single" w:sz="4" w:space="0" w:color="000000"/>
            </w:tcBorders>
            <w:shd w:val="clear" w:color="auto" w:fill="D2D2D2"/>
          </w:tcPr>
          <w:p>
            <w:pPr/>
          </w:p>
        </w:tc>
        <w:tc>
          <w:tcPr>
            <w:tcW w:w="824" w:type="dxa"/>
            <w:tcBorders>
              <w:top w:val="nil" w:sz="6" w:space="0" w:color="auto"/>
              <w:left w:val="single" w:sz="4" w:space="0" w:color="000000"/>
              <w:bottom w:val="single" w:sz="4" w:space="0" w:color="000000"/>
              <w:right w:val="single" w:sz="4" w:space="0" w:color="000000"/>
            </w:tcBorders>
            <w:shd w:val="clear" w:color="auto" w:fill="D2D2D2"/>
          </w:tcPr>
          <w:p>
            <w:pPr/>
          </w:p>
        </w:tc>
        <w:tc>
          <w:tcPr>
            <w:tcW w:w="822" w:type="dxa"/>
            <w:tcBorders>
              <w:top w:val="nil" w:sz="6" w:space="0" w:color="auto"/>
              <w:left w:val="single" w:sz="4" w:space="0" w:color="000000"/>
              <w:bottom w:val="single" w:sz="4" w:space="0" w:color="000000"/>
              <w:right w:val="single" w:sz="4" w:space="0" w:color="000000"/>
            </w:tcBorders>
            <w:shd w:val="clear" w:color="auto" w:fill="D2D2D2"/>
          </w:tcPr>
          <w:p>
            <w:pPr/>
          </w:p>
        </w:tc>
        <w:tc>
          <w:tcPr>
            <w:tcW w:w="822" w:type="dxa"/>
            <w:tcBorders>
              <w:top w:val="nil" w:sz="6" w:space="0" w:color="auto"/>
              <w:left w:val="single" w:sz="4" w:space="0" w:color="000000"/>
              <w:bottom w:val="single" w:sz="4" w:space="0" w:color="000000"/>
              <w:right w:val="single" w:sz="4" w:space="0" w:color="000000"/>
            </w:tcBorders>
            <w:shd w:val="clear" w:color="auto" w:fill="D2D2D2"/>
          </w:tcPr>
          <w:p>
            <w:pPr/>
          </w:p>
        </w:tc>
        <w:tc>
          <w:tcPr>
            <w:tcW w:w="822" w:type="dxa"/>
            <w:vMerge/>
            <w:tcBorders>
              <w:left w:val="single" w:sz="4" w:space="0" w:color="000000"/>
              <w:bottom w:val="single" w:sz="4" w:space="0" w:color="000000"/>
              <w:right w:val="single" w:sz="4" w:space="0" w:color="000000"/>
            </w:tcBorders>
            <w:shd w:val="clear" w:color="auto" w:fill="D2D2D2"/>
          </w:tcPr>
          <w:p>
            <w:pPr/>
          </w:p>
        </w:tc>
        <w:tc>
          <w:tcPr>
            <w:tcW w:w="822" w:type="dxa"/>
            <w:tcBorders>
              <w:top w:val="nil" w:sz="6" w:space="0" w:color="auto"/>
              <w:left w:val="single" w:sz="4" w:space="0" w:color="000000"/>
              <w:bottom w:val="single" w:sz="4" w:space="0" w:color="000000"/>
              <w:right w:val="single" w:sz="4" w:space="0" w:color="000000"/>
            </w:tcBorders>
            <w:shd w:val="clear" w:color="auto" w:fill="D2D2D2"/>
          </w:tcPr>
          <w:p>
            <w:pPr/>
          </w:p>
        </w:tc>
        <w:tc>
          <w:tcPr>
            <w:tcW w:w="822" w:type="dxa"/>
            <w:tcBorders>
              <w:top w:val="nil" w:sz="6" w:space="0" w:color="auto"/>
              <w:left w:val="single" w:sz="4" w:space="0" w:color="000000"/>
              <w:bottom w:val="single" w:sz="4" w:space="0" w:color="000000"/>
              <w:right w:val="single" w:sz="4" w:space="0" w:color="000000"/>
            </w:tcBorders>
            <w:shd w:val="clear" w:color="auto" w:fill="D2D2D2"/>
          </w:tcPr>
          <w:p>
            <w:pPr/>
          </w:p>
        </w:tc>
        <w:tc>
          <w:tcPr>
            <w:tcW w:w="794" w:type="dxa"/>
            <w:tcBorders>
              <w:top w:val="nil" w:sz="6" w:space="0" w:color="auto"/>
              <w:left w:val="single" w:sz="4" w:space="0" w:color="000000"/>
              <w:bottom w:val="single" w:sz="4" w:space="0" w:color="000000"/>
              <w:right w:val="single" w:sz="4" w:space="0" w:color="000000"/>
            </w:tcBorders>
            <w:shd w:val="clear" w:color="auto" w:fill="D2D2D2"/>
          </w:tcPr>
          <w:p>
            <w:pPr/>
          </w:p>
        </w:tc>
        <w:tc>
          <w:tcPr>
            <w:tcW w:w="794"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vMerge w:val="restart"/>
            <w:tcBorders>
              <w:top w:val="single" w:sz="4" w:space="0" w:color="000000"/>
              <w:left w:val="single" w:sz="10"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53,284,67</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8</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5" w:right="0"/>
              <w:jc w:val="left"/>
              <w:rPr>
                <w:rFonts w:ascii="Times New Roman" w:hAnsi="Times New Roman" w:cs="Times New Roman" w:eastAsia="Times New Roman" w:hint="default"/>
                <w:sz w:val="18"/>
                <w:szCs w:val="18"/>
              </w:rPr>
            </w:pPr>
            <w:r>
              <w:rPr>
                <w:rFonts w:ascii="Times New Roman"/>
                <w:sz w:val="18"/>
              </w:rPr>
              <w:t>15.47%</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-5,110,31</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3</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-5,110,31</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3</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48,174,36</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5</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13.99%</w:t>
            </w:r>
          </w:p>
        </w:tc>
      </w:tr>
      <w:tr>
        <w:trPr>
          <w:trHeight w:val="392"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一、有限售条件股份</w:t>
            </w:r>
          </w:p>
        </w:tc>
        <w:tc>
          <w:tcPr>
            <w:tcW w:w="823" w:type="dxa"/>
            <w:vMerge/>
            <w:tcBorders>
              <w:left w:val="single" w:sz="10" w:space="0" w:color="D2D2D2"/>
              <w:right w:val="single" w:sz="4" w:space="0" w:color="000000"/>
            </w:tcBorders>
          </w:tcPr>
          <w:p>
            <w:pPr/>
          </w:p>
        </w:tc>
        <w:tc>
          <w:tcPr>
            <w:tcW w:w="824"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3" w:type="dxa"/>
            <w:vMerge/>
            <w:tcBorders>
              <w:left w:val="single" w:sz="10" w:space="0" w:color="D2D2D2"/>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r>
      <w:tr>
        <w:trPr>
          <w:trHeight w:val="402" w:hRule="exact"/>
        </w:trPr>
        <w:tc>
          <w:tcPr>
            <w:tcW w:w="22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、国家持股</w:t>
            </w:r>
          </w:p>
        </w:tc>
        <w:tc>
          <w:tcPr>
            <w:tcW w:w="82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2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、国有法人持股</w:t>
            </w:r>
          </w:p>
        </w:tc>
        <w:tc>
          <w:tcPr>
            <w:tcW w:w="82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vMerge w:val="restart"/>
            <w:tcBorders>
              <w:top w:val="single" w:sz="4" w:space="0" w:color="000000"/>
              <w:left w:val="single" w:sz="10"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53,284,67</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8</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5" w:right="0"/>
              <w:jc w:val="left"/>
              <w:rPr>
                <w:rFonts w:ascii="Times New Roman" w:hAnsi="Times New Roman" w:cs="Times New Roman" w:eastAsia="Times New Roman" w:hint="default"/>
                <w:sz w:val="18"/>
                <w:szCs w:val="18"/>
              </w:rPr>
            </w:pPr>
            <w:r>
              <w:rPr>
                <w:rFonts w:ascii="Times New Roman"/>
                <w:sz w:val="18"/>
              </w:rPr>
              <w:t>15.47%</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-5,110,31</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3</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-5,110,31</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3</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48,174,36</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5</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13.99%</w:t>
            </w:r>
          </w:p>
        </w:tc>
      </w:tr>
      <w:tr>
        <w:trPr>
          <w:trHeight w:val="392"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、其他内资持股</w:t>
            </w:r>
          </w:p>
        </w:tc>
        <w:tc>
          <w:tcPr>
            <w:tcW w:w="823" w:type="dxa"/>
            <w:vMerge/>
            <w:tcBorders>
              <w:left w:val="single" w:sz="10" w:space="0" w:color="D2D2D2"/>
              <w:right w:val="single" w:sz="4" w:space="0" w:color="000000"/>
            </w:tcBorders>
          </w:tcPr>
          <w:p>
            <w:pPr/>
          </w:p>
        </w:tc>
        <w:tc>
          <w:tcPr>
            <w:tcW w:w="824"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3" w:type="dxa"/>
            <w:vMerge/>
            <w:tcBorders>
              <w:left w:val="single" w:sz="10" w:space="0" w:color="D2D2D2"/>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r>
      <w:tr>
        <w:trPr>
          <w:trHeight w:val="402" w:hRule="exact"/>
        </w:trPr>
        <w:tc>
          <w:tcPr>
            <w:tcW w:w="22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其中：境内法人持股</w:t>
            </w:r>
          </w:p>
        </w:tc>
        <w:tc>
          <w:tcPr>
            <w:tcW w:w="82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vMerge w:val="restart"/>
            <w:tcBorders>
              <w:top w:val="single" w:sz="4" w:space="0" w:color="000000"/>
              <w:left w:val="single" w:sz="10"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53,284,67</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8</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5" w:right="0"/>
              <w:jc w:val="left"/>
              <w:rPr>
                <w:rFonts w:ascii="Times New Roman" w:hAnsi="Times New Roman" w:cs="Times New Roman" w:eastAsia="Times New Roman" w:hint="default"/>
                <w:sz w:val="18"/>
                <w:szCs w:val="18"/>
              </w:rPr>
            </w:pPr>
            <w:r>
              <w:rPr>
                <w:rFonts w:ascii="Times New Roman"/>
                <w:sz w:val="18"/>
              </w:rPr>
              <w:t>15.47%</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-5,110,31</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3</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-5,110,31</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3</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48,174,36</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5</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13.99%</w:t>
            </w:r>
          </w:p>
        </w:tc>
      </w:tr>
      <w:tr>
        <w:trPr>
          <w:trHeight w:val="393"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392"/>
              <w:jc w:val="right"/>
              <w:rPr>
                <w:rFonts w:ascii="宋体" w:hAnsi="宋体" w:cs="宋体" w:eastAsia="宋体" w:hint="default"/>
                <w:sz w:val="18"/>
                <w:szCs w:val="18"/>
              </w:rPr>
            </w:pPr>
            <w:r>
              <w:rPr>
                <w:rFonts w:ascii="宋体" w:hAnsi="宋体" w:cs="宋体" w:eastAsia="宋体" w:hint="default"/>
                <w:sz w:val="18"/>
                <w:szCs w:val="18"/>
              </w:rPr>
              <w:t>境内自然人持股</w:t>
            </w:r>
          </w:p>
        </w:tc>
        <w:tc>
          <w:tcPr>
            <w:tcW w:w="823" w:type="dxa"/>
            <w:vMerge/>
            <w:tcBorders>
              <w:left w:val="single" w:sz="10" w:space="0" w:color="D2D2D2"/>
              <w:right w:val="single" w:sz="4" w:space="0" w:color="000000"/>
            </w:tcBorders>
          </w:tcPr>
          <w:p>
            <w:pPr/>
          </w:p>
        </w:tc>
        <w:tc>
          <w:tcPr>
            <w:tcW w:w="824"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3" w:type="dxa"/>
            <w:vMerge/>
            <w:tcBorders>
              <w:left w:val="single" w:sz="10" w:space="0" w:color="D2D2D2"/>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r>
      <w:tr>
        <w:trPr>
          <w:trHeight w:val="402" w:hRule="exact"/>
        </w:trPr>
        <w:tc>
          <w:tcPr>
            <w:tcW w:w="22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、外资持股</w:t>
            </w:r>
          </w:p>
        </w:tc>
        <w:tc>
          <w:tcPr>
            <w:tcW w:w="82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2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其中：境外法人持股</w:t>
            </w:r>
          </w:p>
        </w:tc>
        <w:tc>
          <w:tcPr>
            <w:tcW w:w="82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2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392"/>
              <w:jc w:val="right"/>
              <w:rPr>
                <w:rFonts w:ascii="宋体" w:hAnsi="宋体" w:cs="宋体" w:eastAsia="宋体" w:hint="default"/>
                <w:sz w:val="18"/>
                <w:szCs w:val="18"/>
              </w:rPr>
            </w:pPr>
            <w:r>
              <w:rPr>
                <w:rFonts w:ascii="宋体" w:hAnsi="宋体" w:cs="宋体" w:eastAsia="宋体" w:hint="default"/>
                <w:sz w:val="18"/>
                <w:szCs w:val="18"/>
              </w:rPr>
              <w:t>境外自然人持股</w:t>
            </w:r>
          </w:p>
        </w:tc>
        <w:tc>
          <w:tcPr>
            <w:tcW w:w="82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vMerge w:val="restart"/>
            <w:tcBorders>
              <w:top w:val="single" w:sz="4" w:space="0" w:color="000000"/>
              <w:left w:val="single" w:sz="10"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291,110,6</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66</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5" w:right="0"/>
              <w:jc w:val="left"/>
              <w:rPr>
                <w:rFonts w:ascii="Times New Roman" w:hAnsi="Times New Roman" w:cs="Times New Roman" w:eastAsia="Times New Roman" w:hint="default"/>
                <w:sz w:val="18"/>
                <w:szCs w:val="18"/>
              </w:rPr>
            </w:pPr>
            <w:r>
              <w:rPr>
                <w:rFonts w:ascii="Times New Roman"/>
                <w:sz w:val="18"/>
              </w:rPr>
              <w:t>84.53%</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6" w:right="0"/>
              <w:jc w:val="left"/>
              <w:rPr>
                <w:rFonts w:ascii="Times New Roman" w:hAnsi="Times New Roman" w:cs="Times New Roman" w:eastAsia="Times New Roman" w:hint="default"/>
                <w:sz w:val="18"/>
                <w:szCs w:val="18"/>
              </w:rPr>
            </w:pPr>
            <w:r>
              <w:rPr>
                <w:rFonts w:ascii="Times New Roman"/>
                <w:sz w:val="18"/>
              </w:rPr>
              <w:t>5,110,313</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6" w:right="0"/>
              <w:jc w:val="left"/>
              <w:rPr>
                <w:rFonts w:ascii="Times New Roman" w:hAnsi="Times New Roman" w:cs="Times New Roman" w:eastAsia="Times New Roman" w:hint="default"/>
                <w:sz w:val="18"/>
                <w:szCs w:val="18"/>
              </w:rPr>
            </w:pPr>
            <w:r>
              <w:rPr>
                <w:rFonts w:ascii="Times New Roman"/>
                <w:sz w:val="18"/>
              </w:rPr>
              <w:t>5,110,313</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296,220,9</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79</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86.01%</w:t>
            </w:r>
          </w:p>
        </w:tc>
      </w:tr>
      <w:tr>
        <w:trPr>
          <w:trHeight w:val="392"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二、无限售条件股份</w:t>
            </w:r>
          </w:p>
        </w:tc>
        <w:tc>
          <w:tcPr>
            <w:tcW w:w="823" w:type="dxa"/>
            <w:vMerge/>
            <w:tcBorders>
              <w:left w:val="single" w:sz="10" w:space="0" w:color="D2D2D2"/>
              <w:right w:val="single" w:sz="4" w:space="0" w:color="000000"/>
            </w:tcBorders>
          </w:tcPr>
          <w:p>
            <w:pPr/>
          </w:p>
        </w:tc>
        <w:tc>
          <w:tcPr>
            <w:tcW w:w="824"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3" w:type="dxa"/>
            <w:vMerge/>
            <w:tcBorders>
              <w:left w:val="single" w:sz="10" w:space="0" w:color="D2D2D2"/>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vMerge w:val="restart"/>
            <w:tcBorders>
              <w:top w:val="single" w:sz="4" w:space="0" w:color="000000"/>
              <w:left w:val="single" w:sz="10"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291,110,6</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66</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5" w:right="0"/>
              <w:jc w:val="left"/>
              <w:rPr>
                <w:rFonts w:ascii="Times New Roman" w:hAnsi="Times New Roman" w:cs="Times New Roman" w:eastAsia="Times New Roman" w:hint="default"/>
                <w:sz w:val="18"/>
                <w:szCs w:val="18"/>
              </w:rPr>
            </w:pPr>
            <w:r>
              <w:rPr>
                <w:rFonts w:ascii="Times New Roman"/>
                <w:sz w:val="18"/>
              </w:rPr>
              <w:t>84.53%</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6" w:right="0"/>
              <w:jc w:val="left"/>
              <w:rPr>
                <w:rFonts w:ascii="Times New Roman" w:hAnsi="Times New Roman" w:cs="Times New Roman" w:eastAsia="Times New Roman" w:hint="default"/>
                <w:sz w:val="18"/>
                <w:szCs w:val="18"/>
              </w:rPr>
            </w:pPr>
            <w:r>
              <w:rPr>
                <w:rFonts w:ascii="Times New Roman"/>
                <w:sz w:val="18"/>
              </w:rPr>
              <w:t>5,110,313</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6" w:right="0"/>
              <w:jc w:val="left"/>
              <w:rPr>
                <w:rFonts w:ascii="Times New Roman" w:hAnsi="Times New Roman" w:cs="Times New Roman" w:eastAsia="Times New Roman" w:hint="default"/>
                <w:sz w:val="18"/>
                <w:szCs w:val="18"/>
              </w:rPr>
            </w:pPr>
            <w:r>
              <w:rPr>
                <w:rFonts w:ascii="Times New Roman"/>
                <w:sz w:val="18"/>
              </w:rPr>
              <w:t>5,110,313</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296,220,9</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79</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86.01%</w:t>
            </w:r>
          </w:p>
        </w:tc>
      </w:tr>
      <w:tr>
        <w:trPr>
          <w:trHeight w:val="392"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、人民币普通股</w:t>
            </w:r>
          </w:p>
        </w:tc>
        <w:tc>
          <w:tcPr>
            <w:tcW w:w="823" w:type="dxa"/>
            <w:vMerge/>
            <w:tcBorders>
              <w:left w:val="single" w:sz="10" w:space="0" w:color="D2D2D2"/>
              <w:right w:val="single" w:sz="4" w:space="0" w:color="000000"/>
            </w:tcBorders>
          </w:tcPr>
          <w:p>
            <w:pPr/>
          </w:p>
        </w:tc>
        <w:tc>
          <w:tcPr>
            <w:tcW w:w="824"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3" w:type="dxa"/>
            <w:vMerge/>
            <w:tcBorders>
              <w:left w:val="single" w:sz="10" w:space="0" w:color="D2D2D2"/>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r>
      <w:tr>
        <w:trPr>
          <w:trHeight w:val="402" w:hRule="exact"/>
        </w:trPr>
        <w:tc>
          <w:tcPr>
            <w:tcW w:w="22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、境内上市的外资股</w:t>
            </w:r>
          </w:p>
        </w:tc>
        <w:tc>
          <w:tcPr>
            <w:tcW w:w="82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2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、境外上市的外资股</w:t>
            </w:r>
          </w:p>
        </w:tc>
        <w:tc>
          <w:tcPr>
            <w:tcW w:w="82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2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82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vMerge w:val="restart"/>
            <w:tcBorders>
              <w:top w:val="single" w:sz="4" w:space="0" w:color="000000"/>
              <w:left w:val="single" w:sz="10"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344,395,3</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44</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45" w:right="0"/>
              <w:jc w:val="left"/>
              <w:rPr>
                <w:rFonts w:ascii="Times New Roman" w:hAnsi="Times New Roman" w:cs="Times New Roman" w:eastAsia="Times New Roman" w:hint="default"/>
                <w:sz w:val="18"/>
                <w:szCs w:val="18"/>
              </w:rPr>
            </w:pPr>
            <w:r>
              <w:rPr>
                <w:rFonts w:ascii="Times New Roman"/>
                <w:sz w:val="18"/>
              </w:rPr>
              <w:t>100.00%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344,395,3</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44</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16" w:right="0"/>
              <w:jc w:val="left"/>
              <w:rPr>
                <w:rFonts w:ascii="Times New Roman" w:hAnsi="Times New Roman" w:cs="Times New Roman" w:eastAsia="Times New Roman" w:hint="default"/>
                <w:sz w:val="18"/>
                <w:szCs w:val="18"/>
              </w:rPr>
            </w:pPr>
            <w:r>
              <w:rPr>
                <w:rFonts w:ascii="Times New Roman"/>
                <w:sz w:val="18"/>
              </w:rPr>
              <w:t>100.00%</w:t>
            </w:r>
          </w:p>
        </w:tc>
      </w:tr>
      <w:tr>
        <w:trPr>
          <w:trHeight w:val="392"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三、股份总数</w:t>
            </w:r>
          </w:p>
        </w:tc>
        <w:tc>
          <w:tcPr>
            <w:tcW w:w="823" w:type="dxa"/>
            <w:vMerge/>
            <w:tcBorders>
              <w:left w:val="single" w:sz="10" w:space="0" w:color="D2D2D2"/>
              <w:right w:val="single" w:sz="4" w:space="0" w:color="000000"/>
            </w:tcBorders>
          </w:tcPr>
          <w:p>
            <w:pPr/>
          </w:p>
        </w:tc>
        <w:tc>
          <w:tcPr>
            <w:tcW w:w="824"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3" w:type="dxa"/>
            <w:vMerge/>
            <w:tcBorders>
              <w:left w:val="single" w:sz="10" w:space="0" w:color="D2D2D2"/>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r>
    </w:tbl>
    <w:p>
      <w:pPr>
        <w:pStyle w:val="BodyText"/>
        <w:spacing w:line="240" w:lineRule="auto" w:before="51"/>
        <w:ind w:left="1134" w:right="0"/>
        <w:jc w:val="left"/>
      </w:pPr>
      <w:r>
        <w:rPr/>
        <w:t>股份变动的原因</w:t>
      </w:r>
    </w:p>
    <w:p>
      <w:pPr>
        <w:pStyle w:val="BodyText"/>
        <w:spacing w:line="338" w:lineRule="auto" w:before="117"/>
        <w:ind w:right="9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股份变动的批准情况</w:t>
      </w:r>
    </w:p>
    <w:p>
      <w:pPr>
        <w:pStyle w:val="BodyText"/>
        <w:spacing w:line="338" w:lineRule="auto" w:before="43"/>
        <w:ind w:right="9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股份变动的过户情况</w:t>
      </w:r>
    </w:p>
    <w:p>
      <w:pPr>
        <w:spacing w:after="0" w:line="338" w:lineRule="auto"/>
        <w:jc w:val="left"/>
        <w:sectPr>
          <w:pgSz w:w="11910" w:h="16840"/>
          <w:pgMar w:header="747" w:footer="979" w:top="1060" w:bottom="1160" w:left="0" w:right="0"/>
        </w:sectPr>
      </w:pPr>
    </w:p>
    <w:p>
      <w:pPr>
        <w:spacing w:line="240" w:lineRule="auto" w:before="13"/>
        <w:rPr>
          <w:rFonts w:ascii="宋体" w:hAnsi="宋体" w:cs="宋体" w:eastAsia="宋体" w:hint="default"/>
          <w:sz w:val="25"/>
          <w:szCs w:val="25"/>
        </w:rPr>
      </w:pPr>
    </w:p>
    <w:p>
      <w:pPr>
        <w:pStyle w:val="BodyText"/>
        <w:spacing w:line="338" w:lineRule="auto" w:before="44"/>
        <w:ind w:right="13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股份变动对最近一年和最近一期基本每股收益和稀释每股收益、归属于公司普通股股东的每股净资产等财务指标的影响</w:t>
      </w:r>
    </w:p>
    <w:p>
      <w:pPr>
        <w:pStyle w:val="BodyText"/>
        <w:spacing w:line="338" w:lineRule="auto" w:before="43"/>
        <w:ind w:right="67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公司认为必要或证券监管机构要求披露的其他内容</w:t>
      </w:r>
    </w:p>
    <w:p>
      <w:pPr>
        <w:pStyle w:val="BodyText"/>
        <w:spacing w:line="240" w:lineRule="auto" w:before="42"/>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3"/>
        <w:spacing w:line="240" w:lineRule="auto"/>
        <w:ind w:right="0"/>
        <w:jc w:val="left"/>
        <w:rPr>
          <w:b w:val="0"/>
          <w:bCs w:val="0"/>
        </w:rPr>
      </w:pPr>
      <w:bookmarkStart w:name="2、限售股份变动情况" w:id="108"/>
      <w:bookmarkEnd w:id="108"/>
      <w:r>
        <w:rPr>
          <w:b w:val="0"/>
          <w:bCs w:val="0"/>
        </w:rPr>
      </w:r>
      <w:r>
        <w:rPr>
          <w:rFonts w:ascii="Times New Roman" w:hAnsi="Times New Roman" w:cs="Times New Roman" w:eastAsia="Times New Roman" w:hint="default"/>
        </w:rPr>
        <w:t>2</w:t>
      </w:r>
      <w:r>
        <w:rPr/>
        <w:t>、限售股份变动情况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3"/>
        <w:ind w:left="0" w:right="1130"/>
        <w:jc w:val="right"/>
      </w:pPr>
      <w:r>
        <w:rPr/>
        <w:t>单位：股</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6"/>
          <w:szCs w:val="16"/>
        </w:rPr>
      </w:pPr>
    </w:p>
    <w:p>
      <w:pPr>
        <w:pStyle w:val="BodyText"/>
        <w:spacing w:line="240" w:lineRule="auto"/>
        <w:ind w:left="0" w:right="1138"/>
        <w:jc w:val="right"/>
      </w:pPr>
      <w:r>
        <w:rPr/>
        <w:pict>
          <v:shape style="position:absolute;margin-left:56.459999pt;margin-top:-306.368286pt;width:479.25pt;height:453.2pt;mso-position-horizontal-relative:page;mso-position-vertical-relative:paragraph;z-index:148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134"/>
                    <w:gridCol w:w="1276"/>
                    <w:gridCol w:w="1134"/>
                    <w:gridCol w:w="993"/>
                    <w:gridCol w:w="1276"/>
                    <w:gridCol w:w="1134"/>
                    <w:gridCol w:w="2624"/>
                  </w:tblGrid>
                  <w:tr>
                    <w:trPr>
                      <w:trHeight w:val="714" w:hRule="exact"/>
                    </w:trPr>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01"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91"/>
                          <w:jc w:val="right"/>
                          <w:rPr>
                            <w:rFonts w:ascii="宋体" w:hAnsi="宋体" w:cs="宋体" w:eastAsia="宋体" w:hint="default"/>
                            <w:sz w:val="18"/>
                            <w:szCs w:val="18"/>
                          </w:rPr>
                        </w:pPr>
                        <w:r>
                          <w:rPr>
                            <w:rFonts w:ascii="宋体" w:hAnsi="宋体" w:cs="宋体" w:eastAsia="宋体" w:hint="default"/>
                            <w:sz w:val="18"/>
                            <w:szCs w:val="18"/>
                          </w:rPr>
                          <w:t>期初限售股数</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92" w:right="109" w:hanging="180"/>
                          <w:jc w:val="left"/>
                          <w:rPr>
                            <w:rFonts w:ascii="宋体" w:hAnsi="宋体" w:cs="宋体" w:eastAsia="宋体" w:hint="default"/>
                            <w:sz w:val="18"/>
                            <w:szCs w:val="18"/>
                          </w:rPr>
                        </w:pPr>
                        <w:r>
                          <w:rPr>
                            <w:rFonts w:ascii="宋体" w:hAnsi="宋体" w:cs="宋体" w:eastAsia="宋体" w:hint="default"/>
                            <w:sz w:val="18"/>
                            <w:szCs w:val="18"/>
                          </w:rPr>
                          <w:t>本期解除限 售股数</w:t>
                        </w:r>
                      </w:p>
                    </w:tc>
                    <w:tc>
                      <w:tcPr>
                        <w:tcW w:w="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2" w:right="38" w:hanging="181"/>
                          <w:jc w:val="left"/>
                          <w:rPr>
                            <w:rFonts w:ascii="宋体" w:hAnsi="宋体" w:cs="宋体" w:eastAsia="宋体" w:hint="default"/>
                            <w:sz w:val="18"/>
                            <w:szCs w:val="18"/>
                          </w:rPr>
                        </w:pPr>
                        <w:r>
                          <w:rPr>
                            <w:rFonts w:ascii="宋体" w:hAnsi="宋体" w:cs="宋体" w:eastAsia="宋体" w:hint="default"/>
                            <w:sz w:val="18"/>
                            <w:szCs w:val="18"/>
                          </w:rPr>
                          <w:t>本期增加限 售股数</w:t>
                        </w:r>
                      </w:p>
                    </w:tc>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91"/>
                          <w:jc w:val="right"/>
                          <w:rPr>
                            <w:rFonts w:ascii="宋体" w:hAnsi="宋体" w:cs="宋体" w:eastAsia="宋体" w:hint="default"/>
                            <w:sz w:val="18"/>
                            <w:szCs w:val="18"/>
                          </w:rPr>
                        </w:pPr>
                        <w:r>
                          <w:rPr>
                            <w:rFonts w:ascii="宋体" w:hAnsi="宋体" w:cs="宋体" w:eastAsia="宋体" w:hint="default"/>
                            <w:sz w:val="18"/>
                            <w:szCs w:val="18"/>
                          </w:rPr>
                          <w:t>期末限售股数</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99"/>
                          <w:jc w:val="right"/>
                          <w:rPr>
                            <w:rFonts w:ascii="宋体" w:hAnsi="宋体" w:cs="宋体" w:eastAsia="宋体" w:hint="default"/>
                            <w:sz w:val="18"/>
                            <w:szCs w:val="18"/>
                          </w:rPr>
                        </w:pPr>
                        <w:r>
                          <w:rPr>
                            <w:rFonts w:ascii="宋体" w:hAnsi="宋体" w:cs="宋体" w:eastAsia="宋体" w:hint="default"/>
                            <w:sz w:val="18"/>
                            <w:szCs w:val="18"/>
                          </w:rPr>
                          <w:t>限售原因</w:t>
                        </w:r>
                      </w:p>
                    </w:tc>
                    <w:tc>
                      <w:tcPr>
                        <w:tcW w:w="2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677" w:right="0"/>
                          <w:jc w:val="left"/>
                          <w:rPr>
                            <w:rFonts w:ascii="宋体" w:hAnsi="宋体" w:cs="宋体" w:eastAsia="宋体" w:hint="default"/>
                            <w:sz w:val="18"/>
                            <w:szCs w:val="18"/>
                          </w:rPr>
                        </w:pPr>
                        <w:r>
                          <w:rPr>
                            <w:rFonts w:ascii="宋体" w:hAnsi="宋体" w:cs="宋体" w:eastAsia="宋体" w:hint="default"/>
                            <w:sz w:val="18"/>
                            <w:szCs w:val="18"/>
                          </w:rPr>
                          <w:t>拟解除限售日期</w:t>
                        </w:r>
                      </w:p>
                    </w:tc>
                  </w:tr>
                  <w:tr>
                    <w:trPr>
                      <w:trHeight w:val="714"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李玉国</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35,799,670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35,799,670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8"/>
                          <w:jc w:val="right"/>
                          <w:rPr>
                            <w:rFonts w:ascii="宋体" w:hAnsi="宋体" w:cs="宋体" w:eastAsia="宋体" w:hint="default"/>
                            <w:sz w:val="18"/>
                            <w:szCs w:val="18"/>
                          </w:rPr>
                        </w:pPr>
                        <w:r>
                          <w:rPr>
                            <w:rFonts w:ascii="宋体" w:hAnsi="宋体" w:cs="宋体" w:eastAsia="宋体" w:hint="default"/>
                            <w:sz w:val="18"/>
                            <w:szCs w:val="18"/>
                          </w:rPr>
                          <w:t>高管锁定股</w:t>
                        </w:r>
                      </w:p>
                    </w:tc>
                    <w:tc>
                      <w:tcPr>
                        <w:tcW w:w="262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69"/>
                          <w:jc w:val="left"/>
                          <w:rPr>
                            <w:rFonts w:ascii="Times New Roman" w:hAnsi="Times New Roman" w:cs="Times New Roman" w:eastAsia="Times New Roman" w:hint="default"/>
                            <w:sz w:val="18"/>
                            <w:szCs w:val="18"/>
                          </w:rPr>
                        </w:pPr>
                        <w:r>
                          <w:rPr>
                            <w:rFonts w:ascii="宋体" w:hAnsi="宋体" w:cs="宋体" w:eastAsia="宋体" w:hint="default"/>
                            <w:sz w:val="18"/>
                            <w:szCs w:val="18"/>
                          </w:rPr>
                          <w:t>每年第一个交易日解锁其拥有公 司股份的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p>
                    </w:tc>
                  </w:tr>
                  <w:tr>
                    <w:trPr>
                      <w:trHeight w:val="714"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陈荣强</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4,115,065</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4,115,065</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8"/>
                          <w:jc w:val="right"/>
                          <w:rPr>
                            <w:rFonts w:ascii="宋体" w:hAnsi="宋体" w:cs="宋体" w:eastAsia="宋体" w:hint="default"/>
                            <w:sz w:val="18"/>
                            <w:szCs w:val="18"/>
                          </w:rPr>
                        </w:pPr>
                        <w:r>
                          <w:rPr>
                            <w:rFonts w:ascii="宋体" w:hAnsi="宋体" w:cs="宋体" w:eastAsia="宋体" w:hint="default"/>
                            <w:sz w:val="18"/>
                            <w:szCs w:val="18"/>
                          </w:rPr>
                          <w:t>高管锁定股</w:t>
                        </w:r>
                      </w:p>
                    </w:tc>
                    <w:tc>
                      <w:tcPr>
                        <w:tcW w:w="262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69"/>
                          <w:jc w:val="left"/>
                          <w:rPr>
                            <w:rFonts w:ascii="Times New Roman" w:hAnsi="Times New Roman" w:cs="Times New Roman" w:eastAsia="Times New Roman" w:hint="default"/>
                            <w:sz w:val="18"/>
                            <w:szCs w:val="18"/>
                          </w:rPr>
                        </w:pPr>
                        <w:r>
                          <w:rPr>
                            <w:rFonts w:ascii="宋体" w:hAnsi="宋体" w:cs="宋体" w:eastAsia="宋体" w:hint="default"/>
                            <w:sz w:val="18"/>
                            <w:szCs w:val="18"/>
                          </w:rPr>
                          <w:t>每年第一个交易日解锁其拥有公 司股份的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p>
                    </w:tc>
                  </w:tr>
                  <w:tr>
                    <w:trPr>
                      <w:trHeight w:val="714"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范朝</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5,069,375</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5,069,375</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8"/>
                          <w:jc w:val="right"/>
                          <w:rPr>
                            <w:rFonts w:ascii="宋体" w:hAnsi="宋体" w:cs="宋体" w:eastAsia="宋体" w:hint="default"/>
                            <w:sz w:val="18"/>
                            <w:szCs w:val="18"/>
                          </w:rPr>
                        </w:pPr>
                        <w:r>
                          <w:rPr>
                            <w:rFonts w:ascii="宋体" w:hAnsi="宋体" w:cs="宋体" w:eastAsia="宋体" w:hint="default"/>
                            <w:sz w:val="18"/>
                            <w:szCs w:val="18"/>
                          </w:rPr>
                          <w:t>高管锁定股</w:t>
                        </w:r>
                      </w:p>
                    </w:tc>
                    <w:tc>
                      <w:tcPr>
                        <w:tcW w:w="262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69"/>
                          <w:jc w:val="left"/>
                          <w:rPr>
                            <w:rFonts w:ascii="Times New Roman" w:hAnsi="Times New Roman" w:cs="Times New Roman" w:eastAsia="Times New Roman" w:hint="default"/>
                            <w:sz w:val="18"/>
                            <w:szCs w:val="18"/>
                          </w:rPr>
                        </w:pPr>
                        <w:r>
                          <w:rPr>
                            <w:rFonts w:ascii="宋体" w:hAnsi="宋体" w:cs="宋体" w:eastAsia="宋体" w:hint="default"/>
                            <w:sz w:val="18"/>
                            <w:szCs w:val="18"/>
                          </w:rPr>
                          <w:t>每年第一个交易日解锁其拥有公 司股份的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p>
                    </w:tc>
                  </w:tr>
                  <w:tr>
                    <w:trPr>
                      <w:trHeight w:val="714"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张文</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5,906</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5,906</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8"/>
                          <w:jc w:val="right"/>
                          <w:rPr>
                            <w:rFonts w:ascii="宋体" w:hAnsi="宋体" w:cs="宋体" w:eastAsia="宋体" w:hint="default"/>
                            <w:sz w:val="18"/>
                            <w:szCs w:val="18"/>
                          </w:rPr>
                        </w:pPr>
                        <w:r>
                          <w:rPr>
                            <w:rFonts w:ascii="宋体" w:hAnsi="宋体" w:cs="宋体" w:eastAsia="宋体" w:hint="default"/>
                            <w:sz w:val="18"/>
                            <w:szCs w:val="18"/>
                          </w:rPr>
                          <w:t>高管锁定股</w:t>
                        </w:r>
                      </w:p>
                    </w:tc>
                    <w:tc>
                      <w:tcPr>
                        <w:tcW w:w="2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离任六个月时</w:t>
                        </w:r>
                      </w:p>
                    </w:tc>
                  </w:tr>
                  <w:tr>
                    <w:trPr>
                      <w:trHeight w:val="5082"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梁常清</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3"/>
                            <w:szCs w:val="2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8,294,662</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3"/>
                            <w:szCs w:val="2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5,104,407</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3"/>
                            <w:szCs w:val="2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3"/>
                            <w:szCs w:val="2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3,190,255</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6"/>
                            <w:szCs w:val="26"/>
                          </w:rPr>
                        </w:pPr>
                      </w:p>
                      <w:p>
                        <w:pPr>
                          <w:pStyle w:val="TableParagraph"/>
                          <w:spacing w:line="319" w:lineRule="auto"/>
                          <w:ind w:left="23" w:right="198"/>
                          <w:jc w:val="left"/>
                          <w:rPr>
                            <w:rFonts w:ascii="宋体" w:hAnsi="宋体" w:cs="宋体" w:eastAsia="宋体" w:hint="default"/>
                            <w:sz w:val="18"/>
                            <w:szCs w:val="18"/>
                          </w:rPr>
                        </w:pPr>
                        <w:r>
                          <w:rPr>
                            <w:rFonts w:ascii="宋体" w:hAnsi="宋体" w:cs="宋体" w:eastAsia="宋体" w:hint="default"/>
                            <w:sz w:val="18"/>
                            <w:szCs w:val="18"/>
                          </w:rPr>
                          <w:t>首发后限售 股</w:t>
                        </w:r>
                      </w:p>
                    </w:tc>
                    <w:tc>
                      <w:tcPr>
                        <w:tcW w:w="262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69"/>
                          <w:jc w:val="left"/>
                          <w:rPr>
                            <w:rFonts w:ascii="宋体" w:hAnsi="宋体" w:cs="宋体" w:eastAsia="宋体" w:hint="default"/>
                            <w:sz w:val="18"/>
                            <w:szCs w:val="18"/>
                          </w:rPr>
                        </w:pPr>
                        <w:r>
                          <w:rPr>
                            <w:rFonts w:ascii="宋体" w:hAnsi="宋体" w:cs="宋体" w:eastAsia="宋体" w:hint="default"/>
                            <w:sz w:val="18"/>
                            <w:szCs w:val="18"/>
                          </w:rPr>
                          <w:t>新增股份的首次解锁时间以下列 日期中最晚日期确定：具有证券 业务资格的会计师事务所对标的 公司截至盈利承诺年度第一年期 末累计实际净利润与累计承诺净 利润的差异情况出具专项审核报 告之日后的第五日；依据《盈利 预测补偿协议》的约定履行完毕 </w:t>
                        </w:r>
                        <w:r>
                          <w:rPr>
                            <w:rFonts w:ascii="宋体" w:hAnsi="宋体" w:cs="宋体" w:eastAsia="宋体" w:hint="default"/>
                            <w:spacing w:val="-4"/>
                            <w:sz w:val="18"/>
                            <w:szCs w:val="18"/>
                          </w:rPr>
                          <w:t>补偿义务（如需）之后的第五日</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自梁常清获取的上市公司股份登 记日起已满十二个月后的第五 日。上述限售期满后梁常清所持 股份分三次解禁，解禁额度为梁 常清因本次交易所获得的先河环 保股份总数的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35%</w:t>
                        </w:r>
                        <w:r>
                          <w:rPr>
                            <w:rFonts w:ascii="宋体" w:hAnsi="宋体" w:cs="宋体" w:eastAsia="宋体" w:hint="default"/>
                            <w:sz w:val="18"/>
                            <w:szCs w:val="18"/>
                          </w:rPr>
                          <w:t>、</w:t>
                        </w:r>
                        <w:r>
                          <w:rPr>
                            <w:rFonts w:ascii="Times New Roman" w:hAnsi="Times New Roman" w:cs="Times New Roman" w:eastAsia="Times New Roman" w:hint="default"/>
                            <w:sz w:val="18"/>
                            <w:szCs w:val="18"/>
                          </w:rPr>
                          <w:t>40%</w:t>
                        </w:r>
                        <w:r>
                          <w:rPr>
                            <w:rFonts w:ascii="宋体" w:hAnsi="宋体" w:cs="宋体" w:eastAsia="宋体" w:hint="default"/>
                            <w:sz w:val="18"/>
                            <w:szCs w:val="18"/>
                          </w:rPr>
                          <w:t>以及 </w:t>
                        </w:r>
                        <w:r>
                          <w:rPr>
                            <w:rFonts w:ascii="Times New Roman" w:hAnsi="Times New Roman" w:cs="Times New Roman" w:eastAsia="Times New Roman" w:hint="default"/>
                            <w:sz w:val="18"/>
                            <w:szCs w:val="18"/>
                          </w:rPr>
                          <w:t>25%</w:t>
                        </w:r>
                        <w:r>
                          <w:rPr>
                            <w:rFonts w:ascii="宋体" w:hAnsi="宋体" w:cs="宋体" w:eastAsia="宋体" w:hint="default"/>
                            <w:sz w:val="18"/>
                            <w:szCs w:val="18"/>
                          </w:rPr>
                          <w:t>；</w:t>
                        </w:r>
                      </w:p>
                    </w:tc>
                  </w:tr>
                  <w:tr>
                    <w:trPr>
                      <w:trHeight w:val="402" w:hRule="exact"/>
                    </w:trPr>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27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53,284,678</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5,110,313</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48,174,365</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2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
              </w:txbxContent>
            </v:textbox>
            <w10:wrap type="none"/>
          </v:shape>
        </w:pict>
      </w:r>
      <w:r>
        <w:rPr/>
        <w:t>；</w:t>
      </w:r>
    </w:p>
    <w:p>
      <w:pPr>
        <w:spacing w:after="0" w:line="240" w:lineRule="auto"/>
        <w:jc w:val="right"/>
        <w:sectPr>
          <w:pgSz w:w="11910" w:h="16840"/>
          <w:pgMar w:header="747" w:footer="979" w:top="1060" w:bottom="1160" w:left="0" w:right="0"/>
        </w:sectPr>
      </w:pPr>
    </w:p>
    <w:p>
      <w:pPr>
        <w:spacing w:line="240" w:lineRule="auto" w:before="9"/>
        <w:rPr>
          <w:rFonts w:ascii="宋体" w:hAnsi="宋体" w:cs="宋体" w:eastAsia="宋体" w:hint="default"/>
          <w:sz w:val="23"/>
          <w:szCs w:val="23"/>
        </w:rPr>
      </w:pPr>
    </w:p>
    <w:p>
      <w:pPr>
        <w:pStyle w:val="Heading2"/>
        <w:spacing w:line="240" w:lineRule="auto" w:before="26"/>
        <w:ind w:right="0"/>
        <w:jc w:val="left"/>
        <w:rPr>
          <w:b w:val="0"/>
          <w:bCs w:val="0"/>
        </w:rPr>
      </w:pPr>
      <w:bookmarkStart w:name="二、证券发行与上市情况" w:id="109"/>
      <w:bookmarkEnd w:id="109"/>
      <w:r>
        <w:rPr>
          <w:b w:val="0"/>
          <w:bCs w:val="0"/>
        </w:rPr>
      </w:r>
      <w:r>
        <w:rPr/>
        <w:t>二、证券发行与上市情况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报告期内证券发行（不含优先股）情况" w:id="110"/>
      <w:bookmarkEnd w:id="110"/>
      <w:r>
        <w:rPr>
          <w:b w:val="0"/>
          <w:bCs w:val="0"/>
        </w:rPr>
      </w:r>
      <w:r>
        <w:rPr>
          <w:rFonts w:ascii="Times New Roman" w:hAnsi="Times New Roman" w:cs="Times New Roman" w:eastAsia="Times New Roman" w:hint="default"/>
        </w:rPr>
        <w:t>1</w:t>
      </w:r>
      <w:r>
        <w:rPr/>
        <w:t>、报告期内证券发行（不含优先股）情况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2、公司股份总数及股东结构的变动、公司资产和负债结构的变动情况说明" w:id="111"/>
      <w:bookmarkEnd w:id="111"/>
      <w:r>
        <w:rPr>
          <w:b w:val="0"/>
          <w:bCs w:val="0"/>
        </w:rPr>
      </w:r>
      <w:r>
        <w:rPr>
          <w:rFonts w:ascii="Times New Roman" w:hAnsi="Times New Roman" w:cs="Times New Roman" w:eastAsia="Times New Roman" w:hint="default"/>
        </w:rPr>
        <w:t>2</w:t>
      </w:r>
      <w:r>
        <w:rPr/>
        <w:t>、公司股份总数及股东结构的变动、公司资产和负债结构的变动情况说明</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3"/>
        <w:spacing w:line="240" w:lineRule="auto"/>
        <w:ind w:right="0"/>
        <w:jc w:val="left"/>
        <w:rPr>
          <w:b w:val="0"/>
          <w:bCs w:val="0"/>
        </w:rPr>
      </w:pPr>
      <w:bookmarkStart w:name="3、现存的内部职工股情况" w:id="112"/>
      <w:bookmarkEnd w:id="112"/>
      <w:r>
        <w:rPr>
          <w:b w:val="0"/>
          <w:bCs w:val="0"/>
        </w:rPr>
      </w:r>
      <w:r>
        <w:rPr>
          <w:rFonts w:ascii="Times New Roman" w:hAnsi="Times New Roman" w:cs="Times New Roman" w:eastAsia="Times New Roman" w:hint="default"/>
        </w:rPr>
        <w:t>3</w:t>
      </w:r>
      <w:r>
        <w:rPr/>
        <w:t>、现存的内部职工股情况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24"/>
          <w:szCs w:val="24"/>
        </w:rPr>
      </w:pPr>
    </w:p>
    <w:p>
      <w:pPr>
        <w:pStyle w:val="Heading2"/>
        <w:spacing w:line="240" w:lineRule="auto"/>
        <w:ind w:right="0"/>
        <w:jc w:val="left"/>
        <w:rPr>
          <w:b w:val="0"/>
          <w:bCs w:val="0"/>
        </w:rPr>
      </w:pPr>
      <w:bookmarkStart w:name="三、股东和实际控制人情况" w:id="113"/>
      <w:bookmarkEnd w:id="113"/>
      <w:r>
        <w:rPr>
          <w:b w:val="0"/>
          <w:bCs w:val="0"/>
        </w:rPr>
      </w:r>
      <w:r>
        <w:rPr/>
        <w:t>三、股东和实际控制人情况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公司股东数量及持股情况" w:id="114"/>
      <w:bookmarkEnd w:id="114"/>
      <w:r>
        <w:rPr>
          <w:b w:val="0"/>
          <w:bCs w:val="0"/>
        </w:rPr>
      </w:r>
      <w:r>
        <w:rPr>
          <w:rFonts w:ascii="Times New Roman" w:hAnsi="Times New Roman" w:cs="Times New Roman" w:eastAsia="Times New Roman" w:hint="default"/>
        </w:rPr>
        <w:t>1</w:t>
      </w:r>
      <w:r>
        <w:rPr/>
        <w:t>、公司股东数量及持股情况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pict>
          <v:shape style="position:absolute;margin-left:449.277008pt;margin-top:70.551727pt;width:85.75pt;height:31.25pt;mso-position-horizontal-relative:page;mso-position-vertical-relative:paragraph;z-index:-985552" type="#_x0000_t202" filled="false" stroked="false">
            <v:textbox inset="0,0,0,0">
              <w:txbxContent>
                <w:p>
                  <w:pPr>
                    <w:pStyle w:val="BodyText"/>
                    <w:spacing w:line="206" w:lineRule="exact"/>
                    <w:ind w:left="0" w:right="0"/>
                    <w:jc w:val="left"/>
                  </w:pPr>
                  <w:r>
                    <w:rPr/>
                    <w:t>（如有）</w:t>
                  </w:r>
                </w:p>
              </w:txbxContent>
            </v:textbox>
            <w10:wrap type="none"/>
          </v:shape>
        </w:pict>
      </w:r>
      <w:r>
        <w:rPr/>
        <w:pict>
          <v:group style="position:absolute;margin-left:482.399994pt;margin-top:70.551727pt;width:52.65pt;height:31.25pt;mso-position-horizontal-relative:page;mso-position-vertical-relative:paragraph;z-index:-985528" coordorigin="9648,1411" coordsize="1053,625">
            <v:shape style="position:absolute;left:9648;top:1411;width:1053;height:625" coordorigin="9648,1411" coordsize="1053,625" path="m9648,2035l10700,2035,10700,1411,9648,1411,9648,2035xe" filled="true" fillcolor="#ffffff" stroked="false">
              <v:path arrowok="t"/>
              <v:fill type="solid"/>
            </v:shape>
            <w10:wrap type="none"/>
          </v:group>
        </w:pict>
      </w:r>
      <w:r>
        <w:rPr/>
        <w:t>单位：股</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335"/>
        <w:gridCol w:w="134"/>
        <w:gridCol w:w="673"/>
        <w:gridCol w:w="739"/>
        <w:gridCol w:w="744"/>
        <w:gridCol w:w="831"/>
        <w:gridCol w:w="344"/>
        <w:gridCol w:w="731"/>
        <w:gridCol w:w="575"/>
        <w:gridCol w:w="275"/>
        <w:gridCol w:w="812"/>
        <w:gridCol w:w="181"/>
        <w:gridCol w:w="1131"/>
        <w:gridCol w:w="508"/>
        <w:gridCol w:w="559"/>
      </w:tblGrid>
      <w:tr>
        <w:trPr>
          <w:trHeight w:val="161" w:hRule="exact"/>
        </w:trPr>
        <w:tc>
          <w:tcPr>
            <w:tcW w:w="1335" w:type="dxa"/>
            <w:vMerge w:val="restart"/>
            <w:tcBorders>
              <w:top w:val="single" w:sz="4" w:space="0" w:color="000000"/>
              <w:left w:val="single" w:sz="4" w:space="0" w:color="000000"/>
              <w:right w:val="single" w:sz="4" w:space="0" w:color="000000"/>
            </w:tcBorders>
            <w:shd w:val="clear" w:color="auto" w:fill="D2D2D2"/>
          </w:tcPr>
          <w:p>
            <w:pPr/>
          </w:p>
        </w:tc>
        <w:tc>
          <w:tcPr>
            <w:tcW w:w="807" w:type="dxa"/>
            <w:gridSpan w:val="2"/>
            <w:vMerge w:val="restart"/>
            <w:tcBorders>
              <w:top w:val="single" w:sz="4" w:space="0" w:color="000000"/>
              <w:left w:val="single" w:sz="9" w:space="0" w:color="D2D2D2"/>
              <w:right w:val="single" w:sz="9"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62" w:right="0"/>
              <w:jc w:val="left"/>
              <w:rPr>
                <w:rFonts w:ascii="Times New Roman" w:hAnsi="Times New Roman" w:cs="Times New Roman" w:eastAsia="Times New Roman" w:hint="default"/>
                <w:sz w:val="18"/>
                <w:szCs w:val="18"/>
              </w:rPr>
            </w:pPr>
            <w:r>
              <w:rPr>
                <w:rFonts w:ascii="Times New Roman"/>
                <w:sz w:val="18"/>
              </w:rPr>
              <w:t>83,947</w:t>
            </w:r>
          </w:p>
        </w:tc>
        <w:tc>
          <w:tcPr>
            <w:tcW w:w="1483" w:type="dxa"/>
            <w:gridSpan w:val="2"/>
            <w:vMerge w:val="restart"/>
            <w:tcBorders>
              <w:top w:val="single" w:sz="4" w:space="0" w:color="000000"/>
              <w:left w:val="single" w:sz="4" w:space="0" w:color="000000"/>
              <w:right w:val="single" w:sz="4" w:space="0" w:color="000000"/>
            </w:tcBorders>
            <w:shd w:val="clear" w:color="auto" w:fill="D2D2D2"/>
          </w:tcPr>
          <w:p>
            <w:pPr/>
          </w:p>
        </w:tc>
        <w:tc>
          <w:tcPr>
            <w:tcW w:w="1174" w:type="dxa"/>
            <w:gridSpan w:val="2"/>
            <w:vMerge w:val="restart"/>
            <w:tcBorders>
              <w:top w:val="single" w:sz="4" w:space="0" w:color="000000"/>
              <w:left w:val="single" w:sz="9" w:space="0" w:color="D2D2D2"/>
              <w:right w:val="single" w:sz="9"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629" w:right="0"/>
              <w:jc w:val="left"/>
              <w:rPr>
                <w:rFonts w:ascii="Times New Roman" w:hAnsi="Times New Roman" w:cs="Times New Roman" w:eastAsia="Times New Roman" w:hint="default"/>
                <w:sz w:val="18"/>
                <w:szCs w:val="18"/>
              </w:rPr>
            </w:pPr>
            <w:r>
              <w:rPr>
                <w:rFonts w:ascii="Times New Roman"/>
                <w:sz w:val="18"/>
              </w:rPr>
              <w:t>74,743</w:t>
            </w:r>
          </w:p>
        </w:tc>
        <w:tc>
          <w:tcPr>
            <w:tcW w:w="1306"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1087" w:type="dxa"/>
            <w:gridSpan w:val="2"/>
            <w:vMerge w:val="restart"/>
            <w:tcBorders>
              <w:top w:val="single" w:sz="4" w:space="0" w:color="000000"/>
              <w:left w:val="single" w:sz="10" w:space="0" w:color="D2D2D2"/>
              <w:right w:val="single" w:sz="13"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1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11" w:right="28"/>
              <w:jc w:val="both"/>
              <w:rPr>
                <w:rFonts w:ascii="宋体" w:hAnsi="宋体" w:cs="宋体" w:eastAsia="宋体" w:hint="default"/>
                <w:sz w:val="18"/>
                <w:szCs w:val="18"/>
              </w:rPr>
            </w:pPr>
            <w:r>
              <w:rPr>
                <w:rFonts w:ascii="宋体" w:hAnsi="宋体" w:cs="宋体" w:eastAsia="宋体" w:hint="default"/>
                <w:sz w:val="18"/>
                <w:szCs w:val="18"/>
              </w:rPr>
              <w:t>年度报告披露日 前上一月末表决 权恢复的优先股 股东总数</w:t>
            </w:r>
          </w:p>
          <w:p>
            <w:pPr>
              <w:pStyle w:val="TableParagraph"/>
              <w:spacing w:line="240" w:lineRule="auto" w:before="20"/>
              <w:ind w:left="11" w:right="0"/>
              <w:jc w:val="both"/>
              <w:rPr>
                <w:rFonts w:ascii="宋体" w:hAnsi="宋体" w:cs="宋体" w:eastAsia="宋体" w:hint="default"/>
                <w:sz w:val="18"/>
                <w:szCs w:val="18"/>
              </w:rPr>
            </w:pPr>
            <w:r>
              <w:rPr>
                <w:rFonts w:ascii="宋体" w:hAnsi="宋体" w:cs="宋体" w:eastAsia="宋体" w:hint="default"/>
                <w:sz w:val="18"/>
                <w:szCs w:val="18"/>
              </w:rPr>
              <w:t>（参见注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w:t>
            </w:r>
            <w:r>
              <w:rPr>
                <w:rFonts w:ascii="宋体" w:hAnsi="宋体" w:cs="宋体" w:eastAsia="宋体" w:hint="default"/>
                <w:sz w:val="18"/>
                <w:szCs w:val="18"/>
              </w:rPr>
              <w:t>）</w:t>
            </w:r>
          </w:p>
        </w:tc>
        <w:tc>
          <w:tcPr>
            <w:tcW w:w="508" w:type="dxa"/>
            <w:tcBorders>
              <w:top w:val="single" w:sz="4" w:space="0" w:color="000000"/>
              <w:left w:val="single" w:sz="13" w:space="0" w:color="D2D2D2"/>
              <w:bottom w:val="nil" w:sz="6" w:space="0" w:color="auto"/>
              <w:right w:val="nil" w:sz="6" w:space="0" w:color="auto"/>
            </w:tcBorders>
          </w:tcPr>
          <w:p>
            <w:pPr/>
          </w:p>
        </w:tc>
        <w:tc>
          <w:tcPr>
            <w:tcW w:w="559" w:type="dxa"/>
            <w:tcBorders>
              <w:top w:val="single" w:sz="4" w:space="0" w:color="000000"/>
              <w:left w:val="nil" w:sz="6" w:space="0" w:color="auto"/>
              <w:bottom w:val="nil" w:sz="6" w:space="0" w:color="auto"/>
              <w:right w:val="single" w:sz="4" w:space="0" w:color="000000"/>
            </w:tcBorders>
          </w:tcPr>
          <w:p>
            <w:pPr/>
          </w:p>
        </w:tc>
      </w:tr>
      <w:tr>
        <w:trPr>
          <w:trHeight w:val="156" w:hRule="exact"/>
        </w:trPr>
        <w:tc>
          <w:tcPr>
            <w:tcW w:w="1335" w:type="dxa"/>
            <w:vMerge/>
            <w:tcBorders>
              <w:left w:val="single" w:sz="4" w:space="0" w:color="000000"/>
              <w:right w:val="single" w:sz="4" w:space="0" w:color="000000"/>
            </w:tcBorders>
            <w:shd w:val="clear" w:color="auto" w:fill="D2D2D2"/>
          </w:tcPr>
          <w:p>
            <w:pPr/>
          </w:p>
        </w:tc>
        <w:tc>
          <w:tcPr>
            <w:tcW w:w="807" w:type="dxa"/>
            <w:gridSpan w:val="2"/>
            <w:vMerge/>
            <w:tcBorders>
              <w:left w:val="single" w:sz="9" w:space="0" w:color="D2D2D2"/>
              <w:right w:val="single" w:sz="9" w:space="0" w:color="D2D2D2"/>
            </w:tcBorders>
          </w:tcPr>
          <w:p>
            <w:pPr/>
          </w:p>
        </w:tc>
        <w:tc>
          <w:tcPr>
            <w:tcW w:w="1483" w:type="dxa"/>
            <w:gridSpan w:val="2"/>
            <w:vMerge/>
            <w:tcBorders>
              <w:left w:val="single" w:sz="4" w:space="0" w:color="000000"/>
              <w:bottom w:val="nil" w:sz="6" w:space="0" w:color="auto"/>
              <w:right w:val="single" w:sz="4" w:space="0" w:color="000000"/>
            </w:tcBorders>
            <w:shd w:val="clear" w:color="auto" w:fill="D2D2D2"/>
          </w:tcPr>
          <w:p>
            <w:pPr/>
          </w:p>
        </w:tc>
        <w:tc>
          <w:tcPr>
            <w:tcW w:w="1174" w:type="dxa"/>
            <w:gridSpan w:val="2"/>
            <w:vMerge/>
            <w:tcBorders>
              <w:left w:val="single" w:sz="9" w:space="0" w:color="D2D2D2"/>
              <w:right w:val="single" w:sz="9" w:space="0" w:color="D2D2D2"/>
            </w:tcBorders>
          </w:tcPr>
          <w:p>
            <w:pPr/>
          </w:p>
        </w:tc>
        <w:tc>
          <w:tcPr>
            <w:tcW w:w="1306"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1" w:right="23"/>
              <w:jc w:val="both"/>
              <w:rPr>
                <w:rFonts w:ascii="宋体" w:hAnsi="宋体" w:cs="宋体" w:eastAsia="宋体" w:hint="default"/>
                <w:sz w:val="18"/>
                <w:szCs w:val="18"/>
              </w:rPr>
            </w:pPr>
            <w:r>
              <w:rPr>
                <w:rFonts w:ascii="宋体" w:hAnsi="宋体" w:cs="宋体" w:eastAsia="宋体" w:hint="default"/>
                <w:sz w:val="18"/>
                <w:szCs w:val="18"/>
              </w:rPr>
              <w:t>报告期末表决权 恢复的优先股股 东总数（如有）</w:t>
            </w:r>
          </w:p>
          <w:p>
            <w:pPr>
              <w:pStyle w:val="TableParagraph"/>
              <w:spacing w:line="240" w:lineRule="auto" w:before="20"/>
              <w:ind w:left="11" w:right="0"/>
              <w:jc w:val="both"/>
              <w:rPr>
                <w:rFonts w:ascii="宋体" w:hAnsi="宋体" w:cs="宋体" w:eastAsia="宋体" w:hint="default"/>
                <w:sz w:val="18"/>
                <w:szCs w:val="18"/>
              </w:rPr>
            </w:pPr>
            <w:r>
              <w:rPr>
                <w:rFonts w:ascii="宋体" w:hAnsi="宋体" w:cs="宋体" w:eastAsia="宋体" w:hint="default"/>
                <w:sz w:val="18"/>
                <w:szCs w:val="18"/>
              </w:rPr>
              <w:t>（参见注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w:t>
            </w:r>
            <w:r>
              <w:rPr>
                <w:rFonts w:ascii="宋体" w:hAnsi="宋体" w:cs="宋体" w:eastAsia="宋体" w:hint="default"/>
                <w:sz w:val="18"/>
                <w:szCs w:val="18"/>
              </w:rPr>
              <w:t>）</w:t>
            </w:r>
          </w:p>
        </w:tc>
        <w:tc>
          <w:tcPr>
            <w:tcW w:w="1087" w:type="dxa"/>
            <w:gridSpan w:val="2"/>
            <w:vMerge/>
            <w:tcBorders>
              <w:left w:val="single" w:sz="10" w:space="0" w:color="D2D2D2"/>
              <w:right w:val="single" w:sz="13" w:space="0" w:color="D2D2D2"/>
            </w:tcBorders>
          </w:tcPr>
          <w:p>
            <w:pPr/>
          </w:p>
        </w:tc>
        <w:tc>
          <w:tcPr>
            <w:tcW w:w="1311" w:type="dxa"/>
            <w:gridSpan w:val="2"/>
            <w:vMerge/>
            <w:tcBorders>
              <w:left w:val="single" w:sz="4" w:space="0" w:color="000000"/>
              <w:right w:val="single" w:sz="4" w:space="0" w:color="000000"/>
            </w:tcBorders>
            <w:shd w:val="clear" w:color="auto" w:fill="D2D2D2"/>
          </w:tcPr>
          <w:p>
            <w:pPr/>
          </w:p>
        </w:tc>
        <w:tc>
          <w:tcPr>
            <w:tcW w:w="508" w:type="dxa"/>
            <w:vMerge w:val="restart"/>
            <w:tcBorders>
              <w:top w:val="nil" w:sz="6" w:space="0" w:color="auto"/>
              <w:left w:val="single" w:sz="13" w:space="0" w:color="D2D2D2"/>
              <w:right w:val="nil" w:sz="6" w:space="0" w:color="auto"/>
            </w:tcBorders>
          </w:tcPr>
          <w:p>
            <w:pPr/>
          </w:p>
        </w:tc>
        <w:tc>
          <w:tcPr>
            <w:tcW w:w="559" w:type="dxa"/>
            <w:tcBorders>
              <w:top w:val="nil" w:sz="6" w:space="0" w:color="auto"/>
              <w:left w:val="nil" w:sz="6" w:space="0" w:color="auto"/>
              <w:bottom w:val="nil" w:sz="6" w:space="0" w:color="auto"/>
              <w:right w:val="single" w:sz="4" w:space="0" w:color="000000"/>
            </w:tcBorders>
          </w:tcPr>
          <w:p>
            <w:pPr/>
          </w:p>
        </w:tc>
      </w:tr>
      <w:tr>
        <w:trPr>
          <w:trHeight w:val="156" w:hRule="exact"/>
        </w:trPr>
        <w:tc>
          <w:tcPr>
            <w:tcW w:w="1335" w:type="dxa"/>
            <w:vMerge/>
            <w:tcBorders>
              <w:left w:val="single" w:sz="4" w:space="0" w:color="000000"/>
              <w:bottom w:val="nil" w:sz="6" w:space="0" w:color="auto"/>
              <w:right w:val="single" w:sz="4" w:space="0" w:color="000000"/>
            </w:tcBorders>
            <w:shd w:val="clear" w:color="auto" w:fill="D2D2D2"/>
          </w:tcPr>
          <w:p>
            <w:pPr/>
          </w:p>
        </w:tc>
        <w:tc>
          <w:tcPr>
            <w:tcW w:w="807" w:type="dxa"/>
            <w:gridSpan w:val="2"/>
            <w:vMerge/>
            <w:tcBorders>
              <w:left w:val="single" w:sz="9" w:space="0" w:color="D2D2D2"/>
              <w:right w:val="single" w:sz="9" w:space="0" w:color="D2D2D2"/>
            </w:tcBorders>
          </w:tcPr>
          <w:p>
            <w:pPr/>
          </w:p>
        </w:tc>
        <w:tc>
          <w:tcPr>
            <w:tcW w:w="1483"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11" w:right="199"/>
              <w:jc w:val="both"/>
              <w:rPr>
                <w:rFonts w:ascii="宋体" w:hAnsi="宋体" w:cs="宋体" w:eastAsia="宋体" w:hint="default"/>
                <w:sz w:val="18"/>
                <w:szCs w:val="18"/>
              </w:rPr>
            </w:pPr>
            <w:r>
              <w:rPr>
                <w:rFonts w:ascii="宋体" w:hAnsi="宋体" w:cs="宋体" w:eastAsia="宋体" w:hint="default"/>
                <w:sz w:val="18"/>
                <w:szCs w:val="18"/>
              </w:rPr>
              <w:t>年度报告披露日 前上一月末普通 股股东总数</w:t>
            </w:r>
          </w:p>
        </w:tc>
        <w:tc>
          <w:tcPr>
            <w:tcW w:w="1174" w:type="dxa"/>
            <w:gridSpan w:val="2"/>
            <w:vMerge/>
            <w:tcBorders>
              <w:left w:val="single" w:sz="9" w:space="0" w:color="D2D2D2"/>
              <w:right w:val="single" w:sz="9" w:space="0" w:color="D2D2D2"/>
            </w:tcBorders>
          </w:tcPr>
          <w:p>
            <w:pPr/>
          </w:p>
        </w:tc>
        <w:tc>
          <w:tcPr>
            <w:tcW w:w="1306" w:type="dxa"/>
            <w:gridSpan w:val="2"/>
            <w:vMerge/>
            <w:tcBorders>
              <w:left w:val="single" w:sz="4" w:space="0" w:color="000000"/>
              <w:right w:val="single" w:sz="4" w:space="0" w:color="000000"/>
            </w:tcBorders>
            <w:shd w:val="clear" w:color="auto" w:fill="D2D2D2"/>
          </w:tcPr>
          <w:p>
            <w:pPr/>
          </w:p>
        </w:tc>
        <w:tc>
          <w:tcPr>
            <w:tcW w:w="1087" w:type="dxa"/>
            <w:gridSpan w:val="2"/>
            <w:vMerge/>
            <w:tcBorders>
              <w:left w:val="single" w:sz="10" w:space="0" w:color="D2D2D2"/>
              <w:right w:val="single" w:sz="13" w:space="0" w:color="D2D2D2"/>
            </w:tcBorders>
          </w:tcPr>
          <w:p>
            <w:pPr/>
          </w:p>
        </w:tc>
        <w:tc>
          <w:tcPr>
            <w:tcW w:w="1311" w:type="dxa"/>
            <w:gridSpan w:val="2"/>
            <w:vMerge/>
            <w:tcBorders>
              <w:left w:val="single" w:sz="4" w:space="0" w:color="000000"/>
              <w:right w:val="single" w:sz="4" w:space="0" w:color="000000"/>
            </w:tcBorders>
            <w:shd w:val="clear" w:color="auto" w:fill="D2D2D2"/>
          </w:tcPr>
          <w:p>
            <w:pPr/>
          </w:p>
        </w:tc>
        <w:tc>
          <w:tcPr>
            <w:tcW w:w="508" w:type="dxa"/>
            <w:vMerge/>
            <w:tcBorders>
              <w:left w:val="single" w:sz="13" w:space="0" w:color="D2D2D2"/>
              <w:right w:val="nil" w:sz="6" w:space="0" w:color="auto"/>
            </w:tcBorders>
          </w:tcPr>
          <w:p>
            <w:pPr/>
          </w:p>
        </w:tc>
        <w:tc>
          <w:tcPr>
            <w:tcW w:w="559" w:type="dxa"/>
            <w:tcBorders>
              <w:top w:val="nil" w:sz="6" w:space="0" w:color="auto"/>
              <w:left w:val="nil" w:sz="6" w:space="0" w:color="auto"/>
              <w:bottom w:val="nil" w:sz="6" w:space="0" w:color="auto"/>
              <w:right w:val="single" w:sz="4" w:space="0" w:color="000000"/>
            </w:tcBorders>
          </w:tcPr>
          <w:p>
            <w:pPr/>
          </w:p>
        </w:tc>
      </w:tr>
      <w:tr>
        <w:trPr>
          <w:trHeight w:val="705" w:hRule="exact"/>
        </w:trPr>
        <w:tc>
          <w:tcPr>
            <w:tcW w:w="133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51"/>
              <w:ind w:left="22" w:right="40"/>
              <w:jc w:val="left"/>
              <w:rPr>
                <w:rFonts w:ascii="宋体" w:hAnsi="宋体" w:cs="宋体" w:eastAsia="宋体" w:hint="default"/>
                <w:sz w:val="18"/>
                <w:szCs w:val="18"/>
              </w:rPr>
            </w:pPr>
            <w:r>
              <w:rPr>
                <w:rFonts w:ascii="宋体" w:hAnsi="宋体" w:cs="宋体" w:eastAsia="宋体" w:hint="default"/>
                <w:sz w:val="18"/>
                <w:szCs w:val="18"/>
              </w:rPr>
              <w:t>报告期末普通股 股东总数</w:t>
            </w:r>
          </w:p>
        </w:tc>
        <w:tc>
          <w:tcPr>
            <w:tcW w:w="807" w:type="dxa"/>
            <w:gridSpan w:val="2"/>
            <w:vMerge/>
            <w:tcBorders>
              <w:left w:val="single" w:sz="9" w:space="0" w:color="D2D2D2"/>
              <w:right w:val="single" w:sz="9" w:space="0" w:color="D2D2D2"/>
            </w:tcBorders>
          </w:tcPr>
          <w:p>
            <w:pPr/>
          </w:p>
        </w:tc>
        <w:tc>
          <w:tcPr>
            <w:tcW w:w="1483" w:type="dxa"/>
            <w:gridSpan w:val="2"/>
            <w:vMerge/>
            <w:tcBorders>
              <w:left w:val="single" w:sz="4" w:space="0" w:color="000000"/>
              <w:right w:val="single" w:sz="4" w:space="0" w:color="000000"/>
            </w:tcBorders>
            <w:shd w:val="clear" w:color="auto" w:fill="D2D2D2"/>
          </w:tcPr>
          <w:p>
            <w:pPr/>
          </w:p>
        </w:tc>
        <w:tc>
          <w:tcPr>
            <w:tcW w:w="1174" w:type="dxa"/>
            <w:gridSpan w:val="2"/>
            <w:vMerge/>
            <w:tcBorders>
              <w:left w:val="single" w:sz="9" w:space="0" w:color="D2D2D2"/>
              <w:right w:val="single" w:sz="9" w:space="0" w:color="D2D2D2"/>
            </w:tcBorders>
          </w:tcPr>
          <w:p>
            <w:pPr/>
          </w:p>
        </w:tc>
        <w:tc>
          <w:tcPr>
            <w:tcW w:w="1306" w:type="dxa"/>
            <w:gridSpan w:val="2"/>
            <w:vMerge/>
            <w:tcBorders>
              <w:left w:val="single" w:sz="4" w:space="0" w:color="000000"/>
              <w:right w:val="single" w:sz="4" w:space="0" w:color="000000"/>
            </w:tcBorders>
            <w:shd w:val="clear" w:color="auto" w:fill="D2D2D2"/>
          </w:tcPr>
          <w:p>
            <w:pPr/>
          </w:p>
        </w:tc>
        <w:tc>
          <w:tcPr>
            <w:tcW w:w="1087" w:type="dxa"/>
            <w:gridSpan w:val="2"/>
            <w:vMerge/>
            <w:tcBorders>
              <w:left w:val="single" w:sz="10" w:space="0" w:color="D2D2D2"/>
              <w:right w:val="single" w:sz="13" w:space="0" w:color="D2D2D2"/>
            </w:tcBorders>
          </w:tcPr>
          <w:p>
            <w:pPr/>
          </w:p>
        </w:tc>
        <w:tc>
          <w:tcPr>
            <w:tcW w:w="1311" w:type="dxa"/>
            <w:gridSpan w:val="2"/>
            <w:vMerge/>
            <w:tcBorders>
              <w:left w:val="single" w:sz="4" w:space="0" w:color="000000"/>
              <w:right w:val="single" w:sz="4" w:space="0" w:color="000000"/>
            </w:tcBorders>
            <w:shd w:val="clear" w:color="auto" w:fill="D2D2D2"/>
          </w:tcPr>
          <w:p>
            <w:pPr/>
          </w:p>
        </w:tc>
        <w:tc>
          <w:tcPr>
            <w:tcW w:w="508" w:type="dxa"/>
            <w:vMerge/>
            <w:tcBorders>
              <w:left w:val="single" w:sz="13" w:space="0" w:color="D2D2D2"/>
              <w:right w:val="nil" w:sz="6" w:space="0" w:color="auto"/>
            </w:tcBorders>
          </w:tcPr>
          <w:p>
            <w:pPr/>
          </w:p>
        </w:tc>
        <w:tc>
          <w:tcPr>
            <w:tcW w:w="559" w:type="dxa"/>
            <w:tcBorders>
              <w:top w:val="nil" w:sz="6" w:space="0" w:color="auto"/>
              <w:left w:val="nil" w:sz="6" w:space="0" w:color="auto"/>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156" w:hRule="exact"/>
        </w:trPr>
        <w:tc>
          <w:tcPr>
            <w:tcW w:w="1335" w:type="dxa"/>
            <w:vMerge w:val="restart"/>
            <w:tcBorders>
              <w:top w:val="nil" w:sz="6" w:space="0" w:color="auto"/>
              <w:left w:val="single" w:sz="4" w:space="0" w:color="000000"/>
              <w:right w:val="single" w:sz="4" w:space="0" w:color="000000"/>
            </w:tcBorders>
            <w:shd w:val="clear" w:color="auto" w:fill="D2D2D2"/>
          </w:tcPr>
          <w:p>
            <w:pPr/>
          </w:p>
        </w:tc>
        <w:tc>
          <w:tcPr>
            <w:tcW w:w="807" w:type="dxa"/>
            <w:gridSpan w:val="2"/>
            <w:vMerge/>
            <w:tcBorders>
              <w:left w:val="single" w:sz="9" w:space="0" w:color="D2D2D2"/>
              <w:right w:val="single" w:sz="9" w:space="0" w:color="D2D2D2"/>
            </w:tcBorders>
          </w:tcPr>
          <w:p>
            <w:pPr/>
          </w:p>
        </w:tc>
        <w:tc>
          <w:tcPr>
            <w:tcW w:w="1483" w:type="dxa"/>
            <w:gridSpan w:val="2"/>
            <w:vMerge/>
            <w:tcBorders>
              <w:left w:val="single" w:sz="4" w:space="0" w:color="000000"/>
              <w:bottom w:val="nil" w:sz="6" w:space="0" w:color="auto"/>
              <w:right w:val="single" w:sz="4" w:space="0" w:color="000000"/>
            </w:tcBorders>
            <w:shd w:val="clear" w:color="auto" w:fill="D2D2D2"/>
          </w:tcPr>
          <w:p>
            <w:pPr/>
          </w:p>
        </w:tc>
        <w:tc>
          <w:tcPr>
            <w:tcW w:w="1174" w:type="dxa"/>
            <w:gridSpan w:val="2"/>
            <w:vMerge/>
            <w:tcBorders>
              <w:left w:val="single" w:sz="9" w:space="0" w:color="D2D2D2"/>
              <w:right w:val="single" w:sz="9" w:space="0" w:color="D2D2D2"/>
            </w:tcBorders>
          </w:tcPr>
          <w:p>
            <w:pPr/>
          </w:p>
        </w:tc>
        <w:tc>
          <w:tcPr>
            <w:tcW w:w="1306" w:type="dxa"/>
            <w:gridSpan w:val="2"/>
            <w:vMerge/>
            <w:tcBorders>
              <w:left w:val="single" w:sz="4" w:space="0" w:color="000000"/>
              <w:right w:val="single" w:sz="4" w:space="0" w:color="000000"/>
            </w:tcBorders>
            <w:shd w:val="clear" w:color="auto" w:fill="D2D2D2"/>
          </w:tcPr>
          <w:p>
            <w:pPr/>
          </w:p>
        </w:tc>
        <w:tc>
          <w:tcPr>
            <w:tcW w:w="1087" w:type="dxa"/>
            <w:gridSpan w:val="2"/>
            <w:vMerge/>
            <w:tcBorders>
              <w:left w:val="single" w:sz="10" w:space="0" w:color="D2D2D2"/>
              <w:right w:val="single" w:sz="13" w:space="0" w:color="D2D2D2"/>
            </w:tcBorders>
          </w:tcPr>
          <w:p>
            <w:pPr/>
          </w:p>
        </w:tc>
        <w:tc>
          <w:tcPr>
            <w:tcW w:w="1311" w:type="dxa"/>
            <w:gridSpan w:val="2"/>
            <w:vMerge/>
            <w:tcBorders>
              <w:left w:val="single" w:sz="4" w:space="0" w:color="000000"/>
              <w:right w:val="single" w:sz="4" w:space="0" w:color="000000"/>
            </w:tcBorders>
            <w:shd w:val="clear" w:color="auto" w:fill="D2D2D2"/>
          </w:tcPr>
          <w:p>
            <w:pPr/>
          </w:p>
        </w:tc>
        <w:tc>
          <w:tcPr>
            <w:tcW w:w="508" w:type="dxa"/>
            <w:vMerge/>
            <w:tcBorders>
              <w:left w:val="single" w:sz="13" w:space="0" w:color="D2D2D2"/>
              <w:right w:val="nil" w:sz="6" w:space="0" w:color="auto"/>
            </w:tcBorders>
          </w:tcPr>
          <w:p>
            <w:pPr/>
          </w:p>
        </w:tc>
        <w:tc>
          <w:tcPr>
            <w:tcW w:w="559" w:type="dxa"/>
            <w:tcBorders>
              <w:top w:val="nil" w:sz="6" w:space="0" w:color="auto"/>
              <w:left w:val="nil" w:sz="6" w:space="0" w:color="auto"/>
              <w:bottom w:val="nil" w:sz="6" w:space="0" w:color="auto"/>
              <w:right w:val="single" w:sz="4" w:space="0" w:color="000000"/>
            </w:tcBorders>
          </w:tcPr>
          <w:p>
            <w:pPr/>
          </w:p>
        </w:tc>
      </w:tr>
      <w:tr>
        <w:trPr>
          <w:trHeight w:val="156" w:hRule="exact"/>
        </w:trPr>
        <w:tc>
          <w:tcPr>
            <w:tcW w:w="1335" w:type="dxa"/>
            <w:vMerge/>
            <w:tcBorders>
              <w:left w:val="single" w:sz="4" w:space="0" w:color="000000"/>
              <w:right w:val="single" w:sz="4" w:space="0" w:color="000000"/>
            </w:tcBorders>
            <w:shd w:val="clear" w:color="auto" w:fill="D2D2D2"/>
          </w:tcPr>
          <w:p>
            <w:pPr/>
          </w:p>
        </w:tc>
        <w:tc>
          <w:tcPr>
            <w:tcW w:w="807" w:type="dxa"/>
            <w:gridSpan w:val="2"/>
            <w:vMerge/>
            <w:tcBorders>
              <w:left w:val="single" w:sz="9" w:space="0" w:color="D2D2D2"/>
              <w:right w:val="single" w:sz="9" w:space="0" w:color="D2D2D2"/>
            </w:tcBorders>
          </w:tcPr>
          <w:p>
            <w:pPr/>
          </w:p>
        </w:tc>
        <w:tc>
          <w:tcPr>
            <w:tcW w:w="1483" w:type="dxa"/>
            <w:gridSpan w:val="2"/>
            <w:vMerge w:val="restart"/>
            <w:tcBorders>
              <w:top w:val="nil" w:sz="6" w:space="0" w:color="auto"/>
              <w:left w:val="single" w:sz="4" w:space="0" w:color="000000"/>
              <w:right w:val="single" w:sz="4" w:space="0" w:color="000000"/>
            </w:tcBorders>
            <w:shd w:val="clear" w:color="auto" w:fill="D2D2D2"/>
          </w:tcPr>
          <w:p>
            <w:pPr/>
          </w:p>
        </w:tc>
        <w:tc>
          <w:tcPr>
            <w:tcW w:w="1174" w:type="dxa"/>
            <w:gridSpan w:val="2"/>
            <w:vMerge/>
            <w:tcBorders>
              <w:left w:val="single" w:sz="9" w:space="0" w:color="D2D2D2"/>
              <w:right w:val="single" w:sz="9" w:space="0" w:color="D2D2D2"/>
            </w:tcBorders>
          </w:tcPr>
          <w:p>
            <w:pPr/>
          </w:p>
        </w:tc>
        <w:tc>
          <w:tcPr>
            <w:tcW w:w="1306" w:type="dxa"/>
            <w:gridSpan w:val="2"/>
            <w:vMerge/>
            <w:tcBorders>
              <w:left w:val="single" w:sz="4" w:space="0" w:color="000000"/>
              <w:bottom w:val="nil" w:sz="6" w:space="0" w:color="auto"/>
              <w:right w:val="single" w:sz="4" w:space="0" w:color="000000"/>
            </w:tcBorders>
            <w:shd w:val="clear" w:color="auto" w:fill="D2D2D2"/>
          </w:tcPr>
          <w:p>
            <w:pPr/>
          </w:p>
        </w:tc>
        <w:tc>
          <w:tcPr>
            <w:tcW w:w="1087" w:type="dxa"/>
            <w:gridSpan w:val="2"/>
            <w:vMerge/>
            <w:tcBorders>
              <w:left w:val="single" w:sz="10" w:space="0" w:color="D2D2D2"/>
              <w:right w:val="single" w:sz="13" w:space="0" w:color="D2D2D2"/>
            </w:tcBorders>
          </w:tcPr>
          <w:p>
            <w:pPr/>
          </w:p>
        </w:tc>
        <w:tc>
          <w:tcPr>
            <w:tcW w:w="1311" w:type="dxa"/>
            <w:gridSpan w:val="2"/>
            <w:vMerge/>
            <w:tcBorders>
              <w:left w:val="single" w:sz="4" w:space="0" w:color="000000"/>
              <w:right w:val="single" w:sz="4" w:space="0" w:color="000000"/>
            </w:tcBorders>
            <w:shd w:val="clear" w:color="auto" w:fill="D2D2D2"/>
          </w:tcPr>
          <w:p>
            <w:pPr/>
          </w:p>
        </w:tc>
        <w:tc>
          <w:tcPr>
            <w:tcW w:w="508" w:type="dxa"/>
            <w:vMerge/>
            <w:tcBorders>
              <w:left w:val="single" w:sz="13" w:space="0" w:color="D2D2D2"/>
              <w:right w:val="nil" w:sz="6" w:space="0" w:color="auto"/>
            </w:tcBorders>
          </w:tcPr>
          <w:p>
            <w:pPr/>
          </w:p>
        </w:tc>
        <w:tc>
          <w:tcPr>
            <w:tcW w:w="559" w:type="dxa"/>
            <w:tcBorders>
              <w:top w:val="nil" w:sz="6" w:space="0" w:color="auto"/>
              <w:left w:val="nil" w:sz="6" w:space="0" w:color="auto"/>
              <w:bottom w:val="nil" w:sz="6" w:space="0" w:color="auto"/>
              <w:right w:val="single" w:sz="4" w:space="0" w:color="000000"/>
            </w:tcBorders>
          </w:tcPr>
          <w:p>
            <w:pPr/>
          </w:p>
        </w:tc>
      </w:tr>
      <w:tr>
        <w:trPr>
          <w:trHeight w:val="166" w:hRule="exact"/>
        </w:trPr>
        <w:tc>
          <w:tcPr>
            <w:tcW w:w="1335" w:type="dxa"/>
            <w:vMerge/>
            <w:tcBorders>
              <w:left w:val="single" w:sz="4" w:space="0" w:color="000000"/>
              <w:bottom w:val="single" w:sz="4" w:space="0" w:color="000000"/>
              <w:right w:val="single" w:sz="4" w:space="0" w:color="000000"/>
            </w:tcBorders>
            <w:shd w:val="clear" w:color="auto" w:fill="D2D2D2"/>
          </w:tcPr>
          <w:p>
            <w:pPr/>
          </w:p>
        </w:tc>
        <w:tc>
          <w:tcPr>
            <w:tcW w:w="807" w:type="dxa"/>
            <w:gridSpan w:val="2"/>
            <w:vMerge/>
            <w:tcBorders>
              <w:left w:val="single" w:sz="9" w:space="0" w:color="D2D2D2"/>
              <w:bottom w:val="single" w:sz="4" w:space="0" w:color="000000"/>
              <w:right w:val="single" w:sz="9" w:space="0" w:color="D2D2D2"/>
            </w:tcBorders>
          </w:tcPr>
          <w:p>
            <w:pPr/>
          </w:p>
        </w:tc>
        <w:tc>
          <w:tcPr>
            <w:tcW w:w="1483" w:type="dxa"/>
            <w:gridSpan w:val="2"/>
            <w:vMerge/>
            <w:tcBorders>
              <w:left w:val="single" w:sz="4" w:space="0" w:color="000000"/>
              <w:bottom w:val="single" w:sz="4" w:space="0" w:color="000000"/>
              <w:right w:val="single" w:sz="4" w:space="0" w:color="000000"/>
            </w:tcBorders>
            <w:shd w:val="clear" w:color="auto" w:fill="D2D2D2"/>
          </w:tcPr>
          <w:p>
            <w:pPr/>
          </w:p>
        </w:tc>
        <w:tc>
          <w:tcPr>
            <w:tcW w:w="1174" w:type="dxa"/>
            <w:gridSpan w:val="2"/>
            <w:vMerge/>
            <w:tcBorders>
              <w:left w:val="single" w:sz="9" w:space="0" w:color="D2D2D2"/>
              <w:bottom w:val="single" w:sz="4" w:space="0" w:color="000000"/>
              <w:right w:val="single" w:sz="9" w:space="0" w:color="D2D2D2"/>
            </w:tcBorders>
          </w:tcPr>
          <w:p>
            <w:pPr/>
          </w:p>
        </w:tc>
        <w:tc>
          <w:tcPr>
            <w:tcW w:w="1306"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1087" w:type="dxa"/>
            <w:gridSpan w:val="2"/>
            <w:vMerge/>
            <w:tcBorders>
              <w:left w:val="single" w:sz="10" w:space="0" w:color="D2D2D2"/>
              <w:bottom w:val="single" w:sz="4" w:space="0" w:color="000000"/>
              <w:right w:val="single" w:sz="13" w:space="0" w:color="D2D2D2"/>
            </w:tcBorders>
          </w:tcPr>
          <w:p>
            <w:pPr/>
          </w:p>
        </w:tc>
        <w:tc>
          <w:tcPr>
            <w:tcW w:w="1311" w:type="dxa"/>
            <w:gridSpan w:val="2"/>
            <w:vMerge/>
            <w:tcBorders>
              <w:left w:val="single" w:sz="4" w:space="0" w:color="000000"/>
              <w:bottom w:val="single" w:sz="4" w:space="0" w:color="000000"/>
              <w:right w:val="single" w:sz="4" w:space="0" w:color="000000"/>
            </w:tcBorders>
            <w:shd w:val="clear" w:color="auto" w:fill="D2D2D2"/>
          </w:tcPr>
          <w:p>
            <w:pPr/>
          </w:p>
        </w:tc>
        <w:tc>
          <w:tcPr>
            <w:tcW w:w="508" w:type="dxa"/>
            <w:vMerge/>
            <w:tcBorders>
              <w:left w:val="single" w:sz="13" w:space="0" w:color="D2D2D2"/>
              <w:bottom w:val="single" w:sz="4" w:space="0" w:color="000000"/>
              <w:right w:val="nil" w:sz="6" w:space="0" w:color="auto"/>
            </w:tcBorders>
          </w:tcPr>
          <w:p>
            <w:pPr/>
          </w:p>
        </w:tc>
        <w:tc>
          <w:tcPr>
            <w:tcW w:w="559" w:type="dxa"/>
            <w:tcBorders>
              <w:top w:val="nil" w:sz="6" w:space="0" w:color="auto"/>
              <w:left w:val="nil" w:sz="6" w:space="0" w:color="auto"/>
              <w:bottom w:val="single" w:sz="4" w:space="0" w:color="000000"/>
              <w:right w:val="single" w:sz="4" w:space="0" w:color="000000"/>
            </w:tcBorders>
          </w:tcPr>
          <w:p>
            <w:pPr/>
          </w:p>
        </w:tc>
      </w:tr>
      <w:tr>
        <w:trPr>
          <w:trHeight w:val="392" w:hRule="exact"/>
        </w:trPr>
        <w:tc>
          <w:tcPr>
            <w:tcW w:w="9571" w:type="dxa"/>
            <w:gridSpan w:val="1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3062" w:right="0"/>
              <w:jc w:val="left"/>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以上的股东或前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名股东持股情况</w:t>
            </w:r>
          </w:p>
        </w:tc>
      </w:tr>
      <w:tr>
        <w:trPr>
          <w:trHeight w:val="166" w:hRule="exact"/>
        </w:trPr>
        <w:tc>
          <w:tcPr>
            <w:tcW w:w="1469" w:type="dxa"/>
            <w:gridSpan w:val="2"/>
            <w:vMerge w:val="restart"/>
            <w:tcBorders>
              <w:top w:val="single" w:sz="4" w:space="0" w:color="000000"/>
              <w:left w:val="single" w:sz="4" w:space="0" w:color="000000"/>
              <w:right w:val="single" w:sz="4" w:space="0" w:color="000000"/>
            </w:tcBorders>
            <w:shd w:val="clear" w:color="auto" w:fill="D2D2D2"/>
          </w:tcPr>
          <w:p>
            <w:pPr/>
          </w:p>
        </w:tc>
        <w:tc>
          <w:tcPr>
            <w:tcW w:w="1411" w:type="dxa"/>
            <w:gridSpan w:val="2"/>
            <w:vMerge w:val="restart"/>
            <w:tcBorders>
              <w:top w:val="single" w:sz="4" w:space="0" w:color="000000"/>
              <w:left w:val="single" w:sz="4" w:space="0" w:color="000000"/>
              <w:right w:val="single" w:sz="4" w:space="0" w:color="000000"/>
            </w:tcBorders>
            <w:shd w:val="clear" w:color="auto" w:fill="D2D2D2"/>
          </w:tcPr>
          <w:p>
            <w:pPr/>
          </w:p>
        </w:tc>
        <w:tc>
          <w:tcPr>
            <w:tcW w:w="744" w:type="dxa"/>
            <w:vMerge w:val="restart"/>
            <w:tcBorders>
              <w:top w:val="single" w:sz="4" w:space="0" w:color="000000"/>
              <w:left w:val="single" w:sz="4" w:space="0" w:color="000000"/>
              <w:right w:val="single" w:sz="4" w:space="0" w:color="FFFFFF"/>
            </w:tcBorders>
            <w:shd w:val="clear" w:color="auto" w:fill="D2D2D2"/>
          </w:tcPr>
          <w:p>
            <w:pPr/>
          </w:p>
        </w:tc>
        <w:tc>
          <w:tcPr>
            <w:tcW w:w="831" w:type="dxa"/>
            <w:tcBorders>
              <w:top w:val="single" w:sz="4" w:space="0" w:color="000000"/>
              <w:left w:val="single" w:sz="4" w:space="0" w:color="FFFFFF"/>
              <w:bottom w:val="nil" w:sz="6" w:space="0" w:color="auto"/>
              <w:right w:val="single" w:sz="4" w:space="0" w:color="000000"/>
            </w:tcBorders>
            <w:shd w:val="clear" w:color="auto" w:fill="D2D2D2"/>
          </w:tcPr>
          <w:p>
            <w:pPr/>
          </w:p>
        </w:tc>
        <w:tc>
          <w:tcPr>
            <w:tcW w:w="1075"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850"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6"/>
              <w:ind w:left="59" w:right="59"/>
              <w:jc w:val="both"/>
              <w:rPr>
                <w:rFonts w:ascii="宋体" w:hAnsi="宋体" w:cs="宋体" w:eastAsia="宋体" w:hint="default"/>
                <w:sz w:val="18"/>
                <w:szCs w:val="18"/>
              </w:rPr>
            </w:pPr>
            <w:r>
              <w:rPr>
                <w:rFonts w:ascii="宋体" w:hAnsi="宋体" w:cs="宋体" w:eastAsia="宋体" w:hint="default"/>
                <w:sz w:val="18"/>
                <w:szCs w:val="18"/>
              </w:rPr>
              <w:t>持有有限 售条件的 股份数量</w:t>
            </w:r>
          </w:p>
        </w:tc>
        <w:tc>
          <w:tcPr>
            <w:tcW w:w="993"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6"/>
              <w:ind w:left="40" w:right="40"/>
              <w:jc w:val="center"/>
              <w:rPr>
                <w:rFonts w:ascii="宋体" w:hAnsi="宋体" w:cs="宋体" w:eastAsia="宋体" w:hint="default"/>
                <w:sz w:val="18"/>
                <w:szCs w:val="18"/>
              </w:rPr>
            </w:pPr>
            <w:r>
              <w:rPr>
                <w:rFonts w:ascii="宋体" w:hAnsi="宋体" w:cs="宋体" w:eastAsia="宋体" w:hint="default"/>
                <w:sz w:val="18"/>
                <w:szCs w:val="18"/>
              </w:rPr>
              <w:t>持有无限售 条件的股份 数量</w:t>
            </w:r>
          </w:p>
        </w:tc>
        <w:tc>
          <w:tcPr>
            <w:tcW w:w="2198"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464" w:right="0"/>
              <w:jc w:val="left"/>
              <w:rPr>
                <w:rFonts w:ascii="宋体" w:hAnsi="宋体" w:cs="宋体" w:eastAsia="宋体" w:hint="default"/>
                <w:sz w:val="18"/>
                <w:szCs w:val="18"/>
              </w:rPr>
            </w:pPr>
            <w:r>
              <w:rPr>
                <w:rFonts w:ascii="宋体" w:hAnsi="宋体" w:cs="宋体" w:eastAsia="宋体" w:hint="default"/>
                <w:sz w:val="18"/>
                <w:szCs w:val="18"/>
              </w:rPr>
              <w:t>质押或冻结情况</w:t>
            </w:r>
          </w:p>
        </w:tc>
      </w:tr>
      <w:tr>
        <w:trPr>
          <w:trHeight w:val="156" w:hRule="exact"/>
        </w:trPr>
        <w:tc>
          <w:tcPr>
            <w:tcW w:w="1469" w:type="dxa"/>
            <w:gridSpan w:val="2"/>
            <w:vMerge/>
            <w:tcBorders>
              <w:left w:val="single" w:sz="4" w:space="0" w:color="000000"/>
              <w:bottom w:val="nil" w:sz="6" w:space="0" w:color="auto"/>
              <w:right w:val="single" w:sz="4" w:space="0" w:color="000000"/>
            </w:tcBorders>
            <w:shd w:val="clear" w:color="auto" w:fill="D2D2D2"/>
          </w:tcPr>
          <w:p>
            <w:pPr/>
          </w:p>
        </w:tc>
        <w:tc>
          <w:tcPr>
            <w:tcW w:w="1411" w:type="dxa"/>
            <w:gridSpan w:val="2"/>
            <w:vMerge/>
            <w:tcBorders>
              <w:left w:val="single" w:sz="4" w:space="0" w:color="000000"/>
              <w:bottom w:val="nil" w:sz="6" w:space="0" w:color="auto"/>
              <w:right w:val="single" w:sz="4" w:space="0" w:color="000000"/>
            </w:tcBorders>
            <w:shd w:val="clear" w:color="auto" w:fill="D2D2D2"/>
          </w:tcPr>
          <w:p>
            <w:pPr/>
          </w:p>
        </w:tc>
        <w:tc>
          <w:tcPr>
            <w:tcW w:w="744" w:type="dxa"/>
            <w:vMerge/>
            <w:tcBorders>
              <w:left w:val="single" w:sz="4" w:space="0" w:color="000000"/>
              <w:bottom w:val="nil" w:sz="6" w:space="0" w:color="auto"/>
              <w:right w:val="single" w:sz="4" w:space="0" w:color="FFFFFF"/>
            </w:tcBorders>
            <w:shd w:val="clear" w:color="auto" w:fill="D2D2D2"/>
          </w:tcPr>
          <w:p>
            <w:pPr/>
          </w:p>
        </w:tc>
        <w:tc>
          <w:tcPr>
            <w:tcW w:w="831" w:type="dxa"/>
            <w:vMerge w:val="restart"/>
            <w:tcBorders>
              <w:top w:val="nil" w:sz="6" w:space="0" w:color="auto"/>
              <w:left w:val="single" w:sz="4" w:space="0" w:color="FFFFFF"/>
              <w:right w:val="single" w:sz="4" w:space="0" w:color="000000"/>
            </w:tcBorders>
            <w:shd w:val="clear" w:color="auto" w:fill="D2D2D2"/>
          </w:tcPr>
          <w:p>
            <w:pPr>
              <w:pStyle w:val="TableParagraph"/>
              <w:spacing w:line="316" w:lineRule="auto" w:before="51"/>
              <w:ind w:left="71" w:right="27"/>
              <w:jc w:val="left"/>
              <w:rPr>
                <w:rFonts w:ascii="宋体" w:hAnsi="宋体" w:cs="宋体" w:eastAsia="宋体" w:hint="default"/>
                <w:sz w:val="18"/>
                <w:szCs w:val="18"/>
              </w:rPr>
            </w:pPr>
            <w:r>
              <w:rPr>
                <w:rFonts w:ascii="宋体" w:hAnsi="宋体" w:cs="宋体" w:eastAsia="宋体" w:hint="default"/>
                <w:sz w:val="18"/>
                <w:szCs w:val="18"/>
              </w:rPr>
              <w:t>报告期末 持股数量</w:t>
            </w:r>
          </w:p>
        </w:tc>
        <w:tc>
          <w:tcPr>
            <w:tcW w:w="1075"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81" w:right="83"/>
              <w:jc w:val="left"/>
              <w:rPr>
                <w:rFonts w:ascii="宋体" w:hAnsi="宋体" w:cs="宋体" w:eastAsia="宋体" w:hint="default"/>
                <w:sz w:val="18"/>
                <w:szCs w:val="18"/>
              </w:rPr>
            </w:pPr>
            <w:r>
              <w:rPr>
                <w:rFonts w:ascii="宋体" w:hAnsi="宋体" w:cs="宋体" w:eastAsia="宋体" w:hint="default"/>
                <w:sz w:val="18"/>
                <w:szCs w:val="18"/>
              </w:rPr>
              <w:t>报告期内增 减变动情况</w:t>
            </w:r>
          </w:p>
        </w:tc>
        <w:tc>
          <w:tcPr>
            <w:tcW w:w="850" w:type="dxa"/>
            <w:gridSpan w:val="2"/>
            <w:vMerge/>
            <w:tcBorders>
              <w:left w:val="single" w:sz="4" w:space="0" w:color="000000"/>
              <w:right w:val="single" w:sz="4" w:space="0" w:color="000000"/>
            </w:tcBorders>
            <w:shd w:val="clear" w:color="auto" w:fill="D2D2D2"/>
          </w:tcPr>
          <w:p>
            <w:pPr/>
          </w:p>
        </w:tc>
        <w:tc>
          <w:tcPr>
            <w:tcW w:w="993" w:type="dxa"/>
            <w:gridSpan w:val="2"/>
            <w:vMerge/>
            <w:tcBorders>
              <w:left w:val="single" w:sz="4" w:space="0" w:color="000000"/>
              <w:right w:val="single" w:sz="4" w:space="0" w:color="000000"/>
            </w:tcBorders>
            <w:shd w:val="clear" w:color="auto" w:fill="D2D2D2"/>
          </w:tcPr>
          <w:p>
            <w:pPr/>
          </w:p>
        </w:tc>
        <w:tc>
          <w:tcPr>
            <w:tcW w:w="2198" w:type="dxa"/>
            <w:gridSpan w:val="3"/>
            <w:vMerge/>
            <w:tcBorders>
              <w:left w:val="single" w:sz="4" w:space="0" w:color="000000"/>
              <w:right w:val="single" w:sz="4" w:space="0" w:color="000000"/>
            </w:tcBorders>
            <w:shd w:val="clear" w:color="auto" w:fill="D2D2D2"/>
          </w:tcPr>
          <w:p>
            <w:pPr/>
          </w:p>
        </w:tc>
      </w:tr>
      <w:tr>
        <w:trPr>
          <w:trHeight w:val="141" w:hRule="exact"/>
        </w:trPr>
        <w:tc>
          <w:tcPr>
            <w:tcW w:w="1469"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68"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411"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9" w:right="0"/>
              <w:jc w:val="left"/>
              <w:rPr>
                <w:rFonts w:ascii="宋体" w:hAnsi="宋体" w:cs="宋体" w:eastAsia="宋体" w:hint="default"/>
                <w:sz w:val="18"/>
                <w:szCs w:val="18"/>
              </w:rPr>
            </w:pPr>
            <w:r>
              <w:rPr>
                <w:rFonts w:ascii="宋体" w:hAnsi="宋体" w:cs="宋体" w:eastAsia="宋体" w:hint="default"/>
                <w:sz w:val="18"/>
                <w:szCs w:val="18"/>
              </w:rPr>
              <w:t>股东性质</w:t>
            </w:r>
          </w:p>
        </w:tc>
        <w:tc>
          <w:tcPr>
            <w:tcW w:w="744" w:type="dxa"/>
            <w:vMerge w:val="restart"/>
            <w:tcBorders>
              <w:top w:val="nil" w:sz="6" w:space="0" w:color="auto"/>
              <w:left w:val="single" w:sz="4" w:space="0" w:color="000000"/>
              <w:right w:val="single" w:sz="4" w:space="0" w:color="FFFFFF"/>
            </w:tcBorders>
            <w:shd w:val="clear" w:color="auto" w:fill="D2D2D2"/>
          </w:tcPr>
          <w:p>
            <w:pPr>
              <w:pStyle w:val="TableParagraph"/>
              <w:spacing w:line="240" w:lineRule="auto" w:before="51"/>
              <w:ind w:left="28" w:right="-15"/>
              <w:jc w:val="left"/>
              <w:rPr>
                <w:rFonts w:ascii="宋体" w:hAnsi="宋体" w:cs="宋体" w:eastAsia="宋体" w:hint="default"/>
                <w:sz w:val="18"/>
                <w:szCs w:val="18"/>
              </w:rPr>
            </w:pPr>
            <w:r>
              <w:rPr>
                <w:rFonts w:ascii="宋体" w:hAnsi="宋体" w:cs="宋体" w:eastAsia="宋体" w:hint="default"/>
                <w:sz w:val="18"/>
                <w:szCs w:val="18"/>
              </w:rPr>
              <w:t>持股比例</w:t>
            </w:r>
          </w:p>
        </w:tc>
        <w:tc>
          <w:tcPr>
            <w:tcW w:w="831" w:type="dxa"/>
            <w:vMerge/>
            <w:tcBorders>
              <w:left w:val="single" w:sz="4" w:space="0" w:color="FFFFFF"/>
              <w:right w:val="single" w:sz="4" w:space="0" w:color="000000"/>
            </w:tcBorders>
            <w:shd w:val="clear" w:color="auto" w:fill="D2D2D2"/>
          </w:tcPr>
          <w:p>
            <w:pPr/>
          </w:p>
        </w:tc>
        <w:tc>
          <w:tcPr>
            <w:tcW w:w="1075" w:type="dxa"/>
            <w:gridSpan w:val="2"/>
            <w:vMerge/>
            <w:tcBorders>
              <w:left w:val="single" w:sz="4" w:space="0" w:color="000000"/>
              <w:right w:val="single" w:sz="4" w:space="0" w:color="000000"/>
            </w:tcBorders>
            <w:shd w:val="clear" w:color="auto" w:fill="D2D2D2"/>
          </w:tcPr>
          <w:p>
            <w:pPr/>
          </w:p>
        </w:tc>
        <w:tc>
          <w:tcPr>
            <w:tcW w:w="850" w:type="dxa"/>
            <w:gridSpan w:val="2"/>
            <w:vMerge/>
            <w:tcBorders>
              <w:left w:val="single" w:sz="4" w:space="0" w:color="000000"/>
              <w:right w:val="single" w:sz="4" w:space="0" w:color="000000"/>
            </w:tcBorders>
            <w:shd w:val="clear" w:color="auto" w:fill="D2D2D2"/>
          </w:tcPr>
          <w:p>
            <w:pPr/>
          </w:p>
        </w:tc>
        <w:tc>
          <w:tcPr>
            <w:tcW w:w="993" w:type="dxa"/>
            <w:gridSpan w:val="2"/>
            <w:vMerge/>
            <w:tcBorders>
              <w:left w:val="single" w:sz="4" w:space="0" w:color="000000"/>
              <w:right w:val="single" w:sz="4" w:space="0" w:color="000000"/>
            </w:tcBorders>
            <w:shd w:val="clear" w:color="auto" w:fill="D2D2D2"/>
          </w:tcPr>
          <w:p>
            <w:pPr/>
          </w:p>
        </w:tc>
        <w:tc>
          <w:tcPr>
            <w:tcW w:w="2198" w:type="dxa"/>
            <w:gridSpan w:val="3"/>
            <w:vMerge/>
            <w:tcBorders>
              <w:left w:val="single" w:sz="4" w:space="0" w:color="000000"/>
              <w:bottom w:val="single" w:sz="4" w:space="0" w:color="000000"/>
              <w:right w:val="single" w:sz="4" w:space="0" w:color="000000"/>
            </w:tcBorders>
            <w:shd w:val="clear" w:color="auto" w:fill="D2D2D2"/>
          </w:tcPr>
          <w:p>
            <w:pPr/>
          </w:p>
        </w:tc>
      </w:tr>
      <w:tr>
        <w:trPr>
          <w:trHeight w:val="251" w:hRule="exact"/>
        </w:trPr>
        <w:tc>
          <w:tcPr>
            <w:tcW w:w="1469" w:type="dxa"/>
            <w:gridSpan w:val="2"/>
            <w:vMerge/>
            <w:tcBorders>
              <w:left w:val="single" w:sz="4" w:space="0" w:color="000000"/>
              <w:bottom w:val="nil" w:sz="6" w:space="0" w:color="auto"/>
              <w:right w:val="single" w:sz="4" w:space="0" w:color="000000"/>
            </w:tcBorders>
            <w:shd w:val="clear" w:color="auto" w:fill="D2D2D2"/>
          </w:tcPr>
          <w:p>
            <w:pPr/>
          </w:p>
        </w:tc>
        <w:tc>
          <w:tcPr>
            <w:tcW w:w="1411" w:type="dxa"/>
            <w:gridSpan w:val="2"/>
            <w:vMerge/>
            <w:tcBorders>
              <w:left w:val="single" w:sz="4" w:space="0" w:color="000000"/>
              <w:bottom w:val="nil" w:sz="6" w:space="0" w:color="auto"/>
              <w:right w:val="single" w:sz="4" w:space="0" w:color="000000"/>
            </w:tcBorders>
            <w:shd w:val="clear" w:color="auto" w:fill="D2D2D2"/>
          </w:tcPr>
          <w:p>
            <w:pPr/>
          </w:p>
        </w:tc>
        <w:tc>
          <w:tcPr>
            <w:tcW w:w="744" w:type="dxa"/>
            <w:vMerge/>
            <w:tcBorders>
              <w:left w:val="single" w:sz="4" w:space="0" w:color="000000"/>
              <w:bottom w:val="nil" w:sz="6" w:space="0" w:color="auto"/>
              <w:right w:val="single" w:sz="4" w:space="0" w:color="FFFFFF"/>
            </w:tcBorders>
            <w:shd w:val="clear" w:color="auto" w:fill="D2D2D2"/>
          </w:tcPr>
          <w:p>
            <w:pPr/>
          </w:p>
        </w:tc>
        <w:tc>
          <w:tcPr>
            <w:tcW w:w="831" w:type="dxa"/>
            <w:vMerge/>
            <w:tcBorders>
              <w:left w:val="single" w:sz="4" w:space="0" w:color="FFFFFF"/>
              <w:right w:val="single" w:sz="4" w:space="0" w:color="000000"/>
            </w:tcBorders>
            <w:shd w:val="clear" w:color="auto" w:fill="D2D2D2"/>
          </w:tcPr>
          <w:p>
            <w:pPr/>
          </w:p>
        </w:tc>
        <w:tc>
          <w:tcPr>
            <w:tcW w:w="1075" w:type="dxa"/>
            <w:gridSpan w:val="2"/>
            <w:vMerge/>
            <w:tcBorders>
              <w:left w:val="single" w:sz="4" w:space="0" w:color="000000"/>
              <w:right w:val="single" w:sz="4" w:space="0" w:color="000000"/>
            </w:tcBorders>
            <w:shd w:val="clear" w:color="auto" w:fill="D2D2D2"/>
          </w:tcPr>
          <w:p>
            <w:pPr/>
          </w:p>
        </w:tc>
        <w:tc>
          <w:tcPr>
            <w:tcW w:w="850" w:type="dxa"/>
            <w:gridSpan w:val="2"/>
            <w:vMerge/>
            <w:tcBorders>
              <w:left w:val="single" w:sz="4" w:space="0" w:color="000000"/>
              <w:right w:val="single" w:sz="4" w:space="0" w:color="000000"/>
            </w:tcBorders>
            <w:shd w:val="clear" w:color="auto" w:fill="D2D2D2"/>
          </w:tcPr>
          <w:p>
            <w:pPr/>
          </w:p>
        </w:tc>
        <w:tc>
          <w:tcPr>
            <w:tcW w:w="993" w:type="dxa"/>
            <w:gridSpan w:val="2"/>
            <w:vMerge/>
            <w:tcBorders>
              <w:left w:val="single" w:sz="4" w:space="0" w:color="000000"/>
              <w:right w:val="single" w:sz="4" w:space="0" w:color="000000"/>
            </w:tcBorders>
            <w:shd w:val="clear" w:color="auto" w:fill="D2D2D2"/>
          </w:tcPr>
          <w:p>
            <w:pPr/>
          </w:p>
        </w:tc>
        <w:tc>
          <w:tcPr>
            <w:tcW w:w="113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7"/>
              <w:ind w:left="202" w:right="0"/>
              <w:jc w:val="left"/>
              <w:rPr>
                <w:rFonts w:ascii="宋体" w:hAnsi="宋体" w:cs="宋体" w:eastAsia="宋体" w:hint="default"/>
                <w:sz w:val="18"/>
                <w:szCs w:val="18"/>
              </w:rPr>
            </w:pPr>
            <w:r>
              <w:rPr>
                <w:rFonts w:ascii="宋体" w:hAnsi="宋体" w:cs="宋体" w:eastAsia="宋体" w:hint="default"/>
                <w:sz w:val="18"/>
                <w:szCs w:val="18"/>
              </w:rPr>
              <w:t>股份状态</w:t>
            </w:r>
          </w:p>
        </w:tc>
        <w:tc>
          <w:tcPr>
            <w:tcW w:w="106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7"/>
              <w:ind w:left="351" w:right="0"/>
              <w:jc w:val="left"/>
              <w:rPr>
                <w:rFonts w:ascii="宋体" w:hAnsi="宋体" w:cs="宋体" w:eastAsia="宋体" w:hint="default"/>
                <w:sz w:val="18"/>
                <w:szCs w:val="18"/>
              </w:rPr>
            </w:pPr>
            <w:r>
              <w:rPr>
                <w:rFonts w:ascii="宋体" w:hAnsi="宋体" w:cs="宋体" w:eastAsia="宋体" w:hint="default"/>
                <w:sz w:val="18"/>
                <w:szCs w:val="18"/>
              </w:rPr>
              <w:t>数量</w:t>
            </w:r>
          </w:p>
        </w:tc>
      </w:tr>
      <w:tr>
        <w:trPr>
          <w:trHeight w:val="156" w:hRule="exact"/>
        </w:trPr>
        <w:tc>
          <w:tcPr>
            <w:tcW w:w="1469" w:type="dxa"/>
            <w:gridSpan w:val="2"/>
            <w:vMerge w:val="restart"/>
            <w:tcBorders>
              <w:top w:val="nil" w:sz="6" w:space="0" w:color="auto"/>
              <w:left w:val="single" w:sz="4" w:space="0" w:color="000000"/>
              <w:right w:val="single" w:sz="4" w:space="0" w:color="000000"/>
            </w:tcBorders>
            <w:shd w:val="clear" w:color="auto" w:fill="D2D2D2"/>
          </w:tcPr>
          <w:p>
            <w:pPr/>
          </w:p>
        </w:tc>
        <w:tc>
          <w:tcPr>
            <w:tcW w:w="1411" w:type="dxa"/>
            <w:gridSpan w:val="2"/>
            <w:vMerge w:val="restart"/>
            <w:tcBorders>
              <w:top w:val="nil" w:sz="6" w:space="0" w:color="auto"/>
              <w:left w:val="single" w:sz="4" w:space="0" w:color="000000"/>
              <w:right w:val="single" w:sz="4" w:space="0" w:color="000000"/>
            </w:tcBorders>
            <w:shd w:val="clear" w:color="auto" w:fill="D2D2D2"/>
          </w:tcPr>
          <w:p>
            <w:pPr/>
          </w:p>
        </w:tc>
        <w:tc>
          <w:tcPr>
            <w:tcW w:w="744" w:type="dxa"/>
            <w:vMerge w:val="restart"/>
            <w:tcBorders>
              <w:top w:val="nil" w:sz="6" w:space="0" w:color="auto"/>
              <w:left w:val="single" w:sz="4" w:space="0" w:color="000000"/>
              <w:right w:val="single" w:sz="4" w:space="0" w:color="FFFFFF"/>
            </w:tcBorders>
            <w:shd w:val="clear" w:color="auto" w:fill="D2D2D2"/>
          </w:tcPr>
          <w:p>
            <w:pPr/>
          </w:p>
        </w:tc>
        <w:tc>
          <w:tcPr>
            <w:tcW w:w="831" w:type="dxa"/>
            <w:vMerge/>
            <w:tcBorders>
              <w:left w:val="single" w:sz="4" w:space="0" w:color="FFFFFF"/>
              <w:bottom w:val="nil" w:sz="6" w:space="0" w:color="auto"/>
              <w:right w:val="single" w:sz="4" w:space="0" w:color="000000"/>
            </w:tcBorders>
            <w:shd w:val="clear" w:color="auto" w:fill="D2D2D2"/>
          </w:tcPr>
          <w:p>
            <w:pPr/>
          </w:p>
        </w:tc>
        <w:tc>
          <w:tcPr>
            <w:tcW w:w="1075" w:type="dxa"/>
            <w:gridSpan w:val="2"/>
            <w:vMerge/>
            <w:tcBorders>
              <w:left w:val="single" w:sz="4" w:space="0" w:color="000000"/>
              <w:bottom w:val="nil" w:sz="6" w:space="0" w:color="auto"/>
              <w:right w:val="single" w:sz="4" w:space="0" w:color="000000"/>
            </w:tcBorders>
            <w:shd w:val="clear" w:color="auto" w:fill="D2D2D2"/>
          </w:tcPr>
          <w:p>
            <w:pPr/>
          </w:p>
        </w:tc>
        <w:tc>
          <w:tcPr>
            <w:tcW w:w="850" w:type="dxa"/>
            <w:gridSpan w:val="2"/>
            <w:vMerge/>
            <w:tcBorders>
              <w:left w:val="single" w:sz="4" w:space="0" w:color="000000"/>
              <w:right w:val="single" w:sz="4" w:space="0" w:color="000000"/>
            </w:tcBorders>
            <w:shd w:val="clear" w:color="auto" w:fill="D2D2D2"/>
          </w:tcPr>
          <w:p>
            <w:pPr/>
          </w:p>
        </w:tc>
        <w:tc>
          <w:tcPr>
            <w:tcW w:w="993" w:type="dxa"/>
            <w:gridSpan w:val="2"/>
            <w:vMerge/>
            <w:tcBorders>
              <w:left w:val="single" w:sz="4" w:space="0" w:color="000000"/>
              <w:right w:val="single" w:sz="4" w:space="0" w:color="000000"/>
            </w:tcBorders>
            <w:shd w:val="clear" w:color="auto" w:fill="D2D2D2"/>
          </w:tcPr>
          <w:p>
            <w:pPr/>
          </w:p>
        </w:tc>
        <w:tc>
          <w:tcPr>
            <w:tcW w:w="1131" w:type="dxa"/>
            <w:vMerge/>
            <w:tcBorders>
              <w:left w:val="single" w:sz="4" w:space="0" w:color="000000"/>
              <w:right w:val="single" w:sz="4" w:space="0" w:color="000000"/>
            </w:tcBorders>
            <w:shd w:val="clear" w:color="auto" w:fill="D2D2D2"/>
          </w:tcPr>
          <w:p>
            <w:pPr/>
          </w:p>
        </w:tc>
        <w:tc>
          <w:tcPr>
            <w:tcW w:w="1068" w:type="dxa"/>
            <w:gridSpan w:val="2"/>
            <w:vMerge/>
            <w:tcBorders>
              <w:left w:val="single" w:sz="4" w:space="0" w:color="000000"/>
              <w:right w:val="single" w:sz="4" w:space="0" w:color="000000"/>
            </w:tcBorders>
            <w:shd w:val="clear" w:color="auto" w:fill="D2D2D2"/>
          </w:tcPr>
          <w:p>
            <w:pPr/>
          </w:p>
        </w:tc>
      </w:tr>
      <w:tr>
        <w:trPr>
          <w:trHeight w:val="161" w:hRule="exact"/>
        </w:trPr>
        <w:tc>
          <w:tcPr>
            <w:tcW w:w="1469" w:type="dxa"/>
            <w:gridSpan w:val="2"/>
            <w:vMerge/>
            <w:tcBorders>
              <w:left w:val="single" w:sz="4" w:space="0" w:color="000000"/>
              <w:bottom w:val="single" w:sz="4" w:space="0" w:color="000000"/>
              <w:right w:val="single" w:sz="4" w:space="0" w:color="000000"/>
            </w:tcBorders>
            <w:shd w:val="clear" w:color="auto" w:fill="D2D2D2"/>
          </w:tcPr>
          <w:p>
            <w:pPr/>
          </w:p>
        </w:tc>
        <w:tc>
          <w:tcPr>
            <w:tcW w:w="1411" w:type="dxa"/>
            <w:gridSpan w:val="2"/>
            <w:vMerge/>
            <w:tcBorders>
              <w:left w:val="single" w:sz="4" w:space="0" w:color="000000"/>
              <w:bottom w:val="single" w:sz="4" w:space="0" w:color="000000"/>
              <w:right w:val="single" w:sz="4" w:space="0" w:color="000000"/>
            </w:tcBorders>
            <w:shd w:val="clear" w:color="auto" w:fill="D2D2D2"/>
          </w:tcPr>
          <w:p>
            <w:pPr/>
          </w:p>
        </w:tc>
        <w:tc>
          <w:tcPr>
            <w:tcW w:w="744" w:type="dxa"/>
            <w:vMerge/>
            <w:tcBorders>
              <w:left w:val="single" w:sz="4" w:space="0" w:color="000000"/>
              <w:bottom w:val="single" w:sz="4" w:space="0" w:color="000000"/>
              <w:right w:val="single" w:sz="4" w:space="0" w:color="FFFFFF"/>
            </w:tcBorders>
            <w:shd w:val="clear" w:color="auto" w:fill="D2D2D2"/>
          </w:tcPr>
          <w:p>
            <w:pPr/>
          </w:p>
        </w:tc>
        <w:tc>
          <w:tcPr>
            <w:tcW w:w="831" w:type="dxa"/>
            <w:tcBorders>
              <w:top w:val="nil" w:sz="6" w:space="0" w:color="auto"/>
              <w:left w:val="single" w:sz="4" w:space="0" w:color="FFFFFF"/>
              <w:bottom w:val="single" w:sz="4" w:space="0" w:color="000000"/>
              <w:right w:val="single" w:sz="4" w:space="0" w:color="000000"/>
            </w:tcBorders>
            <w:shd w:val="clear" w:color="auto" w:fill="D2D2D2"/>
          </w:tcPr>
          <w:p>
            <w:pPr/>
          </w:p>
        </w:tc>
        <w:tc>
          <w:tcPr>
            <w:tcW w:w="1075"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850" w:type="dxa"/>
            <w:gridSpan w:val="2"/>
            <w:vMerge/>
            <w:tcBorders>
              <w:left w:val="single" w:sz="4" w:space="0" w:color="000000"/>
              <w:bottom w:val="single" w:sz="4" w:space="0" w:color="000000"/>
              <w:right w:val="single" w:sz="4" w:space="0" w:color="000000"/>
            </w:tcBorders>
            <w:shd w:val="clear" w:color="auto" w:fill="D2D2D2"/>
          </w:tcPr>
          <w:p>
            <w:pPr/>
          </w:p>
        </w:tc>
        <w:tc>
          <w:tcPr>
            <w:tcW w:w="993" w:type="dxa"/>
            <w:gridSpan w:val="2"/>
            <w:vMerge/>
            <w:tcBorders>
              <w:left w:val="single" w:sz="4" w:space="0" w:color="000000"/>
              <w:bottom w:val="single" w:sz="4" w:space="0" w:color="000000"/>
              <w:right w:val="single" w:sz="4" w:space="0" w:color="000000"/>
            </w:tcBorders>
            <w:shd w:val="clear" w:color="auto" w:fill="D2D2D2"/>
          </w:tcPr>
          <w:p>
            <w:pPr/>
          </w:p>
        </w:tc>
        <w:tc>
          <w:tcPr>
            <w:tcW w:w="1131" w:type="dxa"/>
            <w:vMerge/>
            <w:tcBorders>
              <w:left w:val="single" w:sz="4" w:space="0" w:color="000000"/>
              <w:bottom w:val="single" w:sz="4" w:space="0" w:color="000000"/>
              <w:right w:val="single" w:sz="4" w:space="0" w:color="000000"/>
            </w:tcBorders>
            <w:shd w:val="clear" w:color="auto" w:fill="D2D2D2"/>
          </w:tcPr>
          <w:p>
            <w:pPr/>
          </w:p>
        </w:tc>
        <w:tc>
          <w:tcPr>
            <w:tcW w:w="1068" w:type="dxa"/>
            <w:gridSpan w:val="2"/>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李玉国</w:t>
            </w:r>
          </w:p>
        </w:tc>
        <w:tc>
          <w:tcPr>
            <w:tcW w:w="14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44" w:type="dxa"/>
            <w:tcBorders>
              <w:top w:val="single" w:sz="4" w:space="0" w:color="000000"/>
              <w:left w:val="single" w:sz="4" w:space="0" w:color="000000"/>
              <w:bottom w:val="single" w:sz="4" w:space="0" w:color="000000"/>
              <w:right w:val="single" w:sz="4" w:space="0" w:color="FFFFFF"/>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13.86%</w:t>
            </w:r>
          </w:p>
        </w:tc>
        <w:tc>
          <w:tcPr>
            <w:tcW w:w="831" w:type="dxa"/>
            <w:tcBorders>
              <w:top w:val="single" w:sz="4" w:space="0" w:color="000000"/>
              <w:left w:val="single" w:sz="4" w:space="0" w:color="FFFFFF"/>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47,732,89</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3</w:t>
            </w:r>
          </w:p>
        </w:tc>
        <w:tc>
          <w:tcPr>
            <w:tcW w:w="10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0</w:t>
            </w:r>
          </w:p>
        </w:tc>
        <w:tc>
          <w:tcPr>
            <w:tcW w:w="8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35,799,67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99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56" w:right="0"/>
              <w:jc w:val="left"/>
              <w:rPr>
                <w:rFonts w:ascii="Times New Roman" w:hAnsi="Times New Roman" w:cs="Times New Roman" w:eastAsia="Times New Roman" w:hint="default"/>
                <w:sz w:val="18"/>
                <w:szCs w:val="18"/>
              </w:rPr>
            </w:pPr>
            <w:r>
              <w:rPr>
                <w:rFonts w:ascii="Times New Roman"/>
                <w:sz w:val="18"/>
              </w:rPr>
              <w:t>11,933,223</w:t>
            </w:r>
          </w:p>
        </w:tc>
        <w:tc>
          <w:tcPr>
            <w:tcW w:w="1131" w:type="dxa"/>
            <w:tcBorders>
              <w:top w:val="single" w:sz="45" w:space="0" w:color="D2D2D2"/>
              <w:left w:val="single" w:sz="4" w:space="0" w:color="000000"/>
              <w:bottom w:val="single" w:sz="4" w:space="0" w:color="000000"/>
              <w:right w:val="single" w:sz="4" w:space="0" w:color="000000"/>
            </w:tcBorders>
          </w:tcPr>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068" w:type="dxa"/>
            <w:gridSpan w:val="2"/>
            <w:tcBorders>
              <w:top w:val="single" w:sz="45" w:space="0" w:color="D2D2D2"/>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left="224" w:right="0"/>
              <w:jc w:val="left"/>
              <w:rPr>
                <w:rFonts w:ascii="Times New Roman" w:hAnsi="Times New Roman" w:cs="Times New Roman" w:eastAsia="Times New Roman" w:hint="default"/>
                <w:sz w:val="18"/>
                <w:szCs w:val="18"/>
              </w:rPr>
            </w:pPr>
            <w:r>
              <w:rPr>
                <w:rFonts w:ascii="Times New Roman"/>
                <w:sz w:val="18"/>
              </w:rPr>
              <w:t>20,000,000</w:t>
            </w:r>
          </w:p>
        </w:tc>
      </w:tr>
      <w:tr>
        <w:trPr>
          <w:trHeight w:val="402"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范朝</w:t>
            </w:r>
          </w:p>
        </w:tc>
        <w:tc>
          <w:tcPr>
            <w:tcW w:w="14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44" w:type="dxa"/>
            <w:tcBorders>
              <w:top w:val="single" w:sz="4" w:space="0" w:color="000000"/>
              <w:left w:val="single" w:sz="4" w:space="0" w:color="000000"/>
              <w:bottom w:val="single" w:sz="4" w:space="0" w:color="000000"/>
              <w:right w:val="single" w:sz="4" w:space="0" w:color="FFFFFF"/>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1.67%</w:t>
            </w:r>
          </w:p>
        </w:tc>
        <w:tc>
          <w:tcPr>
            <w:tcW w:w="831" w:type="dxa"/>
            <w:tcBorders>
              <w:top w:val="single" w:sz="4" w:space="0" w:color="000000"/>
              <w:left w:val="single" w:sz="4" w:space="0" w:color="FFFFFF"/>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5,759,167</w:t>
            </w:r>
          </w:p>
        </w:tc>
        <w:tc>
          <w:tcPr>
            <w:tcW w:w="10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-1,000,000</w:t>
            </w:r>
          </w:p>
        </w:tc>
        <w:tc>
          <w:tcPr>
            <w:tcW w:w="8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7" w:right="0"/>
              <w:jc w:val="left"/>
              <w:rPr>
                <w:rFonts w:ascii="Times New Roman" w:hAnsi="Times New Roman" w:cs="Times New Roman" w:eastAsia="Times New Roman" w:hint="default"/>
                <w:sz w:val="18"/>
                <w:szCs w:val="18"/>
              </w:rPr>
            </w:pPr>
            <w:r>
              <w:rPr>
                <w:rFonts w:ascii="Times New Roman"/>
                <w:sz w:val="18"/>
              </w:rPr>
              <w:t>5,069,375</w:t>
            </w:r>
          </w:p>
        </w:tc>
        <w:tc>
          <w:tcPr>
            <w:tcW w:w="99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74" w:right="0"/>
              <w:jc w:val="left"/>
              <w:rPr>
                <w:rFonts w:ascii="Times New Roman" w:hAnsi="Times New Roman" w:cs="Times New Roman" w:eastAsia="Times New Roman" w:hint="default"/>
                <w:sz w:val="18"/>
                <w:szCs w:val="18"/>
              </w:rPr>
            </w:pPr>
            <w:r>
              <w:rPr>
                <w:rFonts w:ascii="Times New Roman"/>
                <w:sz w:val="18"/>
              </w:rPr>
              <w:t>689,792</w:t>
            </w:r>
          </w:p>
        </w:tc>
        <w:tc>
          <w:tcPr>
            <w:tcW w:w="1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0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14" w:right="0"/>
              <w:jc w:val="left"/>
              <w:rPr>
                <w:rFonts w:ascii="Times New Roman" w:hAnsi="Times New Roman" w:cs="Times New Roman" w:eastAsia="Times New Roman" w:hint="default"/>
                <w:sz w:val="18"/>
                <w:szCs w:val="18"/>
              </w:rPr>
            </w:pPr>
            <w:r>
              <w:rPr>
                <w:rFonts w:ascii="Times New Roman"/>
                <w:sz w:val="18"/>
              </w:rPr>
              <w:t>1,700,000</w:t>
            </w:r>
          </w:p>
        </w:tc>
      </w:tr>
      <w:tr>
        <w:trPr>
          <w:trHeight w:val="402"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陈荣强</w:t>
            </w:r>
          </w:p>
        </w:tc>
        <w:tc>
          <w:tcPr>
            <w:tcW w:w="14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44" w:type="dxa"/>
            <w:tcBorders>
              <w:top w:val="single" w:sz="4" w:space="0" w:color="000000"/>
              <w:left w:val="single" w:sz="4" w:space="0" w:color="000000"/>
              <w:bottom w:val="single" w:sz="4" w:space="0" w:color="000000"/>
              <w:right w:val="single" w:sz="4" w:space="0" w:color="FFFFFF"/>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1.58%</w:t>
            </w:r>
          </w:p>
        </w:tc>
        <w:tc>
          <w:tcPr>
            <w:tcW w:w="831" w:type="dxa"/>
            <w:tcBorders>
              <w:top w:val="single" w:sz="4" w:space="0" w:color="000000"/>
              <w:left w:val="single" w:sz="4" w:space="0" w:color="FFFFFF"/>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5,456,754</w:t>
            </w:r>
          </w:p>
        </w:tc>
        <w:tc>
          <w:tcPr>
            <w:tcW w:w="10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-30,000</w:t>
            </w:r>
          </w:p>
        </w:tc>
        <w:tc>
          <w:tcPr>
            <w:tcW w:w="8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4" w:right="0"/>
              <w:jc w:val="left"/>
              <w:rPr>
                <w:rFonts w:ascii="Times New Roman" w:hAnsi="Times New Roman" w:cs="Times New Roman" w:eastAsia="Times New Roman" w:hint="default"/>
                <w:sz w:val="18"/>
                <w:szCs w:val="18"/>
              </w:rPr>
            </w:pPr>
            <w:r>
              <w:rPr>
                <w:rFonts w:ascii="Times New Roman"/>
                <w:sz w:val="18"/>
              </w:rPr>
              <w:t>4,115,065</w:t>
            </w:r>
          </w:p>
        </w:tc>
        <w:tc>
          <w:tcPr>
            <w:tcW w:w="99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8" w:right="0"/>
              <w:jc w:val="left"/>
              <w:rPr>
                <w:rFonts w:ascii="Times New Roman" w:hAnsi="Times New Roman" w:cs="Times New Roman" w:eastAsia="Times New Roman" w:hint="default"/>
                <w:sz w:val="18"/>
                <w:szCs w:val="18"/>
              </w:rPr>
            </w:pPr>
            <w:r>
              <w:rPr>
                <w:rFonts w:ascii="Times New Roman"/>
                <w:sz w:val="18"/>
              </w:rPr>
              <w:t>1,341,689</w:t>
            </w:r>
          </w:p>
        </w:tc>
        <w:tc>
          <w:tcPr>
            <w:tcW w:w="1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0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14" w:right="0"/>
              <w:jc w:val="left"/>
              <w:rPr>
                <w:rFonts w:ascii="Times New Roman" w:hAnsi="Times New Roman" w:cs="Times New Roman" w:eastAsia="Times New Roman" w:hint="default"/>
                <w:sz w:val="18"/>
                <w:szCs w:val="18"/>
              </w:rPr>
            </w:pPr>
            <w:r>
              <w:rPr>
                <w:rFonts w:ascii="Times New Roman"/>
                <w:sz w:val="18"/>
              </w:rPr>
              <w:t>3,510,800</w:t>
            </w:r>
          </w:p>
        </w:tc>
      </w:tr>
      <w:tr>
        <w:trPr>
          <w:trHeight w:val="402"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段桂山</w:t>
            </w:r>
          </w:p>
        </w:tc>
        <w:tc>
          <w:tcPr>
            <w:tcW w:w="14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44" w:type="dxa"/>
            <w:tcBorders>
              <w:top w:val="single" w:sz="4" w:space="0" w:color="000000"/>
              <w:left w:val="single" w:sz="4" w:space="0" w:color="000000"/>
              <w:bottom w:val="single" w:sz="4" w:space="0" w:color="000000"/>
              <w:right w:val="single" w:sz="4" w:space="0" w:color="FFFFFF"/>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1.03%</w:t>
            </w:r>
          </w:p>
        </w:tc>
        <w:tc>
          <w:tcPr>
            <w:tcW w:w="831" w:type="dxa"/>
            <w:tcBorders>
              <w:top w:val="single" w:sz="4" w:space="0" w:color="000000"/>
              <w:left w:val="single" w:sz="4" w:space="0" w:color="FFFFFF"/>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3,543,680</w:t>
            </w:r>
          </w:p>
        </w:tc>
        <w:tc>
          <w:tcPr>
            <w:tcW w:w="10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1,449,480</w:t>
            </w:r>
          </w:p>
        </w:tc>
        <w:tc>
          <w:tcPr>
            <w:tcW w:w="8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9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131" w:type="dxa"/>
            <w:tcBorders>
              <w:top w:val="single" w:sz="4" w:space="0" w:color="000000"/>
              <w:left w:val="single" w:sz="4" w:space="0" w:color="000000"/>
              <w:bottom w:val="single" w:sz="4" w:space="0" w:color="000000"/>
              <w:right w:val="single" w:sz="4" w:space="0" w:color="000000"/>
            </w:tcBorders>
          </w:tcPr>
          <w:p>
            <w:pPr/>
          </w:p>
        </w:tc>
        <w:tc>
          <w:tcPr>
            <w:tcW w:w="1068" w:type="dxa"/>
            <w:gridSpan w:val="2"/>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梁常清</w:t>
            </w:r>
          </w:p>
        </w:tc>
        <w:tc>
          <w:tcPr>
            <w:tcW w:w="14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44" w:type="dxa"/>
            <w:tcBorders>
              <w:top w:val="single" w:sz="4" w:space="0" w:color="000000"/>
              <w:left w:val="single" w:sz="4" w:space="0" w:color="000000"/>
              <w:bottom w:val="single" w:sz="4" w:space="0" w:color="000000"/>
              <w:right w:val="single" w:sz="4" w:space="0" w:color="FFFFFF"/>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0.93%</w:t>
            </w:r>
          </w:p>
        </w:tc>
        <w:tc>
          <w:tcPr>
            <w:tcW w:w="831" w:type="dxa"/>
            <w:tcBorders>
              <w:top w:val="single" w:sz="4" w:space="0" w:color="000000"/>
              <w:left w:val="single" w:sz="4" w:space="0" w:color="FFFFFF"/>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3,200,000</w:t>
            </w:r>
          </w:p>
        </w:tc>
        <w:tc>
          <w:tcPr>
            <w:tcW w:w="10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-10,083,001</w:t>
            </w:r>
          </w:p>
        </w:tc>
        <w:tc>
          <w:tcPr>
            <w:tcW w:w="8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7" w:right="0"/>
              <w:jc w:val="left"/>
              <w:rPr>
                <w:rFonts w:ascii="Times New Roman" w:hAnsi="Times New Roman" w:cs="Times New Roman" w:eastAsia="Times New Roman" w:hint="default"/>
                <w:sz w:val="18"/>
                <w:szCs w:val="18"/>
              </w:rPr>
            </w:pPr>
            <w:r>
              <w:rPr>
                <w:rFonts w:ascii="Times New Roman"/>
                <w:sz w:val="18"/>
              </w:rPr>
              <w:t>3,190,255</w:t>
            </w:r>
          </w:p>
        </w:tc>
        <w:tc>
          <w:tcPr>
            <w:tcW w:w="99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54" w:right="0"/>
              <w:jc w:val="left"/>
              <w:rPr>
                <w:rFonts w:ascii="Times New Roman" w:hAnsi="Times New Roman" w:cs="Times New Roman" w:eastAsia="Times New Roman" w:hint="default"/>
                <w:sz w:val="18"/>
                <w:szCs w:val="18"/>
              </w:rPr>
            </w:pPr>
            <w:r>
              <w:rPr>
                <w:rFonts w:ascii="Times New Roman"/>
                <w:sz w:val="18"/>
              </w:rPr>
              <w:t>9,745</w:t>
            </w:r>
          </w:p>
        </w:tc>
        <w:tc>
          <w:tcPr>
            <w:tcW w:w="1131" w:type="dxa"/>
            <w:tcBorders>
              <w:top w:val="single" w:sz="4" w:space="0" w:color="000000"/>
              <w:left w:val="single" w:sz="4" w:space="0" w:color="000000"/>
              <w:bottom w:val="single" w:sz="4" w:space="0" w:color="000000"/>
              <w:right w:val="single" w:sz="4" w:space="0" w:color="000000"/>
            </w:tcBorders>
          </w:tcPr>
          <w:p>
            <w:pPr/>
          </w:p>
        </w:tc>
        <w:tc>
          <w:tcPr>
            <w:tcW w:w="1068" w:type="dxa"/>
            <w:gridSpan w:val="2"/>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侯立媛</w:t>
            </w:r>
          </w:p>
        </w:tc>
        <w:tc>
          <w:tcPr>
            <w:tcW w:w="14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44" w:type="dxa"/>
            <w:tcBorders>
              <w:top w:val="single" w:sz="4" w:space="0" w:color="000000"/>
              <w:left w:val="single" w:sz="4" w:space="0" w:color="000000"/>
              <w:bottom w:val="single" w:sz="4" w:space="0" w:color="000000"/>
              <w:right w:val="single" w:sz="4" w:space="0" w:color="FFFFFF"/>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0.81%</w:t>
            </w:r>
          </w:p>
        </w:tc>
        <w:tc>
          <w:tcPr>
            <w:tcW w:w="831" w:type="dxa"/>
            <w:tcBorders>
              <w:top w:val="single" w:sz="4" w:space="0" w:color="000000"/>
              <w:left w:val="single" w:sz="4" w:space="0" w:color="FFFFFF"/>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2,783,910</w:t>
            </w:r>
          </w:p>
        </w:tc>
        <w:tc>
          <w:tcPr>
            <w:tcW w:w="10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2,783,910</w:t>
            </w:r>
          </w:p>
        </w:tc>
        <w:tc>
          <w:tcPr>
            <w:tcW w:w="8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9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131" w:type="dxa"/>
            <w:tcBorders>
              <w:top w:val="single" w:sz="4" w:space="0" w:color="000000"/>
              <w:left w:val="single" w:sz="4" w:space="0" w:color="000000"/>
              <w:bottom w:val="single" w:sz="4" w:space="0" w:color="000000"/>
              <w:right w:val="single" w:sz="4" w:space="0" w:color="000000"/>
            </w:tcBorders>
          </w:tcPr>
          <w:p>
            <w:pPr/>
          </w:p>
        </w:tc>
        <w:tc>
          <w:tcPr>
            <w:tcW w:w="1068" w:type="dxa"/>
            <w:gridSpan w:val="2"/>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关雁红</w:t>
            </w:r>
          </w:p>
        </w:tc>
        <w:tc>
          <w:tcPr>
            <w:tcW w:w="14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44" w:type="dxa"/>
            <w:tcBorders>
              <w:top w:val="single" w:sz="4" w:space="0" w:color="000000"/>
              <w:left w:val="single" w:sz="4" w:space="0" w:color="000000"/>
              <w:bottom w:val="single" w:sz="4" w:space="0" w:color="000000"/>
              <w:right w:val="single" w:sz="4" w:space="0" w:color="FFFFFF"/>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0.70%</w:t>
            </w:r>
          </w:p>
        </w:tc>
        <w:tc>
          <w:tcPr>
            <w:tcW w:w="831" w:type="dxa"/>
            <w:tcBorders>
              <w:top w:val="single" w:sz="4" w:space="0" w:color="000000"/>
              <w:left w:val="single" w:sz="4" w:space="0" w:color="FFFFFF"/>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2,403,191</w:t>
            </w:r>
          </w:p>
        </w:tc>
        <w:tc>
          <w:tcPr>
            <w:tcW w:w="10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2,403,191</w:t>
            </w:r>
          </w:p>
        </w:tc>
        <w:tc>
          <w:tcPr>
            <w:tcW w:w="8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9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131" w:type="dxa"/>
            <w:tcBorders>
              <w:top w:val="single" w:sz="4" w:space="0" w:color="000000"/>
              <w:left w:val="single" w:sz="4" w:space="0" w:color="000000"/>
              <w:bottom w:val="single" w:sz="4" w:space="0" w:color="000000"/>
              <w:right w:val="single" w:sz="4" w:space="0" w:color="000000"/>
            </w:tcBorders>
          </w:tcPr>
          <w:p>
            <w:pPr/>
          </w:p>
        </w:tc>
        <w:tc>
          <w:tcPr>
            <w:tcW w:w="1068" w:type="dxa"/>
            <w:gridSpan w:val="2"/>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王拴红</w:t>
            </w:r>
          </w:p>
        </w:tc>
        <w:tc>
          <w:tcPr>
            <w:tcW w:w="14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44" w:type="dxa"/>
            <w:tcBorders>
              <w:top w:val="single" w:sz="4" w:space="0" w:color="000000"/>
              <w:left w:val="single" w:sz="4" w:space="0" w:color="000000"/>
              <w:bottom w:val="single" w:sz="4" w:space="0" w:color="000000"/>
              <w:right w:val="single" w:sz="4" w:space="0" w:color="FFFFFF"/>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0.66%</w:t>
            </w:r>
          </w:p>
        </w:tc>
        <w:tc>
          <w:tcPr>
            <w:tcW w:w="831" w:type="dxa"/>
            <w:tcBorders>
              <w:top w:val="single" w:sz="4" w:space="0" w:color="000000"/>
              <w:left w:val="single" w:sz="4" w:space="0" w:color="FFFFFF"/>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2,268,200</w:t>
            </w:r>
          </w:p>
        </w:tc>
        <w:tc>
          <w:tcPr>
            <w:tcW w:w="10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2,268,200</w:t>
            </w:r>
          </w:p>
        </w:tc>
        <w:tc>
          <w:tcPr>
            <w:tcW w:w="8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9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131" w:type="dxa"/>
            <w:tcBorders>
              <w:top w:val="single" w:sz="4" w:space="0" w:color="000000"/>
              <w:left w:val="single" w:sz="4" w:space="0" w:color="000000"/>
              <w:bottom w:val="single" w:sz="4" w:space="0" w:color="000000"/>
              <w:right w:val="single" w:sz="4" w:space="0" w:color="000000"/>
            </w:tcBorders>
          </w:tcPr>
          <w:p>
            <w:pPr/>
          </w:p>
        </w:tc>
        <w:tc>
          <w:tcPr>
            <w:tcW w:w="1068" w:type="dxa"/>
            <w:gridSpan w:val="2"/>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74"/>
              <w:jc w:val="left"/>
              <w:rPr>
                <w:rFonts w:ascii="宋体" w:hAnsi="宋体" w:cs="宋体" w:eastAsia="宋体" w:hint="default"/>
                <w:sz w:val="18"/>
                <w:szCs w:val="18"/>
              </w:rPr>
            </w:pPr>
            <w:r>
              <w:rPr>
                <w:rFonts w:ascii="宋体" w:hAnsi="宋体" w:cs="宋体" w:eastAsia="宋体" w:hint="default"/>
                <w:sz w:val="18"/>
                <w:szCs w:val="18"/>
              </w:rPr>
              <w:t>红塔创新投资股 份有限公司</w:t>
            </w:r>
          </w:p>
        </w:tc>
        <w:tc>
          <w:tcPr>
            <w:tcW w:w="14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国有法人</w:t>
            </w:r>
          </w:p>
        </w:tc>
        <w:tc>
          <w:tcPr>
            <w:tcW w:w="744" w:type="dxa"/>
            <w:tcBorders>
              <w:top w:val="single" w:sz="4" w:space="0" w:color="000000"/>
              <w:left w:val="single" w:sz="4" w:space="0" w:color="000000"/>
              <w:bottom w:val="single" w:sz="4" w:space="0" w:color="000000"/>
              <w:right w:val="single" w:sz="4" w:space="0" w:color="FFFFFF"/>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0.66%</w:t>
            </w:r>
          </w:p>
        </w:tc>
        <w:tc>
          <w:tcPr>
            <w:tcW w:w="831" w:type="dxa"/>
            <w:tcBorders>
              <w:top w:val="single" w:sz="4" w:space="0" w:color="000000"/>
              <w:left w:val="single" w:sz="4" w:space="0" w:color="FFFFFF"/>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2,260,000</w:t>
            </w:r>
          </w:p>
        </w:tc>
        <w:tc>
          <w:tcPr>
            <w:tcW w:w="10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-3,093,600</w:t>
            </w:r>
          </w:p>
        </w:tc>
        <w:tc>
          <w:tcPr>
            <w:tcW w:w="8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9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131" w:type="dxa"/>
            <w:tcBorders>
              <w:top w:val="single" w:sz="4" w:space="0" w:color="000000"/>
              <w:left w:val="single" w:sz="4" w:space="0" w:color="000000"/>
              <w:bottom w:val="single" w:sz="4" w:space="0" w:color="000000"/>
              <w:right w:val="single" w:sz="4" w:space="0" w:color="000000"/>
            </w:tcBorders>
          </w:tcPr>
          <w:p>
            <w:pPr/>
          </w:p>
        </w:tc>
        <w:tc>
          <w:tcPr>
            <w:tcW w:w="1068" w:type="dxa"/>
            <w:gridSpan w:val="2"/>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74"/>
              <w:jc w:val="left"/>
              <w:rPr>
                <w:rFonts w:ascii="宋体" w:hAnsi="宋体" w:cs="宋体" w:eastAsia="宋体" w:hint="default"/>
                <w:sz w:val="18"/>
                <w:szCs w:val="18"/>
              </w:rPr>
            </w:pPr>
            <w:r>
              <w:rPr>
                <w:rFonts w:ascii="宋体" w:hAnsi="宋体" w:cs="宋体" w:eastAsia="宋体" w:hint="default"/>
                <w:sz w:val="18"/>
                <w:szCs w:val="18"/>
              </w:rPr>
              <w:t>海通证券股份有 限公司</w:t>
            </w:r>
          </w:p>
        </w:tc>
        <w:tc>
          <w:tcPr>
            <w:tcW w:w="14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国有法人</w:t>
            </w:r>
          </w:p>
        </w:tc>
        <w:tc>
          <w:tcPr>
            <w:tcW w:w="744" w:type="dxa"/>
            <w:tcBorders>
              <w:top w:val="single" w:sz="4" w:space="0" w:color="000000"/>
              <w:left w:val="single" w:sz="4" w:space="0" w:color="000000"/>
              <w:bottom w:val="single" w:sz="4" w:space="0" w:color="000000"/>
              <w:right w:val="single" w:sz="4" w:space="0" w:color="FFFFFF"/>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0.58%</w:t>
            </w:r>
          </w:p>
        </w:tc>
        <w:tc>
          <w:tcPr>
            <w:tcW w:w="831" w:type="dxa"/>
            <w:tcBorders>
              <w:top w:val="single" w:sz="4" w:space="0" w:color="000000"/>
              <w:left w:val="single" w:sz="4" w:space="0" w:color="FFFFFF"/>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2,002,799</w:t>
            </w:r>
          </w:p>
        </w:tc>
        <w:tc>
          <w:tcPr>
            <w:tcW w:w="10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2,002,799</w:t>
            </w:r>
          </w:p>
        </w:tc>
        <w:tc>
          <w:tcPr>
            <w:tcW w:w="8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9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131" w:type="dxa"/>
            <w:tcBorders>
              <w:top w:val="single" w:sz="4" w:space="0" w:color="000000"/>
              <w:left w:val="single" w:sz="4" w:space="0" w:color="000000"/>
              <w:bottom w:val="single" w:sz="4" w:space="0" w:color="000000"/>
              <w:right w:val="single" w:sz="4" w:space="0" w:color="000000"/>
            </w:tcBorders>
          </w:tcPr>
          <w:p>
            <w:pPr/>
          </w:p>
        </w:tc>
        <w:tc>
          <w:tcPr>
            <w:tcW w:w="1068" w:type="dxa"/>
            <w:gridSpan w:val="2"/>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2875"/>
        <w:gridCol w:w="4498"/>
        <w:gridCol w:w="1136"/>
        <w:gridCol w:w="1062"/>
      </w:tblGrid>
      <w:tr>
        <w:trPr>
          <w:trHeight w:val="1026" w:hRule="exact"/>
        </w:trPr>
        <w:tc>
          <w:tcPr>
            <w:tcW w:w="28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15"/>
              <w:jc w:val="left"/>
              <w:rPr>
                <w:rFonts w:ascii="宋体" w:hAnsi="宋体" w:cs="宋体" w:eastAsia="宋体" w:hint="default"/>
                <w:sz w:val="18"/>
                <w:szCs w:val="18"/>
              </w:rPr>
            </w:pPr>
            <w:r>
              <w:rPr>
                <w:rFonts w:ascii="宋体" w:hAnsi="宋体" w:cs="宋体" w:eastAsia="宋体" w:hint="default"/>
                <w:sz w:val="18"/>
                <w:szCs w:val="18"/>
              </w:rPr>
              <w:t>战略投资者或一般法人因配售新股 成为前</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3"/>
                <w:sz w:val="18"/>
                <w:szCs w:val="18"/>
              </w:rPr>
              <w:t> </w:t>
            </w:r>
            <w:r>
              <w:rPr>
                <w:rFonts w:ascii="宋体" w:hAnsi="宋体" w:cs="宋体" w:eastAsia="宋体" w:hint="default"/>
                <w:spacing w:val="-13"/>
                <w:sz w:val="18"/>
                <w:szCs w:val="18"/>
              </w:rPr>
              <w:t>名股东的情况（如有）（参</w:t>
            </w:r>
            <w:r>
              <w:rPr>
                <w:rFonts w:ascii="宋体" w:hAnsi="宋体" w:cs="宋体" w:eastAsia="宋体" w:hint="default"/>
                <w:sz w:val="18"/>
                <w:szCs w:val="18"/>
              </w:rPr>
              <w:t> 见注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w:t>
            </w:r>
          </w:p>
        </w:tc>
        <w:tc>
          <w:tcPr>
            <w:tcW w:w="66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1"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714" w:hRule="exact"/>
        </w:trPr>
        <w:tc>
          <w:tcPr>
            <w:tcW w:w="28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40"/>
              <w:jc w:val="left"/>
              <w:rPr>
                <w:rFonts w:ascii="宋体" w:hAnsi="宋体" w:cs="宋体" w:eastAsia="宋体" w:hint="default"/>
                <w:sz w:val="18"/>
                <w:szCs w:val="18"/>
              </w:rPr>
            </w:pPr>
            <w:r>
              <w:rPr>
                <w:rFonts w:ascii="宋体" w:hAnsi="宋体" w:cs="宋体" w:eastAsia="宋体" w:hint="default"/>
                <w:sz w:val="18"/>
                <w:szCs w:val="18"/>
              </w:rPr>
              <w:t>上述股东关联关系或一致行动的说 明</w:t>
            </w:r>
          </w:p>
        </w:tc>
        <w:tc>
          <w:tcPr>
            <w:tcW w:w="66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公司未知前十名股东之间是否存在关联关系，也未知是否属于一致行动人。</w:t>
            </w:r>
          </w:p>
        </w:tc>
      </w:tr>
      <w:tr>
        <w:trPr>
          <w:trHeight w:val="402" w:hRule="exact"/>
        </w:trPr>
        <w:tc>
          <w:tcPr>
            <w:tcW w:w="9571"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名无限售条件股东持股情况</w:t>
            </w:r>
          </w:p>
        </w:tc>
      </w:tr>
      <w:tr>
        <w:trPr>
          <w:trHeight w:val="206" w:hRule="exact"/>
        </w:trPr>
        <w:tc>
          <w:tcPr>
            <w:tcW w:w="2875" w:type="dxa"/>
            <w:tcBorders>
              <w:top w:val="single" w:sz="4" w:space="0" w:color="000000"/>
              <w:left w:val="single" w:sz="4" w:space="0" w:color="000000"/>
              <w:bottom w:val="nil" w:sz="6" w:space="0" w:color="auto"/>
              <w:right w:val="single" w:sz="4" w:space="0" w:color="000000"/>
            </w:tcBorders>
            <w:shd w:val="clear" w:color="auto" w:fill="D2D2D2"/>
          </w:tcPr>
          <w:p>
            <w:pPr/>
          </w:p>
        </w:tc>
        <w:tc>
          <w:tcPr>
            <w:tcW w:w="4498" w:type="dxa"/>
            <w:tcBorders>
              <w:top w:val="single" w:sz="4" w:space="0" w:color="000000"/>
              <w:left w:val="single" w:sz="4" w:space="0" w:color="000000"/>
              <w:bottom w:val="nil" w:sz="6" w:space="0" w:color="auto"/>
              <w:right w:val="single" w:sz="4" w:space="0" w:color="000000"/>
            </w:tcBorders>
            <w:shd w:val="clear" w:color="auto" w:fill="D2D2D2"/>
          </w:tcPr>
          <w:p>
            <w:pPr/>
          </w:p>
        </w:tc>
        <w:tc>
          <w:tcPr>
            <w:tcW w:w="219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股份种类</w:t>
            </w:r>
          </w:p>
        </w:tc>
      </w:tr>
      <w:tr>
        <w:trPr>
          <w:trHeight w:val="191" w:hRule="exact"/>
        </w:trPr>
        <w:tc>
          <w:tcPr>
            <w:tcW w:w="287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 w:right="0"/>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449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896" w:right="0"/>
              <w:jc w:val="left"/>
              <w:rPr>
                <w:rFonts w:ascii="宋体" w:hAnsi="宋体" w:cs="宋体" w:eastAsia="宋体" w:hint="default"/>
                <w:sz w:val="18"/>
                <w:szCs w:val="18"/>
              </w:rPr>
            </w:pPr>
            <w:r>
              <w:rPr>
                <w:rFonts w:ascii="宋体" w:hAnsi="宋体" w:cs="宋体" w:eastAsia="宋体" w:hint="default"/>
                <w:sz w:val="18"/>
                <w:szCs w:val="18"/>
              </w:rPr>
              <w:t>报告期末持有无限售条件股份数量</w:t>
            </w:r>
          </w:p>
        </w:tc>
        <w:tc>
          <w:tcPr>
            <w:tcW w:w="2198" w:type="dxa"/>
            <w:gridSpan w:val="2"/>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2875" w:type="dxa"/>
            <w:vMerge/>
            <w:tcBorders>
              <w:left w:val="single" w:sz="4" w:space="0" w:color="000000"/>
              <w:bottom w:val="nil" w:sz="6" w:space="0" w:color="auto"/>
              <w:right w:val="single" w:sz="4" w:space="0" w:color="000000"/>
            </w:tcBorders>
            <w:shd w:val="clear" w:color="auto" w:fill="D2D2D2"/>
          </w:tcPr>
          <w:p>
            <w:pPr/>
          </w:p>
        </w:tc>
        <w:tc>
          <w:tcPr>
            <w:tcW w:w="4498" w:type="dxa"/>
            <w:vMerge/>
            <w:tcBorders>
              <w:left w:val="single" w:sz="4" w:space="0" w:color="000000"/>
              <w:bottom w:val="nil" w:sz="6" w:space="0" w:color="auto"/>
              <w:right w:val="single" w:sz="4" w:space="0" w:color="000000"/>
            </w:tcBorders>
            <w:shd w:val="clear" w:color="auto" w:fill="D2D2D2"/>
          </w:tcPr>
          <w:p>
            <w:pPr/>
          </w:p>
        </w:tc>
        <w:tc>
          <w:tcPr>
            <w:tcW w:w="113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02" w:right="0"/>
              <w:jc w:val="left"/>
              <w:rPr>
                <w:rFonts w:ascii="宋体" w:hAnsi="宋体" w:cs="宋体" w:eastAsia="宋体" w:hint="default"/>
                <w:sz w:val="18"/>
                <w:szCs w:val="18"/>
              </w:rPr>
            </w:pPr>
            <w:r>
              <w:rPr>
                <w:rFonts w:ascii="宋体" w:hAnsi="宋体" w:cs="宋体" w:eastAsia="宋体" w:hint="default"/>
                <w:sz w:val="18"/>
                <w:szCs w:val="18"/>
              </w:rPr>
              <w:t>股份种类</w:t>
            </w:r>
          </w:p>
        </w:tc>
        <w:tc>
          <w:tcPr>
            <w:tcW w:w="106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45" w:right="0"/>
              <w:jc w:val="left"/>
              <w:rPr>
                <w:rFonts w:ascii="宋体" w:hAnsi="宋体" w:cs="宋体" w:eastAsia="宋体" w:hint="default"/>
                <w:sz w:val="18"/>
                <w:szCs w:val="18"/>
              </w:rPr>
            </w:pPr>
            <w:r>
              <w:rPr>
                <w:rFonts w:ascii="宋体" w:hAnsi="宋体" w:cs="宋体" w:eastAsia="宋体" w:hint="default"/>
                <w:sz w:val="18"/>
                <w:szCs w:val="18"/>
              </w:rPr>
              <w:t>数量</w:t>
            </w:r>
          </w:p>
        </w:tc>
      </w:tr>
      <w:tr>
        <w:trPr>
          <w:trHeight w:val="206" w:hRule="exact"/>
        </w:trPr>
        <w:tc>
          <w:tcPr>
            <w:tcW w:w="2875" w:type="dxa"/>
            <w:tcBorders>
              <w:top w:val="nil" w:sz="6" w:space="0" w:color="auto"/>
              <w:left w:val="single" w:sz="4" w:space="0" w:color="000000"/>
              <w:bottom w:val="single" w:sz="4" w:space="0" w:color="000000"/>
              <w:right w:val="single" w:sz="4" w:space="0" w:color="000000"/>
            </w:tcBorders>
            <w:shd w:val="clear" w:color="auto" w:fill="D2D2D2"/>
          </w:tcPr>
          <w:p>
            <w:pPr/>
          </w:p>
        </w:tc>
        <w:tc>
          <w:tcPr>
            <w:tcW w:w="4498" w:type="dxa"/>
            <w:tcBorders>
              <w:top w:val="nil" w:sz="6" w:space="0" w:color="auto"/>
              <w:left w:val="single" w:sz="4" w:space="0" w:color="000000"/>
              <w:bottom w:val="single" w:sz="4" w:space="0" w:color="000000"/>
              <w:right w:val="single" w:sz="4" w:space="0" w:color="000000"/>
            </w:tcBorders>
            <w:shd w:val="clear" w:color="auto" w:fill="D2D2D2"/>
          </w:tcPr>
          <w:p>
            <w:pPr/>
          </w:p>
        </w:tc>
        <w:tc>
          <w:tcPr>
            <w:tcW w:w="1136" w:type="dxa"/>
            <w:vMerge/>
            <w:tcBorders>
              <w:left w:val="single" w:sz="4" w:space="0" w:color="000000"/>
              <w:bottom w:val="single" w:sz="4" w:space="0" w:color="000000"/>
              <w:right w:val="single" w:sz="4" w:space="0" w:color="000000"/>
            </w:tcBorders>
            <w:shd w:val="clear" w:color="auto" w:fill="D2D2D2"/>
          </w:tcPr>
          <w:p>
            <w:pPr/>
          </w:p>
        </w:tc>
        <w:tc>
          <w:tcPr>
            <w:tcW w:w="1062"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8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李玉国</w:t>
            </w:r>
          </w:p>
        </w:tc>
        <w:tc>
          <w:tcPr>
            <w:tcW w:w="4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11,933,223</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人民币普通股</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11,933,223</w:t>
            </w:r>
          </w:p>
        </w:tc>
      </w:tr>
      <w:tr>
        <w:trPr>
          <w:trHeight w:val="402" w:hRule="exact"/>
        </w:trPr>
        <w:tc>
          <w:tcPr>
            <w:tcW w:w="28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段桂山</w:t>
            </w:r>
          </w:p>
        </w:tc>
        <w:tc>
          <w:tcPr>
            <w:tcW w:w="4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3,543,680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人民币普通股</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3,543,680</w:t>
            </w:r>
          </w:p>
        </w:tc>
      </w:tr>
      <w:tr>
        <w:trPr>
          <w:trHeight w:val="402" w:hRule="exact"/>
        </w:trPr>
        <w:tc>
          <w:tcPr>
            <w:tcW w:w="28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侯立媛</w:t>
            </w:r>
          </w:p>
        </w:tc>
        <w:tc>
          <w:tcPr>
            <w:tcW w:w="4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2,783,910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人民币普通股</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2,783,910</w:t>
            </w:r>
          </w:p>
        </w:tc>
      </w:tr>
      <w:tr>
        <w:trPr>
          <w:trHeight w:val="402" w:hRule="exact"/>
        </w:trPr>
        <w:tc>
          <w:tcPr>
            <w:tcW w:w="28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关雁红</w:t>
            </w:r>
          </w:p>
        </w:tc>
        <w:tc>
          <w:tcPr>
            <w:tcW w:w="4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2,403,191</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人民币普通股</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2,403,191</w:t>
            </w:r>
          </w:p>
        </w:tc>
      </w:tr>
      <w:tr>
        <w:trPr>
          <w:trHeight w:val="402" w:hRule="exact"/>
        </w:trPr>
        <w:tc>
          <w:tcPr>
            <w:tcW w:w="28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王拴红</w:t>
            </w:r>
          </w:p>
        </w:tc>
        <w:tc>
          <w:tcPr>
            <w:tcW w:w="4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2,268,200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人民币普通股</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2,268,200</w:t>
            </w:r>
          </w:p>
        </w:tc>
      </w:tr>
      <w:tr>
        <w:trPr>
          <w:trHeight w:val="402" w:hRule="exact"/>
        </w:trPr>
        <w:tc>
          <w:tcPr>
            <w:tcW w:w="28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红塔创新投资股份有限公司</w:t>
            </w:r>
          </w:p>
        </w:tc>
        <w:tc>
          <w:tcPr>
            <w:tcW w:w="4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2,260,000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人民币普通股</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2,260,000</w:t>
            </w:r>
          </w:p>
        </w:tc>
      </w:tr>
      <w:tr>
        <w:trPr>
          <w:trHeight w:val="402" w:hRule="exact"/>
        </w:trPr>
        <w:tc>
          <w:tcPr>
            <w:tcW w:w="28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海通证券股份有限公司</w:t>
            </w:r>
          </w:p>
        </w:tc>
        <w:tc>
          <w:tcPr>
            <w:tcW w:w="4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2,002,799</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人民币普通股</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2,002,799</w:t>
            </w:r>
          </w:p>
        </w:tc>
      </w:tr>
      <w:tr>
        <w:trPr>
          <w:trHeight w:val="402" w:hRule="exact"/>
        </w:trPr>
        <w:tc>
          <w:tcPr>
            <w:tcW w:w="28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北京市太极华青信息系统有限公司</w:t>
            </w:r>
          </w:p>
        </w:tc>
        <w:tc>
          <w:tcPr>
            <w:tcW w:w="4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1,500,000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人民币普通股</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1,500,000</w:t>
            </w:r>
          </w:p>
        </w:tc>
      </w:tr>
      <w:tr>
        <w:trPr>
          <w:trHeight w:val="402" w:hRule="exact"/>
        </w:trPr>
        <w:tc>
          <w:tcPr>
            <w:tcW w:w="28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陈荣强</w:t>
            </w:r>
          </w:p>
        </w:tc>
        <w:tc>
          <w:tcPr>
            <w:tcW w:w="4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1,341,689</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人民币普通股</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1,341,689</w:t>
            </w:r>
          </w:p>
        </w:tc>
      </w:tr>
      <w:tr>
        <w:trPr>
          <w:trHeight w:val="714" w:hRule="exact"/>
        </w:trPr>
        <w:tc>
          <w:tcPr>
            <w:tcW w:w="287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40"/>
              <w:jc w:val="left"/>
              <w:rPr>
                <w:rFonts w:ascii="Times New Roman" w:hAnsi="Times New Roman" w:cs="Times New Roman" w:eastAsia="Times New Roman" w:hint="default"/>
                <w:sz w:val="18"/>
                <w:szCs w:val="18"/>
              </w:rPr>
            </w:pPr>
            <w:r>
              <w:rPr>
                <w:rFonts w:ascii="宋体" w:hAnsi="宋体" w:cs="宋体" w:eastAsia="宋体" w:hint="default"/>
                <w:sz w:val="18"/>
                <w:szCs w:val="18"/>
              </w:rPr>
              <w:t>上海人寿保险股份有限公司－万能 产品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p>
        </w:tc>
        <w:tc>
          <w:tcPr>
            <w:tcW w:w="4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1,000,000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人民币普通股</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1,000,000</w:t>
            </w:r>
          </w:p>
        </w:tc>
      </w:tr>
      <w:tr>
        <w:trPr>
          <w:trHeight w:val="1338" w:hRule="exact"/>
        </w:trPr>
        <w:tc>
          <w:tcPr>
            <w:tcW w:w="28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名无限售流通股股东之间，以</w:t>
            </w:r>
          </w:p>
          <w:p>
            <w:pPr>
              <w:pStyle w:val="TableParagraph"/>
              <w:spacing w:line="309" w:lineRule="auto" w:before="63"/>
              <w:ind w:left="22" w:right="16"/>
              <w:jc w:val="left"/>
              <w:rPr>
                <w:rFonts w:ascii="宋体" w:hAnsi="宋体" w:cs="宋体" w:eastAsia="宋体" w:hint="default"/>
                <w:sz w:val="18"/>
                <w:szCs w:val="18"/>
              </w:rPr>
            </w:pPr>
            <w:r>
              <w:rPr>
                <w:rFonts w:ascii="宋体" w:hAnsi="宋体" w:cs="宋体" w:eastAsia="宋体" w:hint="default"/>
                <w:sz w:val="18"/>
                <w:szCs w:val="18"/>
              </w:rPr>
              <w:t>及前</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名无限售流通股股东和前</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名股东之间关联关系或一致行动的 说明</w:t>
            </w:r>
          </w:p>
        </w:tc>
        <w:tc>
          <w:tcPr>
            <w:tcW w:w="6697"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8" w:right="176"/>
              <w:jc w:val="left"/>
              <w:rPr>
                <w:rFonts w:ascii="宋体" w:hAnsi="宋体" w:cs="宋体" w:eastAsia="宋体" w:hint="default"/>
                <w:sz w:val="18"/>
                <w:szCs w:val="18"/>
              </w:rPr>
            </w:pPr>
            <w:r>
              <w:rPr>
                <w:rFonts w:ascii="宋体" w:hAnsi="宋体" w:cs="宋体" w:eastAsia="宋体" w:hint="default"/>
                <w:sz w:val="18"/>
                <w:szCs w:val="18"/>
              </w:rPr>
              <w:t>公司未知前十名无限售股东之间以及前十名无限售流通股股东和前十名股东之间是 否存在关联关系，也未知是否属于一致行动人。</w:t>
            </w:r>
          </w:p>
        </w:tc>
      </w:tr>
      <w:tr>
        <w:trPr>
          <w:trHeight w:val="1338" w:hRule="exact"/>
        </w:trPr>
        <w:tc>
          <w:tcPr>
            <w:tcW w:w="28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2" w:right="16"/>
              <w:jc w:val="left"/>
              <w:rPr>
                <w:rFonts w:ascii="宋体" w:hAnsi="宋体" w:cs="宋体" w:eastAsia="宋体" w:hint="default"/>
                <w:sz w:val="18"/>
                <w:szCs w:val="18"/>
              </w:rPr>
            </w:pPr>
            <w:r>
              <w:rPr>
                <w:rFonts w:ascii="宋体" w:hAnsi="宋体" w:cs="宋体" w:eastAsia="宋体" w:hint="default"/>
                <w:spacing w:val="-4"/>
                <w:sz w:val="18"/>
                <w:szCs w:val="18"/>
              </w:rPr>
              <w:t>参与融资融券业务股东情况说明（如</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15"/>
                <w:sz w:val="18"/>
                <w:szCs w:val="18"/>
              </w:rPr>
              <w:t>有）（参见注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w:t>
            </w:r>
          </w:p>
        </w:tc>
        <w:tc>
          <w:tcPr>
            <w:tcW w:w="6697"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8" w:right="0"/>
              <w:jc w:val="left"/>
              <w:rPr>
                <w:rFonts w:ascii="宋体" w:hAnsi="宋体" w:cs="宋体" w:eastAsia="宋体" w:hint="default"/>
                <w:sz w:val="18"/>
                <w:szCs w:val="18"/>
              </w:rPr>
            </w:pPr>
            <w:r>
              <w:rPr>
                <w:rFonts w:ascii="宋体" w:hAnsi="宋体" w:cs="宋体" w:eastAsia="宋体" w:hint="default"/>
                <w:sz w:val="18"/>
                <w:szCs w:val="18"/>
              </w:rPr>
              <w:t>公司股东侯立媛通过普通账户持有</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股，通过中信建投证券股份有限公司客户信用交</w:t>
            </w:r>
          </w:p>
          <w:p>
            <w:pPr>
              <w:pStyle w:val="TableParagraph"/>
              <w:spacing w:line="240" w:lineRule="auto" w:before="63"/>
              <w:ind w:left="28" w:right="0"/>
              <w:jc w:val="left"/>
              <w:rPr>
                <w:rFonts w:ascii="宋体" w:hAnsi="宋体" w:cs="宋体" w:eastAsia="宋体" w:hint="default"/>
                <w:sz w:val="18"/>
                <w:szCs w:val="18"/>
              </w:rPr>
            </w:pPr>
            <w:r>
              <w:rPr>
                <w:rFonts w:ascii="宋体" w:hAnsi="宋体" w:cs="宋体" w:eastAsia="宋体" w:hint="default"/>
                <w:sz w:val="18"/>
                <w:szCs w:val="18"/>
              </w:rPr>
              <w:t>易担保证券账户持有</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2,783,9</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w:t>
            </w:r>
            <w:r>
              <w:rPr>
                <w:rFonts w:ascii="宋体" w:hAnsi="宋体" w:cs="宋体" w:eastAsia="宋体" w:hint="default"/>
                <w:spacing w:val="-76"/>
                <w:sz w:val="18"/>
                <w:szCs w:val="18"/>
              </w:rPr>
              <w:t>，</w:t>
            </w:r>
            <w:r>
              <w:rPr>
                <w:rFonts w:ascii="宋体" w:hAnsi="宋体" w:cs="宋体" w:eastAsia="宋体" w:hint="default"/>
                <w:sz w:val="18"/>
                <w:szCs w:val="18"/>
              </w:rPr>
              <w:t>实际合计持有</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2,783,910 </w:t>
            </w:r>
            <w:r>
              <w:rPr>
                <w:rFonts w:ascii="宋体" w:hAnsi="宋体" w:cs="宋体" w:eastAsia="宋体" w:hint="default"/>
                <w:sz w:val="18"/>
                <w:szCs w:val="18"/>
              </w:rPr>
              <w:t>股</w:t>
            </w:r>
            <w:r>
              <w:rPr>
                <w:rFonts w:ascii="Times New Roman" w:hAnsi="Times New Roman" w:cs="Times New Roman" w:eastAsia="Times New Roman" w:hint="default"/>
                <w:sz w:val="18"/>
                <w:szCs w:val="18"/>
              </w:rPr>
              <w:t>;</w:t>
            </w:r>
            <w:r>
              <w:rPr>
                <w:rFonts w:ascii="宋体" w:hAnsi="宋体" w:cs="宋体" w:eastAsia="宋体" w:hint="default"/>
                <w:sz w:val="18"/>
                <w:szCs w:val="18"/>
              </w:rPr>
              <w:t>公司股东关雁红通过普</w:t>
            </w:r>
          </w:p>
          <w:p>
            <w:pPr>
              <w:pStyle w:val="TableParagraph"/>
              <w:spacing w:line="240" w:lineRule="auto" w:before="63"/>
              <w:ind w:left="28" w:right="0"/>
              <w:jc w:val="left"/>
              <w:rPr>
                <w:rFonts w:ascii="宋体" w:hAnsi="宋体" w:cs="宋体" w:eastAsia="宋体" w:hint="default"/>
                <w:sz w:val="18"/>
                <w:szCs w:val="18"/>
              </w:rPr>
            </w:pPr>
            <w:r>
              <w:rPr>
                <w:rFonts w:ascii="宋体" w:hAnsi="宋体" w:cs="宋体" w:eastAsia="宋体" w:hint="default"/>
                <w:sz w:val="18"/>
                <w:szCs w:val="18"/>
              </w:rPr>
              <w:t>通账户持有</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 </w:t>
            </w:r>
            <w:r>
              <w:rPr>
                <w:rFonts w:ascii="宋体" w:hAnsi="宋体" w:cs="宋体" w:eastAsia="宋体" w:hint="default"/>
                <w:sz w:val="18"/>
                <w:szCs w:val="18"/>
              </w:rPr>
              <w:t>股，通过中信建投证券股份有限公司客户信用交易担保证券账户持有</w:t>
            </w:r>
          </w:p>
          <w:p>
            <w:pPr>
              <w:pStyle w:val="TableParagraph"/>
              <w:spacing w:line="240" w:lineRule="auto" w:before="64"/>
              <w:ind w:left="28"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2,403,191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股，实际合计持有</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2,403,191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股</w:t>
            </w:r>
            <w:r>
              <w:rPr>
                <w:rFonts w:ascii="Times New Roman" w:hAnsi="Times New Roman" w:cs="Times New Roman" w:eastAsia="Times New Roman" w:hint="default"/>
                <w:sz w:val="18"/>
                <w:szCs w:val="18"/>
              </w:rPr>
              <w:t>.</w:t>
            </w:r>
          </w:p>
        </w:tc>
      </w:tr>
    </w:tbl>
    <w:p>
      <w:pPr>
        <w:pStyle w:val="BodyText"/>
        <w:spacing w:line="240" w:lineRule="auto" w:before="51"/>
        <w:ind w:left="1134" w:right="0"/>
        <w:jc w:val="left"/>
      </w:pPr>
      <w:r>
        <w:rPr/>
        <w:t>公司前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名普通股股东、前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名无限售条件普通股股东在报告期内是否进行约定购回交易</w:t>
      </w:r>
    </w:p>
    <w:p>
      <w:pPr>
        <w:pStyle w:val="BodyText"/>
        <w:spacing w:line="240" w:lineRule="auto" w:before="103"/>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pStyle w:val="BodyText"/>
        <w:spacing w:line="240" w:lineRule="auto" w:before="102"/>
        <w:ind w:right="0"/>
        <w:jc w:val="left"/>
      </w:pPr>
      <w:r>
        <w:rPr/>
        <w:t>公司前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名普通股股东、前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名无限售条件普通股股东在报告期内未进行约定购回交易。</w:t>
      </w:r>
    </w:p>
    <w:p>
      <w:pPr>
        <w:spacing w:line="240" w:lineRule="auto" w:before="10"/>
        <w:rPr>
          <w:rFonts w:ascii="宋体" w:hAnsi="宋体" w:cs="宋体" w:eastAsia="宋体" w:hint="default"/>
          <w:sz w:val="25"/>
          <w:szCs w:val="25"/>
        </w:rPr>
      </w:pPr>
    </w:p>
    <w:p>
      <w:pPr>
        <w:pStyle w:val="Heading3"/>
        <w:spacing w:line="240" w:lineRule="auto"/>
        <w:ind w:right="0"/>
        <w:jc w:val="left"/>
        <w:rPr>
          <w:b w:val="0"/>
          <w:bCs w:val="0"/>
        </w:rPr>
      </w:pPr>
      <w:bookmarkStart w:name="2、公司控股股东情况" w:id="115"/>
      <w:bookmarkEnd w:id="115"/>
      <w:r>
        <w:rPr>
          <w:b w:val="0"/>
          <w:bCs w:val="0"/>
        </w:rPr>
      </w:r>
      <w:r>
        <w:rPr>
          <w:rFonts w:ascii="Times New Roman" w:hAnsi="Times New Roman" w:cs="Times New Roman" w:eastAsia="Times New Roman" w:hint="default"/>
        </w:rPr>
        <w:t>2</w:t>
      </w:r>
      <w:r>
        <w:rPr/>
        <w:t>、公司控股股东情况</w:t>
      </w:r>
      <w:r>
        <w:rPr>
          <w:b w:val="0"/>
          <w:bCs w:val="0"/>
        </w:rPr>
      </w:r>
    </w:p>
    <w:p>
      <w:pPr>
        <w:spacing w:line="240" w:lineRule="auto" w:before="8"/>
        <w:rPr>
          <w:rFonts w:ascii="宋体" w:hAnsi="宋体" w:cs="宋体" w:eastAsia="宋体" w:hint="default"/>
          <w:b/>
          <w:bCs/>
          <w:sz w:val="26"/>
          <w:szCs w:val="26"/>
        </w:rPr>
      </w:pPr>
    </w:p>
    <w:p>
      <w:pPr>
        <w:pStyle w:val="BodyText"/>
        <w:spacing w:line="360" w:lineRule="auto"/>
        <w:ind w:right="8593"/>
        <w:jc w:val="left"/>
      </w:pPr>
      <w:r>
        <w:rPr/>
        <w:t>控股股东性质：自然人控股 控股股东类型：自然人</w:t>
      </w:r>
    </w:p>
    <w:tbl>
      <w:tblPr>
        <w:tblW w:w="0" w:type="auto"/>
        <w:jc w:val="left"/>
        <w:tblInd w:w="1129" w:type="dxa"/>
        <w:tblLayout w:type="fixed"/>
        <w:tblCellMar>
          <w:top w:w="0" w:type="dxa"/>
          <w:left w:w="0" w:type="dxa"/>
          <w:bottom w:w="0" w:type="dxa"/>
          <w:right w:w="0" w:type="dxa"/>
        </w:tblCellMar>
        <w:tblLook w:val="01E0"/>
      </w:tblPr>
      <w:tblGrid>
        <w:gridCol w:w="3418"/>
        <w:gridCol w:w="2030"/>
        <w:gridCol w:w="4121"/>
      </w:tblGrid>
      <w:tr>
        <w:trPr>
          <w:trHeight w:val="402" w:hRule="exact"/>
        </w:trPr>
        <w:tc>
          <w:tcPr>
            <w:tcW w:w="3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控股股东姓名</w:t>
            </w:r>
          </w:p>
        </w:tc>
        <w:tc>
          <w:tcPr>
            <w:tcW w:w="20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国籍</w:t>
            </w:r>
          </w:p>
        </w:tc>
        <w:tc>
          <w:tcPr>
            <w:tcW w:w="41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94" w:right="0"/>
              <w:jc w:val="left"/>
              <w:rPr>
                <w:rFonts w:ascii="宋体" w:hAnsi="宋体" w:cs="宋体" w:eastAsia="宋体" w:hint="default"/>
                <w:sz w:val="18"/>
                <w:szCs w:val="18"/>
              </w:rPr>
            </w:pPr>
            <w:r>
              <w:rPr>
                <w:rFonts w:ascii="宋体" w:hAnsi="宋体" w:cs="宋体" w:eastAsia="宋体" w:hint="default"/>
                <w:sz w:val="18"/>
                <w:szCs w:val="18"/>
              </w:rPr>
              <w:t>是否取得其他国家或地区居留权</w:t>
            </w:r>
          </w:p>
        </w:tc>
      </w:tr>
      <w:tr>
        <w:trPr>
          <w:trHeight w:val="402" w:hRule="exact"/>
        </w:trPr>
        <w:tc>
          <w:tcPr>
            <w:tcW w:w="3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李玉国</w:t>
            </w:r>
          </w:p>
        </w:tc>
        <w:tc>
          <w:tcPr>
            <w:tcW w:w="2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4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3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主要职业及职务</w:t>
            </w:r>
          </w:p>
        </w:tc>
        <w:tc>
          <w:tcPr>
            <w:tcW w:w="615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r>
    </w:tbl>
    <w:p>
      <w:pPr>
        <w:spacing w:after="0" w:line="240"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3"/>
          <w:szCs w:val="3"/>
        </w:rPr>
      </w:pPr>
    </w:p>
    <w:tbl>
      <w:tblPr>
        <w:tblW w:w="0" w:type="auto"/>
        <w:jc w:val="left"/>
        <w:tblInd w:w="1129" w:type="dxa"/>
        <w:tblLayout w:type="fixed"/>
        <w:tblCellMar>
          <w:top w:w="0" w:type="dxa"/>
          <w:left w:w="0" w:type="dxa"/>
          <w:bottom w:w="0" w:type="dxa"/>
          <w:right w:w="0" w:type="dxa"/>
        </w:tblCellMar>
        <w:tblLook w:val="01E0"/>
      </w:tblPr>
      <w:tblGrid>
        <w:gridCol w:w="3417"/>
        <w:gridCol w:w="6151"/>
      </w:tblGrid>
      <w:tr>
        <w:trPr>
          <w:trHeight w:val="332" w:hRule="exact"/>
        </w:trPr>
        <w:tc>
          <w:tcPr>
            <w:tcW w:w="3417" w:type="dxa"/>
            <w:tcBorders>
              <w:top w:val="nil" w:sz="6" w:space="0" w:color="auto"/>
              <w:left w:val="nil" w:sz="6" w:space="0" w:color="auto"/>
              <w:bottom w:val="single" w:sz="4" w:space="0" w:color="000000"/>
              <w:right w:val="nil" w:sz="6" w:space="0" w:color="auto"/>
            </w:tcBorders>
          </w:tcPr>
          <w:p>
            <w:pPr/>
          </w:p>
        </w:tc>
        <w:tc>
          <w:tcPr>
            <w:tcW w:w="6151" w:type="dxa"/>
            <w:tcBorders>
              <w:top w:val="nil" w:sz="6" w:space="0" w:color="auto"/>
              <w:left w:val="nil" w:sz="6" w:space="0" w:color="auto"/>
              <w:bottom w:val="single" w:sz="4" w:space="0" w:color="000000"/>
              <w:right w:val="nil" w:sz="6" w:space="0" w:color="auto"/>
            </w:tcBorders>
          </w:tcPr>
          <w:p>
            <w:pPr/>
          </w:p>
        </w:tc>
      </w:tr>
      <w:tr>
        <w:trPr>
          <w:trHeight w:val="714" w:hRule="exact"/>
        </w:trPr>
        <w:tc>
          <w:tcPr>
            <w:tcW w:w="34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44"/>
              <w:jc w:val="left"/>
              <w:rPr>
                <w:rFonts w:ascii="宋体" w:hAnsi="宋体" w:cs="宋体" w:eastAsia="宋体" w:hint="default"/>
                <w:sz w:val="18"/>
                <w:szCs w:val="18"/>
              </w:rPr>
            </w:pPr>
            <w:r>
              <w:rPr>
                <w:rFonts w:ascii="宋体" w:hAnsi="宋体" w:cs="宋体" w:eastAsia="宋体" w:hint="default"/>
                <w:sz w:val="18"/>
                <w:szCs w:val="18"/>
              </w:rPr>
              <w:t>报告期内控股和参股的其他境内外上市公 司的股权情况</w:t>
            </w:r>
          </w:p>
        </w:tc>
        <w:tc>
          <w:tcPr>
            <w:tcW w:w="61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Style w:val="BodyText"/>
        <w:spacing w:line="240" w:lineRule="auto" w:before="51"/>
        <w:ind w:left="1134" w:right="0"/>
        <w:jc w:val="left"/>
      </w:pPr>
      <w:r>
        <w:rPr/>
        <w:pict>
          <v:group style="position:absolute;margin-left:55.200001pt;margin-top:-52.578308pt;width:485pt;height:.1pt;mso-position-horizontal-relative:page;mso-position-vertical-relative:paragraph;z-index:-985504" coordorigin="1104,-1052" coordsize="9700,2">
            <v:shape style="position:absolute;left:1104;top:-1052;width:9700;height:2" coordorigin="1104,-1052" coordsize="9700,0" path="m1104,-1052l10804,-1052e" filled="false" stroked="true" strokeweight=".72pt" strokecolor="#000000">
              <v:path arrowok="t"/>
            </v:shape>
            <w10:wrap type="none"/>
          </v:group>
        </w:pict>
      </w:r>
      <w:r>
        <w:rPr/>
        <w:t>控股股东报告期内变更</w:t>
      </w:r>
    </w:p>
    <w:p>
      <w:pPr>
        <w:pStyle w:val="BodyText"/>
        <w:spacing w:line="338" w:lineRule="auto" w:before="117"/>
        <w:ind w:right="80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公司报告期控股股东未发生变更。</w:t>
      </w:r>
    </w:p>
    <w:p>
      <w:pPr>
        <w:spacing w:line="240" w:lineRule="auto" w:before="2"/>
        <w:rPr>
          <w:rFonts w:ascii="宋体" w:hAnsi="宋体" w:cs="宋体" w:eastAsia="宋体" w:hint="default"/>
          <w:sz w:val="21"/>
          <w:szCs w:val="21"/>
        </w:rPr>
      </w:pPr>
    </w:p>
    <w:p>
      <w:pPr>
        <w:pStyle w:val="Heading3"/>
        <w:spacing w:line="240" w:lineRule="auto"/>
        <w:ind w:right="0"/>
        <w:jc w:val="left"/>
        <w:rPr>
          <w:b w:val="0"/>
          <w:bCs w:val="0"/>
        </w:rPr>
      </w:pPr>
      <w:bookmarkStart w:name="3、公司实际控制人情况" w:id="116"/>
      <w:bookmarkEnd w:id="116"/>
      <w:r>
        <w:rPr>
          <w:b w:val="0"/>
          <w:bCs w:val="0"/>
        </w:rPr>
      </w:r>
      <w:r>
        <w:rPr>
          <w:rFonts w:ascii="Times New Roman" w:hAnsi="Times New Roman" w:cs="Times New Roman" w:eastAsia="Times New Roman" w:hint="default"/>
        </w:rPr>
        <w:t>3</w:t>
      </w:r>
      <w:r>
        <w:rPr/>
        <w:t>、公司实际控制人情况</w:t>
      </w:r>
      <w:r>
        <w:rPr>
          <w:b w:val="0"/>
          <w:bCs w:val="0"/>
        </w:rPr>
      </w:r>
    </w:p>
    <w:p>
      <w:pPr>
        <w:spacing w:line="240" w:lineRule="auto" w:before="8"/>
        <w:rPr>
          <w:rFonts w:ascii="宋体" w:hAnsi="宋体" w:cs="宋体" w:eastAsia="宋体" w:hint="default"/>
          <w:b/>
          <w:bCs/>
          <w:sz w:val="26"/>
          <w:szCs w:val="26"/>
        </w:rPr>
      </w:pPr>
    </w:p>
    <w:p>
      <w:pPr>
        <w:pStyle w:val="BodyText"/>
        <w:spacing w:line="360" w:lineRule="auto"/>
        <w:ind w:right="8413"/>
        <w:jc w:val="left"/>
      </w:pPr>
      <w:r>
        <w:rPr/>
        <w:t>实际控制人性质：境内自然人 实际控制人类型：自然人</w:t>
      </w:r>
    </w:p>
    <w:tbl>
      <w:tblPr>
        <w:tblW w:w="0" w:type="auto"/>
        <w:jc w:val="left"/>
        <w:tblInd w:w="1129" w:type="dxa"/>
        <w:tblLayout w:type="fixed"/>
        <w:tblCellMar>
          <w:top w:w="0" w:type="dxa"/>
          <w:left w:w="0" w:type="dxa"/>
          <w:bottom w:w="0" w:type="dxa"/>
          <w:right w:w="0" w:type="dxa"/>
        </w:tblCellMar>
        <w:tblLook w:val="01E0"/>
      </w:tblPr>
      <w:tblGrid>
        <w:gridCol w:w="3335"/>
        <w:gridCol w:w="2057"/>
        <w:gridCol w:w="4176"/>
      </w:tblGrid>
      <w:tr>
        <w:trPr>
          <w:trHeight w:val="402" w:hRule="exact"/>
        </w:trPr>
        <w:tc>
          <w:tcPr>
            <w:tcW w:w="33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2" w:right="0"/>
              <w:jc w:val="left"/>
              <w:rPr>
                <w:rFonts w:ascii="宋体" w:hAnsi="宋体" w:cs="宋体" w:eastAsia="宋体" w:hint="default"/>
                <w:sz w:val="18"/>
                <w:szCs w:val="18"/>
              </w:rPr>
            </w:pPr>
            <w:r>
              <w:rPr>
                <w:rFonts w:ascii="宋体" w:hAnsi="宋体" w:cs="宋体" w:eastAsia="宋体" w:hint="default"/>
                <w:sz w:val="18"/>
                <w:szCs w:val="18"/>
              </w:rPr>
              <w:t>实际控制人姓名</w:t>
            </w:r>
          </w:p>
        </w:tc>
        <w:tc>
          <w:tcPr>
            <w:tcW w:w="2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国籍</w:t>
            </w:r>
          </w:p>
        </w:tc>
        <w:tc>
          <w:tcPr>
            <w:tcW w:w="41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23" w:right="0"/>
              <w:jc w:val="left"/>
              <w:rPr>
                <w:rFonts w:ascii="宋体" w:hAnsi="宋体" w:cs="宋体" w:eastAsia="宋体" w:hint="default"/>
                <w:sz w:val="18"/>
                <w:szCs w:val="18"/>
              </w:rPr>
            </w:pPr>
            <w:r>
              <w:rPr>
                <w:rFonts w:ascii="宋体" w:hAnsi="宋体" w:cs="宋体" w:eastAsia="宋体" w:hint="default"/>
                <w:sz w:val="18"/>
                <w:szCs w:val="18"/>
              </w:rPr>
              <w:t>是否取得其他国家或地区居留权</w:t>
            </w:r>
          </w:p>
        </w:tc>
      </w:tr>
      <w:tr>
        <w:trPr>
          <w:trHeight w:val="402" w:hRule="exact"/>
        </w:trPr>
        <w:tc>
          <w:tcPr>
            <w:tcW w:w="3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李玉国</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4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33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主要职业及职务</w:t>
            </w:r>
          </w:p>
        </w:tc>
        <w:tc>
          <w:tcPr>
            <w:tcW w:w="6234" w:type="dxa"/>
            <w:gridSpan w:val="2"/>
            <w:tcBorders>
              <w:top w:val="single" w:sz="4" w:space="0" w:color="000000"/>
              <w:left w:val="single" w:sz="9" w:space="0" w:color="D2D2D2"/>
              <w:bottom w:val="single" w:sz="4" w:space="0" w:color="000000"/>
              <w:right w:val="single" w:sz="4" w:space="0" w:color="000000"/>
            </w:tcBorders>
          </w:tcPr>
          <w:p>
            <w:pPr>
              <w:pStyle w:val="TableParagraph"/>
              <w:spacing w:line="240" w:lineRule="auto" w:before="51"/>
              <w:ind w:left="16" w:right="0"/>
              <w:jc w:val="left"/>
              <w:rPr>
                <w:rFonts w:ascii="宋体" w:hAnsi="宋体" w:cs="宋体" w:eastAsia="宋体" w:hint="default"/>
                <w:sz w:val="18"/>
                <w:szCs w:val="18"/>
              </w:rPr>
            </w:pPr>
            <w:r>
              <w:rPr>
                <w:rFonts w:ascii="宋体" w:hAnsi="宋体" w:cs="宋体" w:eastAsia="宋体" w:hint="default"/>
                <w:sz w:val="18"/>
                <w:szCs w:val="18"/>
              </w:rPr>
              <w:t>公司董事长</w:t>
            </w:r>
          </w:p>
        </w:tc>
      </w:tr>
      <w:tr>
        <w:trPr>
          <w:trHeight w:val="402" w:hRule="exact"/>
        </w:trPr>
        <w:tc>
          <w:tcPr>
            <w:tcW w:w="33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过去</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年曾控股的境内外上市公司情况</w:t>
            </w:r>
          </w:p>
        </w:tc>
        <w:tc>
          <w:tcPr>
            <w:tcW w:w="6234" w:type="dxa"/>
            <w:gridSpan w:val="2"/>
            <w:tcBorders>
              <w:top w:val="single" w:sz="4" w:space="0" w:color="000000"/>
              <w:left w:val="single" w:sz="9" w:space="0" w:color="D2D2D2"/>
              <w:bottom w:val="single" w:sz="4" w:space="0" w:color="000000"/>
              <w:right w:val="single" w:sz="4" w:space="0" w:color="000000"/>
            </w:tcBorders>
          </w:tcPr>
          <w:p>
            <w:pPr>
              <w:pStyle w:val="TableParagraph"/>
              <w:spacing w:line="240" w:lineRule="auto" w:before="51"/>
              <w:ind w:left="16"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Style w:val="BodyText"/>
        <w:spacing w:line="240" w:lineRule="auto" w:before="65"/>
        <w:ind w:left="1134" w:right="0"/>
        <w:jc w:val="left"/>
      </w:pPr>
      <w:r>
        <w:rPr/>
        <w:t>实际控制人报告期内变更</w:t>
      </w:r>
    </w:p>
    <w:p>
      <w:pPr>
        <w:pStyle w:val="BodyText"/>
        <w:spacing w:line="348" w:lineRule="auto" w:before="117"/>
        <w:ind w:right="67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公司报告期实际控制人未发生变更。 公司与实际控制人之间的产权及控制关系的方框图</w:t>
      </w:r>
    </w:p>
    <w:p>
      <w:pPr>
        <w:spacing w:line="240" w:lineRule="auto" w:before="6"/>
        <w:rPr>
          <w:rFonts w:ascii="宋体" w:hAnsi="宋体" w:cs="宋体" w:eastAsia="宋体" w:hint="default"/>
          <w:sz w:val="15"/>
          <w:szCs w:val="15"/>
        </w:rPr>
      </w:pPr>
    </w:p>
    <w:p>
      <w:pPr>
        <w:spacing w:line="3390" w:lineRule="exact"/>
        <w:ind w:left="2336" w:right="0" w:firstLine="0"/>
        <w:rPr>
          <w:rFonts w:ascii="宋体" w:hAnsi="宋体" w:cs="宋体" w:eastAsia="宋体" w:hint="default"/>
          <w:sz w:val="20"/>
          <w:szCs w:val="20"/>
        </w:rPr>
      </w:pPr>
      <w:r>
        <w:rPr>
          <w:rFonts w:ascii="宋体" w:hAnsi="宋体" w:cs="宋体" w:eastAsia="宋体" w:hint="default"/>
          <w:position w:val="-67"/>
          <w:sz w:val="20"/>
          <w:szCs w:val="20"/>
        </w:rPr>
        <w:drawing>
          <wp:inline distT="0" distB="0" distL="0" distR="0">
            <wp:extent cx="4592235" cy="2152650"/>
            <wp:effectExtent l="0" t="0" r="0" b="0"/>
            <wp:docPr id="1" name="image2.jpeg" descr=""/>
            <wp:cNvGraphicFramePr>
              <a:graphicFrameLocks noChangeAspect="1"/>
            </wp:cNvGraphicFramePr>
            <a:graphic>
              <a:graphicData uri="http://schemas.openxmlformats.org/drawingml/2006/picture">
                <pic:pic>
                  <pic:nvPicPr>
                    <pic:cNvPr id="2" name="image2.jpeg"/>
                    <pic:cNvPicPr/>
                  </pic:nvPicPr>
                  <pic:blipFill>
                    <a:blip r:embed="rId11" cstate="print"/>
                    <a:stretch>
                      <a:fillRect/>
                    </a:stretch>
                  </pic:blipFill>
                  <pic:spPr>
                    <a:xfrm>
                      <a:off x="0" y="0"/>
                      <a:ext cx="4592235" cy="2152650"/>
                    </a:xfrm>
                    <a:prstGeom prst="rect">
                      <a:avLst/>
                    </a:prstGeom>
                  </pic:spPr>
                </pic:pic>
              </a:graphicData>
            </a:graphic>
          </wp:inline>
        </w:drawing>
      </w:r>
      <w:r>
        <w:rPr>
          <w:rFonts w:ascii="宋体" w:hAnsi="宋体" w:cs="宋体" w:eastAsia="宋体" w:hint="default"/>
          <w:position w:val="-67"/>
          <w:sz w:val="20"/>
          <w:szCs w:val="20"/>
        </w:rPr>
      </w:r>
    </w:p>
    <w:p>
      <w:pPr>
        <w:spacing w:line="240" w:lineRule="auto" w:before="1"/>
        <w:rPr>
          <w:rFonts w:ascii="宋体" w:hAnsi="宋体" w:cs="宋体" w:eastAsia="宋体" w:hint="default"/>
          <w:sz w:val="14"/>
          <w:szCs w:val="14"/>
        </w:rPr>
      </w:pPr>
    </w:p>
    <w:p>
      <w:pPr>
        <w:spacing w:before="0"/>
        <w:ind w:left="1133" w:right="0" w:firstLine="0"/>
        <w:jc w:val="left"/>
        <w:rPr>
          <w:rFonts w:ascii="宋体" w:hAnsi="宋体" w:cs="宋体" w:eastAsia="宋体" w:hint="default"/>
          <w:sz w:val="24"/>
          <w:szCs w:val="24"/>
        </w:rPr>
      </w:pPr>
      <w:r>
        <w:rPr>
          <w:rFonts w:ascii="宋体" w:hAnsi="宋体" w:cs="宋体" w:eastAsia="宋体" w:hint="default"/>
          <w:sz w:val="24"/>
          <w:szCs w:val="24"/>
        </w:rPr>
        <w:t>实际控制人通过信托或其他资产管理方式控制公司</w:t>
      </w:r>
    </w:p>
    <w:p>
      <w:pPr>
        <w:spacing w:line="240" w:lineRule="auto" w:before="1"/>
        <w:rPr>
          <w:rFonts w:ascii="宋体" w:hAnsi="宋体" w:cs="宋体" w:eastAsia="宋体" w:hint="default"/>
          <w:sz w:val="19"/>
          <w:szCs w:val="19"/>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4、其他持股在10%以上的法人股东" w:id="117"/>
      <w:bookmarkEnd w:id="117"/>
      <w:r>
        <w:rPr>
          <w:b w:val="0"/>
          <w:bCs w:val="0"/>
        </w:rPr>
      </w:r>
      <w:r>
        <w:rPr>
          <w:rFonts w:ascii="Times New Roman" w:hAnsi="Times New Roman" w:cs="Times New Roman" w:eastAsia="Times New Roman" w:hint="default"/>
        </w:rPr>
        <w:t>4</w:t>
      </w:r>
      <w:r>
        <w:rPr/>
        <w:t>、其他持股在</w:t>
      </w:r>
      <w:r>
        <w:rPr>
          <w:spacing w:val="-57"/>
        </w:rPr>
        <w:t> </w:t>
      </w:r>
      <w:r>
        <w:rPr>
          <w:rFonts w:ascii="Times New Roman" w:hAnsi="Times New Roman" w:cs="Times New Roman" w:eastAsia="Times New Roman" w:hint="default"/>
        </w:rPr>
        <w:t>10%</w:t>
      </w:r>
      <w:r>
        <w:rPr/>
        <w:t>以上的法人股东</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13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5、控股股东、实际控制人、重组方及其他承诺主体股份限制减持情况" w:id="118"/>
      <w:bookmarkEnd w:id="118"/>
      <w:r>
        <w:rPr>
          <w:b w:val="0"/>
          <w:bCs w:val="0"/>
        </w:rPr>
      </w:r>
      <w:r>
        <w:rPr>
          <w:rFonts w:ascii="Times New Roman" w:hAnsi="Times New Roman" w:cs="Times New Roman" w:eastAsia="Times New Roman" w:hint="default"/>
        </w:rPr>
        <w:t>5</w:t>
      </w:r>
      <w:r>
        <w:rPr/>
        <w:t>、控股股东、实际控制人、重组方及其他承诺主体股份限制减持情况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13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79" w:top="1060" w:bottom="1160" w:left="0" w:right="0"/>
        </w:sectPr>
      </w:pPr>
    </w:p>
    <w:p>
      <w:pPr>
        <w:spacing w:line="240" w:lineRule="auto" w:before="12"/>
        <w:rPr>
          <w:rFonts w:ascii="宋体" w:hAnsi="宋体" w:cs="宋体" w:eastAsia="宋体" w:hint="default"/>
          <w:sz w:val="2"/>
          <w:szCs w:val="2"/>
        </w:rPr>
      </w:pPr>
    </w:p>
    <w:p>
      <w:pPr>
        <w:spacing w:line="20" w:lineRule="exact"/>
        <w:ind w:left="109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5"/>
          <w:szCs w:val="15"/>
        </w:rPr>
      </w:pPr>
    </w:p>
    <w:p>
      <w:pPr>
        <w:pStyle w:val="Heading1"/>
        <w:spacing w:line="240" w:lineRule="auto"/>
        <w:ind w:right="816"/>
        <w:jc w:val="center"/>
        <w:rPr>
          <w:b w:val="0"/>
          <w:bCs w:val="0"/>
        </w:rPr>
      </w:pPr>
      <w:bookmarkStart w:name="第七节 优先股相关情况" w:id="119"/>
      <w:bookmarkEnd w:id="119"/>
      <w:r>
        <w:rPr>
          <w:b w:val="0"/>
          <w:bCs w:val="0"/>
        </w:rPr>
      </w:r>
      <w:bookmarkStart w:name="_bookmark6" w:id="120"/>
      <w:bookmarkEnd w:id="120"/>
      <w:r>
        <w:rPr>
          <w:b w:val="0"/>
          <w:bCs w:val="0"/>
        </w:rPr>
      </w:r>
      <w:r>
        <w:rPr/>
        <w:t>第七节</w:t>
      </w:r>
      <w:r>
        <w:rPr>
          <w:spacing w:val="-8"/>
        </w:rPr>
        <w:t> </w:t>
      </w:r>
      <w:r>
        <w:rPr/>
        <w:t>优先股相关情况</w:t>
      </w:r>
      <w:r>
        <w:rPr>
          <w:b w:val="0"/>
          <w:bCs w:val="0"/>
        </w:rPr>
      </w: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19"/>
          <w:szCs w:val="19"/>
        </w:rPr>
      </w:pPr>
    </w:p>
    <w:p>
      <w:pPr>
        <w:pStyle w:val="BodyText"/>
        <w:spacing w:line="338" w:lineRule="auto" w:before="44"/>
        <w:ind w:right="85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报告期公司不存在优先股。</w:t>
      </w:r>
    </w:p>
    <w:p>
      <w:pPr>
        <w:spacing w:after="0" w:line="338" w:lineRule="auto"/>
        <w:jc w:val="left"/>
        <w:sectPr>
          <w:pgSz w:w="11910" w:h="16840"/>
          <w:pgMar w:header="747" w:footer="979" w:top="1060" w:bottom="1160" w:left="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2660" w:right="0"/>
        <w:jc w:val="left"/>
        <w:rPr>
          <w:b w:val="0"/>
          <w:bCs w:val="0"/>
        </w:rPr>
      </w:pPr>
      <w:bookmarkStart w:name="第八节 董事、监事、高级管理人员和员工情况" w:id="121"/>
      <w:bookmarkEnd w:id="121"/>
      <w:r>
        <w:rPr>
          <w:b w:val="0"/>
          <w:bCs w:val="0"/>
        </w:rPr>
      </w:r>
      <w:bookmarkStart w:name="_bookmark7" w:id="122"/>
      <w:bookmarkEnd w:id="122"/>
      <w:r>
        <w:rPr>
          <w:b w:val="0"/>
          <w:bCs w:val="0"/>
        </w:rPr>
      </w:r>
      <w:r>
        <w:rPr/>
        <w:t>第八节</w:t>
      </w:r>
      <w:r>
        <w:rPr>
          <w:spacing w:val="-16"/>
        </w:rPr>
        <w:t> </w:t>
      </w:r>
      <w:r>
        <w:rPr/>
        <w:t>董事、监事、高级管理人员和员工情况</w:t>
      </w:r>
      <w:r>
        <w:rPr>
          <w:b w:val="0"/>
          <w:bCs w:val="0"/>
        </w:rPr>
      </w:r>
    </w:p>
    <w:p>
      <w:pPr>
        <w:spacing w:line="240" w:lineRule="auto" w:before="12"/>
        <w:rPr>
          <w:rFonts w:ascii="宋体" w:hAnsi="宋体" w:cs="宋体" w:eastAsia="宋体" w:hint="default"/>
          <w:b/>
          <w:bCs/>
          <w:sz w:val="38"/>
          <w:szCs w:val="38"/>
        </w:rPr>
      </w:pPr>
    </w:p>
    <w:p>
      <w:pPr>
        <w:pStyle w:val="Heading2"/>
        <w:spacing w:line="240" w:lineRule="auto"/>
        <w:ind w:right="0"/>
        <w:jc w:val="left"/>
        <w:rPr>
          <w:b w:val="0"/>
          <w:bCs w:val="0"/>
        </w:rPr>
      </w:pPr>
      <w:bookmarkStart w:name="一、董事、监事和高级管理人员持股变动" w:id="123"/>
      <w:bookmarkEnd w:id="123"/>
      <w:r>
        <w:rPr>
          <w:b w:val="0"/>
          <w:bCs w:val="0"/>
        </w:rPr>
      </w:r>
      <w:r>
        <w:rPr/>
        <w:t>一、董事、监事和高级管理人员持股变动</w:t>
      </w:r>
      <w:r>
        <w:rPr>
          <w:b w:val="0"/>
          <w:bCs w:val="0"/>
        </w:rPr>
      </w:r>
    </w:p>
    <w:p>
      <w:pPr>
        <w:spacing w:line="240" w:lineRule="auto" w:before="9"/>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798"/>
        <w:gridCol w:w="797"/>
        <w:gridCol w:w="797"/>
        <w:gridCol w:w="798"/>
        <w:gridCol w:w="798"/>
        <w:gridCol w:w="797"/>
        <w:gridCol w:w="798"/>
        <w:gridCol w:w="798"/>
        <w:gridCol w:w="798"/>
        <w:gridCol w:w="798"/>
        <w:gridCol w:w="798"/>
        <w:gridCol w:w="798"/>
      </w:tblGrid>
      <w:tr>
        <w:trPr>
          <w:trHeight w:val="1025" w:hRule="exact"/>
        </w:trPr>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13"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13" w:right="0"/>
              <w:jc w:val="left"/>
              <w:rPr>
                <w:rFonts w:ascii="宋体" w:hAnsi="宋体" w:cs="宋体" w:eastAsia="宋体" w:hint="default"/>
                <w:sz w:val="18"/>
                <w:szCs w:val="18"/>
              </w:rPr>
            </w:pPr>
            <w:r>
              <w:rPr>
                <w:rFonts w:ascii="宋体" w:hAnsi="宋体" w:cs="宋体" w:eastAsia="宋体" w:hint="default"/>
                <w:sz w:val="18"/>
                <w:szCs w:val="18"/>
              </w:rPr>
              <w:t>职务</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33"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14" w:right="0"/>
              <w:jc w:val="left"/>
              <w:rPr>
                <w:rFonts w:ascii="宋体" w:hAnsi="宋体" w:cs="宋体" w:eastAsia="宋体" w:hint="default"/>
                <w:sz w:val="18"/>
                <w:szCs w:val="18"/>
              </w:rPr>
            </w:pPr>
            <w:r>
              <w:rPr>
                <w:rFonts w:ascii="宋体" w:hAnsi="宋体" w:cs="宋体" w:eastAsia="宋体" w:hint="default"/>
                <w:sz w:val="18"/>
                <w:szCs w:val="18"/>
              </w:rPr>
              <w:t>性别</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13" w:right="0"/>
              <w:jc w:val="left"/>
              <w:rPr>
                <w:rFonts w:ascii="宋体" w:hAnsi="宋体" w:cs="宋体" w:eastAsia="宋体" w:hint="default"/>
                <w:sz w:val="18"/>
                <w:szCs w:val="18"/>
              </w:rPr>
            </w:pPr>
            <w:r>
              <w:rPr>
                <w:rFonts w:ascii="宋体" w:hAnsi="宋体" w:cs="宋体" w:eastAsia="宋体" w:hint="default"/>
                <w:sz w:val="18"/>
                <w:szCs w:val="18"/>
              </w:rPr>
              <w:t>年龄</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13" w:right="31" w:hanging="180"/>
              <w:jc w:val="left"/>
              <w:rPr>
                <w:rFonts w:ascii="宋体" w:hAnsi="宋体" w:cs="宋体" w:eastAsia="宋体" w:hint="default"/>
                <w:sz w:val="18"/>
                <w:szCs w:val="18"/>
              </w:rPr>
            </w:pPr>
            <w:r>
              <w:rPr>
                <w:rFonts w:ascii="宋体" w:hAnsi="宋体" w:cs="宋体" w:eastAsia="宋体" w:hint="default"/>
                <w:sz w:val="18"/>
                <w:szCs w:val="18"/>
              </w:rPr>
              <w:t>任期起始 日期</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13" w:right="32" w:hanging="180"/>
              <w:jc w:val="left"/>
              <w:rPr>
                <w:rFonts w:ascii="宋体" w:hAnsi="宋体" w:cs="宋体" w:eastAsia="宋体" w:hint="default"/>
                <w:sz w:val="18"/>
                <w:szCs w:val="18"/>
              </w:rPr>
            </w:pPr>
            <w:r>
              <w:rPr>
                <w:rFonts w:ascii="宋体" w:hAnsi="宋体" w:cs="宋体" w:eastAsia="宋体" w:hint="default"/>
                <w:sz w:val="18"/>
                <w:szCs w:val="18"/>
              </w:rPr>
              <w:t>任期终止 日期</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33" w:right="32"/>
              <w:jc w:val="left"/>
              <w:rPr>
                <w:rFonts w:ascii="宋体" w:hAnsi="宋体" w:cs="宋体" w:eastAsia="宋体" w:hint="default"/>
                <w:sz w:val="18"/>
                <w:szCs w:val="18"/>
              </w:rPr>
            </w:pPr>
            <w:r>
              <w:rPr>
                <w:rFonts w:ascii="宋体" w:hAnsi="宋体" w:cs="宋体" w:eastAsia="宋体" w:hint="default"/>
                <w:sz w:val="18"/>
                <w:szCs w:val="18"/>
              </w:rPr>
              <w:t>期初持股 数（股）</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3" w:right="33"/>
              <w:jc w:val="left"/>
              <w:rPr>
                <w:rFonts w:ascii="宋体" w:hAnsi="宋体" w:cs="宋体" w:eastAsia="宋体" w:hint="default"/>
                <w:sz w:val="18"/>
                <w:szCs w:val="18"/>
              </w:rPr>
            </w:pPr>
            <w:r>
              <w:rPr>
                <w:rFonts w:ascii="宋体" w:hAnsi="宋体" w:cs="宋体" w:eastAsia="宋体" w:hint="default"/>
                <w:sz w:val="18"/>
                <w:szCs w:val="18"/>
              </w:rPr>
              <w:t>本期增持 股份数量</w:t>
            </w:r>
          </w:p>
          <w:p>
            <w:pPr>
              <w:pStyle w:val="TableParagraph"/>
              <w:spacing w:line="240" w:lineRule="auto" w:before="20"/>
              <w:ind w:left="123" w:right="0"/>
              <w:jc w:val="left"/>
              <w:rPr>
                <w:rFonts w:ascii="宋体" w:hAnsi="宋体" w:cs="宋体" w:eastAsia="宋体" w:hint="default"/>
                <w:sz w:val="18"/>
                <w:szCs w:val="18"/>
              </w:rPr>
            </w:pPr>
            <w:r>
              <w:rPr>
                <w:rFonts w:ascii="宋体" w:hAnsi="宋体" w:cs="宋体" w:eastAsia="宋体" w:hint="default"/>
                <w:sz w:val="18"/>
                <w:szCs w:val="18"/>
              </w:rPr>
              <w:t>（股）</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3" w:right="32"/>
              <w:jc w:val="left"/>
              <w:rPr>
                <w:rFonts w:ascii="宋体" w:hAnsi="宋体" w:cs="宋体" w:eastAsia="宋体" w:hint="default"/>
                <w:sz w:val="18"/>
                <w:szCs w:val="18"/>
              </w:rPr>
            </w:pPr>
            <w:r>
              <w:rPr>
                <w:rFonts w:ascii="宋体" w:hAnsi="宋体" w:cs="宋体" w:eastAsia="宋体" w:hint="default"/>
                <w:sz w:val="18"/>
                <w:szCs w:val="18"/>
              </w:rPr>
              <w:t>本期减持 股份数量</w:t>
            </w:r>
          </w:p>
          <w:p>
            <w:pPr>
              <w:pStyle w:val="TableParagraph"/>
              <w:spacing w:line="240" w:lineRule="auto" w:before="20"/>
              <w:ind w:left="123" w:right="0"/>
              <w:jc w:val="left"/>
              <w:rPr>
                <w:rFonts w:ascii="宋体" w:hAnsi="宋体" w:cs="宋体" w:eastAsia="宋体" w:hint="default"/>
                <w:sz w:val="18"/>
                <w:szCs w:val="18"/>
              </w:rPr>
            </w:pPr>
            <w:r>
              <w:rPr>
                <w:rFonts w:ascii="宋体" w:hAnsi="宋体" w:cs="宋体" w:eastAsia="宋体" w:hint="default"/>
                <w:sz w:val="18"/>
                <w:szCs w:val="18"/>
              </w:rPr>
              <w:t>（股）</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2" w:right="-44" w:firstLine="10"/>
              <w:jc w:val="left"/>
              <w:rPr>
                <w:rFonts w:ascii="宋体" w:hAnsi="宋体" w:cs="宋体" w:eastAsia="宋体" w:hint="default"/>
                <w:sz w:val="18"/>
                <w:szCs w:val="18"/>
              </w:rPr>
            </w:pPr>
            <w:r>
              <w:rPr>
                <w:rFonts w:ascii="宋体" w:hAnsi="宋体" w:cs="宋体" w:eastAsia="宋体" w:hint="default"/>
                <w:sz w:val="18"/>
                <w:szCs w:val="18"/>
              </w:rPr>
              <w:t>其他增减 </w:t>
            </w:r>
            <w:r>
              <w:rPr>
                <w:rFonts w:ascii="宋体" w:hAnsi="宋体" w:cs="宋体" w:eastAsia="宋体" w:hint="default"/>
                <w:spacing w:val="-19"/>
                <w:sz w:val="18"/>
                <w:szCs w:val="18"/>
              </w:rPr>
              <w:t>变动（股）</w:t>
            </w:r>
            <w:r>
              <w:rPr>
                <w:rFonts w:ascii="宋体" w:hAnsi="宋体" w:cs="宋体" w:eastAsia="宋体" w:hint="default"/>
                <w:sz w:val="18"/>
                <w:szCs w:val="18"/>
              </w:rPr>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33" w:right="32"/>
              <w:jc w:val="left"/>
              <w:rPr>
                <w:rFonts w:ascii="宋体" w:hAnsi="宋体" w:cs="宋体" w:eastAsia="宋体" w:hint="default"/>
                <w:sz w:val="18"/>
                <w:szCs w:val="18"/>
              </w:rPr>
            </w:pPr>
            <w:r>
              <w:rPr>
                <w:rFonts w:ascii="宋体" w:hAnsi="宋体" w:cs="宋体" w:eastAsia="宋体" w:hint="default"/>
                <w:sz w:val="18"/>
                <w:szCs w:val="18"/>
              </w:rPr>
              <w:t>期末持股 数（股）</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李玉国</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47,732,89</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3</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47,732,89</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3</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陈荣强</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2" w:right="42"/>
              <w:jc w:val="left"/>
              <w:rPr>
                <w:rFonts w:ascii="宋体" w:hAnsi="宋体" w:cs="宋体" w:eastAsia="宋体" w:hint="default"/>
                <w:sz w:val="18"/>
                <w:szCs w:val="18"/>
              </w:rPr>
            </w:pPr>
            <w:r>
              <w:rPr>
                <w:rFonts w:ascii="宋体" w:hAnsi="宋体" w:cs="宋体" w:eastAsia="宋体" w:hint="default"/>
                <w:sz w:val="18"/>
                <w:szCs w:val="18"/>
              </w:rPr>
              <w:t>董事，总 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5,486,754</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30,000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5,456,754</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范朝</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2" w:right="42"/>
              <w:jc w:val="left"/>
              <w:rPr>
                <w:rFonts w:ascii="宋体" w:hAnsi="宋体" w:cs="宋体" w:eastAsia="宋体" w:hint="default"/>
                <w:sz w:val="18"/>
                <w:szCs w:val="18"/>
              </w:rPr>
            </w:pPr>
            <w:r>
              <w:rPr>
                <w:rFonts w:ascii="宋体" w:hAnsi="宋体" w:cs="宋体" w:eastAsia="宋体" w:hint="default"/>
                <w:sz w:val="18"/>
                <w:szCs w:val="18"/>
              </w:rPr>
              <w:t>董事、副 总经理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6,759,167</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5,759,167</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李国壁</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2" w:right="42"/>
              <w:jc w:val="left"/>
              <w:rPr>
                <w:rFonts w:ascii="宋体" w:hAnsi="宋体" w:cs="宋体" w:eastAsia="宋体" w:hint="default"/>
                <w:sz w:val="18"/>
                <w:szCs w:val="18"/>
              </w:rPr>
            </w:pPr>
            <w:r>
              <w:rPr>
                <w:rFonts w:ascii="宋体" w:hAnsi="宋体" w:cs="宋体" w:eastAsia="宋体" w:hint="default"/>
                <w:sz w:val="18"/>
                <w:szCs w:val="18"/>
              </w:rPr>
              <w:t>董事、财 务总监</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36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200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200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董岩</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闫成德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80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赵立三</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赵明</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高峰</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王意勤</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39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王强</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40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b/>
          <w:bCs/>
          <w:sz w:val="28"/>
          <w:szCs w:val="28"/>
        </w:rPr>
      </w:pPr>
    </w:p>
    <w:tbl>
      <w:tblPr>
        <w:tblW w:w="0" w:type="auto"/>
        <w:jc w:val="left"/>
        <w:tblInd w:w="1129" w:type="dxa"/>
        <w:tblLayout w:type="fixed"/>
        <w:tblCellMar>
          <w:top w:w="0" w:type="dxa"/>
          <w:left w:w="0" w:type="dxa"/>
          <w:bottom w:w="0" w:type="dxa"/>
          <w:right w:w="0" w:type="dxa"/>
        </w:tblCellMar>
        <w:tblLook w:val="01E0"/>
      </w:tblPr>
      <w:tblGrid>
        <w:gridCol w:w="798"/>
        <w:gridCol w:w="797"/>
        <w:gridCol w:w="797"/>
        <w:gridCol w:w="798"/>
        <w:gridCol w:w="798"/>
        <w:gridCol w:w="797"/>
        <w:gridCol w:w="798"/>
        <w:gridCol w:w="798"/>
        <w:gridCol w:w="798"/>
        <w:gridCol w:w="798"/>
        <w:gridCol w:w="798"/>
        <w:gridCol w:w="798"/>
      </w:tblGrid>
      <w:tr>
        <w:trPr>
          <w:trHeight w:val="674" w:hRule="exact"/>
        </w:trPr>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王少军</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9" w:lineRule="auto"/>
              <w:ind w:left="22" w:right="42"/>
              <w:jc w:val="left"/>
              <w:rPr>
                <w:rFonts w:ascii="宋体" w:hAnsi="宋体" w:cs="宋体" w:eastAsia="宋体" w:hint="default"/>
                <w:sz w:val="18"/>
                <w:szCs w:val="18"/>
              </w:rPr>
            </w:pPr>
            <w:r>
              <w:rPr>
                <w:rFonts w:ascii="宋体" w:hAnsi="宋体" w:cs="宋体" w:eastAsia="宋体" w:hint="default"/>
                <w:sz w:val="18"/>
                <w:szCs w:val="18"/>
              </w:rPr>
              <w:t>董事会秘 书</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39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26</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梁常清</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13,283,00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1</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10,083,00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1</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3,200,000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付国印</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王健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庞贵永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74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陈爱珍</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61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杜新平</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张文</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7,875</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张华</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73,269,89</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2"/>
                <w:sz w:val="18"/>
              </w:rPr>
              <w:t>11,113,00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1</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62,149,01</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4</w:t>
            </w:r>
          </w:p>
        </w:tc>
      </w:tr>
    </w:tbl>
    <w:p>
      <w:pPr>
        <w:spacing w:line="240" w:lineRule="auto" w:before="2"/>
        <w:rPr>
          <w:rFonts w:ascii="宋体" w:hAnsi="宋体" w:cs="宋体" w:eastAsia="宋体" w:hint="default"/>
          <w:b/>
          <w:bCs/>
          <w:sz w:val="18"/>
          <w:szCs w:val="18"/>
        </w:rPr>
      </w:pPr>
    </w:p>
    <w:p>
      <w:pPr>
        <w:pStyle w:val="Heading2"/>
        <w:spacing w:line="240" w:lineRule="auto" w:before="26"/>
        <w:ind w:left="1134" w:right="0"/>
        <w:jc w:val="left"/>
        <w:rPr>
          <w:b w:val="0"/>
          <w:bCs w:val="0"/>
        </w:rPr>
      </w:pPr>
      <w:bookmarkStart w:name="二、公司董事、监事、高级管理人员变动情况" w:id="124"/>
      <w:bookmarkEnd w:id="124"/>
      <w:r>
        <w:rPr>
          <w:b w:val="0"/>
          <w:bCs w:val="0"/>
        </w:rPr>
      </w:r>
      <w:r>
        <w:rPr/>
        <w:t>二、公司董事、监事、高级管理人员变动情况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6"/>
          <w:szCs w:val="6"/>
        </w:rPr>
      </w:pPr>
    </w:p>
    <w:tbl>
      <w:tblPr>
        <w:tblW w:w="0" w:type="auto"/>
        <w:jc w:val="left"/>
        <w:tblInd w:w="1129" w:type="dxa"/>
        <w:tblLayout w:type="fixed"/>
        <w:tblCellMar>
          <w:top w:w="0" w:type="dxa"/>
          <w:left w:w="0" w:type="dxa"/>
          <w:bottom w:w="0" w:type="dxa"/>
          <w:right w:w="0" w:type="dxa"/>
        </w:tblCellMar>
        <w:tblLook w:val="01E0"/>
      </w:tblPr>
      <w:tblGrid>
        <w:gridCol w:w="1330"/>
        <w:gridCol w:w="1330"/>
        <w:gridCol w:w="1330"/>
        <w:gridCol w:w="1331"/>
        <w:gridCol w:w="4248"/>
      </w:tblGrid>
      <w:tr>
        <w:trPr>
          <w:trHeight w:val="401" w:hRule="exact"/>
        </w:trPr>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10" w:right="0"/>
              <w:jc w:val="left"/>
              <w:rPr>
                <w:rFonts w:ascii="宋体" w:hAnsi="宋体" w:cs="宋体" w:eastAsia="宋体" w:hint="default"/>
                <w:sz w:val="18"/>
                <w:szCs w:val="18"/>
              </w:rPr>
            </w:pPr>
            <w:r>
              <w:rPr>
                <w:rFonts w:ascii="宋体" w:hAnsi="宋体" w:cs="宋体" w:eastAsia="宋体" w:hint="default"/>
                <w:sz w:val="18"/>
                <w:szCs w:val="18"/>
              </w:rPr>
              <w:t>担任的职务</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类型</w:t>
            </w:r>
          </w:p>
        </w:tc>
        <w:tc>
          <w:tcPr>
            <w:tcW w:w="13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日期</w:t>
            </w:r>
          </w:p>
        </w:tc>
        <w:tc>
          <w:tcPr>
            <w:tcW w:w="42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原因</w:t>
            </w:r>
          </w:p>
        </w:tc>
      </w:tr>
      <w:tr>
        <w:trPr>
          <w:trHeight w:val="714"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庞贵永</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任期满离任</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换届选举</w:t>
            </w:r>
          </w:p>
        </w:tc>
      </w:tr>
      <w:tr>
        <w:trPr>
          <w:trHeight w:val="715"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陈爱珍</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任期满离任</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换届选举</w:t>
            </w:r>
          </w:p>
        </w:tc>
      </w:tr>
    </w:tbl>
    <w:p>
      <w:pPr>
        <w:spacing w:after="0" w:line="240"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1330"/>
        <w:gridCol w:w="1330"/>
        <w:gridCol w:w="1330"/>
        <w:gridCol w:w="1331"/>
        <w:gridCol w:w="4248"/>
      </w:tblGrid>
      <w:tr>
        <w:trPr>
          <w:trHeight w:val="714"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杜新平</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任期满离任</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换届选举</w:t>
            </w:r>
          </w:p>
        </w:tc>
      </w:tr>
      <w:tr>
        <w:trPr>
          <w:trHeight w:val="714"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张华</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任期满离任</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换届选举</w:t>
            </w:r>
          </w:p>
        </w:tc>
      </w:tr>
      <w:tr>
        <w:trPr>
          <w:trHeight w:val="714"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张文</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任期满离任</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换届选举</w:t>
            </w:r>
          </w:p>
        </w:tc>
      </w:tr>
      <w:tr>
        <w:trPr>
          <w:trHeight w:val="714"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闫成德</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任免</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换届选举</w:t>
            </w:r>
          </w:p>
        </w:tc>
      </w:tr>
      <w:tr>
        <w:trPr>
          <w:trHeight w:val="714"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李玉国</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任免</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换届选举</w:t>
            </w:r>
          </w:p>
        </w:tc>
      </w:tr>
      <w:tr>
        <w:trPr>
          <w:trHeight w:val="714"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陈荣强</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董事、总经理</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任免</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换届选举</w:t>
            </w:r>
          </w:p>
        </w:tc>
      </w:tr>
      <w:tr>
        <w:trPr>
          <w:trHeight w:val="714"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李国壁</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董事、财务总监</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任免</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换届选举</w:t>
            </w:r>
          </w:p>
        </w:tc>
      </w:tr>
      <w:tr>
        <w:trPr>
          <w:trHeight w:val="714"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王健</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因病逝世</w:t>
            </w:r>
          </w:p>
        </w:tc>
      </w:tr>
      <w:tr>
        <w:trPr>
          <w:trHeight w:val="714"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付国印</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辞职</w:t>
            </w:r>
          </w:p>
        </w:tc>
      </w:tr>
    </w:tbl>
    <w:p>
      <w:pPr>
        <w:spacing w:line="240" w:lineRule="auto" w:before="2"/>
        <w:rPr>
          <w:rFonts w:ascii="宋体" w:hAnsi="宋体" w:cs="宋体" w:eastAsia="宋体" w:hint="default"/>
          <w:sz w:val="18"/>
          <w:szCs w:val="18"/>
        </w:rPr>
      </w:pPr>
    </w:p>
    <w:p>
      <w:pPr>
        <w:pStyle w:val="Heading2"/>
        <w:spacing w:line="240" w:lineRule="auto" w:before="26"/>
        <w:ind w:left="1134" w:right="0"/>
        <w:jc w:val="left"/>
        <w:rPr>
          <w:b w:val="0"/>
          <w:bCs w:val="0"/>
        </w:rPr>
      </w:pPr>
      <w:bookmarkStart w:name="三、任职情况" w:id="125"/>
      <w:bookmarkEnd w:id="125"/>
      <w:r>
        <w:rPr>
          <w:b w:val="0"/>
          <w:bCs w:val="0"/>
        </w:rPr>
      </w:r>
      <w:r>
        <w:rPr/>
        <w:t>三、任职情况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公司现任董事、监事、高级管理人员专业背景、主要工作经历以及目前在公司的主要职责</w:t>
      </w:r>
    </w:p>
    <w:p>
      <w:pPr>
        <w:pStyle w:val="BodyText"/>
        <w:spacing w:line="304" w:lineRule="auto" w:before="90"/>
        <w:ind w:right="1033"/>
        <w:jc w:val="left"/>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、董事</w:t>
      </w:r>
      <w:r>
        <w:rPr>
          <w:rFonts w:ascii="宋体" w:hAnsi="宋体" w:cs="宋体" w:eastAsia="宋体" w:hint="default"/>
          <w:b/>
          <w:bCs/>
          <w:spacing w:val="1"/>
          <w:w w:val="99"/>
          <w:sz w:val="21"/>
          <w:szCs w:val="21"/>
        </w:rPr>
        <w:t> </w:t>
      </w:r>
      <w:r>
        <w:rPr>
          <w:rFonts w:ascii="宋体" w:hAnsi="宋体" w:cs="宋体" w:eastAsia="宋体" w:hint="default"/>
          <w:b/>
          <w:bCs/>
          <w:spacing w:val="-2"/>
        </w:rPr>
        <w:t>李玉国：</w:t>
      </w:r>
      <w:r>
        <w:rPr>
          <w:spacing w:val="-2"/>
        </w:rPr>
        <w:t>男，中国国籍，</w:t>
      </w:r>
      <w:r>
        <w:rPr>
          <w:rFonts w:ascii="Times New Roman" w:hAnsi="Times New Roman" w:cs="Times New Roman" w:eastAsia="Times New Roman" w:hint="default"/>
          <w:spacing w:val="-2"/>
        </w:rPr>
        <w:t>1961</w:t>
      </w:r>
      <w:r>
        <w:rPr>
          <w:spacing w:val="-2"/>
        </w:rPr>
        <w:t>年生，本科学历，教授级高级工程师，河北省政协委员。公司创始人，从业</w:t>
      </w:r>
      <w:r>
        <w:rPr>
          <w:rFonts w:ascii="Times New Roman" w:hAnsi="Times New Roman" w:cs="Times New Roman" w:eastAsia="Times New Roman" w:hint="default"/>
          <w:spacing w:val="-2"/>
        </w:rPr>
        <w:t>20</w:t>
      </w:r>
      <w:r>
        <w:rPr>
          <w:spacing w:val="-2"/>
        </w:rPr>
        <w:t>余年。先后担任</w:t>
      </w:r>
      <w:r>
        <w:rPr>
          <w:spacing w:val="-65"/>
        </w:rPr>
        <w:t> </w:t>
      </w:r>
      <w:r>
        <w:rPr>
          <w:spacing w:val="-65"/>
        </w:rPr>
      </w:r>
      <w:r>
        <w:rPr>
          <w:spacing w:val="-2"/>
        </w:rPr>
        <w:t>河北省计量测试研究所副所长、河北省环境计量技术研究中心主任。</w:t>
      </w:r>
      <w:r>
        <w:rPr>
          <w:rFonts w:ascii="Times New Roman" w:hAnsi="Times New Roman" w:cs="Times New Roman" w:eastAsia="Times New Roman" w:hint="default"/>
          <w:spacing w:val="-2"/>
        </w:rPr>
        <w:t>1996</w:t>
      </w:r>
      <w:r>
        <w:rPr>
          <w:spacing w:val="-2"/>
        </w:rPr>
        <w:t>年</w:t>
      </w:r>
      <w:r>
        <w:rPr>
          <w:rFonts w:ascii="Times New Roman" w:hAnsi="Times New Roman" w:cs="Times New Roman" w:eastAsia="Times New Roman" w:hint="default"/>
          <w:spacing w:val="-2"/>
        </w:rPr>
        <w:t>7</w:t>
      </w:r>
      <w:r>
        <w:rPr>
          <w:spacing w:val="-2"/>
        </w:rPr>
        <w:t>月创立河北先河科技发展有限公司，任董事长、</w:t>
      </w:r>
      <w:r>
        <w:rPr>
          <w:spacing w:val="-60"/>
        </w:rPr>
        <w:t> </w:t>
      </w:r>
      <w:r>
        <w:rPr>
          <w:spacing w:val="-60"/>
        </w:rPr>
      </w:r>
      <w:r>
        <w:rPr>
          <w:spacing w:val="-2"/>
        </w:rPr>
        <w:t>总经理，公司整体发展战略的规划者，曾主持</w:t>
      </w:r>
      <w:r>
        <w:rPr>
          <w:rFonts w:ascii="Times New Roman" w:hAnsi="Times New Roman" w:cs="Times New Roman" w:eastAsia="Times New Roman" w:hint="default"/>
          <w:spacing w:val="-2"/>
        </w:rPr>
        <w:t>“</w:t>
      </w:r>
      <w:r>
        <w:rPr>
          <w:spacing w:val="-2"/>
        </w:rPr>
        <w:t>粉尘测量仪检定装置</w:t>
      </w:r>
      <w:r>
        <w:rPr>
          <w:rFonts w:ascii="Times New Roman" w:hAnsi="Times New Roman" w:cs="Times New Roman" w:eastAsia="Times New Roman" w:hint="default"/>
          <w:spacing w:val="-2"/>
        </w:rPr>
        <w:t>”</w:t>
      </w:r>
      <w:r>
        <w:rPr>
          <w:spacing w:val="-2"/>
        </w:rPr>
        <w:t>、</w:t>
      </w:r>
      <w:r>
        <w:rPr>
          <w:rFonts w:ascii="Times New Roman" w:hAnsi="Times New Roman" w:cs="Times New Roman" w:eastAsia="Times New Roman" w:hint="default"/>
          <w:spacing w:val="-2"/>
        </w:rPr>
        <w:t>“</w:t>
      </w:r>
      <w:r>
        <w:rPr>
          <w:spacing w:val="-2"/>
        </w:rPr>
        <w:t>粮食水分测量仪标准装置</w:t>
      </w:r>
      <w:r>
        <w:rPr>
          <w:rFonts w:ascii="Times New Roman" w:hAnsi="Times New Roman" w:cs="Times New Roman" w:eastAsia="Times New Roman" w:hint="default"/>
          <w:spacing w:val="-2"/>
        </w:rPr>
        <w:t>”</w:t>
      </w:r>
      <w:r>
        <w:rPr>
          <w:spacing w:val="-2"/>
        </w:rPr>
        <w:t>、</w:t>
      </w:r>
      <w:r>
        <w:rPr>
          <w:rFonts w:ascii="Times New Roman" w:hAnsi="Times New Roman" w:cs="Times New Roman" w:eastAsia="Times New Roman" w:hint="default"/>
          <w:spacing w:val="-2"/>
        </w:rPr>
        <w:t>“</w:t>
      </w:r>
      <w:r>
        <w:rPr>
          <w:spacing w:val="-2"/>
        </w:rPr>
        <w:t>系列粉尘采样器</w:t>
      </w:r>
      <w:r>
        <w:rPr>
          <w:rFonts w:ascii="Times New Roman" w:hAnsi="Times New Roman" w:cs="Times New Roman" w:eastAsia="Times New Roman" w:hint="default"/>
          <w:spacing w:val="-2"/>
        </w:rPr>
        <w:t>”</w:t>
      </w:r>
      <w:r>
        <w:rPr>
          <w:spacing w:val="-2"/>
        </w:rPr>
        <w:t>、</w:t>
      </w:r>
      <w:r>
        <w:rPr>
          <w:rFonts w:ascii="Times New Roman" w:hAnsi="Times New Roman" w:cs="Times New Roman" w:eastAsia="Times New Roman" w:hint="default"/>
          <w:spacing w:val="-2"/>
        </w:rPr>
        <w:t>“</w:t>
      </w:r>
      <w:r>
        <w:rPr>
          <w:spacing w:val="-2"/>
        </w:rPr>
        <w:t>全</w:t>
      </w:r>
      <w:r>
        <w:rPr>
          <w:spacing w:val="-82"/>
        </w:rPr>
        <w:t> </w:t>
      </w:r>
      <w:r>
        <w:rPr>
          <w:spacing w:val="-2"/>
        </w:rPr>
        <w:t>自动烟尘测试仪</w:t>
      </w:r>
      <w:r>
        <w:rPr>
          <w:rFonts w:ascii="Times New Roman" w:hAnsi="Times New Roman" w:cs="Times New Roman" w:eastAsia="Times New Roman" w:hint="default"/>
          <w:spacing w:val="-2"/>
        </w:rPr>
        <w:t>”</w:t>
      </w:r>
      <w:r>
        <w:rPr>
          <w:spacing w:val="-2"/>
        </w:rPr>
        <w:t>、</w:t>
      </w:r>
      <w:r>
        <w:rPr>
          <w:rFonts w:ascii="Times New Roman" w:hAnsi="Times New Roman" w:cs="Times New Roman" w:eastAsia="Times New Roman" w:hint="default"/>
          <w:spacing w:val="-2"/>
        </w:rPr>
        <w:t>“</w:t>
      </w:r>
      <w:r>
        <w:rPr>
          <w:spacing w:val="-2"/>
        </w:rPr>
        <w:t>智能</w:t>
      </w:r>
      <w:r>
        <w:rPr>
          <w:rFonts w:ascii="Times New Roman" w:hAnsi="Times New Roman" w:cs="Times New Roman" w:eastAsia="Times New Roman" w:hint="default"/>
          <w:spacing w:val="-2"/>
        </w:rPr>
        <w:t>TSP</w:t>
      </w:r>
      <w:r>
        <w:rPr>
          <w:spacing w:val="-2"/>
        </w:rPr>
        <w:t>采样器</w:t>
      </w:r>
      <w:r>
        <w:rPr>
          <w:rFonts w:ascii="Times New Roman" w:hAnsi="Times New Roman" w:cs="Times New Roman" w:eastAsia="Times New Roman" w:hint="default"/>
          <w:spacing w:val="-2"/>
        </w:rPr>
        <w:t>”</w:t>
      </w:r>
      <w:r>
        <w:rPr>
          <w:spacing w:val="-2"/>
        </w:rPr>
        <w:t>、</w:t>
      </w:r>
      <w:r>
        <w:rPr>
          <w:rFonts w:ascii="Times New Roman" w:hAnsi="Times New Roman" w:cs="Times New Roman" w:eastAsia="Times New Roman" w:hint="default"/>
          <w:spacing w:val="-2"/>
        </w:rPr>
        <w:t>“</w:t>
      </w:r>
      <w:r>
        <w:rPr>
          <w:spacing w:val="-2"/>
        </w:rPr>
        <w:t>污水</w:t>
      </w:r>
      <w:r>
        <w:rPr>
          <w:rFonts w:ascii="Times New Roman" w:hAnsi="Times New Roman" w:cs="Times New Roman" w:eastAsia="Times New Roman" w:hint="default"/>
          <w:spacing w:val="-2"/>
        </w:rPr>
        <w:t>COD</w:t>
      </w:r>
      <w:r>
        <w:rPr>
          <w:spacing w:val="-2"/>
        </w:rPr>
        <w:t>在线自动监测系统</w:t>
      </w:r>
      <w:r>
        <w:rPr>
          <w:rFonts w:ascii="Times New Roman" w:hAnsi="Times New Roman" w:cs="Times New Roman" w:eastAsia="Times New Roman" w:hint="default"/>
          <w:spacing w:val="-2"/>
        </w:rPr>
        <w:t>”</w:t>
      </w:r>
      <w:r>
        <w:rPr>
          <w:spacing w:val="-2"/>
        </w:rPr>
        <w:t>和</w:t>
      </w:r>
      <w:r>
        <w:rPr>
          <w:rFonts w:ascii="Times New Roman" w:hAnsi="Times New Roman" w:cs="Times New Roman" w:eastAsia="Times New Roman" w:hint="default"/>
          <w:spacing w:val="-2"/>
        </w:rPr>
        <w:t>“</w:t>
      </w:r>
      <w:r>
        <w:rPr>
          <w:spacing w:val="-2"/>
        </w:rPr>
        <w:t>城市空气质量连续自动监测系统</w:t>
      </w:r>
      <w:r>
        <w:rPr>
          <w:rFonts w:ascii="Times New Roman" w:hAnsi="Times New Roman" w:cs="Times New Roman" w:eastAsia="Times New Roman" w:hint="default"/>
          <w:spacing w:val="-2"/>
        </w:rPr>
        <w:t>”</w:t>
      </w:r>
      <w:r>
        <w:rPr>
          <w:spacing w:val="-2"/>
        </w:rPr>
        <w:t>等多项国家级科研</w:t>
      </w:r>
      <w:r>
        <w:rPr>
          <w:spacing w:val="-45"/>
        </w:rPr>
        <w:t> </w:t>
      </w:r>
      <w:r>
        <w:rPr/>
        <w:t>项目；河北省有突出贡献中青年专家；</w:t>
      </w:r>
      <w:r>
        <w:rPr>
          <w:rFonts w:ascii="Times New Roman" w:hAnsi="Times New Roman" w:cs="Times New Roman" w:eastAsia="Times New Roman" w:hint="default"/>
        </w:rPr>
        <w:t>“</w:t>
      </w:r>
      <w:r>
        <w:rPr/>
        <w:t>八五国家技术创新优秀项目奖</w:t>
      </w:r>
      <w:r>
        <w:rPr>
          <w:rFonts w:ascii="Times New Roman" w:hAnsi="Times New Roman" w:cs="Times New Roman" w:eastAsia="Times New Roman" w:hint="default"/>
        </w:rPr>
        <w:t>”</w:t>
      </w:r>
      <w:r>
        <w:rPr/>
        <w:t>获得者；</w:t>
      </w:r>
      <w:r>
        <w:rPr>
          <w:rFonts w:ascii="Times New Roman" w:hAnsi="Times New Roman" w:cs="Times New Roman" w:eastAsia="Times New Roman" w:hint="default"/>
        </w:rPr>
        <w:t>“</w:t>
      </w:r>
      <w:r>
        <w:rPr/>
        <w:t>河北省青年科技奖</w:t>
      </w:r>
      <w:r>
        <w:rPr>
          <w:rFonts w:ascii="Times New Roman" w:hAnsi="Times New Roman" w:cs="Times New Roman" w:eastAsia="Times New Roman" w:hint="default"/>
        </w:rPr>
        <w:t>”</w:t>
      </w:r>
      <w:r>
        <w:rPr/>
        <w:t>获得者；九五国家科技 攻关先进个人；中国环保产业突出贡献奖获得者；河北省首届环保十大杰出人物；河北省</w:t>
      </w:r>
      <w:r>
        <w:rPr>
          <w:rFonts w:ascii="Times New Roman" w:hAnsi="Times New Roman" w:cs="Times New Roman" w:eastAsia="Times New Roman" w:hint="default"/>
        </w:rPr>
        <w:t>“</w:t>
      </w:r>
      <w:r>
        <w:rPr/>
        <w:t>巨人计划</w:t>
      </w:r>
      <w:r>
        <w:rPr>
          <w:rFonts w:ascii="Times New Roman" w:hAnsi="Times New Roman" w:cs="Times New Roman" w:eastAsia="Times New Roman" w:hint="default"/>
        </w:rPr>
        <w:t>”</w:t>
      </w:r>
      <w:r>
        <w:rPr/>
        <w:t>首批创新创业团队领军 </w:t>
      </w:r>
      <w:r>
        <w:rPr>
          <w:spacing w:val="-2"/>
        </w:rPr>
        <w:t>人才；</w:t>
      </w:r>
      <w:r>
        <w:rPr>
          <w:rFonts w:ascii="Times New Roman" w:hAnsi="Times New Roman" w:cs="Times New Roman" w:eastAsia="Times New Roman" w:hint="default"/>
          <w:spacing w:val="-2"/>
        </w:rPr>
        <w:t>2012</w:t>
      </w:r>
      <w:r>
        <w:rPr>
          <w:spacing w:val="-2"/>
        </w:rPr>
        <w:t>年度河北十大经济风云人物。中国环保产业协会副会长，中国仪器仪表协会监测仪器专业委员会副主任，河北省</w:t>
      </w:r>
      <w:r>
        <w:rPr>
          <w:spacing w:val="-61"/>
        </w:rPr>
        <w:t> </w:t>
      </w:r>
      <w:r>
        <w:rPr>
          <w:spacing w:val="-61"/>
        </w:rPr>
      </w:r>
      <w:r>
        <w:rPr>
          <w:spacing w:val="-2"/>
        </w:rPr>
        <w:t>环保产业协会副会长，河北省环保联合会副会长，河北高新技术企业协会副理事长，石家庄市工商联副主席。河北省百名科</w:t>
      </w:r>
      <w:r>
        <w:rPr>
          <w:spacing w:val="-66"/>
        </w:rPr>
        <w:t> </w:t>
      </w:r>
      <w:r>
        <w:rPr>
          <w:spacing w:val="-66"/>
        </w:rPr>
      </w:r>
      <w:r>
        <w:rPr/>
        <w:t>技型民营企业家。现任公司董事长。</w:t>
      </w:r>
    </w:p>
    <w:p>
      <w:pPr>
        <w:pStyle w:val="BodyText"/>
        <w:spacing w:line="302" w:lineRule="auto" w:before="66"/>
        <w:ind w:right="0"/>
        <w:jc w:val="left"/>
      </w:pPr>
      <w:r>
        <w:rPr>
          <w:rFonts w:ascii="宋体" w:hAnsi="宋体" w:cs="宋体" w:eastAsia="宋体" w:hint="default"/>
          <w:b/>
          <w:bCs/>
          <w:spacing w:val="-2"/>
        </w:rPr>
        <w:t>陈荣强：</w:t>
      </w:r>
      <w:r>
        <w:rPr>
          <w:spacing w:val="-2"/>
        </w:rPr>
        <w:t>男，中国国籍，</w:t>
      </w:r>
      <w:r>
        <w:rPr>
          <w:rFonts w:ascii="Times New Roman" w:hAnsi="Times New Roman" w:cs="Times New Roman" w:eastAsia="Times New Roman" w:hint="default"/>
          <w:spacing w:val="-2"/>
        </w:rPr>
        <w:t>1968</w:t>
      </w:r>
      <w:r>
        <w:rPr>
          <w:spacing w:val="-2"/>
        </w:rPr>
        <w:t>年生，本科双学士，经济师。曾任石家庄物资贸易总公司北京期货部经理，河北华正公路投资</w:t>
      </w:r>
      <w:r>
        <w:rPr>
          <w:spacing w:val="-69"/>
        </w:rPr>
        <w:t> </w:t>
      </w:r>
      <w:r>
        <w:rPr>
          <w:spacing w:val="-69"/>
        </w:rPr>
      </w:r>
      <w:r>
        <w:rPr/>
        <w:t>股份有限公司董事兼副总经理。近五年主要负责公司产品营销、市场开拓工作，现任公司董事、总经理。</w:t>
      </w:r>
    </w:p>
    <w:p>
      <w:pPr>
        <w:pStyle w:val="BodyText"/>
        <w:spacing w:line="300" w:lineRule="auto" w:before="69"/>
        <w:ind w:right="1130"/>
        <w:jc w:val="both"/>
      </w:pPr>
      <w:r>
        <w:rPr>
          <w:rFonts w:ascii="宋体" w:hAnsi="宋体" w:cs="宋体" w:eastAsia="宋体" w:hint="default"/>
          <w:b/>
          <w:bCs/>
        </w:rPr>
        <w:t>范朝：</w:t>
      </w:r>
      <w:r>
        <w:rPr/>
        <w:t>男，中国国籍，</w:t>
      </w:r>
      <w:r>
        <w:rPr>
          <w:rFonts w:ascii="Times New Roman" w:hAnsi="Times New Roman" w:cs="Times New Roman" w:eastAsia="Times New Roman" w:hint="default"/>
        </w:rPr>
        <w:t>1968</w:t>
      </w:r>
      <w:r>
        <w:rPr/>
        <w:t>年生，哈尔滨工业大学毕业，教授级高级工程师。参与科研项目</w:t>
      </w:r>
      <w:r>
        <w:rPr>
          <w:rFonts w:ascii="Times New Roman" w:hAnsi="Times New Roman" w:cs="Times New Roman" w:eastAsia="Times New Roman" w:hint="default"/>
        </w:rPr>
        <w:t>9</w:t>
      </w:r>
      <w:r>
        <w:rPr/>
        <w:t>项，其中国家级项目</w:t>
      </w:r>
      <w:r>
        <w:rPr>
          <w:rFonts w:ascii="Times New Roman" w:hAnsi="Times New Roman" w:cs="Times New Roman" w:eastAsia="Times New Roman" w:hint="default"/>
        </w:rPr>
        <w:t>3</w:t>
      </w:r>
      <w:r>
        <w:rPr/>
        <w:t>项，</w:t>
      </w:r>
      <w:r>
        <w:rPr>
          <w:spacing w:val="-3"/>
        </w:rPr>
        <w:t> </w:t>
      </w:r>
      <w:r>
        <w:rPr/>
        <w:t>省</w:t>
      </w:r>
      <w:r>
        <w:rPr>
          <w:spacing w:val="-88"/>
        </w:rPr>
        <w:t> </w:t>
      </w:r>
      <w:r>
        <w:rPr>
          <w:spacing w:val="-88"/>
        </w:rPr>
      </w:r>
      <w:r>
        <w:rPr>
          <w:spacing w:val="-1"/>
        </w:rPr>
        <w:t>部级项目</w:t>
      </w:r>
      <w:r>
        <w:rPr>
          <w:rFonts w:ascii="Times New Roman" w:hAnsi="Times New Roman" w:cs="Times New Roman" w:eastAsia="Times New Roman" w:hint="default"/>
          <w:spacing w:val="-1"/>
        </w:rPr>
        <w:t>5</w:t>
      </w:r>
      <w:r>
        <w:rPr>
          <w:spacing w:val="-1"/>
        </w:rPr>
        <w:t>项，其中获各级科技进步奖</w:t>
      </w:r>
      <w:r>
        <w:rPr>
          <w:rFonts w:ascii="Times New Roman" w:hAnsi="Times New Roman" w:cs="Times New Roman" w:eastAsia="Times New Roman" w:hint="default"/>
          <w:spacing w:val="-1"/>
        </w:rPr>
        <w:t>6</w:t>
      </w:r>
      <w:r>
        <w:rPr>
          <w:spacing w:val="-1"/>
        </w:rPr>
        <w:t>项</w:t>
      </w:r>
      <w:r>
        <w:rPr>
          <w:rFonts w:ascii="Times New Roman" w:hAnsi="Times New Roman" w:cs="Times New Roman" w:eastAsia="Times New Roman" w:hint="default"/>
          <w:spacing w:val="-1"/>
        </w:rPr>
        <w:t>,</w:t>
      </w:r>
      <w:r>
        <w:rPr>
          <w:spacing w:val="-1"/>
        </w:rPr>
        <w:t>八五优秀技术创新项目奖</w:t>
      </w:r>
      <w:r>
        <w:rPr>
          <w:rFonts w:ascii="Times New Roman" w:hAnsi="Times New Roman" w:cs="Times New Roman" w:eastAsia="Times New Roman" w:hint="default"/>
          <w:spacing w:val="-1"/>
        </w:rPr>
        <w:t>1</w:t>
      </w:r>
      <w:r>
        <w:rPr>
          <w:spacing w:val="-1"/>
        </w:rPr>
        <w:t>项，九五国家科技攻关优秀成果奖</w:t>
      </w:r>
      <w:r>
        <w:rPr>
          <w:rFonts w:ascii="Times New Roman" w:hAnsi="Times New Roman" w:cs="Times New Roman" w:eastAsia="Times New Roman" w:hint="default"/>
          <w:spacing w:val="-1"/>
        </w:rPr>
        <w:t>2</w:t>
      </w:r>
      <w:r>
        <w:rPr>
          <w:spacing w:val="-1"/>
        </w:rPr>
        <w:t>项；国家级新产品</w:t>
      </w:r>
      <w:r>
        <w:rPr>
          <w:rFonts w:ascii="Times New Roman" w:hAnsi="Times New Roman" w:cs="Times New Roman" w:eastAsia="Times New Roman" w:hint="default"/>
          <w:spacing w:val="-1"/>
        </w:rPr>
        <w:t>6</w:t>
      </w:r>
      <w:r>
        <w:rPr>
          <w:rFonts w:ascii="Times New Roman" w:hAnsi="Times New Roman" w:cs="Times New Roman" w:eastAsia="Times New Roman" w:hint="default"/>
          <w:spacing w:val="-29"/>
        </w:rPr>
        <w:t> </w:t>
      </w:r>
      <w:r>
        <w:rPr/>
        <w:t>项，起草企业标准</w:t>
      </w:r>
      <w:r>
        <w:rPr>
          <w:rFonts w:ascii="Times New Roman" w:hAnsi="Times New Roman" w:cs="Times New Roman" w:eastAsia="Times New Roman" w:hint="default"/>
        </w:rPr>
        <w:t>7</w:t>
      </w:r>
      <w:r>
        <w:rPr/>
        <w:t>项；河北省有突出贡献中青年专家。近五年主要负责公司产品研发、技术服务工作。现任公司董事、副</w:t>
      </w:r>
      <w:r>
        <w:rPr>
          <w:spacing w:val="-83"/>
        </w:rPr>
        <w:t> </w:t>
      </w:r>
      <w:r>
        <w:rPr>
          <w:spacing w:val="-83"/>
        </w:rPr>
      </w:r>
      <w:r>
        <w:rPr/>
        <w:t>总经理。</w:t>
      </w:r>
    </w:p>
    <w:p>
      <w:pPr>
        <w:pStyle w:val="BodyText"/>
        <w:spacing w:line="319" w:lineRule="auto" w:before="70"/>
        <w:ind w:right="0"/>
        <w:jc w:val="left"/>
      </w:pPr>
      <w:r>
        <w:rPr>
          <w:rFonts w:ascii="宋体" w:hAnsi="宋体" w:cs="宋体" w:eastAsia="宋体" w:hint="default"/>
          <w:b/>
          <w:bCs/>
          <w:spacing w:val="-1"/>
        </w:rPr>
        <w:t>董岩：</w:t>
      </w:r>
      <w:r>
        <w:rPr>
          <w:spacing w:val="-1"/>
        </w:rPr>
        <w:t>男，中国国籍，</w:t>
      </w:r>
      <w:r>
        <w:rPr>
          <w:rFonts w:ascii="Times New Roman" w:hAnsi="Times New Roman" w:cs="Times New Roman" w:eastAsia="Times New Roman" w:hint="default"/>
          <w:spacing w:val="-1"/>
        </w:rPr>
        <w:t>1975</w:t>
      </w:r>
      <w:r>
        <w:rPr>
          <w:spacing w:val="-1"/>
        </w:rPr>
        <w:t>年出生，本科，</w:t>
      </w:r>
      <w:r>
        <w:rPr>
          <w:rFonts w:ascii="Times New Roman" w:hAnsi="Times New Roman" w:cs="Times New Roman" w:eastAsia="Times New Roman" w:hint="default"/>
          <w:spacing w:val="-1"/>
        </w:rPr>
        <w:t>1997-1999</w:t>
      </w:r>
      <w:r>
        <w:rPr>
          <w:spacing w:val="-1"/>
        </w:rPr>
        <w:t>任中国国际经济咨询公司项目经理，</w:t>
      </w:r>
      <w:r>
        <w:rPr>
          <w:rFonts w:ascii="Times New Roman" w:hAnsi="Times New Roman" w:cs="Times New Roman" w:eastAsia="Times New Roman" w:hint="default"/>
          <w:spacing w:val="-1"/>
        </w:rPr>
        <w:t>1999-2001</w:t>
      </w:r>
      <w:r>
        <w:rPr>
          <w:spacing w:val="-1"/>
        </w:rPr>
        <w:t>任清华同方股份有限公</w:t>
      </w:r>
      <w:r>
        <w:rPr>
          <w:spacing w:val="-51"/>
        </w:rPr>
        <w:t> </w:t>
      </w:r>
      <w:r>
        <w:rPr/>
        <w:t>司审计部经理，</w:t>
      </w:r>
      <w:r>
        <w:rPr>
          <w:rFonts w:ascii="Times New Roman" w:hAnsi="Times New Roman" w:cs="Times New Roman" w:eastAsia="Times New Roman" w:hint="default"/>
        </w:rPr>
        <w:t>2001</w:t>
      </w:r>
      <w:r>
        <w:rPr/>
        <w:t>至今任红塔创新投资股份有限公司高级经理、投资部副总经理。现任公司董事。 </w:t>
      </w:r>
      <w:r>
        <w:rPr>
          <w:rFonts w:ascii="宋体" w:hAnsi="宋体" w:cs="宋体" w:eastAsia="宋体" w:hint="default"/>
          <w:b/>
          <w:bCs/>
          <w:spacing w:val="-2"/>
        </w:rPr>
        <w:t>闫成德：</w:t>
      </w:r>
      <w:r>
        <w:rPr>
          <w:spacing w:val="-2"/>
        </w:rPr>
        <w:t>男，中国国籍，</w:t>
      </w:r>
      <w:r>
        <w:rPr>
          <w:rFonts w:ascii="Times New Roman" w:hAnsi="Times New Roman" w:cs="Times New Roman" w:eastAsia="Times New Roman" w:hint="default"/>
          <w:spacing w:val="-2"/>
        </w:rPr>
        <w:t>1938</w:t>
      </w:r>
      <w:r>
        <w:rPr>
          <w:spacing w:val="-2"/>
        </w:rPr>
        <w:t>年生，本科，研究员，曾任中科院计划财务局副局长、中科院机电进口办主任、世行贷款设备</w:t>
      </w:r>
    </w:p>
    <w:p>
      <w:pPr>
        <w:spacing w:after="0" w:line="319" w:lineRule="auto"/>
        <w:jc w:val="left"/>
        <w:sectPr>
          <w:pgSz w:w="11910" w:h="16840"/>
          <w:pgMar w:header="747" w:footer="979" w:top="1060" w:bottom="1160" w:left="0" w:right="0"/>
        </w:sectPr>
      </w:pPr>
    </w:p>
    <w:p>
      <w:pPr>
        <w:spacing w:line="240" w:lineRule="auto" w:before="12"/>
        <w:rPr>
          <w:rFonts w:ascii="宋体" w:hAnsi="宋体" w:cs="宋体" w:eastAsia="宋体" w:hint="default"/>
          <w:sz w:val="25"/>
          <w:szCs w:val="25"/>
        </w:rPr>
      </w:pPr>
    </w:p>
    <w:p>
      <w:pPr>
        <w:pStyle w:val="BodyText"/>
        <w:spacing w:line="309" w:lineRule="auto" w:before="44"/>
        <w:ind w:right="0"/>
        <w:jc w:val="left"/>
      </w:pPr>
      <w:r>
        <w:rPr/>
        <w:t>负责人。获得</w:t>
      </w:r>
      <w:r>
        <w:rPr>
          <w:rFonts w:ascii="Times New Roman" w:hAnsi="Times New Roman" w:cs="Times New Roman" w:eastAsia="Times New Roman" w:hint="default"/>
        </w:rPr>
        <w:t>“</w:t>
      </w:r>
      <w:r>
        <w:rPr/>
        <w:t>国家正负电子对撞机</w:t>
      </w:r>
      <w:r>
        <w:rPr>
          <w:rFonts w:ascii="Times New Roman" w:hAnsi="Times New Roman" w:cs="Times New Roman" w:eastAsia="Times New Roman" w:hint="default"/>
        </w:rPr>
        <w:t>”</w:t>
      </w:r>
      <w:r>
        <w:rPr/>
        <w:t>先进个人、全国机电设备先进工作者，</w:t>
      </w:r>
      <w:r>
        <w:rPr>
          <w:rFonts w:ascii="Times New Roman" w:hAnsi="Times New Roman" w:cs="Times New Roman" w:eastAsia="Times New Roman" w:hint="default"/>
        </w:rPr>
        <w:t>1998-2002</w:t>
      </w:r>
      <w:r>
        <w:rPr/>
        <w:t>任国家科学仪器攻关办负责人，原任</w:t>
      </w:r>
      <w:r>
        <w:rPr>
          <w:spacing w:val="-40"/>
        </w:rPr>
        <w:t> </w:t>
      </w:r>
      <w:r>
        <w:rPr>
          <w:spacing w:val="-4"/>
        </w:rPr>
        <w:t>科技部科学仪器专家，中国分析测试协会理事，《现代科学仪器》副主编，中国仪器仪表学会、科学仪器工作委员会副主任，</w:t>
      </w:r>
      <w:r>
        <w:rPr>
          <w:spacing w:val="-44"/>
        </w:rPr>
        <w:t> </w:t>
      </w:r>
      <w:r>
        <w:rPr>
          <w:spacing w:val="-44"/>
        </w:rPr>
      </w:r>
      <w:r>
        <w:rPr/>
        <w:t>中国分析仪器分会名誉理事长，创新方法研究会科学工具委员会顾问。曾任公司独立董事，现任公司董事。</w:t>
      </w:r>
    </w:p>
    <w:p>
      <w:pPr>
        <w:pStyle w:val="BodyText"/>
        <w:spacing w:line="300" w:lineRule="auto" w:before="62"/>
        <w:ind w:right="1130"/>
        <w:jc w:val="both"/>
      </w:pPr>
      <w:r>
        <w:rPr>
          <w:rFonts w:ascii="宋体" w:hAnsi="宋体" w:cs="宋体" w:eastAsia="宋体" w:hint="default"/>
          <w:b/>
          <w:bCs/>
          <w:spacing w:val="-5"/>
        </w:rPr>
        <w:t>李国壁：</w:t>
      </w:r>
      <w:r>
        <w:rPr>
          <w:spacing w:val="-5"/>
        </w:rPr>
        <w:t>男，中国国籍，</w:t>
      </w:r>
      <w:r>
        <w:rPr>
          <w:rFonts w:ascii="Times New Roman" w:hAnsi="Times New Roman" w:cs="Times New Roman" w:eastAsia="Times New Roman" w:hint="default"/>
          <w:spacing w:val="-5"/>
        </w:rPr>
        <w:t>1982 </w:t>
      </w:r>
      <w:r>
        <w:rPr>
          <w:spacing w:val="-4"/>
        </w:rPr>
        <w:t>年出生，大学本科学历，中级会计师。</w:t>
      </w:r>
      <w:r>
        <w:rPr>
          <w:rFonts w:ascii="Times New Roman" w:hAnsi="Times New Roman" w:cs="Times New Roman" w:eastAsia="Times New Roman" w:hint="default"/>
          <w:spacing w:val="-4"/>
        </w:rPr>
        <w:t>2004 </w:t>
      </w:r>
      <w:r>
        <w:rPr/>
        <w:t>年 </w:t>
      </w:r>
      <w:r>
        <w:rPr>
          <w:rFonts w:ascii="Times New Roman" w:hAnsi="Times New Roman" w:cs="Times New Roman" w:eastAsia="Times New Roman" w:hint="default"/>
        </w:rPr>
        <w:t>6 </w:t>
      </w:r>
      <w:r>
        <w:rPr>
          <w:spacing w:val="-3"/>
        </w:rPr>
        <w:t>月本科毕业，</w:t>
      </w:r>
      <w:r>
        <w:rPr>
          <w:rFonts w:ascii="Times New Roman" w:hAnsi="Times New Roman" w:cs="Times New Roman" w:eastAsia="Times New Roman" w:hint="default"/>
          <w:spacing w:val="-3"/>
        </w:rPr>
        <w:t>2004 </w:t>
      </w:r>
      <w:r>
        <w:rPr/>
        <w:t>年 </w:t>
      </w:r>
      <w:r>
        <w:rPr>
          <w:rFonts w:ascii="Times New Roman" w:hAnsi="Times New Roman" w:cs="Times New Roman" w:eastAsia="Times New Roman" w:hint="default"/>
        </w:rPr>
        <w:t>6 </w:t>
      </w:r>
      <w:r>
        <w:rPr/>
        <w:t>月至 </w:t>
      </w:r>
      <w:r>
        <w:rPr>
          <w:rFonts w:ascii="Times New Roman" w:hAnsi="Times New Roman" w:cs="Times New Roman" w:eastAsia="Times New Roman" w:hint="default"/>
        </w:rPr>
        <w:t>2006 </w:t>
      </w:r>
      <w:r>
        <w:rPr/>
        <w:t>年 </w:t>
      </w:r>
      <w:r>
        <w:rPr>
          <w:rFonts w:ascii="Times New Roman" w:hAnsi="Times New Roman" w:cs="Times New Roman" w:eastAsia="Times New Roman" w:hint="default"/>
        </w:rPr>
        <w:t>12</w:t>
      </w:r>
      <w:r>
        <w:rPr>
          <w:rFonts w:ascii="Times New Roman" w:hAnsi="Times New Roman" w:cs="Times New Roman" w:eastAsia="Times New Roman" w:hint="default"/>
          <w:spacing w:val="32"/>
        </w:rPr>
        <w:t> </w:t>
      </w:r>
      <w:r>
        <w:rPr/>
        <w:t>月 </w:t>
      </w:r>
      <w:r>
        <w:rPr>
          <w:spacing w:val="-2"/>
        </w:rPr>
        <w:t>任冀凯集团财务部科员；</w:t>
      </w:r>
      <w:r>
        <w:rPr>
          <w:rFonts w:ascii="Times New Roman" w:hAnsi="Times New Roman" w:cs="Times New Roman" w:eastAsia="Times New Roman" w:hint="default"/>
          <w:spacing w:val="-2"/>
        </w:rPr>
        <w:t>2006</w:t>
      </w:r>
      <w:r>
        <w:rPr>
          <w:spacing w:val="-2"/>
        </w:rPr>
        <w:t>年</w:t>
      </w:r>
      <w:r>
        <w:rPr>
          <w:rFonts w:ascii="Times New Roman" w:hAnsi="Times New Roman" w:cs="Times New Roman" w:eastAsia="Times New Roman" w:hint="default"/>
          <w:spacing w:val="-2"/>
        </w:rPr>
        <w:t>12</w:t>
      </w:r>
      <w:r>
        <w:rPr>
          <w:spacing w:val="-2"/>
        </w:rPr>
        <w:t>月至</w:t>
      </w:r>
      <w:r>
        <w:rPr>
          <w:rFonts w:ascii="Times New Roman" w:hAnsi="Times New Roman" w:cs="Times New Roman" w:eastAsia="Times New Roman" w:hint="default"/>
          <w:spacing w:val="-2"/>
        </w:rPr>
        <w:t>2010</w:t>
      </w:r>
      <w:r>
        <w:rPr>
          <w:spacing w:val="-2"/>
        </w:rPr>
        <w:t>年</w:t>
      </w:r>
      <w:r>
        <w:rPr>
          <w:rFonts w:ascii="Times New Roman" w:hAnsi="Times New Roman" w:cs="Times New Roman" w:eastAsia="Times New Roman" w:hint="default"/>
          <w:spacing w:val="-2"/>
        </w:rPr>
        <w:t>4</w:t>
      </w:r>
      <w:r>
        <w:rPr>
          <w:spacing w:val="-2"/>
        </w:rPr>
        <w:t>月富世华金刚石财务部科员、科长；</w:t>
      </w:r>
      <w:r>
        <w:rPr>
          <w:rFonts w:ascii="Times New Roman" w:hAnsi="Times New Roman" w:cs="Times New Roman" w:eastAsia="Times New Roman" w:hint="default"/>
          <w:spacing w:val="-2"/>
        </w:rPr>
        <w:t>2010</w:t>
      </w:r>
      <w:r>
        <w:rPr>
          <w:spacing w:val="-2"/>
        </w:rPr>
        <w:t>年</w:t>
      </w:r>
      <w:r>
        <w:rPr>
          <w:rFonts w:ascii="Times New Roman" w:hAnsi="Times New Roman" w:cs="Times New Roman" w:eastAsia="Times New Roman" w:hint="default"/>
          <w:spacing w:val="-2"/>
        </w:rPr>
        <w:t>4</w:t>
      </w:r>
      <w:r>
        <w:rPr>
          <w:spacing w:val="-2"/>
        </w:rPr>
        <w:t>月至</w:t>
      </w:r>
      <w:r>
        <w:rPr>
          <w:rFonts w:ascii="Times New Roman" w:hAnsi="Times New Roman" w:cs="Times New Roman" w:eastAsia="Times New Roman" w:hint="default"/>
          <w:spacing w:val="-2"/>
        </w:rPr>
        <w:t>2010</w:t>
      </w:r>
      <w:r>
        <w:rPr>
          <w:spacing w:val="-2"/>
        </w:rPr>
        <w:t>年</w:t>
      </w:r>
      <w:r>
        <w:rPr>
          <w:rFonts w:ascii="Times New Roman" w:hAnsi="Times New Roman" w:cs="Times New Roman" w:eastAsia="Times New Roman" w:hint="default"/>
          <w:spacing w:val="-2"/>
        </w:rPr>
        <w:t>11</w:t>
      </w:r>
      <w:r>
        <w:rPr>
          <w:spacing w:val="-2"/>
        </w:rPr>
        <w:t>月任冀凯集团财务</w:t>
      </w:r>
      <w:r>
        <w:rPr>
          <w:spacing w:val="-44"/>
        </w:rPr>
        <w:t> </w:t>
      </w:r>
      <w:r>
        <w:rPr>
          <w:spacing w:val="-2"/>
        </w:rPr>
        <w:t>部副经理；</w:t>
      </w:r>
      <w:r>
        <w:rPr>
          <w:rFonts w:ascii="Times New Roman" w:hAnsi="Times New Roman" w:cs="Times New Roman" w:eastAsia="Times New Roman" w:hint="default"/>
          <w:spacing w:val="-2"/>
        </w:rPr>
        <w:t>2010</w:t>
      </w:r>
      <w:r>
        <w:rPr>
          <w:spacing w:val="-2"/>
        </w:rPr>
        <w:t>年</w:t>
      </w:r>
      <w:r>
        <w:rPr>
          <w:rFonts w:ascii="Times New Roman" w:hAnsi="Times New Roman" w:cs="Times New Roman" w:eastAsia="Times New Roman" w:hint="default"/>
          <w:spacing w:val="-2"/>
        </w:rPr>
        <w:t>12</w:t>
      </w:r>
      <w:r>
        <w:rPr>
          <w:spacing w:val="-2"/>
        </w:rPr>
        <w:t>月至</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4</w:t>
      </w:r>
      <w:r>
        <w:rPr>
          <w:spacing w:val="-2"/>
        </w:rPr>
        <w:t>月任石家庄中煤装备制造股份有限公司财务负责人；</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8</w:t>
      </w:r>
      <w:r>
        <w:rPr>
          <w:spacing w:val="-2"/>
        </w:rPr>
        <w:t>月进入先河环保工作。现任公</w:t>
      </w:r>
      <w:r>
        <w:rPr>
          <w:spacing w:val="-50"/>
        </w:rPr>
        <w:t> </w:t>
      </w:r>
      <w:r>
        <w:rPr>
          <w:spacing w:val="-50"/>
        </w:rPr>
      </w:r>
      <w:r>
        <w:rPr/>
        <w:t>司董事、财务总监。</w:t>
      </w:r>
    </w:p>
    <w:p>
      <w:pPr>
        <w:pStyle w:val="BodyText"/>
        <w:spacing w:line="302" w:lineRule="auto" w:before="71"/>
        <w:ind w:right="0"/>
        <w:jc w:val="left"/>
      </w:pPr>
      <w:r>
        <w:rPr>
          <w:rFonts w:ascii="宋体" w:hAnsi="宋体" w:cs="宋体" w:eastAsia="宋体" w:hint="default"/>
          <w:b/>
          <w:bCs/>
          <w:spacing w:val="-2"/>
        </w:rPr>
        <w:t>赵立三：</w:t>
      </w:r>
      <w:r>
        <w:rPr>
          <w:spacing w:val="-2"/>
        </w:rPr>
        <w:t>男，中国国籍，</w:t>
      </w:r>
      <w:r>
        <w:rPr>
          <w:rFonts w:ascii="Times New Roman" w:hAnsi="Times New Roman" w:cs="Times New Roman" w:eastAsia="Times New Roman" w:hint="default"/>
          <w:spacing w:val="-2"/>
        </w:rPr>
        <w:t>1962</w:t>
      </w:r>
      <w:r>
        <w:rPr>
          <w:spacing w:val="-2"/>
        </w:rPr>
        <w:t>年出生，现任河北大学管理学院教授、博士生导师，中国注册会计师，河北大学会计学专业学</w:t>
      </w:r>
      <w:r>
        <w:rPr>
          <w:spacing w:val="-69"/>
        </w:rPr>
        <w:t> </w:t>
      </w:r>
      <w:r>
        <w:rPr>
          <w:spacing w:val="-69"/>
        </w:rPr>
      </w:r>
      <w:r>
        <w:rPr/>
        <w:t>科带头人。现任河北四通新型金属材料股份有限公司独立董事、公司独立董事。</w:t>
      </w:r>
    </w:p>
    <w:p>
      <w:pPr>
        <w:pStyle w:val="BodyText"/>
        <w:spacing w:line="300" w:lineRule="auto" w:before="68"/>
        <w:ind w:right="1128"/>
        <w:jc w:val="both"/>
      </w:pPr>
      <w:r>
        <w:rPr>
          <w:rFonts w:ascii="宋体" w:hAnsi="宋体" w:cs="宋体" w:eastAsia="宋体" w:hint="default"/>
          <w:b/>
          <w:bCs/>
        </w:rPr>
        <w:t>赵明：</w:t>
      </w:r>
      <w:r>
        <w:rPr/>
        <w:t>男，中国国籍，</w:t>
      </w:r>
      <w:r>
        <w:rPr>
          <w:rFonts w:ascii="Times New Roman" w:hAnsi="Times New Roman" w:cs="Times New Roman" w:eastAsia="Times New Roman" w:hint="default"/>
        </w:rPr>
        <w:t>1975</w:t>
      </w:r>
      <w:r>
        <w:rPr/>
        <w:t>年生，毕业于北京大学，经济学学士。中国社会科学院研究生学历，中级职称。</w:t>
      </w:r>
      <w:r>
        <w:rPr>
          <w:rFonts w:ascii="Times New Roman" w:hAnsi="Times New Roman" w:cs="Times New Roman" w:eastAsia="Times New Roman" w:hint="default"/>
        </w:rPr>
        <w:t>1997</w:t>
      </w:r>
      <w:r>
        <w:rPr/>
        <w:t>年</w:t>
      </w:r>
      <w:r>
        <w:rPr>
          <w:rFonts w:ascii="Times New Roman" w:hAnsi="Times New Roman" w:cs="Times New Roman" w:eastAsia="Times New Roman" w:hint="default"/>
        </w:rPr>
        <w:t>-2009</w:t>
      </w:r>
      <w:r>
        <w:rPr/>
        <w:t>年</w:t>
      </w:r>
      <w:r>
        <w:rPr>
          <w:spacing w:val="-57"/>
        </w:rPr>
        <w:t> </w:t>
      </w:r>
      <w:r>
        <w:rPr/>
        <w:t>任中国经济时报记者编辑，</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-2012</w:t>
      </w:r>
      <w:r>
        <w:rPr/>
        <w:t>年任优酷公司总监，</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2</w:t>
      </w:r>
      <w:r>
        <w:rPr/>
        <w:t>月任</w:t>
      </w:r>
      <w:r>
        <w:rPr>
          <w:rFonts w:ascii="Times New Roman" w:hAnsi="Times New Roman" w:cs="Times New Roman" w:eastAsia="Times New Roman" w:hint="default"/>
        </w:rPr>
        <w:t>360</w:t>
      </w:r>
      <w:r>
        <w:rPr/>
        <w:t>公司助理总裁，</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3</w:t>
      </w:r>
      <w:r>
        <w:rPr/>
        <w:t>月起任深</w:t>
      </w:r>
      <w:r>
        <w:rPr>
          <w:spacing w:val="-31"/>
        </w:rPr>
        <w:t> </w:t>
      </w:r>
      <w:r>
        <w:rPr/>
        <w:t>圳乐信控股有限公司副总裁。现任峨眉山旅游股份有限公司独立董事、公司独立董事。</w:t>
      </w:r>
    </w:p>
    <w:p>
      <w:pPr>
        <w:pStyle w:val="BodyText"/>
        <w:spacing w:line="307" w:lineRule="auto" w:before="70"/>
        <w:ind w:right="1033"/>
        <w:jc w:val="left"/>
      </w:pPr>
      <w:r>
        <w:rPr>
          <w:rFonts w:ascii="宋体" w:hAnsi="宋体" w:cs="宋体" w:eastAsia="宋体" w:hint="default"/>
          <w:b/>
          <w:bCs/>
        </w:rPr>
        <w:t>王健：</w:t>
      </w:r>
      <w:r>
        <w:rPr/>
        <w:t>男，中国国籍，</w:t>
      </w:r>
      <w:r>
        <w:rPr>
          <w:rFonts w:ascii="Times New Roman" w:hAnsi="Times New Roman" w:cs="Times New Roman" w:eastAsia="Times New Roman" w:hint="default"/>
        </w:rPr>
        <w:t>1974</w:t>
      </w:r>
      <w:r>
        <w:rPr/>
        <w:t>年生，律师，毕业于河北经贸大学，法律专业。</w:t>
      </w:r>
      <w:r>
        <w:rPr>
          <w:rFonts w:ascii="Times New Roman" w:hAnsi="Times New Roman" w:cs="Times New Roman" w:eastAsia="Times New Roman" w:hint="default"/>
        </w:rPr>
        <w:t>2000</w:t>
      </w:r>
      <w:r>
        <w:rPr/>
        <w:t>年</w:t>
      </w:r>
      <w:r>
        <w:rPr>
          <w:rFonts w:ascii="Times New Roman" w:hAnsi="Times New Roman" w:cs="Times New Roman" w:eastAsia="Times New Roman" w:hint="default"/>
        </w:rPr>
        <w:t>3</w:t>
      </w:r>
      <w:r>
        <w:rPr/>
        <w:t>月获律师执业资格，</w:t>
      </w:r>
      <w:r>
        <w:rPr>
          <w:rFonts w:ascii="Times New Roman" w:hAnsi="Times New Roman" w:cs="Times New Roman" w:eastAsia="Times New Roman" w:hint="default"/>
        </w:rPr>
        <w:t>2003</w:t>
      </w:r>
      <w:r>
        <w:rPr/>
        <w:t>年起任职河北</w:t>
      </w:r>
      <w:r>
        <w:rPr>
          <w:spacing w:val="-87"/>
        </w:rPr>
        <w:t> </w:t>
      </w:r>
      <w:r>
        <w:rPr/>
        <w:t>世纪方舟律师事务所，任（副主任）合伙人律师，河北省律师协会涉外专业委员会委员。兼任石家庄乐买商贸公司总经理， 聚亨企业集团（泰国）大众有限公司河北办事处主任。曾任国家电投集团石家庄东方能源股份有限公司独立董事，</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5</w:t>
      </w:r>
      <w:r>
        <w:rPr>
          <w:rFonts w:ascii="Times New Roman" w:hAnsi="Times New Roman" w:cs="Times New Roman" w:eastAsia="Times New Roman" w:hint="default"/>
          <w:spacing w:val="-36"/>
        </w:rPr>
        <w:t> </w:t>
      </w:r>
      <w:r>
        <w:rPr/>
        <w:t>月起任公司独立董事，已因病逝世。</w:t>
      </w:r>
    </w:p>
    <w:p>
      <w:pPr>
        <w:pStyle w:val="Heading3"/>
        <w:spacing w:line="240" w:lineRule="auto" w:before="41"/>
        <w:ind w:right="0"/>
        <w:jc w:val="left"/>
        <w:rPr>
          <w:b w:val="0"/>
          <w:bCs w:val="0"/>
        </w:rPr>
      </w:pPr>
      <w:r>
        <w:rPr>
          <w:rFonts w:ascii="Times New Roman" w:hAnsi="Times New Roman" w:cs="Times New Roman" w:eastAsia="Times New Roman" w:hint="default"/>
        </w:rPr>
        <w:t>2</w:t>
      </w:r>
      <w:r>
        <w:rPr/>
        <w:t>、监事</w:t>
      </w:r>
      <w:r>
        <w:rPr>
          <w:b w:val="0"/>
          <w:bCs w:val="0"/>
        </w:rPr>
      </w:r>
    </w:p>
    <w:p>
      <w:pPr>
        <w:pStyle w:val="BodyText"/>
        <w:spacing w:line="302" w:lineRule="auto" w:before="85"/>
        <w:ind w:left="1134" w:right="1120"/>
        <w:jc w:val="left"/>
      </w:pPr>
      <w:r>
        <w:rPr>
          <w:rFonts w:ascii="宋体" w:hAnsi="宋体" w:cs="宋体" w:eastAsia="宋体" w:hint="default"/>
          <w:b/>
          <w:bCs/>
        </w:rPr>
        <w:t>高峰：</w:t>
      </w:r>
      <w:r>
        <w:rPr/>
        <w:t>男，中国国籍， </w:t>
      </w:r>
      <w:r>
        <w:rPr>
          <w:rFonts w:ascii="Times New Roman" w:hAnsi="Times New Roman" w:cs="Times New Roman" w:eastAsia="Times New Roman" w:hint="default"/>
        </w:rPr>
        <w:t>1975</w:t>
      </w:r>
      <w:r>
        <w:rPr/>
        <w:t>年生，大专学历， </w:t>
      </w:r>
      <w:r>
        <w:rPr>
          <w:rFonts w:ascii="Times New Roman" w:hAnsi="Times New Roman" w:cs="Times New Roman" w:eastAsia="Times New Roman" w:hint="default"/>
        </w:rPr>
        <w:t>2001</w:t>
      </w:r>
      <w:r>
        <w:rPr/>
        <w:t>年入职公司，先后负责库管、营销管理、计划经营工作； 现任河北先</w:t>
      </w:r>
      <w:r>
        <w:rPr>
          <w:spacing w:val="-89"/>
        </w:rPr>
        <w:t> </w:t>
      </w:r>
      <w:r>
        <w:rPr>
          <w:spacing w:val="-89"/>
        </w:rPr>
      </w:r>
      <w:r>
        <w:rPr/>
        <w:t>河正阳环保设备销售有限公司副总经理。</w:t>
      </w:r>
    </w:p>
    <w:p>
      <w:pPr>
        <w:pStyle w:val="BodyText"/>
        <w:spacing w:line="319" w:lineRule="auto" w:before="69"/>
        <w:ind w:right="0"/>
        <w:jc w:val="left"/>
      </w:pPr>
      <w:r>
        <w:rPr>
          <w:rFonts w:ascii="宋体" w:hAnsi="宋体" w:cs="宋体" w:eastAsia="宋体" w:hint="default"/>
          <w:b/>
          <w:bCs/>
        </w:rPr>
        <w:t>王意勤：</w:t>
      </w:r>
      <w:r>
        <w:rPr/>
        <w:t>女，中国国籍，</w:t>
      </w:r>
      <w:r>
        <w:rPr>
          <w:rFonts w:ascii="Times New Roman" w:hAnsi="Times New Roman" w:cs="Times New Roman" w:eastAsia="Times New Roman" w:hint="default"/>
        </w:rPr>
        <w:t>1979</w:t>
      </w:r>
      <w:r>
        <w:rPr/>
        <w:t>年生，大专学历，</w:t>
      </w:r>
      <w:r>
        <w:rPr>
          <w:rFonts w:ascii="Times New Roman" w:hAnsi="Times New Roman" w:cs="Times New Roman" w:eastAsia="Times New Roman" w:hint="default"/>
        </w:rPr>
        <w:t>2009</w:t>
      </w:r>
      <w:r>
        <w:rPr/>
        <w:t>年入职公司，先后负责生产计划、采购工作；现负责计划经营工作。 </w:t>
      </w:r>
      <w:r>
        <w:rPr>
          <w:rFonts w:ascii="宋体" w:hAnsi="宋体" w:cs="宋体" w:eastAsia="宋体" w:hint="default"/>
          <w:b/>
          <w:bCs/>
        </w:rPr>
        <w:t>王强：</w:t>
      </w:r>
      <w:r>
        <w:rPr/>
        <w:t>男，中国国籍，</w:t>
      </w:r>
      <w:r>
        <w:rPr>
          <w:rFonts w:ascii="Times New Roman" w:hAnsi="Times New Roman" w:cs="Times New Roman" w:eastAsia="Times New Roman" w:hint="default"/>
        </w:rPr>
        <w:t>1978</w:t>
      </w:r>
      <w:r>
        <w:rPr/>
        <w:t>年生，大学学历，</w:t>
      </w:r>
      <w:r>
        <w:rPr>
          <w:rFonts w:ascii="Times New Roman" w:hAnsi="Times New Roman" w:cs="Times New Roman" w:eastAsia="Times New Roman" w:hint="default"/>
        </w:rPr>
        <w:t>2001</w:t>
      </w:r>
      <w:r>
        <w:rPr/>
        <w:t>年入职公司，先后在技术服务、生产中心、技术与开发中心工作；</w:t>
      </w:r>
      <w:r>
        <w:rPr>
          <w:rFonts w:ascii="Times New Roman" w:hAnsi="Times New Roman" w:cs="Times New Roman" w:eastAsia="Times New Roman" w:hint="default"/>
        </w:rPr>
        <w:t>2009</w:t>
      </w:r>
      <w:r>
        <w:rPr>
          <w:rFonts w:ascii="Times New Roman" w:hAnsi="Times New Roman" w:cs="Times New Roman" w:eastAsia="Times New Roman" w:hint="default"/>
          <w:spacing w:val="44"/>
        </w:rPr>
        <w:t> </w:t>
      </w:r>
      <w:r>
        <w:rPr/>
        <w:t>年至</w:t>
      </w:r>
      <w:r>
        <w:rPr>
          <w:rFonts w:ascii="Times New Roman" w:hAnsi="Times New Roman" w:cs="Times New Roman" w:eastAsia="Times New Roman" w:hint="default"/>
        </w:rPr>
        <w:t>2013</w:t>
      </w:r>
      <w:r>
        <w:rPr/>
        <w:t>年担任大气产品经理，现任技术与开发中心大气产品总监。</w:t>
      </w:r>
    </w:p>
    <w:p>
      <w:pPr>
        <w:spacing w:line="304" w:lineRule="auto" w:before="11"/>
        <w:ind w:left="1133" w:right="7350" w:firstLine="0"/>
        <w:jc w:val="left"/>
        <w:rPr>
          <w:rFonts w:ascii="宋体" w:hAnsi="宋体" w:cs="宋体" w:eastAsia="宋体" w:hint="default"/>
          <w:sz w:val="18"/>
          <w:szCs w:val="18"/>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、高级管理人员</w:t>
      </w:r>
      <w:r>
        <w:rPr>
          <w:rFonts w:ascii="宋体" w:hAnsi="宋体" w:cs="宋体" w:eastAsia="宋体" w:hint="default"/>
          <w:b/>
          <w:bCs/>
          <w:w w:val="99"/>
          <w:sz w:val="21"/>
          <w:szCs w:val="21"/>
        </w:rPr>
        <w:t> </w:t>
      </w:r>
      <w:r>
        <w:rPr>
          <w:rFonts w:ascii="宋体" w:hAnsi="宋体" w:cs="宋体" w:eastAsia="宋体" w:hint="default"/>
          <w:b/>
          <w:bCs/>
          <w:sz w:val="18"/>
          <w:szCs w:val="18"/>
        </w:rPr>
        <w:t>陈荣强：</w:t>
      </w:r>
      <w:r>
        <w:rPr>
          <w:rFonts w:ascii="宋体" w:hAnsi="宋体" w:cs="宋体" w:eastAsia="宋体" w:hint="default"/>
          <w:sz w:val="18"/>
          <w:szCs w:val="18"/>
        </w:rPr>
        <w:t>总经理，简历详见本节</w:t>
      </w:r>
      <w:r>
        <w:rPr>
          <w:rFonts w:ascii="Times New Roman" w:hAnsi="Times New Roman" w:cs="Times New Roman" w:eastAsia="Times New Roman" w:hint="default"/>
          <w:sz w:val="18"/>
          <w:szCs w:val="18"/>
        </w:rPr>
        <w:t>“</w:t>
      </w:r>
      <w:r>
        <w:rPr>
          <w:rFonts w:ascii="宋体" w:hAnsi="宋体" w:cs="宋体" w:eastAsia="宋体" w:hint="default"/>
          <w:sz w:val="18"/>
          <w:szCs w:val="18"/>
        </w:rPr>
        <w:t>董事</w:t>
      </w:r>
      <w:r>
        <w:rPr>
          <w:rFonts w:ascii="Times New Roman" w:hAnsi="Times New Roman" w:cs="Times New Roman" w:eastAsia="Times New Roman" w:hint="default"/>
          <w:sz w:val="18"/>
          <w:szCs w:val="18"/>
        </w:rPr>
        <w:t>”</w:t>
      </w:r>
      <w:r>
        <w:rPr>
          <w:rFonts w:ascii="宋体" w:hAnsi="宋体" w:cs="宋体" w:eastAsia="宋体" w:hint="default"/>
          <w:sz w:val="18"/>
          <w:szCs w:val="18"/>
        </w:rPr>
        <w:t>。 </w:t>
      </w:r>
      <w:r>
        <w:rPr>
          <w:rFonts w:ascii="宋体" w:hAnsi="宋体" w:cs="宋体" w:eastAsia="宋体" w:hint="default"/>
          <w:b/>
          <w:bCs/>
          <w:sz w:val="18"/>
          <w:szCs w:val="18"/>
        </w:rPr>
        <w:t>范朝：</w:t>
      </w:r>
      <w:r>
        <w:rPr>
          <w:rFonts w:ascii="宋体" w:hAnsi="宋体" w:cs="宋体" w:eastAsia="宋体" w:hint="default"/>
          <w:sz w:val="18"/>
          <w:szCs w:val="18"/>
        </w:rPr>
        <w:t>副总经理，简历详见本节</w:t>
      </w:r>
      <w:r>
        <w:rPr>
          <w:rFonts w:ascii="Times New Roman" w:hAnsi="Times New Roman" w:cs="Times New Roman" w:eastAsia="Times New Roman" w:hint="default"/>
          <w:sz w:val="18"/>
          <w:szCs w:val="18"/>
        </w:rPr>
        <w:t>“</w:t>
      </w:r>
      <w:r>
        <w:rPr>
          <w:rFonts w:ascii="宋体" w:hAnsi="宋体" w:cs="宋体" w:eastAsia="宋体" w:hint="default"/>
          <w:sz w:val="18"/>
          <w:szCs w:val="18"/>
        </w:rPr>
        <w:t>董事</w:t>
      </w:r>
      <w:r>
        <w:rPr>
          <w:rFonts w:ascii="Times New Roman" w:hAnsi="Times New Roman" w:cs="Times New Roman" w:eastAsia="Times New Roman" w:hint="default"/>
          <w:sz w:val="18"/>
          <w:szCs w:val="18"/>
        </w:rPr>
        <w:t>”</w:t>
      </w:r>
      <w:r>
        <w:rPr>
          <w:rFonts w:ascii="宋体" w:hAnsi="宋体" w:cs="宋体" w:eastAsia="宋体" w:hint="default"/>
          <w:sz w:val="18"/>
          <w:szCs w:val="18"/>
        </w:rPr>
        <w:t>。 </w:t>
      </w:r>
      <w:r>
        <w:rPr>
          <w:rFonts w:ascii="宋体" w:hAnsi="宋体" w:cs="宋体" w:eastAsia="宋体" w:hint="default"/>
          <w:b/>
          <w:bCs/>
          <w:sz w:val="18"/>
          <w:szCs w:val="18"/>
        </w:rPr>
        <w:t>李国壁：</w:t>
      </w:r>
      <w:r>
        <w:rPr>
          <w:rFonts w:ascii="宋体" w:hAnsi="宋体" w:cs="宋体" w:eastAsia="宋体" w:hint="default"/>
          <w:sz w:val="18"/>
          <w:szCs w:val="18"/>
        </w:rPr>
        <w:t>财务总监，简历详见本节</w:t>
      </w:r>
      <w:r>
        <w:rPr>
          <w:rFonts w:ascii="Times New Roman" w:hAnsi="Times New Roman" w:cs="Times New Roman" w:eastAsia="Times New Roman" w:hint="default"/>
          <w:sz w:val="18"/>
          <w:szCs w:val="18"/>
        </w:rPr>
        <w:t>“</w:t>
      </w:r>
      <w:r>
        <w:rPr>
          <w:rFonts w:ascii="宋体" w:hAnsi="宋体" w:cs="宋体" w:eastAsia="宋体" w:hint="default"/>
          <w:sz w:val="18"/>
          <w:szCs w:val="18"/>
        </w:rPr>
        <w:t>董事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p>
      <w:pPr>
        <w:pStyle w:val="BodyText"/>
        <w:spacing w:line="300" w:lineRule="auto" w:before="9"/>
        <w:ind w:right="1047"/>
        <w:jc w:val="left"/>
      </w:pPr>
      <w:r>
        <w:rPr>
          <w:rFonts w:ascii="宋体" w:hAnsi="宋体" w:cs="宋体" w:eastAsia="宋体" w:hint="default"/>
          <w:b/>
          <w:bCs/>
        </w:rPr>
        <w:t>王少军：</w:t>
      </w:r>
      <w:r>
        <w:rPr/>
        <w:t>董事会秘书，男，中国国籍，</w:t>
      </w:r>
      <w:r>
        <w:rPr>
          <w:rFonts w:ascii="Times New Roman" w:hAnsi="Times New Roman" w:cs="Times New Roman" w:eastAsia="Times New Roman" w:hint="default"/>
        </w:rPr>
        <w:t>1979</w:t>
      </w:r>
      <w:r>
        <w:rPr/>
        <w:t>年出生，管理学硕士。近五年一直任职于公司，主要负责公司证券及投资工作。 </w:t>
      </w:r>
      <w:r>
        <w:rPr>
          <w:rFonts w:ascii="宋体" w:hAnsi="宋体" w:cs="宋体" w:eastAsia="宋体" w:hint="default"/>
          <w:b/>
          <w:bCs/>
        </w:rPr>
        <w:t>付国印：</w:t>
      </w:r>
      <w:r>
        <w:rPr/>
        <w:t>副总经理，男，中国国籍，</w:t>
      </w:r>
      <w:r>
        <w:rPr>
          <w:rFonts w:ascii="Times New Roman" w:hAnsi="Times New Roman" w:cs="Times New Roman" w:eastAsia="Times New Roman" w:hint="default"/>
        </w:rPr>
        <w:t>1974</w:t>
      </w:r>
      <w:r>
        <w:rPr/>
        <w:t>年出生，本科。</w:t>
      </w:r>
      <w:r>
        <w:rPr>
          <w:rFonts w:ascii="Times New Roman" w:hAnsi="Times New Roman" w:cs="Times New Roman" w:eastAsia="Times New Roman" w:hint="default"/>
        </w:rPr>
        <w:t>2005 </w:t>
      </w:r>
      <w:r>
        <w:rPr/>
        <w:t>年</w:t>
      </w:r>
      <w:r>
        <w:rPr>
          <w:rFonts w:ascii="Times New Roman" w:hAnsi="Times New Roman" w:cs="Times New Roman" w:eastAsia="Times New Roman" w:hint="default"/>
        </w:rPr>
        <w:t>-2008</w:t>
      </w:r>
      <w:r>
        <w:rPr/>
        <w:t>年</w:t>
      </w:r>
      <w:r>
        <w:rPr>
          <w:spacing w:val="-37"/>
        </w:rPr>
        <w:t> </w:t>
      </w:r>
      <w:r>
        <w:rPr/>
        <w:t>北京锐意泰克汽车电子有限公司任职人事行政总</w:t>
      </w:r>
      <w:r>
        <w:rPr/>
        <w:t> 监；</w:t>
      </w:r>
      <w:r>
        <w:rPr>
          <w:rFonts w:ascii="Times New Roman" w:hAnsi="Times New Roman" w:cs="Times New Roman" w:eastAsia="Times New Roman" w:hint="default"/>
        </w:rPr>
        <w:t>2008</w:t>
      </w:r>
      <w:r>
        <w:rPr/>
        <w:t>年</w:t>
      </w:r>
      <w:r>
        <w:rPr>
          <w:rFonts w:ascii="Times New Roman" w:hAnsi="Times New Roman" w:cs="Times New Roman" w:eastAsia="Times New Roman" w:hint="default"/>
        </w:rPr>
        <w:t>-2010</w:t>
      </w:r>
      <w:r>
        <w:rPr/>
        <w:t>年杭州顺网科技股份有限公司任职人力资源总监；</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-2011</w:t>
      </w:r>
      <w:r>
        <w:rPr/>
        <w:t>年上海智臻网络科技有限公司任职人力资源 总监。</w:t>
      </w:r>
      <w:r>
        <w:rPr>
          <w:rFonts w:ascii="Times New Roman" w:hAnsi="Times New Roman" w:cs="Times New Roman" w:eastAsia="Times New Roman" w:hint="default"/>
        </w:rPr>
        <w:t>2011</w:t>
      </w:r>
      <w:r>
        <w:rPr/>
        <w:t>起任公司副总经理，</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3</w:t>
      </w:r>
      <w:r>
        <w:rPr/>
        <w:t>月离任。</w:t>
      </w:r>
    </w:p>
    <w:p>
      <w:pPr>
        <w:pStyle w:val="BodyText"/>
        <w:spacing w:line="307" w:lineRule="auto" w:before="53"/>
        <w:ind w:right="0"/>
        <w:jc w:val="left"/>
      </w:pPr>
      <w:r>
        <w:rPr>
          <w:rFonts w:ascii="宋体" w:hAnsi="宋体" w:cs="宋体" w:eastAsia="宋体" w:hint="default"/>
          <w:b/>
          <w:bCs/>
        </w:rPr>
        <w:t>梁常清：</w:t>
      </w:r>
      <w:r>
        <w:rPr/>
        <w:t>男，</w:t>
      </w:r>
      <w:r>
        <w:rPr>
          <w:rFonts w:ascii="Times New Roman" w:hAnsi="Times New Roman" w:cs="Times New Roman" w:eastAsia="Times New Roman" w:hint="default"/>
        </w:rPr>
        <w:t>1965</w:t>
      </w:r>
      <w:r>
        <w:rPr/>
        <w:t>年生，专科学历。</w:t>
      </w:r>
      <w:r>
        <w:rPr>
          <w:rFonts w:ascii="Times New Roman" w:hAnsi="Times New Roman" w:cs="Times New Roman" w:eastAsia="Times New Roman" w:hint="default"/>
        </w:rPr>
        <w:t>1986-2000</w:t>
      </w:r>
      <w:r>
        <w:rPr/>
        <w:t>年，任职于广州计量测试技术研究所；</w:t>
      </w:r>
      <w:r>
        <w:rPr>
          <w:rFonts w:ascii="Times New Roman" w:hAnsi="Times New Roman" w:cs="Times New Roman" w:eastAsia="Times New Roman" w:hint="default"/>
        </w:rPr>
        <w:t>2000-2014</w:t>
      </w:r>
      <w:r>
        <w:rPr/>
        <w:t>年，任广东先河科迪隆科技 有限公司（原广州市科迪隆科学仪器设备有限公司）总经理， </w:t>
      </w:r>
      <w:r>
        <w:rPr>
          <w:rFonts w:ascii="Times New Roman" w:hAnsi="Times New Roman" w:cs="Times New Roman" w:eastAsia="Times New Roman" w:hint="default"/>
        </w:rPr>
        <w:t>2008-2014</w:t>
      </w:r>
      <w:r>
        <w:rPr/>
        <w:t>年，任广西先得环保科技有限公司总经理； 现任</w:t>
      </w:r>
      <w:r>
        <w:rPr>
          <w:spacing w:val="-59"/>
        </w:rPr>
        <w:t> </w:t>
      </w:r>
      <w:r>
        <w:rPr>
          <w:spacing w:val="-59"/>
        </w:rPr>
      </w:r>
      <w:r>
        <w:rPr>
          <w:spacing w:val="-4"/>
        </w:rPr>
        <w:t>广东先河科迪隆科技有限公司（原广州市科迪隆科学仪器设备有限公司）董事长、广西先得环保科技有限公司董事、总经理，</w:t>
      </w:r>
      <w:r>
        <w:rPr>
          <w:spacing w:val="-46"/>
        </w:rPr>
        <w:t> </w:t>
      </w:r>
      <w:r>
        <w:rPr>
          <w:spacing w:val="-46"/>
        </w:rPr>
      </w:r>
      <w:r>
        <w:rPr/>
        <w:t>公司副总经理。</w:t>
      </w:r>
    </w:p>
    <w:p>
      <w:pPr>
        <w:spacing w:line="240" w:lineRule="auto" w:before="0"/>
        <w:rPr>
          <w:rFonts w:ascii="宋体" w:hAnsi="宋体" w:cs="宋体" w:eastAsia="宋体" w:hint="default"/>
          <w:sz w:val="18"/>
          <w:szCs w:val="18"/>
        </w:rPr>
      </w:pPr>
    </w:p>
    <w:p>
      <w:pPr>
        <w:spacing w:line="240" w:lineRule="auto" w:before="12"/>
        <w:rPr>
          <w:rFonts w:ascii="宋体" w:hAnsi="宋体" w:cs="宋体" w:eastAsia="宋体" w:hint="default"/>
          <w:sz w:val="13"/>
          <w:szCs w:val="13"/>
        </w:rPr>
      </w:pPr>
    </w:p>
    <w:p>
      <w:pPr>
        <w:pStyle w:val="BodyText"/>
        <w:spacing w:line="240" w:lineRule="auto"/>
        <w:ind w:right="0"/>
        <w:jc w:val="left"/>
      </w:pPr>
      <w:r>
        <w:rPr/>
        <w:t>在股东单位任职情况</w:t>
      </w:r>
    </w:p>
    <w:p>
      <w:pPr>
        <w:pStyle w:val="BodyText"/>
        <w:spacing w:line="240" w:lineRule="auto" w:before="117"/>
        <w:ind w:left="113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6"/>
          <w:szCs w:val="6"/>
        </w:rPr>
      </w:pPr>
    </w:p>
    <w:tbl>
      <w:tblPr>
        <w:tblW w:w="0" w:type="auto"/>
        <w:jc w:val="left"/>
        <w:tblInd w:w="1129" w:type="dxa"/>
        <w:tblLayout w:type="fixed"/>
        <w:tblCellMar>
          <w:top w:w="0" w:type="dxa"/>
          <w:left w:w="0" w:type="dxa"/>
          <w:bottom w:w="0" w:type="dxa"/>
          <w:right w:w="0" w:type="dxa"/>
        </w:tblCellMar>
        <w:tblLook w:val="01E0"/>
      </w:tblPr>
      <w:tblGrid>
        <w:gridCol w:w="1202"/>
        <w:gridCol w:w="3189"/>
        <w:gridCol w:w="1064"/>
        <w:gridCol w:w="1196"/>
        <w:gridCol w:w="1330"/>
        <w:gridCol w:w="1588"/>
      </w:tblGrid>
      <w:tr>
        <w:trPr>
          <w:trHeight w:val="714" w:hRule="exact"/>
        </w:trPr>
        <w:tc>
          <w:tcPr>
            <w:tcW w:w="1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5" w:right="0"/>
              <w:jc w:val="left"/>
              <w:rPr>
                <w:rFonts w:ascii="宋体" w:hAnsi="宋体" w:cs="宋体" w:eastAsia="宋体" w:hint="default"/>
                <w:sz w:val="18"/>
                <w:szCs w:val="18"/>
              </w:rPr>
            </w:pPr>
            <w:r>
              <w:rPr>
                <w:rFonts w:ascii="宋体" w:hAnsi="宋体" w:cs="宋体" w:eastAsia="宋体" w:hint="default"/>
                <w:sz w:val="18"/>
                <w:szCs w:val="18"/>
              </w:rPr>
              <w:t>任职人员姓名</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48" w:right="0"/>
              <w:jc w:val="left"/>
              <w:rPr>
                <w:rFonts w:ascii="宋体" w:hAnsi="宋体" w:cs="宋体" w:eastAsia="宋体" w:hint="default"/>
                <w:sz w:val="18"/>
                <w:szCs w:val="18"/>
              </w:rPr>
            </w:pPr>
            <w:r>
              <w:rPr>
                <w:rFonts w:ascii="宋体" w:hAnsi="宋体" w:cs="宋体" w:eastAsia="宋体" w:hint="default"/>
                <w:sz w:val="18"/>
                <w:szCs w:val="18"/>
              </w:rPr>
              <w:t>股东单位名称</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77" w:right="74"/>
              <w:jc w:val="left"/>
              <w:rPr>
                <w:rFonts w:ascii="宋体" w:hAnsi="宋体" w:cs="宋体" w:eastAsia="宋体" w:hint="default"/>
                <w:sz w:val="18"/>
                <w:szCs w:val="18"/>
              </w:rPr>
            </w:pPr>
            <w:r>
              <w:rPr>
                <w:rFonts w:ascii="宋体" w:hAnsi="宋体" w:cs="宋体" w:eastAsia="宋体" w:hint="default"/>
                <w:sz w:val="18"/>
                <w:szCs w:val="18"/>
              </w:rPr>
              <w:t>在股东单位 担任的职务</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2" w:right="0"/>
              <w:jc w:val="left"/>
              <w:rPr>
                <w:rFonts w:ascii="宋体" w:hAnsi="宋体" w:cs="宋体" w:eastAsia="宋体" w:hint="default"/>
                <w:sz w:val="18"/>
                <w:szCs w:val="18"/>
              </w:rPr>
            </w:pPr>
            <w:r>
              <w:rPr>
                <w:rFonts w:ascii="宋体" w:hAnsi="宋体" w:cs="宋体" w:eastAsia="宋体" w:hint="default"/>
                <w:sz w:val="18"/>
                <w:szCs w:val="18"/>
              </w:rPr>
              <w:t>任期起始日期</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z w:val="18"/>
                <w:szCs w:val="18"/>
              </w:rPr>
              <w:t>任期终止日期</w:t>
            </w:r>
          </w:p>
        </w:tc>
        <w:tc>
          <w:tcPr>
            <w:tcW w:w="15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338" w:right="67" w:hanging="270"/>
              <w:jc w:val="left"/>
              <w:rPr>
                <w:rFonts w:ascii="宋体" w:hAnsi="宋体" w:cs="宋体" w:eastAsia="宋体" w:hint="default"/>
                <w:sz w:val="18"/>
                <w:szCs w:val="18"/>
              </w:rPr>
            </w:pPr>
            <w:r>
              <w:rPr>
                <w:rFonts w:ascii="宋体" w:hAnsi="宋体" w:cs="宋体" w:eastAsia="宋体" w:hint="default"/>
                <w:sz w:val="18"/>
                <w:szCs w:val="18"/>
              </w:rPr>
              <w:t>在股东单位是否领 取报酬津贴</w:t>
            </w:r>
          </w:p>
        </w:tc>
      </w:tr>
      <w:tr>
        <w:trPr>
          <w:trHeight w:val="402"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董岩</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红塔创新投资股份有限公司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高级经理</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pStyle w:val="BodyText"/>
        <w:spacing w:line="240" w:lineRule="auto" w:before="51"/>
        <w:ind w:left="1134" w:right="0"/>
        <w:jc w:val="left"/>
      </w:pPr>
      <w:r>
        <w:rPr/>
        <w:t>在其他单位任职情况</w:t>
      </w:r>
    </w:p>
    <w:p>
      <w:pPr>
        <w:pStyle w:val="BodyText"/>
        <w:spacing w:line="240" w:lineRule="auto" w:before="117"/>
        <w:ind w:left="113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1202"/>
        <w:gridCol w:w="3190"/>
        <w:gridCol w:w="1063"/>
        <w:gridCol w:w="1196"/>
        <w:gridCol w:w="1324"/>
        <w:gridCol w:w="1594"/>
      </w:tblGrid>
      <w:tr>
        <w:trPr>
          <w:trHeight w:val="714" w:hRule="exact"/>
        </w:trPr>
        <w:tc>
          <w:tcPr>
            <w:tcW w:w="1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5" w:right="0"/>
              <w:jc w:val="left"/>
              <w:rPr>
                <w:rFonts w:ascii="宋体" w:hAnsi="宋体" w:cs="宋体" w:eastAsia="宋体" w:hint="default"/>
                <w:sz w:val="18"/>
                <w:szCs w:val="18"/>
              </w:rPr>
            </w:pPr>
            <w:r>
              <w:rPr>
                <w:rFonts w:ascii="宋体" w:hAnsi="宋体" w:cs="宋体" w:eastAsia="宋体" w:hint="default"/>
                <w:sz w:val="18"/>
                <w:szCs w:val="18"/>
              </w:rPr>
              <w:t>任职人员姓名</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50" w:right="0"/>
              <w:jc w:val="left"/>
              <w:rPr>
                <w:rFonts w:ascii="宋体" w:hAnsi="宋体" w:cs="宋体" w:eastAsia="宋体" w:hint="default"/>
                <w:sz w:val="18"/>
                <w:szCs w:val="18"/>
              </w:rPr>
            </w:pPr>
            <w:r>
              <w:rPr>
                <w:rFonts w:ascii="宋体" w:hAnsi="宋体" w:cs="宋体" w:eastAsia="宋体" w:hint="default"/>
                <w:sz w:val="18"/>
                <w:szCs w:val="18"/>
              </w:rPr>
              <w:t>其他单位名称</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75" w:right="77"/>
              <w:jc w:val="left"/>
              <w:rPr>
                <w:rFonts w:ascii="宋体" w:hAnsi="宋体" w:cs="宋体" w:eastAsia="宋体" w:hint="default"/>
                <w:sz w:val="18"/>
                <w:szCs w:val="18"/>
              </w:rPr>
            </w:pPr>
            <w:r>
              <w:rPr>
                <w:rFonts w:ascii="宋体" w:hAnsi="宋体" w:cs="宋体" w:eastAsia="宋体" w:hint="default"/>
                <w:sz w:val="18"/>
                <w:szCs w:val="18"/>
              </w:rPr>
              <w:t>在其他单位 担任的职务</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2" w:right="0"/>
              <w:jc w:val="left"/>
              <w:rPr>
                <w:rFonts w:ascii="宋体" w:hAnsi="宋体" w:cs="宋体" w:eastAsia="宋体" w:hint="default"/>
                <w:sz w:val="18"/>
                <w:szCs w:val="18"/>
              </w:rPr>
            </w:pPr>
            <w:r>
              <w:rPr>
                <w:rFonts w:ascii="宋体" w:hAnsi="宋体" w:cs="宋体" w:eastAsia="宋体" w:hint="default"/>
                <w:sz w:val="18"/>
                <w:szCs w:val="18"/>
              </w:rPr>
              <w:t>任期起始日期</w:t>
            </w:r>
          </w:p>
        </w:tc>
        <w:tc>
          <w:tcPr>
            <w:tcW w:w="1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16" w:right="0"/>
              <w:jc w:val="left"/>
              <w:rPr>
                <w:rFonts w:ascii="宋体" w:hAnsi="宋体" w:cs="宋体" w:eastAsia="宋体" w:hint="default"/>
                <w:sz w:val="18"/>
                <w:szCs w:val="18"/>
              </w:rPr>
            </w:pPr>
            <w:r>
              <w:rPr>
                <w:rFonts w:ascii="宋体" w:hAnsi="宋体" w:cs="宋体" w:eastAsia="宋体" w:hint="default"/>
                <w:sz w:val="18"/>
                <w:szCs w:val="18"/>
              </w:rPr>
              <w:t>任期终止日期</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341" w:right="71" w:hanging="270"/>
              <w:jc w:val="left"/>
              <w:rPr>
                <w:rFonts w:ascii="宋体" w:hAnsi="宋体" w:cs="宋体" w:eastAsia="宋体" w:hint="default"/>
                <w:sz w:val="18"/>
                <w:szCs w:val="18"/>
              </w:rPr>
            </w:pPr>
            <w:r>
              <w:rPr>
                <w:rFonts w:ascii="宋体" w:hAnsi="宋体" w:cs="宋体" w:eastAsia="宋体" w:hint="default"/>
                <w:sz w:val="18"/>
                <w:szCs w:val="18"/>
              </w:rPr>
              <w:t>在其他单位是否领 取报酬津贴</w:t>
            </w:r>
          </w:p>
        </w:tc>
      </w:tr>
      <w:tr>
        <w:trPr>
          <w:trHeight w:val="402"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赵立三</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河北四通新型金属材料股份有限公司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赵立三</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河北大学管理学院</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pacing w:val="-13"/>
                <w:sz w:val="18"/>
                <w:szCs w:val="18"/>
              </w:rPr>
              <w:t>教授、博士生</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导师</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赵明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峨眉山旅游股份有限公司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赵明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深圳乐信控股有限公司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pStyle w:val="BodyText"/>
        <w:spacing w:line="240" w:lineRule="auto" w:before="51"/>
        <w:ind w:left="1134" w:right="0"/>
        <w:jc w:val="left"/>
      </w:pPr>
      <w:r>
        <w:rPr/>
        <w:t>公司现任及报告期内离任董事、监事和高级管理人员近三年证券监管机构处罚的情况</w:t>
      </w:r>
    </w:p>
    <w:p>
      <w:pPr>
        <w:pStyle w:val="BodyText"/>
        <w:spacing w:line="240" w:lineRule="auto" w:before="117"/>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四、董事、监事、高级管理人员报酬情况" w:id="126"/>
      <w:bookmarkEnd w:id="126"/>
      <w:r>
        <w:rPr>
          <w:b w:val="0"/>
          <w:bCs w:val="0"/>
        </w:rPr>
      </w:r>
      <w:r>
        <w:rPr/>
        <w:t>四、董事、监事、高级管理人员报酬情况</w:t>
      </w:r>
      <w:r>
        <w:rPr>
          <w:b w:val="0"/>
          <w:bCs w:val="0"/>
        </w:rPr>
      </w:r>
    </w:p>
    <w:p>
      <w:pPr>
        <w:spacing w:line="240" w:lineRule="auto" w:before="9"/>
        <w:rPr>
          <w:rFonts w:ascii="宋体" w:hAnsi="宋体" w:cs="宋体" w:eastAsia="宋体" w:hint="default"/>
          <w:b/>
          <w:bCs/>
          <w:sz w:val="26"/>
          <w:szCs w:val="26"/>
        </w:rPr>
      </w:pPr>
    </w:p>
    <w:p>
      <w:pPr>
        <w:pStyle w:val="BodyText"/>
        <w:spacing w:line="357" w:lineRule="auto"/>
        <w:ind w:left="1493" w:right="1033" w:hanging="360"/>
        <w:jc w:val="left"/>
      </w:pPr>
      <w:r>
        <w:rPr/>
        <w:t>董事、监事、高级管理人员报酬的决策程序、确定依据、实际支付情况 董事、监事、高级管理人员报酬的决策程序：公司董事、监事报酬由股东大会决定，高级管理人员报酬由董事会决定，</w:t>
      </w:r>
    </w:p>
    <w:p>
      <w:pPr>
        <w:pStyle w:val="BodyText"/>
        <w:spacing w:line="224" w:lineRule="exact"/>
        <w:ind w:right="0"/>
        <w:jc w:val="left"/>
      </w:pPr>
      <w:r>
        <w:rPr/>
        <w:t>在公司履职的董事、监事和高级管理人员按具体职务领取薪酬。</w:t>
      </w:r>
    </w:p>
    <w:p>
      <w:pPr>
        <w:pStyle w:val="BodyText"/>
        <w:spacing w:line="316" w:lineRule="auto" w:before="76"/>
        <w:ind w:left="1134" w:right="0" w:firstLine="360"/>
        <w:jc w:val="left"/>
      </w:pPr>
      <w:r>
        <w:rPr>
          <w:spacing w:val="-2"/>
        </w:rPr>
        <w:t>董事、监事、高级管理人员报酬确定依据：董事、监事和高级管理人员的报酬按照公司董事会《薪酬与考核委员会工作</w:t>
      </w:r>
      <w:r>
        <w:rPr/>
        <w:t> 细则》的规定，结合其经营绩效、工作能力等考核确定并发放。</w:t>
      </w:r>
    </w:p>
    <w:p>
      <w:pPr>
        <w:pStyle w:val="BodyText"/>
        <w:spacing w:line="240" w:lineRule="auto" w:before="19"/>
        <w:ind w:left="1494" w:right="0"/>
        <w:jc w:val="left"/>
      </w:pPr>
      <w:r>
        <w:rPr/>
        <w:t>董事、监事和高级管理人员报酬的实际支付情况：报告期内，公司已向董事、监事及管理人员全额支付薪酬。</w:t>
      </w:r>
    </w:p>
    <w:p>
      <w:pPr>
        <w:spacing w:line="240" w:lineRule="auto" w:before="5"/>
        <w:rPr>
          <w:rFonts w:ascii="宋体" w:hAnsi="宋体" w:cs="宋体" w:eastAsia="宋体" w:hint="default"/>
          <w:sz w:val="29"/>
          <w:szCs w:val="29"/>
        </w:rPr>
      </w:pPr>
    </w:p>
    <w:p>
      <w:pPr>
        <w:pStyle w:val="BodyText"/>
        <w:spacing w:line="240" w:lineRule="auto" w:before="44"/>
        <w:ind w:right="0"/>
        <w:jc w:val="left"/>
      </w:pPr>
      <w:r>
        <w:rPr/>
        <w:t>公司报告期内董事、监事和高级管理人员报酬情况</w:t>
      </w:r>
    </w:p>
    <w:p>
      <w:pPr>
        <w:pStyle w:val="BodyText"/>
        <w:spacing w:line="240" w:lineRule="auto" w:before="117"/>
        <w:ind w:left="0" w:right="1130"/>
        <w:jc w:val="right"/>
      </w:pPr>
      <w:r>
        <w:rPr/>
        <w:t>单位：万元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370"/>
        <w:gridCol w:w="1367"/>
        <w:gridCol w:w="1367"/>
        <w:gridCol w:w="1367"/>
        <w:gridCol w:w="1368"/>
        <w:gridCol w:w="1367"/>
        <w:gridCol w:w="1367"/>
      </w:tblGrid>
      <w:tr>
        <w:trPr>
          <w:trHeight w:val="713" w:hRule="exact"/>
        </w:trPr>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职务</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性别</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年龄</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8" w:right="47" w:hanging="181"/>
              <w:jc w:val="left"/>
              <w:rPr>
                <w:rFonts w:ascii="宋体" w:hAnsi="宋体" w:cs="宋体" w:eastAsia="宋体" w:hint="default"/>
                <w:sz w:val="18"/>
                <w:szCs w:val="18"/>
              </w:rPr>
            </w:pPr>
            <w:r>
              <w:rPr>
                <w:rFonts w:ascii="宋体" w:hAnsi="宋体" w:cs="宋体" w:eastAsia="宋体" w:hint="default"/>
                <w:sz w:val="18"/>
                <w:szCs w:val="18"/>
              </w:rPr>
              <w:t>从公司获得的税 前报酬总额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7" w:right="47" w:hanging="180"/>
              <w:jc w:val="left"/>
              <w:rPr>
                <w:rFonts w:ascii="宋体" w:hAnsi="宋体" w:cs="宋体" w:eastAsia="宋体" w:hint="default"/>
                <w:sz w:val="18"/>
                <w:szCs w:val="18"/>
              </w:rPr>
            </w:pPr>
            <w:r>
              <w:rPr>
                <w:rFonts w:ascii="宋体" w:hAnsi="宋体" w:cs="宋体" w:eastAsia="宋体" w:hint="default"/>
                <w:sz w:val="18"/>
                <w:szCs w:val="18"/>
              </w:rPr>
              <w:t>是否在公司关联 方获取报酬</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李玉国</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53.99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陈荣强</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董事、总经理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41.44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范朝</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董事、副总经理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33.7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李国壁</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董事、财务总监</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17.37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董岩</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闫成德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赵立三</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3.07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赵明</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3.07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王健</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3.07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高峰</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8.7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王强</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王意勤</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6.6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付国印</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29.98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王少军</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董事会秘书</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20.01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1370"/>
        <w:gridCol w:w="1367"/>
        <w:gridCol w:w="1367"/>
        <w:gridCol w:w="1367"/>
        <w:gridCol w:w="1368"/>
        <w:gridCol w:w="1367"/>
        <w:gridCol w:w="1367"/>
      </w:tblGrid>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梁常清</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15.99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庞贵永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陈爱珍</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杜新平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张文</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张华</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7.86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299.75</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left="1134" w:right="0"/>
        <w:jc w:val="left"/>
      </w:pPr>
      <w:r>
        <w:rPr/>
        <w:t>公司董事、高级管理人员报告期内被授予的股权激励情况</w:t>
      </w:r>
    </w:p>
    <w:p>
      <w:pPr>
        <w:pStyle w:val="BodyText"/>
        <w:spacing w:line="240" w:lineRule="auto" w:before="117"/>
        <w:ind w:left="113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五、公司员工情况" w:id="127"/>
      <w:bookmarkEnd w:id="127"/>
      <w:r>
        <w:rPr>
          <w:b w:val="0"/>
          <w:bCs w:val="0"/>
        </w:rPr>
      </w:r>
      <w:r>
        <w:rPr/>
        <w:t>五、公司员工情况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1、员工数量、专业构成及教育程度" w:id="128"/>
      <w:bookmarkEnd w:id="128"/>
      <w:r>
        <w:rPr>
          <w:b w:val="0"/>
          <w:bCs w:val="0"/>
        </w:rPr>
      </w:r>
      <w:r>
        <w:rPr>
          <w:rFonts w:ascii="Times New Roman" w:hAnsi="Times New Roman" w:cs="Times New Roman" w:eastAsia="Times New Roman" w:hint="default"/>
        </w:rPr>
        <w:t>1</w:t>
      </w:r>
      <w:r>
        <w:rPr/>
        <w:t>、员工数量、专业构成及教育程度</w:t>
      </w:r>
      <w:r>
        <w:rPr>
          <w:b w:val="0"/>
          <w:bCs w:val="0"/>
        </w:rPr>
      </w:r>
    </w:p>
    <w:p>
      <w:pPr>
        <w:spacing w:line="240" w:lineRule="auto" w:before="9"/>
        <w:rPr>
          <w:rFonts w:ascii="宋体" w:hAnsi="宋体" w:cs="宋体" w:eastAsia="宋体" w:hint="default"/>
          <w:b/>
          <w:bCs/>
          <w:sz w:val="25"/>
          <w:szCs w:val="25"/>
        </w:rPr>
      </w:pPr>
    </w:p>
    <w:tbl>
      <w:tblPr>
        <w:tblW w:w="0" w:type="auto"/>
        <w:jc w:val="left"/>
        <w:tblInd w:w="1140" w:type="dxa"/>
        <w:tblLayout w:type="fixed"/>
        <w:tblCellMar>
          <w:top w:w="0" w:type="dxa"/>
          <w:left w:w="0" w:type="dxa"/>
          <w:bottom w:w="0" w:type="dxa"/>
          <w:right w:w="0" w:type="dxa"/>
        </w:tblCellMar>
        <w:tblLook w:val="01E0"/>
      </w:tblPr>
      <w:tblGrid>
        <w:gridCol w:w="4766"/>
        <w:gridCol w:w="4792"/>
      </w:tblGrid>
      <w:tr>
        <w:trPr>
          <w:trHeight w:val="402"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母公司在职员工的数量（人）</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1,113</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主要子公司在职员工的数量（人）</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478</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在职员工的数量合计（人）</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1,591</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当期领取薪酬员工总人数（人）</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1,591</w:t>
            </w:r>
          </w:p>
        </w:tc>
      </w:tr>
      <w:tr>
        <w:trPr>
          <w:trHeight w:val="407"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母公司及主要子公司需承担费用的离退休职工人数（人）</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392" w:hRule="exact"/>
        </w:trPr>
        <w:tc>
          <w:tcPr>
            <w:tcW w:w="955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 w:right="10"/>
              <w:jc w:val="center"/>
              <w:rPr>
                <w:rFonts w:ascii="宋体" w:hAnsi="宋体" w:cs="宋体" w:eastAsia="宋体" w:hint="default"/>
                <w:sz w:val="18"/>
                <w:szCs w:val="18"/>
              </w:rPr>
            </w:pPr>
            <w:r>
              <w:rPr>
                <w:rFonts w:ascii="宋体" w:hAnsi="宋体" w:cs="宋体" w:eastAsia="宋体" w:hint="default"/>
                <w:sz w:val="18"/>
                <w:szCs w:val="18"/>
              </w:rPr>
              <w:t>专业构成</w:t>
            </w:r>
          </w:p>
        </w:tc>
      </w:tr>
      <w:tr>
        <w:trPr>
          <w:trHeight w:val="407"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 w:right="2"/>
              <w:jc w:val="center"/>
              <w:rPr>
                <w:rFonts w:ascii="宋体" w:hAnsi="宋体" w:cs="宋体" w:eastAsia="宋体" w:hint="default"/>
                <w:sz w:val="18"/>
                <w:szCs w:val="18"/>
              </w:rPr>
            </w:pPr>
            <w:r>
              <w:rPr>
                <w:rFonts w:ascii="宋体" w:hAnsi="宋体" w:cs="宋体" w:eastAsia="宋体" w:hint="default"/>
                <w:sz w:val="18"/>
                <w:szCs w:val="18"/>
              </w:rPr>
              <w:t>专业构成类别</w:t>
            </w:r>
          </w:p>
        </w:tc>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584" w:right="0"/>
              <w:jc w:val="left"/>
              <w:rPr>
                <w:rFonts w:ascii="宋体" w:hAnsi="宋体" w:cs="宋体" w:eastAsia="宋体" w:hint="default"/>
                <w:sz w:val="18"/>
                <w:szCs w:val="18"/>
              </w:rPr>
            </w:pPr>
            <w:r>
              <w:rPr>
                <w:rFonts w:ascii="宋体" w:hAnsi="宋体" w:cs="宋体" w:eastAsia="宋体" w:hint="default"/>
                <w:sz w:val="18"/>
                <w:szCs w:val="18"/>
              </w:rPr>
              <w:t>专业构成人数（人）</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生产人员</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141</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销售人员</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141</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技术人员</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1,124</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财务人员</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26</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行政人员</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159</w:t>
            </w:r>
          </w:p>
        </w:tc>
      </w:tr>
      <w:tr>
        <w:trPr>
          <w:trHeight w:val="407"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1,591</w:t>
            </w:r>
          </w:p>
        </w:tc>
      </w:tr>
      <w:tr>
        <w:trPr>
          <w:trHeight w:val="392" w:hRule="exact"/>
        </w:trPr>
        <w:tc>
          <w:tcPr>
            <w:tcW w:w="955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 w:right="10"/>
              <w:jc w:val="center"/>
              <w:rPr>
                <w:rFonts w:ascii="宋体" w:hAnsi="宋体" w:cs="宋体" w:eastAsia="宋体" w:hint="default"/>
                <w:sz w:val="18"/>
                <w:szCs w:val="18"/>
              </w:rPr>
            </w:pPr>
            <w:r>
              <w:rPr>
                <w:rFonts w:ascii="宋体" w:hAnsi="宋体" w:cs="宋体" w:eastAsia="宋体" w:hint="default"/>
                <w:sz w:val="18"/>
                <w:szCs w:val="18"/>
              </w:rPr>
              <w:t>教育程度</w:t>
            </w:r>
          </w:p>
        </w:tc>
      </w:tr>
      <w:tr>
        <w:trPr>
          <w:trHeight w:val="407"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1" w:right="0"/>
              <w:jc w:val="left"/>
              <w:rPr>
                <w:rFonts w:ascii="宋体" w:hAnsi="宋体" w:cs="宋体" w:eastAsia="宋体" w:hint="default"/>
                <w:sz w:val="18"/>
                <w:szCs w:val="18"/>
              </w:rPr>
            </w:pPr>
            <w:r>
              <w:rPr>
                <w:rFonts w:ascii="宋体" w:hAnsi="宋体" w:cs="宋体" w:eastAsia="宋体" w:hint="default"/>
                <w:sz w:val="18"/>
                <w:szCs w:val="18"/>
              </w:rPr>
              <w:t>教育程度类别</w:t>
            </w:r>
          </w:p>
        </w:tc>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30" w:right="0"/>
              <w:jc w:val="left"/>
              <w:rPr>
                <w:rFonts w:ascii="宋体" w:hAnsi="宋体" w:cs="宋体" w:eastAsia="宋体" w:hint="default"/>
                <w:sz w:val="18"/>
                <w:szCs w:val="18"/>
              </w:rPr>
            </w:pPr>
            <w:r>
              <w:rPr>
                <w:rFonts w:ascii="宋体" w:hAnsi="宋体" w:cs="宋体" w:eastAsia="宋体" w:hint="default"/>
                <w:sz w:val="18"/>
                <w:szCs w:val="18"/>
              </w:rPr>
              <w:t>数量（人）</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硕士及以上</w:t>
            </w:r>
          </w:p>
        </w:tc>
        <w:tc>
          <w:tcPr>
            <w:tcW w:w="4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96</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本科</w:t>
            </w:r>
          </w:p>
        </w:tc>
        <w:tc>
          <w:tcPr>
            <w:tcW w:w="4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512</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大专</w:t>
            </w:r>
          </w:p>
        </w:tc>
        <w:tc>
          <w:tcPr>
            <w:tcW w:w="4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751</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中专及以下</w:t>
            </w:r>
          </w:p>
        </w:tc>
        <w:tc>
          <w:tcPr>
            <w:tcW w:w="4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232</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1,591</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10"/>
        <w:rPr>
          <w:rFonts w:ascii="宋体" w:hAnsi="宋体" w:cs="宋体" w:eastAsia="宋体" w:hint="default"/>
          <w:b/>
          <w:bCs/>
          <w:sz w:val="24"/>
          <w:szCs w:val="24"/>
        </w:rPr>
      </w:pPr>
    </w:p>
    <w:p>
      <w:pPr>
        <w:pStyle w:val="Heading3"/>
        <w:spacing w:line="240" w:lineRule="auto" w:before="35"/>
        <w:ind w:right="0"/>
        <w:jc w:val="left"/>
        <w:rPr>
          <w:b w:val="0"/>
          <w:bCs w:val="0"/>
        </w:rPr>
      </w:pPr>
      <w:bookmarkStart w:name="2、薪酬政策" w:id="129"/>
      <w:bookmarkEnd w:id="129"/>
      <w:r>
        <w:rPr>
          <w:b w:val="0"/>
          <w:bCs w:val="0"/>
        </w:rPr>
      </w:r>
      <w:r>
        <w:rPr>
          <w:rFonts w:ascii="Times New Roman" w:hAnsi="Times New Roman" w:cs="Times New Roman" w:eastAsia="Times New Roman" w:hint="default"/>
        </w:rPr>
        <w:t>2</w:t>
      </w:r>
      <w:r>
        <w:rPr/>
        <w:t>、薪酬政策</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493" w:right="0"/>
        <w:jc w:val="left"/>
      </w:pPr>
      <w:r>
        <w:rPr/>
        <w:t>薪酬制定原则：</w:t>
      </w:r>
    </w:p>
    <w:p>
      <w:pPr>
        <w:pStyle w:val="BodyText"/>
        <w:spacing w:line="240" w:lineRule="auto" w:before="76"/>
        <w:ind w:left="1493" w:right="0"/>
        <w:jc w:val="left"/>
      </w:pPr>
      <w:r>
        <w:rPr>
          <w:rFonts w:ascii="Times New Roman" w:hAnsi="Times New Roman" w:cs="Times New Roman" w:eastAsia="Times New Roman" w:hint="default"/>
        </w:rPr>
        <w:t>1</w:t>
      </w:r>
      <w:r>
        <w:rPr/>
        <w:t>、效率优先，兼顾公平的原则；</w:t>
      </w:r>
    </w:p>
    <w:p>
      <w:pPr>
        <w:pStyle w:val="BodyText"/>
        <w:spacing w:line="240" w:lineRule="auto" w:before="63"/>
        <w:ind w:left="1493" w:right="0"/>
        <w:jc w:val="left"/>
      </w:pPr>
      <w:r>
        <w:rPr>
          <w:rFonts w:ascii="Times New Roman" w:hAnsi="Times New Roman" w:cs="Times New Roman" w:eastAsia="Times New Roman" w:hint="default"/>
        </w:rPr>
        <w:t>2</w:t>
      </w:r>
      <w:r>
        <w:rPr/>
        <w:t>、团队绩效及个人绩效与薪酬分配紧密结合的原则；</w:t>
      </w:r>
    </w:p>
    <w:p>
      <w:pPr>
        <w:pStyle w:val="BodyText"/>
        <w:spacing w:line="240" w:lineRule="auto" w:before="63"/>
        <w:ind w:left="1494" w:right="0"/>
        <w:jc w:val="left"/>
      </w:pPr>
      <w:r>
        <w:rPr>
          <w:rFonts w:ascii="Times New Roman" w:hAnsi="Times New Roman" w:cs="Times New Roman" w:eastAsia="Times New Roman" w:hint="default"/>
        </w:rPr>
        <w:t>3</w:t>
      </w:r>
      <w:r>
        <w:rPr/>
        <w:t>、员工工资增长与公司经营发展和效益提高相适应的原则；</w:t>
      </w:r>
    </w:p>
    <w:p>
      <w:pPr>
        <w:pStyle w:val="BodyText"/>
        <w:spacing w:line="240" w:lineRule="auto" w:before="63"/>
        <w:ind w:left="1494" w:right="0"/>
        <w:jc w:val="left"/>
      </w:pPr>
      <w:r>
        <w:rPr>
          <w:rFonts w:ascii="Times New Roman" w:hAnsi="Times New Roman" w:cs="Times New Roman" w:eastAsia="Times New Roman" w:hint="default"/>
        </w:rPr>
        <w:t>4</w:t>
      </w:r>
      <w:r>
        <w:rPr/>
        <w:t>、保持外部竞争力的原则。</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13"/>
          <w:szCs w:val="13"/>
        </w:rPr>
      </w:pPr>
    </w:p>
    <w:p>
      <w:pPr>
        <w:pStyle w:val="Heading3"/>
        <w:spacing w:line="240" w:lineRule="auto"/>
        <w:ind w:right="0"/>
        <w:jc w:val="left"/>
        <w:rPr>
          <w:b w:val="0"/>
          <w:bCs w:val="0"/>
        </w:rPr>
      </w:pPr>
      <w:bookmarkStart w:name="3、培训计划" w:id="130"/>
      <w:bookmarkEnd w:id="130"/>
      <w:r>
        <w:rPr>
          <w:b w:val="0"/>
          <w:bCs w:val="0"/>
        </w:rPr>
      </w:r>
      <w:r>
        <w:rPr>
          <w:rFonts w:ascii="Times New Roman" w:hAnsi="Times New Roman" w:cs="Times New Roman" w:eastAsia="Times New Roman" w:hint="default"/>
        </w:rPr>
        <w:t>3</w:t>
      </w:r>
      <w:r>
        <w:rPr/>
        <w:t>、培训计划</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0" w:firstLine="360"/>
        <w:jc w:val="left"/>
      </w:pPr>
      <w:r>
        <w:rPr>
          <w:spacing w:val="-2"/>
        </w:rPr>
        <w:t>公司致力于加强人才队伍建设，加大培训投入，提高员工素质。通过不断完善培训管理制度，建立了多种培训渠道，报</w:t>
      </w:r>
      <w:r>
        <w:rPr/>
        <w:t> </w:t>
      </w:r>
      <w:r>
        <w:rPr>
          <w:spacing w:val="-4"/>
        </w:rPr>
        <w:t>告期内公司为员工开通云学堂，供员工随时学习知识。并且公司不定期举办培训活动，请公司内训讲师、外部讲师讲授课程，</w:t>
      </w:r>
      <w:r>
        <w:rPr>
          <w:spacing w:val="-46"/>
        </w:rPr>
        <w:t> </w:t>
      </w:r>
      <w:r>
        <w:rPr>
          <w:spacing w:val="-46"/>
        </w:rPr>
      </w:r>
      <w:r>
        <w:rPr/>
        <w:t>拓展了员工职业发展渠道，满足员工个人能力和职业发展的需求，实现企业和员工的双赢。</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3"/>
        <w:spacing w:line="240" w:lineRule="auto" w:before="135"/>
        <w:ind w:right="0"/>
        <w:jc w:val="left"/>
        <w:rPr>
          <w:b w:val="0"/>
          <w:bCs w:val="0"/>
        </w:rPr>
      </w:pPr>
      <w:bookmarkStart w:name="4、劳务外包情况" w:id="131"/>
      <w:bookmarkEnd w:id="131"/>
      <w:r>
        <w:rPr>
          <w:b w:val="0"/>
          <w:bCs w:val="0"/>
        </w:rPr>
      </w:r>
      <w:r>
        <w:rPr>
          <w:rFonts w:ascii="Times New Roman" w:hAnsi="Times New Roman" w:cs="Times New Roman" w:eastAsia="Times New Roman" w:hint="default"/>
        </w:rPr>
        <w:t>4</w:t>
      </w:r>
      <w:r>
        <w:rPr/>
        <w:t>、劳务外包情况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13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79" w:top="1060" w:bottom="1160" w:left="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right="816"/>
        <w:jc w:val="center"/>
        <w:rPr>
          <w:b w:val="0"/>
          <w:bCs w:val="0"/>
        </w:rPr>
      </w:pPr>
      <w:bookmarkStart w:name="第九节 公司治理" w:id="132"/>
      <w:bookmarkEnd w:id="132"/>
      <w:r>
        <w:rPr>
          <w:b w:val="0"/>
          <w:bCs w:val="0"/>
        </w:rPr>
      </w:r>
      <w:bookmarkStart w:name="_bookmark8" w:id="133"/>
      <w:bookmarkEnd w:id="133"/>
      <w:r>
        <w:rPr>
          <w:b w:val="0"/>
          <w:bCs w:val="0"/>
        </w:rPr>
      </w:r>
      <w:r>
        <w:rPr/>
        <w:t>第九节</w:t>
      </w:r>
      <w:r>
        <w:rPr>
          <w:spacing w:val="-5"/>
        </w:rPr>
        <w:t> </w:t>
      </w:r>
      <w:r>
        <w:rPr/>
        <w:t>公司治理</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both"/>
        <w:rPr>
          <w:b w:val="0"/>
          <w:bCs w:val="0"/>
        </w:rPr>
      </w:pPr>
      <w:bookmarkStart w:name="一、公司治理的基本状况" w:id="134"/>
      <w:bookmarkEnd w:id="134"/>
      <w:r>
        <w:rPr>
          <w:b w:val="0"/>
          <w:bCs w:val="0"/>
        </w:rPr>
      </w:r>
      <w:r>
        <w:rPr/>
        <w:t>一、公司治理的基本状况</w:t>
      </w:r>
      <w:r>
        <w:rPr>
          <w:b w:val="0"/>
          <w:bCs w:val="0"/>
        </w:rPr>
      </w:r>
    </w:p>
    <w:p>
      <w:pPr>
        <w:spacing w:line="240" w:lineRule="auto" w:before="6"/>
        <w:rPr>
          <w:rFonts w:ascii="宋体" w:hAnsi="宋体" w:cs="宋体" w:eastAsia="宋体" w:hint="default"/>
          <w:b/>
          <w:bCs/>
          <w:sz w:val="26"/>
          <w:szCs w:val="26"/>
        </w:rPr>
      </w:pPr>
    </w:p>
    <w:p>
      <w:pPr>
        <w:pStyle w:val="BodyText"/>
        <w:spacing w:line="316" w:lineRule="auto"/>
        <w:ind w:right="1132" w:firstLine="360"/>
        <w:jc w:val="both"/>
      </w:pPr>
      <w:r>
        <w:rPr>
          <w:spacing w:val="-2"/>
        </w:rPr>
        <w:t>报告期内，公司严格按照《公司法》、《证券法》、中国证监会《上市公司治理准则》、《深圳证券交易所创业板股票</w:t>
      </w:r>
      <w:r>
        <w:rPr/>
        <w:t> 上市规则》、《深圳证券交易所创业板上市公司规范运作指引》等有关法律法规、规范性文件的要求，</w:t>
      </w:r>
      <w:r>
        <w:rPr>
          <w:spacing w:val="-18"/>
        </w:rPr>
        <w:t> </w:t>
      </w:r>
      <w:r>
        <w:rPr/>
        <w:t>不断完善由股东大</w:t>
      </w:r>
      <w:r>
        <w:rPr/>
        <w:t> </w:t>
      </w:r>
      <w:r>
        <w:rPr>
          <w:spacing w:val="-2"/>
        </w:rPr>
        <w:t>会、董事会、监事会和经营管理层组成的公司治理结构，加强公司内部管理和控制制度，促进了公司规范运作，进一步提高</w:t>
      </w:r>
      <w:r>
        <w:rPr>
          <w:spacing w:val="-66"/>
        </w:rPr>
        <w:t> </w:t>
      </w:r>
      <w:r>
        <w:rPr>
          <w:spacing w:val="-66"/>
        </w:rPr>
      </w:r>
      <w:r>
        <w:rPr>
          <w:spacing w:val="-2"/>
        </w:rPr>
        <w:t>了公司治理水平。截至本报告期末，公司治理的实际状况基本符合中国证监会《上市公司治理准则》和《深圳证券交易所创</w:t>
      </w:r>
      <w:r>
        <w:rPr>
          <w:spacing w:val="-66"/>
        </w:rPr>
        <w:t> </w:t>
      </w:r>
      <w:r>
        <w:rPr>
          <w:spacing w:val="-66"/>
        </w:rPr>
      </w:r>
      <w:r>
        <w:rPr/>
        <w:t>业板上市公司规范运作指引》的要求。</w:t>
      </w:r>
    </w:p>
    <w:p>
      <w:pPr>
        <w:pStyle w:val="BodyText"/>
        <w:spacing w:line="300" w:lineRule="auto" w:before="19"/>
        <w:ind w:left="1494" w:right="0"/>
        <w:jc w:val="left"/>
      </w:pPr>
      <w:r>
        <w:rPr>
          <w:rFonts w:ascii="Times New Roman" w:hAnsi="Times New Roman" w:cs="Times New Roman" w:eastAsia="Times New Roman" w:hint="default"/>
        </w:rPr>
        <w:t>1</w:t>
      </w:r>
      <w:r>
        <w:rPr/>
        <w:t>、关于股东与股东大会 </w:t>
      </w:r>
      <w:r>
        <w:rPr>
          <w:spacing w:val="-2"/>
        </w:rPr>
        <w:t>公司严格按照《公司法》、《上市公司股东大会规则》以及《公司章程》、《股东大会议事规则》和深圳证券交易所创</w:t>
      </w:r>
    </w:p>
    <w:p>
      <w:pPr>
        <w:pStyle w:val="BodyText"/>
        <w:spacing w:line="316" w:lineRule="auto" w:before="31"/>
        <w:ind w:left="1134" w:right="1131"/>
        <w:jc w:val="both"/>
      </w:pPr>
      <w:r>
        <w:rPr>
          <w:spacing w:val="-2"/>
        </w:rPr>
        <w:t>业板的相关规定和要求，规范股东大会的召集、召开和表决程序，并聘请律师对股东大会的合法性出具法律意见书，平等对</w:t>
      </w:r>
      <w:r>
        <w:rPr>
          <w:spacing w:val="-66"/>
        </w:rPr>
        <w:t> </w:t>
      </w:r>
      <w:r>
        <w:rPr>
          <w:spacing w:val="-66"/>
        </w:rPr>
      </w:r>
      <w:r>
        <w:rPr>
          <w:spacing w:val="-2"/>
        </w:rPr>
        <w:t>待所有股东，并尽可能为股东参加股东大会提供便利，开通网络投票，确保股东的合法权益，特别是中小股东能充分行使股</w:t>
      </w:r>
      <w:r>
        <w:rPr>
          <w:spacing w:val="-66"/>
        </w:rPr>
        <w:t> </w:t>
      </w:r>
      <w:r>
        <w:rPr>
          <w:spacing w:val="-66"/>
        </w:rPr>
      </w:r>
      <w:r>
        <w:rPr/>
        <w:t>东权利。</w:t>
      </w:r>
    </w:p>
    <w:p>
      <w:pPr>
        <w:pStyle w:val="BodyText"/>
        <w:spacing w:line="300" w:lineRule="auto" w:before="19"/>
        <w:ind w:left="1494" w:right="0"/>
        <w:jc w:val="left"/>
      </w:pPr>
      <w:r>
        <w:rPr>
          <w:rFonts w:ascii="Times New Roman" w:hAnsi="Times New Roman" w:cs="Times New Roman" w:eastAsia="Times New Roman" w:hint="default"/>
        </w:rPr>
        <w:t>2</w:t>
      </w:r>
      <w:r>
        <w:rPr/>
        <w:t>、关于公司与控股股东、实际控制人 </w:t>
      </w:r>
      <w:r>
        <w:rPr>
          <w:spacing w:val="-2"/>
        </w:rPr>
        <w:t>公司拥有独立完整的主营业务和自主经营能力，在人员、资产、业务、管理机构、财务核算体系上独立于控股股东和实</w:t>
      </w:r>
    </w:p>
    <w:p>
      <w:pPr>
        <w:pStyle w:val="BodyText"/>
        <w:spacing w:line="316" w:lineRule="auto" w:before="31"/>
        <w:ind w:left="1134" w:right="1130"/>
        <w:jc w:val="both"/>
      </w:pPr>
      <w:r>
        <w:rPr>
          <w:spacing w:val="-2"/>
        </w:rPr>
        <w:t>际控制人，能够独立运作、独立经营、独立承担责任和风险。公司控股股东、实际控制人行为规范，依法行使其权力并承担</w:t>
      </w:r>
      <w:r>
        <w:rPr>
          <w:spacing w:val="-68"/>
        </w:rPr>
        <w:t> </w:t>
      </w:r>
      <w:r>
        <w:rPr>
          <w:spacing w:val="-68"/>
        </w:rPr>
      </w:r>
      <w:r>
        <w:rPr/>
        <w:t>相应义务，没有超越股东大会、董事会直接或间接干预公</w:t>
      </w:r>
      <w:r>
        <w:rPr>
          <w:spacing w:val="-18"/>
        </w:rPr>
        <w:t> </w:t>
      </w:r>
      <w:r>
        <w:rPr/>
        <w:t>司的决策和经营活动。报告期内，不存在控股股东、实际控制人</w:t>
      </w:r>
      <w:r>
        <w:rPr/>
        <w:t> 占用公司资金的现象，公司亦不存在为控股股东、实际控制人提供担保的情形。</w:t>
      </w:r>
    </w:p>
    <w:p>
      <w:pPr>
        <w:pStyle w:val="BodyText"/>
        <w:spacing w:line="300" w:lineRule="auto" w:before="19"/>
        <w:ind w:left="1639" w:right="0" w:hanging="146"/>
        <w:jc w:val="left"/>
      </w:pPr>
      <w:r>
        <w:rPr>
          <w:rFonts w:ascii="Times New Roman" w:hAnsi="Times New Roman" w:cs="Times New Roman" w:eastAsia="Times New Roman" w:hint="default"/>
        </w:rPr>
        <w:t>3</w:t>
      </w:r>
      <w:r>
        <w:rPr/>
        <w:t>、关于董事和董事会 </w:t>
      </w:r>
      <w:r>
        <w:rPr>
          <w:spacing w:val="-3"/>
        </w:rPr>
        <w:t>公司董事会成员任免均严格履行董事会、股东大会批准程序，不存在与相关法律、法规，《公司章程》相抵触的情形。</w:t>
      </w:r>
    </w:p>
    <w:p>
      <w:pPr>
        <w:pStyle w:val="BodyText"/>
        <w:spacing w:line="316" w:lineRule="auto" w:before="31"/>
        <w:ind w:left="1134" w:right="1133"/>
        <w:jc w:val="both"/>
      </w:pPr>
      <w:r>
        <w:rPr>
          <w:spacing w:val="-2"/>
        </w:rPr>
        <w:t>各位董事能够依据《董事会议事规则》、《独立董事工作制度》、《深圳证券交易所创业板上市公司规范运作指引》等开展</w:t>
      </w:r>
      <w:r>
        <w:rPr>
          <w:spacing w:val="-67"/>
        </w:rPr>
        <w:t> </w:t>
      </w:r>
      <w:r>
        <w:rPr>
          <w:spacing w:val="-67"/>
        </w:rPr>
      </w:r>
      <w:r>
        <w:rPr>
          <w:spacing w:val="-2"/>
        </w:rPr>
        <w:t>工作，出席董事会、董事会专门委员会和股东大会，勤勉尽责地履行职责和义务，同时积极参加相关培训，熟悉相关法律法</w:t>
      </w:r>
      <w:r>
        <w:rPr>
          <w:spacing w:val="-66"/>
        </w:rPr>
        <w:t> </w:t>
      </w:r>
      <w:r>
        <w:rPr>
          <w:spacing w:val="-66"/>
        </w:rPr>
      </w:r>
      <w:r>
        <w:rPr/>
        <w:t>规。</w:t>
      </w:r>
    </w:p>
    <w:p>
      <w:pPr>
        <w:pStyle w:val="BodyText"/>
        <w:spacing w:line="316" w:lineRule="auto" w:before="19"/>
        <w:ind w:left="1134" w:right="1130" w:firstLine="360"/>
        <w:jc w:val="both"/>
      </w:pPr>
      <w:r>
        <w:rPr>
          <w:spacing w:val="-2"/>
        </w:rPr>
        <w:t>公司董事会会议的召集、召开等程序均符合相关规定的要求；董事会会议记录内容真实、准确、完整，保存安全；会议</w:t>
      </w:r>
      <w:r>
        <w:rPr/>
        <w:t> </w:t>
      </w:r>
      <w:r>
        <w:rPr>
          <w:spacing w:val="-2"/>
        </w:rPr>
        <w:t>决议做到充分准确且及时披露。公司按照《深圳证券交易所创业板上市公司规范运作指引》的要求，下设有战略委员会、薪</w:t>
      </w:r>
      <w:r>
        <w:rPr>
          <w:spacing w:val="-64"/>
        </w:rPr>
        <w:t> </w:t>
      </w:r>
      <w:r>
        <w:rPr>
          <w:spacing w:val="-64"/>
        </w:rPr>
      </w:r>
      <w:r>
        <w:rPr>
          <w:spacing w:val="-2"/>
        </w:rPr>
        <w:t>酬与考核委员会、审计委员会和提名委员会四个专门委员会。各委员会依据《公司章程》和各委员会议事规则的规定履行职</w:t>
      </w:r>
      <w:r>
        <w:rPr>
          <w:spacing w:val="-66"/>
        </w:rPr>
        <w:t> </w:t>
      </w:r>
      <w:r>
        <w:rPr>
          <w:spacing w:val="-66"/>
        </w:rPr>
      </w:r>
      <w:r>
        <w:rPr/>
        <w:t>权，不受公司任何其他部门和个人的干预。</w:t>
      </w:r>
    </w:p>
    <w:p>
      <w:pPr>
        <w:pStyle w:val="BodyText"/>
        <w:spacing w:line="300" w:lineRule="auto" w:before="19"/>
        <w:ind w:left="1567" w:right="1139" w:hanging="74"/>
        <w:jc w:val="left"/>
      </w:pPr>
      <w:r>
        <w:rPr>
          <w:rFonts w:ascii="Times New Roman" w:hAnsi="Times New Roman" w:cs="Times New Roman" w:eastAsia="Times New Roman" w:hint="default"/>
        </w:rPr>
        <w:t>4</w:t>
      </w:r>
      <w:r>
        <w:rPr/>
        <w:t>、关于监事和监事会 公司监事会设监事</w:t>
      </w:r>
      <w:r>
        <w:rPr>
          <w:rFonts w:ascii="Times New Roman" w:hAnsi="Times New Roman" w:cs="Times New Roman" w:eastAsia="Times New Roman" w:hint="default"/>
        </w:rPr>
        <w:t>3</w:t>
      </w:r>
      <w:r>
        <w:rPr/>
        <w:t>名，其中职工代表监事</w:t>
      </w:r>
      <w:r>
        <w:rPr>
          <w:rFonts w:ascii="Times New Roman" w:hAnsi="Times New Roman" w:cs="Times New Roman" w:eastAsia="Times New Roman" w:hint="default"/>
        </w:rPr>
        <w:t>1</w:t>
      </w:r>
      <w:r>
        <w:rPr/>
        <w:t>名，其任职资格符合相关法律、法规及《公司章程》的相关要求。各位监</w:t>
      </w:r>
    </w:p>
    <w:p>
      <w:pPr>
        <w:pStyle w:val="BodyText"/>
        <w:spacing w:line="316" w:lineRule="auto" w:before="13"/>
        <w:ind w:left="1134" w:right="0"/>
        <w:jc w:val="left"/>
      </w:pPr>
      <w:r>
        <w:rPr>
          <w:spacing w:val="-2"/>
        </w:rPr>
        <w:t>事能够按照《监事会议事规则》的要求，认真履行自身的职责。公司监事会本着对公司和全体股东负责的精神，依法、独立</w:t>
      </w:r>
      <w:r>
        <w:rPr>
          <w:spacing w:val="-67"/>
        </w:rPr>
        <w:t> </w:t>
      </w:r>
      <w:r>
        <w:rPr>
          <w:spacing w:val="-67"/>
        </w:rPr>
      </w:r>
      <w:r>
        <w:rPr>
          <w:spacing w:val="-4"/>
        </w:rPr>
        <w:t>地对公司财务状况、重大交易、募集资金管理、公司董事、总经理和其他高级管理人员履行职责的合法性、合规性进行监督，</w:t>
      </w:r>
      <w:r>
        <w:rPr>
          <w:spacing w:val="-44"/>
        </w:rPr>
        <w:t> </w:t>
      </w:r>
      <w:r>
        <w:rPr>
          <w:spacing w:val="-44"/>
        </w:rPr>
      </w:r>
      <w:r>
        <w:rPr/>
        <w:t>维护公司和股东的合法权益。</w:t>
      </w:r>
    </w:p>
    <w:p>
      <w:pPr>
        <w:pStyle w:val="BodyText"/>
        <w:spacing w:line="300" w:lineRule="auto" w:before="19"/>
        <w:ind w:left="1493" w:right="0"/>
        <w:jc w:val="left"/>
      </w:pPr>
      <w:r>
        <w:rPr>
          <w:rFonts w:ascii="Times New Roman" w:hAnsi="Times New Roman" w:cs="Times New Roman" w:eastAsia="Times New Roman" w:hint="default"/>
        </w:rPr>
        <w:t>5</w:t>
      </w:r>
      <w:r>
        <w:rPr/>
        <w:t>、关于绩效评价与激励约束机制 </w:t>
      </w:r>
      <w:r>
        <w:rPr>
          <w:spacing w:val="-2"/>
        </w:rPr>
        <w:t>公司已建立和完善了公正、透明的高级管理人员的绩效考核标准和激励约束机制。高级管理人员的聘任公开、透明，符</w:t>
      </w:r>
    </w:p>
    <w:p>
      <w:pPr>
        <w:pStyle w:val="BodyText"/>
        <w:spacing w:line="316" w:lineRule="auto" w:before="31"/>
        <w:ind w:right="1133"/>
        <w:jc w:val="both"/>
      </w:pPr>
      <w:r>
        <w:rPr>
          <w:spacing w:val="-2"/>
        </w:rPr>
        <w:t>合法律、法规的规定。公司董事会下设的薪酬与考核委员会负责对公司的董事、监事、高级管理人员进行绩效考核，公司现</w:t>
      </w:r>
      <w:r>
        <w:rPr>
          <w:spacing w:val="-66"/>
        </w:rPr>
        <w:t> </w:t>
      </w:r>
      <w:r>
        <w:rPr>
          <w:spacing w:val="-66"/>
        </w:rPr>
      </w:r>
      <w:r>
        <w:rPr/>
        <w:t>有的考核及激励约束机制符合公司的发展现状。</w:t>
      </w:r>
    </w:p>
    <w:p>
      <w:pPr>
        <w:pStyle w:val="BodyText"/>
        <w:spacing w:line="300" w:lineRule="auto" w:before="19"/>
        <w:ind w:left="1494" w:right="0"/>
        <w:jc w:val="left"/>
      </w:pPr>
      <w:r>
        <w:rPr>
          <w:rFonts w:ascii="Times New Roman" w:hAnsi="Times New Roman" w:cs="Times New Roman" w:eastAsia="Times New Roman" w:hint="default"/>
        </w:rPr>
        <w:t>6</w:t>
      </w:r>
      <w:r>
        <w:rPr/>
        <w:t>、关于信息披露与透明度 </w:t>
      </w:r>
      <w:r>
        <w:rPr>
          <w:spacing w:val="-4"/>
        </w:rPr>
        <w:t>报告期内，公司严格按照有关法律法规以及《公司章程》、《信息披露管理办法》、《投资者关系管理制度》等的要求，</w:t>
      </w:r>
    </w:p>
    <w:p>
      <w:pPr>
        <w:pStyle w:val="BodyText"/>
        <w:spacing w:line="240" w:lineRule="auto" w:before="31"/>
        <w:ind w:left="1134" w:right="0"/>
        <w:jc w:val="both"/>
      </w:pPr>
      <w:r>
        <w:rPr/>
        <w:t>真实、准确、及时、公平、完整地披露有关信息；通过中国证监会指定媒体《中国证券报》、《证券时报》和巨潮资讯网</w:t>
      </w:r>
    </w:p>
    <w:p>
      <w:pPr>
        <w:pStyle w:val="BodyText"/>
        <w:spacing w:line="240" w:lineRule="auto" w:before="76"/>
        <w:ind w:left="1134" w:right="0"/>
        <w:jc w:val="both"/>
      </w:pPr>
      <w:r>
        <w:rPr/>
        <w:t>（</w:t>
      </w:r>
      <w:hyperlink r:id="rId10">
        <w:r>
          <w:rPr>
            <w:rFonts w:ascii="Times New Roman" w:hAnsi="Times New Roman" w:cs="Times New Roman" w:eastAsia="Times New Roman" w:hint="default"/>
          </w:rPr>
          <w:t>www.cninfo.com.cn</w:t>
        </w:r>
      </w:hyperlink>
      <w:r>
        <w:rPr/>
        <w:t>）为公司信息披露的指定报纸和网站，确保公司所有股东能够以平等的机会获得信息。</w:t>
      </w:r>
    </w:p>
    <w:p>
      <w:pPr>
        <w:pStyle w:val="BodyText"/>
        <w:spacing w:line="240" w:lineRule="auto" w:before="63"/>
        <w:ind w:left="1494" w:right="0"/>
        <w:jc w:val="left"/>
      </w:pPr>
      <w:r>
        <w:rPr>
          <w:rFonts w:ascii="Times New Roman" w:hAnsi="Times New Roman" w:cs="Times New Roman" w:eastAsia="Times New Roman" w:hint="default"/>
        </w:rPr>
        <w:t>7</w:t>
      </w:r>
      <w:r>
        <w:rPr/>
        <w:t>、关于相关利益者</w:t>
      </w:r>
    </w:p>
    <w:p>
      <w:pPr>
        <w:spacing w:after="0" w:line="240" w:lineRule="auto"/>
        <w:jc w:val="left"/>
        <w:sectPr>
          <w:pgSz w:w="11910" w:h="16840"/>
          <w:pgMar w:header="747" w:footer="979" w:top="1060" w:bottom="1160" w:left="0" w:right="0"/>
        </w:sectPr>
      </w:pPr>
    </w:p>
    <w:p>
      <w:pPr>
        <w:spacing w:line="240" w:lineRule="auto" w:before="12"/>
        <w:rPr>
          <w:rFonts w:ascii="宋体" w:hAnsi="宋体" w:cs="宋体" w:eastAsia="宋体" w:hint="default"/>
          <w:sz w:val="25"/>
          <w:szCs w:val="25"/>
        </w:rPr>
      </w:pPr>
    </w:p>
    <w:p>
      <w:pPr>
        <w:pStyle w:val="BodyText"/>
        <w:spacing w:line="316" w:lineRule="auto" w:before="44"/>
        <w:ind w:right="1118" w:firstLine="360"/>
        <w:jc w:val="left"/>
      </w:pPr>
      <w:r>
        <w:rPr>
          <w:spacing w:val="-2"/>
        </w:rPr>
        <w:t>公司充分尊重和维护相关利益者的合法权益，实现股东、员工、社会等各方利益的协调平衡，共同推动公司持续、健康</w:t>
      </w:r>
      <w:r>
        <w:rPr/>
        <w:t> 的发展。</w:t>
      </w:r>
    </w:p>
    <w:p>
      <w:pPr>
        <w:spacing w:line="240" w:lineRule="auto" w:before="0"/>
        <w:rPr>
          <w:rFonts w:ascii="宋体" w:hAnsi="宋体" w:cs="宋体" w:eastAsia="宋体" w:hint="default"/>
          <w:sz w:val="18"/>
          <w:szCs w:val="18"/>
        </w:rPr>
      </w:pPr>
    </w:p>
    <w:p>
      <w:pPr>
        <w:pStyle w:val="BodyText"/>
        <w:spacing w:line="240" w:lineRule="auto" w:before="136"/>
        <w:ind w:right="0"/>
        <w:jc w:val="left"/>
      </w:pPr>
      <w:r>
        <w:rPr/>
        <w:t>公司治理的实际状况与中国证监会发布的有关上市公司治理的规范性文件是否存在重大差异</w:t>
      </w:r>
    </w:p>
    <w:p>
      <w:pPr>
        <w:pStyle w:val="BodyText"/>
        <w:spacing w:line="338" w:lineRule="auto" w:before="117"/>
        <w:ind w:right="355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公司治理的实际状况与中国证监会发布的有关上市公司治理的规范性文件不存在重大差异。</w:t>
      </w:r>
    </w:p>
    <w:p>
      <w:pPr>
        <w:spacing w:line="240" w:lineRule="auto" w:before="4"/>
        <w:rPr>
          <w:rFonts w:ascii="宋体" w:hAnsi="宋体" w:cs="宋体" w:eastAsia="宋体" w:hint="default"/>
          <w:sz w:val="19"/>
          <w:szCs w:val="19"/>
        </w:rPr>
      </w:pPr>
    </w:p>
    <w:p>
      <w:pPr>
        <w:pStyle w:val="Heading2"/>
        <w:spacing w:line="240" w:lineRule="auto"/>
        <w:ind w:right="0"/>
        <w:jc w:val="left"/>
        <w:rPr>
          <w:b w:val="0"/>
          <w:bCs w:val="0"/>
        </w:rPr>
      </w:pPr>
      <w:bookmarkStart w:name="二、公司相对于控股股东在业务、人员、资产、机构、财务等方面的独立情况" w:id="135"/>
      <w:bookmarkEnd w:id="135"/>
      <w:r>
        <w:rPr>
          <w:b w:val="0"/>
          <w:bCs w:val="0"/>
        </w:rPr>
      </w:r>
      <w:r>
        <w:rPr/>
        <w:t>二、公司相对于控股股东在业务、人员、资产、机构、财务等方面的独立情况</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0" w:firstLine="290"/>
        <w:jc w:val="left"/>
      </w:pPr>
      <w:r>
        <w:rPr>
          <w:spacing w:val="-1"/>
        </w:rPr>
        <w:t>公司产权明晰、权责明确、运作规范，在业务、人员、资产、机构和财务等方面遵循了上市公司规范运作的要求，与公</w:t>
      </w:r>
      <w:r>
        <w:rPr/>
        <w:t> 司控股股东严格分开，具有独立法人地位和独立完整的业务体系和自主经营能力。</w:t>
      </w:r>
    </w:p>
    <w:p>
      <w:pPr>
        <w:pStyle w:val="BodyText"/>
        <w:spacing w:line="316" w:lineRule="auto" w:before="19"/>
        <w:ind w:right="0" w:firstLine="360"/>
        <w:jc w:val="left"/>
      </w:pPr>
      <w:r>
        <w:rPr>
          <w:spacing w:val="-2"/>
        </w:rPr>
        <w:t>业务分开方面：公司拥有完整的生产、采购和销售体系，能够独立开展生产经营活动；公司在业务经营上与控股股东及</w:t>
      </w:r>
      <w:r>
        <w:rPr/>
        <w:t> 其关联方不存在同业竞争或显失公平的关联交易。</w:t>
      </w:r>
    </w:p>
    <w:p>
      <w:pPr>
        <w:pStyle w:val="BodyText"/>
        <w:spacing w:line="316" w:lineRule="auto" w:before="19"/>
        <w:ind w:right="1033" w:firstLine="360"/>
        <w:jc w:val="left"/>
      </w:pPr>
      <w:r>
        <w:rPr/>
        <w:t>人员分开方面：公司总经理、副总经理、财务总监、董事会秘书等高级管理人员均在公司领取报酬；公司董事、监事、 总经理及其他高级管理人员均依合法程序选举或聘任，不存在控股股东超越公司董事会和股东大会做出人事任免决定的情 况；公司员工独立于控股股东并独立执行劳动、人事及工资管理制。</w:t>
      </w:r>
    </w:p>
    <w:p>
      <w:pPr>
        <w:pStyle w:val="BodyText"/>
        <w:spacing w:line="316" w:lineRule="auto" w:before="19"/>
        <w:ind w:left="1134" w:right="0" w:firstLine="360"/>
        <w:jc w:val="left"/>
      </w:pPr>
      <w:r>
        <w:rPr>
          <w:spacing w:val="-2"/>
        </w:rPr>
        <w:t>资产分开方面：公司合法拥有与经营有关的土地、厂房、机器设备、商标、专利等资产，公司控股股东不存在占用公司</w:t>
      </w:r>
      <w:r>
        <w:rPr/>
        <w:t> 的资金、资产和其他资源的情况。</w:t>
      </w:r>
    </w:p>
    <w:p>
      <w:pPr>
        <w:pStyle w:val="BodyText"/>
        <w:spacing w:line="316" w:lineRule="auto" w:before="19"/>
        <w:ind w:left="1134" w:right="0" w:firstLine="360"/>
        <w:jc w:val="left"/>
      </w:pPr>
      <w:r>
        <w:rPr>
          <w:spacing w:val="-2"/>
        </w:rPr>
        <w:t>机构分开方面：公司已建立了适应自身发展需要和市场竞争需要的职能机构，内部经营管理机构健全，各职能机构在人</w:t>
      </w:r>
      <w:r>
        <w:rPr/>
        <w:t> 员、办公场所和管理制度等各方面均完全独立于控股股东。</w:t>
      </w:r>
    </w:p>
    <w:p>
      <w:pPr>
        <w:pStyle w:val="BodyText"/>
        <w:spacing w:line="316" w:lineRule="auto" w:before="19"/>
        <w:ind w:left="1134" w:right="0" w:firstLine="360"/>
        <w:jc w:val="left"/>
      </w:pPr>
      <w:r>
        <w:rPr>
          <w:spacing w:val="-2"/>
        </w:rPr>
        <w:t>财务分开方面：公司设有独立的财务部门，并建立了独立的会计核算体系和规范的财务管理制度，独立纳税，独立进行</w:t>
      </w:r>
      <w:r>
        <w:rPr/>
        <w:t> 财务决策；公司独立在银行开户，不存在与控股股东共用银行账户的情形。</w:t>
      </w: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6"/>
          <w:szCs w:val="26"/>
        </w:rPr>
      </w:pPr>
    </w:p>
    <w:p>
      <w:pPr>
        <w:pStyle w:val="Heading2"/>
        <w:spacing w:line="240" w:lineRule="auto"/>
        <w:ind w:right="0"/>
        <w:jc w:val="left"/>
        <w:rPr>
          <w:b w:val="0"/>
          <w:bCs w:val="0"/>
        </w:rPr>
      </w:pPr>
      <w:bookmarkStart w:name="三、同业竞争情况" w:id="136"/>
      <w:bookmarkEnd w:id="136"/>
      <w:r>
        <w:rPr>
          <w:b w:val="0"/>
          <w:bCs w:val="0"/>
        </w:rPr>
      </w:r>
      <w:r>
        <w:rPr/>
        <w:t>三、同业竞争情况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四、报告期内召开的年度股东大会和临时股东大会的有关情况" w:id="137"/>
      <w:bookmarkEnd w:id="137"/>
      <w:r>
        <w:rPr>
          <w:b w:val="0"/>
          <w:bCs w:val="0"/>
        </w:rPr>
      </w:r>
      <w:r>
        <w:rPr/>
        <w:t>四、报告期内召开的年度股东大会和临时股东大会的有关情况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1、本报告期股东大会情况" w:id="138"/>
      <w:bookmarkEnd w:id="138"/>
      <w:r>
        <w:rPr>
          <w:b w:val="0"/>
          <w:bCs w:val="0"/>
        </w:rPr>
      </w:r>
      <w:r>
        <w:rPr>
          <w:rFonts w:ascii="Times New Roman" w:hAnsi="Times New Roman" w:cs="Times New Roman" w:eastAsia="Times New Roman" w:hint="default"/>
        </w:rPr>
        <w:t>1</w:t>
      </w:r>
      <w:r>
        <w:rPr/>
        <w:t>、本报告期股东大会情况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401"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会议届次</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2" w:right="0"/>
              <w:jc w:val="left"/>
              <w:rPr>
                <w:rFonts w:ascii="宋体" w:hAnsi="宋体" w:cs="宋体" w:eastAsia="宋体" w:hint="default"/>
                <w:sz w:val="18"/>
                <w:szCs w:val="18"/>
              </w:rPr>
            </w:pPr>
            <w:r>
              <w:rPr>
                <w:rFonts w:ascii="宋体" w:hAnsi="宋体" w:cs="宋体" w:eastAsia="宋体" w:hint="default"/>
                <w:sz w:val="18"/>
                <w:szCs w:val="18"/>
              </w:rPr>
              <w:t>会议类型</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63" w:right="0"/>
              <w:jc w:val="left"/>
              <w:rPr>
                <w:rFonts w:ascii="宋体" w:hAnsi="宋体" w:cs="宋体" w:eastAsia="宋体" w:hint="default"/>
                <w:sz w:val="18"/>
                <w:szCs w:val="18"/>
              </w:rPr>
            </w:pPr>
            <w:r>
              <w:rPr>
                <w:rFonts w:ascii="宋体" w:hAnsi="宋体" w:cs="宋体" w:eastAsia="宋体" w:hint="default"/>
                <w:sz w:val="18"/>
                <w:szCs w:val="18"/>
              </w:rPr>
              <w:t>投资者参与比例</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召开日期</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披露日期</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3"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54"/>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年度股东大会</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18.70%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715"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2"/>
              <w:ind w:left="22" w:right="77"/>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年第一次临时 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17.78%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59"/>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59"/>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bl>
    <w:p>
      <w:pPr>
        <w:spacing w:line="240" w:lineRule="auto" w:before="2"/>
        <w:rPr>
          <w:rFonts w:ascii="宋体" w:hAnsi="宋体" w:cs="宋体" w:eastAsia="宋体" w:hint="default"/>
          <w:b/>
          <w:bCs/>
          <w:sz w:val="19"/>
          <w:szCs w:val="19"/>
        </w:rPr>
      </w:pPr>
    </w:p>
    <w:p>
      <w:pPr>
        <w:pStyle w:val="Heading3"/>
        <w:spacing w:line="240" w:lineRule="auto" w:before="35"/>
        <w:ind w:left="1134" w:right="0"/>
        <w:jc w:val="left"/>
        <w:rPr>
          <w:b w:val="0"/>
          <w:bCs w:val="0"/>
        </w:rPr>
      </w:pPr>
      <w:bookmarkStart w:name="2、表决权恢复的优先股股东请求召开临时股东大会" w:id="139"/>
      <w:bookmarkEnd w:id="139"/>
      <w:r>
        <w:rPr>
          <w:b w:val="0"/>
          <w:bCs w:val="0"/>
        </w:rPr>
      </w:r>
      <w:r>
        <w:rPr>
          <w:rFonts w:ascii="Times New Roman" w:hAnsi="Times New Roman" w:cs="Times New Roman" w:eastAsia="Times New Roman" w:hint="default"/>
        </w:rPr>
        <w:t>2</w:t>
      </w:r>
      <w:r>
        <w:rPr/>
        <w:t>、表决权恢复的优先股股东请求召开临时股东大会</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13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79" w:top="1060" w:bottom="1160" w:left="0" w:right="0"/>
        </w:sectPr>
      </w:pPr>
    </w:p>
    <w:p>
      <w:pPr>
        <w:spacing w:line="240" w:lineRule="auto" w:before="8"/>
        <w:rPr>
          <w:rFonts w:ascii="宋体" w:hAnsi="宋体" w:cs="宋体" w:eastAsia="宋体" w:hint="default"/>
          <w:sz w:val="23"/>
          <w:szCs w:val="23"/>
        </w:rPr>
      </w:pPr>
    </w:p>
    <w:p>
      <w:pPr>
        <w:pStyle w:val="Heading2"/>
        <w:spacing w:line="240" w:lineRule="auto" w:before="26"/>
        <w:ind w:right="0"/>
        <w:jc w:val="left"/>
        <w:rPr>
          <w:b w:val="0"/>
          <w:bCs w:val="0"/>
        </w:rPr>
      </w:pPr>
      <w:bookmarkStart w:name="五、报告期内独立董事履行职责的情况" w:id="140"/>
      <w:bookmarkEnd w:id="140"/>
      <w:r>
        <w:rPr>
          <w:b w:val="0"/>
          <w:bCs w:val="0"/>
        </w:rPr>
      </w:r>
      <w:r>
        <w:rPr/>
        <w:t>五、报告期内独立董事履行职责的情况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1、独立董事出席董事会及股东大会的情况" w:id="141"/>
      <w:bookmarkEnd w:id="141"/>
      <w:r>
        <w:rPr>
          <w:b w:val="0"/>
          <w:bCs w:val="0"/>
        </w:rPr>
      </w:r>
      <w:r>
        <w:rPr>
          <w:rFonts w:ascii="Times New Roman" w:hAnsi="Times New Roman" w:cs="Times New Roman" w:eastAsia="Times New Roman" w:hint="default"/>
        </w:rPr>
        <w:t>1</w:t>
      </w:r>
      <w:r>
        <w:rPr/>
        <w:t>、独立董事出席董事会及股东大会的情况</w:t>
      </w:r>
      <w:r>
        <w:rPr>
          <w:b w:val="0"/>
          <w:bCs w:val="0"/>
        </w:rPr>
      </w:r>
    </w:p>
    <w:p>
      <w:pPr>
        <w:spacing w:line="240" w:lineRule="auto" w:before="9"/>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1427"/>
        <w:gridCol w:w="1164"/>
        <w:gridCol w:w="1164"/>
        <w:gridCol w:w="1163"/>
        <w:gridCol w:w="1164"/>
        <w:gridCol w:w="1163"/>
        <w:gridCol w:w="1163"/>
        <w:gridCol w:w="1163"/>
      </w:tblGrid>
      <w:tr>
        <w:trPr>
          <w:trHeight w:val="402" w:hRule="exact"/>
        </w:trPr>
        <w:tc>
          <w:tcPr>
            <w:tcW w:w="9571"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独立董事出席董事会及股东大会的情况</w:t>
            </w:r>
          </w:p>
        </w:tc>
      </w:tr>
      <w:tr>
        <w:trPr>
          <w:trHeight w:val="1026"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168" w:right="0"/>
              <w:jc w:val="left"/>
              <w:rPr>
                <w:rFonts w:ascii="宋体" w:hAnsi="宋体" w:cs="宋体" w:eastAsia="宋体" w:hint="default"/>
                <w:sz w:val="18"/>
                <w:szCs w:val="18"/>
              </w:rPr>
            </w:pPr>
            <w:r>
              <w:rPr>
                <w:rFonts w:ascii="宋体" w:hAnsi="宋体" w:cs="宋体" w:eastAsia="宋体" w:hint="default"/>
                <w:sz w:val="18"/>
                <w:szCs w:val="18"/>
              </w:rPr>
              <w:t>独立董事姓名</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9" w:lineRule="auto"/>
              <w:ind w:left="35" w:right="36"/>
              <w:jc w:val="left"/>
              <w:rPr>
                <w:rFonts w:ascii="宋体" w:hAnsi="宋体" w:cs="宋体" w:eastAsia="宋体" w:hint="default"/>
                <w:sz w:val="18"/>
                <w:szCs w:val="18"/>
              </w:rPr>
            </w:pPr>
            <w:r>
              <w:rPr>
                <w:rFonts w:ascii="宋体" w:hAnsi="宋体" w:cs="宋体" w:eastAsia="宋体" w:hint="default"/>
                <w:sz w:val="18"/>
                <w:szCs w:val="18"/>
              </w:rPr>
              <w:t>本报告期应参 加董事会次数</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9" w:lineRule="auto"/>
              <w:ind w:left="306" w:right="36" w:hanging="270"/>
              <w:jc w:val="left"/>
              <w:rPr>
                <w:rFonts w:ascii="宋体" w:hAnsi="宋体" w:cs="宋体" w:eastAsia="宋体" w:hint="default"/>
                <w:sz w:val="18"/>
                <w:szCs w:val="18"/>
              </w:rPr>
            </w:pPr>
            <w:r>
              <w:rPr>
                <w:rFonts w:ascii="宋体" w:hAnsi="宋体" w:cs="宋体" w:eastAsia="宋体" w:hint="default"/>
                <w:sz w:val="18"/>
                <w:szCs w:val="18"/>
              </w:rPr>
              <w:t>现场出席董事 会次数</w:t>
            </w:r>
          </w:p>
        </w:tc>
        <w:tc>
          <w:tcPr>
            <w:tcW w:w="11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9" w:lineRule="auto"/>
              <w:ind w:left="35" w:right="35"/>
              <w:jc w:val="left"/>
              <w:rPr>
                <w:rFonts w:ascii="宋体" w:hAnsi="宋体" w:cs="宋体" w:eastAsia="宋体" w:hint="default"/>
                <w:sz w:val="18"/>
                <w:szCs w:val="18"/>
              </w:rPr>
            </w:pPr>
            <w:r>
              <w:rPr>
                <w:rFonts w:ascii="宋体" w:hAnsi="宋体" w:cs="宋体" w:eastAsia="宋体" w:hint="default"/>
                <w:sz w:val="18"/>
                <w:szCs w:val="18"/>
              </w:rPr>
              <w:t>以通讯方式参 加董事会次数</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9" w:lineRule="auto"/>
              <w:ind w:left="307" w:right="35" w:hanging="270"/>
              <w:jc w:val="left"/>
              <w:rPr>
                <w:rFonts w:ascii="宋体" w:hAnsi="宋体" w:cs="宋体" w:eastAsia="宋体" w:hint="default"/>
                <w:sz w:val="18"/>
                <w:szCs w:val="18"/>
              </w:rPr>
            </w:pPr>
            <w:r>
              <w:rPr>
                <w:rFonts w:ascii="宋体" w:hAnsi="宋体" w:cs="宋体" w:eastAsia="宋体" w:hint="default"/>
                <w:sz w:val="18"/>
                <w:szCs w:val="18"/>
              </w:rPr>
              <w:t>委托出席董事 会次数</w:t>
            </w:r>
          </w:p>
        </w:tc>
        <w:tc>
          <w:tcPr>
            <w:tcW w:w="11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9" w:lineRule="auto"/>
              <w:ind w:left="486" w:right="35" w:hanging="450"/>
              <w:jc w:val="left"/>
              <w:rPr>
                <w:rFonts w:ascii="宋体" w:hAnsi="宋体" w:cs="宋体" w:eastAsia="宋体" w:hint="default"/>
                <w:sz w:val="18"/>
                <w:szCs w:val="18"/>
              </w:rPr>
            </w:pPr>
            <w:r>
              <w:rPr>
                <w:rFonts w:ascii="宋体" w:hAnsi="宋体" w:cs="宋体" w:eastAsia="宋体" w:hint="default"/>
                <w:sz w:val="18"/>
                <w:szCs w:val="18"/>
              </w:rPr>
              <w:t>缺席董事会次 数</w:t>
            </w:r>
          </w:p>
        </w:tc>
        <w:tc>
          <w:tcPr>
            <w:tcW w:w="11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35" w:right="35"/>
              <w:jc w:val="center"/>
              <w:rPr>
                <w:rFonts w:ascii="宋体" w:hAnsi="宋体" w:cs="宋体" w:eastAsia="宋体" w:hint="default"/>
                <w:sz w:val="18"/>
                <w:szCs w:val="18"/>
              </w:rPr>
            </w:pPr>
            <w:r>
              <w:rPr>
                <w:rFonts w:ascii="宋体" w:hAnsi="宋体" w:cs="宋体" w:eastAsia="宋体" w:hint="default"/>
                <w:sz w:val="18"/>
                <w:szCs w:val="18"/>
              </w:rPr>
              <w:t>是否连续两次 未亲自参加董 事会会议</w:t>
            </w:r>
          </w:p>
        </w:tc>
        <w:tc>
          <w:tcPr>
            <w:tcW w:w="11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9" w:lineRule="auto"/>
              <w:ind w:left="396" w:right="35" w:hanging="360"/>
              <w:jc w:val="left"/>
              <w:rPr>
                <w:rFonts w:ascii="宋体" w:hAnsi="宋体" w:cs="宋体" w:eastAsia="宋体" w:hint="default"/>
                <w:sz w:val="18"/>
                <w:szCs w:val="18"/>
              </w:rPr>
            </w:pPr>
            <w:r>
              <w:rPr>
                <w:rFonts w:ascii="宋体" w:hAnsi="宋体" w:cs="宋体" w:eastAsia="宋体" w:hint="default"/>
                <w:sz w:val="18"/>
                <w:szCs w:val="18"/>
              </w:rPr>
              <w:t>出席股东大会 次数</w:t>
            </w:r>
          </w:p>
        </w:tc>
      </w:tr>
      <w:tr>
        <w:trPr>
          <w:trHeight w:val="402" w:hRule="exact"/>
        </w:trPr>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赵立三</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3</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w:t>
            </w:r>
          </w:p>
        </w:tc>
      </w:tr>
      <w:tr>
        <w:trPr>
          <w:trHeight w:val="402" w:hRule="exact"/>
        </w:trPr>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赵明</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3</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w:t>
            </w:r>
          </w:p>
        </w:tc>
      </w:tr>
      <w:tr>
        <w:trPr>
          <w:trHeight w:val="402" w:hRule="exact"/>
        </w:trPr>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王健</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3</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w:t>
            </w:r>
          </w:p>
        </w:tc>
      </w:tr>
      <w:tr>
        <w:trPr>
          <w:trHeight w:val="402" w:hRule="exact"/>
        </w:trPr>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闫成德</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2</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w:t>
            </w:r>
          </w:p>
        </w:tc>
      </w:tr>
      <w:tr>
        <w:trPr>
          <w:trHeight w:val="402" w:hRule="exact"/>
        </w:trPr>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庞贵永</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2</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陈爱珍</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2</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bl>
    <w:p>
      <w:pPr>
        <w:pStyle w:val="BodyText"/>
        <w:spacing w:line="240" w:lineRule="auto" w:before="51"/>
        <w:ind w:left="1134" w:right="0"/>
        <w:jc w:val="left"/>
      </w:pPr>
      <w:r>
        <w:rPr/>
        <w:t>连续两次未亲自出席董事会的说明</w:t>
      </w:r>
    </w:p>
    <w:p>
      <w:pPr>
        <w:spacing w:line="240" w:lineRule="auto" w:before="11"/>
        <w:rPr>
          <w:rFonts w:ascii="宋体" w:hAnsi="宋体" w:cs="宋体" w:eastAsia="宋体" w:hint="default"/>
          <w:sz w:val="26"/>
          <w:szCs w:val="26"/>
        </w:rPr>
      </w:pPr>
    </w:p>
    <w:p>
      <w:pPr>
        <w:pStyle w:val="Heading3"/>
        <w:spacing w:line="240" w:lineRule="auto"/>
        <w:ind w:left="1134" w:right="0"/>
        <w:jc w:val="left"/>
        <w:rPr>
          <w:b w:val="0"/>
          <w:bCs w:val="0"/>
        </w:rPr>
      </w:pPr>
      <w:bookmarkStart w:name="2、独立董事对公司有关事项提出异议的情况" w:id="142"/>
      <w:bookmarkEnd w:id="142"/>
      <w:r>
        <w:rPr>
          <w:b w:val="0"/>
          <w:bCs w:val="0"/>
        </w:rPr>
      </w:r>
      <w:r>
        <w:rPr>
          <w:rFonts w:ascii="Times New Roman" w:hAnsi="Times New Roman" w:cs="Times New Roman" w:eastAsia="Times New Roman" w:hint="default"/>
        </w:rPr>
        <w:t>2</w:t>
      </w:r>
      <w:r>
        <w:rPr/>
        <w:t>、独立董事对公司有关事项提出异议的情况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134" w:right="0"/>
        <w:jc w:val="left"/>
      </w:pPr>
      <w:r>
        <w:rPr/>
        <w:t>独立董事对公司有关事项是否提出异议</w:t>
      </w:r>
    </w:p>
    <w:p>
      <w:pPr>
        <w:pStyle w:val="BodyText"/>
        <w:spacing w:line="340" w:lineRule="auto" w:before="116"/>
        <w:ind w:right="697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报告期内独立董事对公司有关事项未提出异议。</w:t>
      </w:r>
    </w:p>
    <w:p>
      <w:pPr>
        <w:spacing w:line="240" w:lineRule="auto" w:before="12"/>
        <w:rPr>
          <w:rFonts w:ascii="宋体" w:hAnsi="宋体" w:cs="宋体" w:eastAsia="宋体" w:hint="default"/>
          <w:sz w:val="20"/>
          <w:szCs w:val="20"/>
        </w:rPr>
      </w:pPr>
    </w:p>
    <w:p>
      <w:pPr>
        <w:pStyle w:val="Heading3"/>
        <w:spacing w:line="240" w:lineRule="auto"/>
        <w:ind w:right="0"/>
        <w:jc w:val="left"/>
        <w:rPr>
          <w:b w:val="0"/>
          <w:bCs w:val="0"/>
        </w:rPr>
      </w:pPr>
      <w:bookmarkStart w:name="3、独立董事履行职责的其他说明" w:id="143"/>
      <w:bookmarkEnd w:id="143"/>
      <w:r>
        <w:rPr>
          <w:b w:val="0"/>
          <w:bCs w:val="0"/>
        </w:rPr>
      </w:r>
      <w:r>
        <w:rPr>
          <w:rFonts w:ascii="Times New Roman" w:hAnsi="Times New Roman" w:cs="Times New Roman" w:eastAsia="Times New Roman" w:hint="default"/>
        </w:rPr>
        <w:t>3</w:t>
      </w:r>
      <w:r>
        <w:rPr/>
        <w:t>、独立董事履行职责的其他说明</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独立董事对公司有关建议是否被采纳</w:t>
      </w:r>
    </w:p>
    <w:p>
      <w:pPr>
        <w:pStyle w:val="BodyText"/>
        <w:spacing w:line="338" w:lineRule="auto" w:before="116"/>
        <w:ind w:right="679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独立董事对公司有关建议被采纳或未被采纳的说明</w:t>
      </w:r>
    </w:p>
    <w:p>
      <w:pPr>
        <w:pStyle w:val="BodyText"/>
        <w:spacing w:line="316" w:lineRule="auto" w:before="42"/>
        <w:ind w:right="0" w:firstLine="360"/>
        <w:jc w:val="left"/>
      </w:pPr>
      <w:r>
        <w:rPr>
          <w:spacing w:val="-2"/>
        </w:rPr>
        <w:t>报告期内，公司独立董事勤勉尽责地认真履行职责，利用自己的专业优势，对公司的经营管理、规范运作提出了合理的</w:t>
      </w:r>
      <w:r>
        <w:rPr/>
        <w:t> </w:t>
      </w:r>
      <w:r>
        <w:rPr>
          <w:spacing w:val="-4"/>
        </w:rPr>
        <w:t>专业性的建议，均被采纳。独立董事坚持谨慎、独立、公正的原则对公司的重大经营决策、公司治理等事项发表了独立意见，</w:t>
      </w:r>
      <w:r>
        <w:rPr>
          <w:spacing w:val="-44"/>
        </w:rPr>
        <w:t> </w:t>
      </w:r>
      <w:r>
        <w:rPr>
          <w:spacing w:val="-44"/>
        </w:rPr>
      </w:r>
      <w:r>
        <w:rPr/>
        <w:t>切实维护公司的整体利益，尤其是中小股东的合法权益。</w:t>
      </w: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6"/>
          <w:szCs w:val="26"/>
        </w:rPr>
      </w:pPr>
    </w:p>
    <w:p>
      <w:pPr>
        <w:pStyle w:val="Heading2"/>
        <w:spacing w:line="240" w:lineRule="auto"/>
        <w:ind w:left="1134" w:right="0"/>
        <w:jc w:val="left"/>
        <w:rPr>
          <w:b w:val="0"/>
          <w:bCs w:val="0"/>
        </w:rPr>
      </w:pPr>
      <w:bookmarkStart w:name="六、董事会下设专门委员会在报告期内履行职责情况" w:id="144"/>
      <w:bookmarkEnd w:id="144"/>
      <w:r>
        <w:rPr>
          <w:b w:val="0"/>
          <w:bCs w:val="0"/>
        </w:rPr>
      </w:r>
      <w:r>
        <w:rPr/>
        <w:t>六、董事会下设专门委员会在报告期内履行职责情况</w:t>
      </w:r>
      <w:r>
        <w:rPr>
          <w:b w:val="0"/>
          <w:bCs w:val="0"/>
        </w:rPr>
      </w:r>
    </w:p>
    <w:p>
      <w:pPr>
        <w:spacing w:line="240" w:lineRule="auto" w:before="6"/>
        <w:rPr>
          <w:rFonts w:ascii="宋体" w:hAnsi="宋体" w:cs="宋体" w:eastAsia="宋体" w:hint="default"/>
          <w:b/>
          <w:bCs/>
          <w:sz w:val="26"/>
          <w:szCs w:val="26"/>
        </w:rPr>
      </w:pPr>
    </w:p>
    <w:p>
      <w:pPr>
        <w:pStyle w:val="BodyText"/>
        <w:spacing w:line="312" w:lineRule="auto"/>
        <w:ind w:right="0" w:firstLine="360"/>
        <w:jc w:val="left"/>
      </w:pPr>
      <w:r>
        <w:rPr>
          <w:spacing w:val="-2"/>
        </w:rPr>
        <w:t>公司董事会下设战略委员会、薪酬与考核委员会、审计委员会及提名委员会。</w:t>
      </w:r>
      <w:r>
        <w:rPr>
          <w:rFonts w:ascii="Times New Roman" w:hAnsi="Times New Roman" w:cs="Times New Roman" w:eastAsia="Times New Roman" w:hint="default"/>
          <w:spacing w:val="-2"/>
        </w:rPr>
        <w:t>2017</w:t>
      </w:r>
      <w:r>
        <w:rPr>
          <w:spacing w:val="-2"/>
        </w:rPr>
        <w:t>年度，各专门委员会根据工作细则等</w:t>
      </w:r>
      <w:r>
        <w:rPr/>
        <w:t> </w:t>
      </w:r>
      <w:r>
        <w:rPr>
          <w:spacing w:val="-2"/>
        </w:rPr>
        <w:t>相关制度的规定，忠实履行职责，充分发挥各自的专业作用：在公司董事、高级管理人员的选聘上发挥积极的作用，审查公</w:t>
      </w:r>
      <w:r>
        <w:rPr>
          <w:spacing w:val="-66"/>
        </w:rPr>
        <w:t> </w:t>
      </w:r>
      <w:r>
        <w:rPr>
          <w:spacing w:val="-66"/>
        </w:rPr>
      </w:r>
      <w:r>
        <w:rPr>
          <w:spacing w:val="-4"/>
        </w:rPr>
        <w:t>司董事及高级管理人员的履行职责情况并对其进行绩效考评，进行公司审计的沟通、监督和核查工作，未有违反《公司章程》</w:t>
      </w:r>
      <w:r>
        <w:rPr>
          <w:spacing w:val="-46"/>
        </w:rPr>
        <w:t> </w:t>
      </w:r>
      <w:r>
        <w:rPr>
          <w:spacing w:val="-46"/>
        </w:rPr>
      </w:r>
      <w:r>
        <w:rPr/>
        <w:t>等相关规定事宜。公司充分尊重并采纳了各专门委员会的建议，切实履行了相关的责任和义务。</w:t>
      </w:r>
    </w:p>
    <w:p>
      <w:pPr>
        <w:spacing w:after="0" w:line="312" w:lineRule="auto"/>
        <w:jc w:val="left"/>
        <w:sectPr>
          <w:pgSz w:w="11910" w:h="16840"/>
          <w:pgMar w:header="747" w:footer="979" w:top="1060" w:bottom="1160" w:left="0" w:right="0"/>
        </w:sectPr>
      </w:pPr>
    </w:p>
    <w:p>
      <w:pPr>
        <w:spacing w:line="240" w:lineRule="auto" w:before="9"/>
        <w:rPr>
          <w:rFonts w:ascii="宋体" w:hAnsi="宋体" w:cs="宋体" w:eastAsia="宋体" w:hint="default"/>
          <w:sz w:val="23"/>
          <w:szCs w:val="23"/>
        </w:rPr>
      </w:pPr>
    </w:p>
    <w:p>
      <w:pPr>
        <w:pStyle w:val="Heading2"/>
        <w:spacing w:line="240" w:lineRule="auto" w:before="26"/>
        <w:ind w:right="0"/>
        <w:jc w:val="left"/>
        <w:rPr>
          <w:b w:val="0"/>
          <w:bCs w:val="0"/>
        </w:rPr>
      </w:pPr>
      <w:bookmarkStart w:name="七、监事会工作情况" w:id="145"/>
      <w:bookmarkEnd w:id="145"/>
      <w:r>
        <w:rPr>
          <w:b w:val="0"/>
          <w:bCs w:val="0"/>
        </w:rPr>
      </w:r>
      <w:r>
        <w:rPr/>
        <w:t>七、监事会工作情况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监事会在报告期内的监督活动中发现公司是否存在风险</w:t>
      </w:r>
    </w:p>
    <w:p>
      <w:pPr>
        <w:pStyle w:val="BodyText"/>
        <w:spacing w:line="340" w:lineRule="auto" w:before="116"/>
        <w:ind w:right="733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公司监事会对报告期内的监督事项无异议。</w:t>
      </w:r>
    </w:p>
    <w:p>
      <w:pPr>
        <w:spacing w:line="240" w:lineRule="auto" w:before="3"/>
        <w:rPr>
          <w:rFonts w:ascii="宋体" w:hAnsi="宋体" w:cs="宋体" w:eastAsia="宋体" w:hint="default"/>
          <w:sz w:val="19"/>
          <w:szCs w:val="19"/>
        </w:rPr>
      </w:pPr>
    </w:p>
    <w:p>
      <w:pPr>
        <w:pStyle w:val="Heading2"/>
        <w:spacing w:line="240" w:lineRule="auto"/>
        <w:ind w:right="0"/>
        <w:jc w:val="left"/>
        <w:rPr>
          <w:b w:val="0"/>
          <w:bCs w:val="0"/>
        </w:rPr>
      </w:pPr>
      <w:bookmarkStart w:name="八、高级管理人员的考评及激励情况" w:id="146"/>
      <w:bookmarkEnd w:id="146"/>
      <w:r>
        <w:rPr>
          <w:b w:val="0"/>
          <w:bCs w:val="0"/>
        </w:rPr>
      </w:r>
      <w:r>
        <w:rPr/>
        <w:t>八、高级管理人员的考评及激励情况</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131" w:firstLine="360"/>
        <w:jc w:val="both"/>
      </w:pPr>
      <w:r>
        <w:rPr>
          <w:spacing w:val="-2"/>
        </w:rPr>
        <w:t>公司已建立了绩效评价激励体系，管理者的收入与公司经营业绩挂钩，高级管理人员的聘任公开、透明，符合法律、法</w:t>
      </w:r>
      <w:r>
        <w:rPr/>
        <w:t> </w:t>
      </w:r>
      <w:r>
        <w:rPr>
          <w:spacing w:val="-2"/>
        </w:rPr>
        <w:t>规的规定。公司董事会设立了薪酬与考核专门委员会，负责公司薪酬政策或薪酬方案的审定。报告期内，本公司高级管理人</w:t>
      </w:r>
      <w:r>
        <w:rPr>
          <w:spacing w:val="-66"/>
        </w:rPr>
        <w:t> </w:t>
      </w:r>
      <w:r>
        <w:rPr>
          <w:spacing w:val="-66"/>
        </w:rPr>
      </w:r>
      <w:r>
        <w:rPr/>
        <w:t>员经考核，均认真履行了工作职责，工作业绩良好。</w:t>
      </w: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6"/>
          <w:szCs w:val="26"/>
        </w:rPr>
      </w:pPr>
    </w:p>
    <w:p>
      <w:pPr>
        <w:pStyle w:val="Heading2"/>
        <w:spacing w:line="240" w:lineRule="auto"/>
        <w:ind w:left="1134" w:right="0"/>
        <w:jc w:val="left"/>
        <w:rPr>
          <w:b w:val="0"/>
          <w:bCs w:val="0"/>
        </w:rPr>
      </w:pPr>
      <w:bookmarkStart w:name="九、内部控制评价报告" w:id="147"/>
      <w:bookmarkEnd w:id="147"/>
      <w:r>
        <w:rPr>
          <w:b w:val="0"/>
          <w:bCs w:val="0"/>
        </w:rPr>
      </w:r>
      <w:r>
        <w:rPr/>
        <w:t>九、内部控制评价报告</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34" w:right="0"/>
        <w:jc w:val="left"/>
        <w:rPr>
          <w:b w:val="0"/>
          <w:bCs w:val="0"/>
        </w:rPr>
      </w:pPr>
      <w:bookmarkStart w:name="1、报告期内发现的内部控制重大缺陷的具体情况" w:id="148"/>
      <w:bookmarkEnd w:id="148"/>
      <w:r>
        <w:rPr>
          <w:b w:val="0"/>
          <w:bCs w:val="0"/>
        </w:rPr>
      </w:r>
      <w:r>
        <w:rPr>
          <w:rFonts w:ascii="Times New Roman" w:hAnsi="Times New Roman" w:cs="Times New Roman" w:eastAsia="Times New Roman" w:hint="default"/>
        </w:rPr>
        <w:t>1</w:t>
      </w:r>
      <w:r>
        <w:rPr/>
        <w:t>、报告期内发现的内部控制重大缺陷的具体情况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134"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2、内控自我评价报告" w:id="149"/>
      <w:bookmarkEnd w:id="149"/>
      <w:r>
        <w:rPr>
          <w:b w:val="0"/>
          <w:bCs w:val="0"/>
        </w:rPr>
      </w:r>
      <w:r>
        <w:rPr>
          <w:rFonts w:ascii="Times New Roman" w:hAnsi="Times New Roman" w:cs="Times New Roman" w:eastAsia="Times New Roman" w:hint="default"/>
        </w:rPr>
        <w:t>2</w:t>
      </w:r>
      <w:r>
        <w:rPr/>
        <w:t>、内控自我评价报告</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0"/>
        <w:rPr>
          <w:rFonts w:ascii="宋体" w:hAnsi="宋体" w:cs="宋体" w:eastAsia="宋体" w:hint="default"/>
          <w:b/>
          <w:bCs/>
          <w:sz w:val="17"/>
          <w:szCs w:val="17"/>
        </w:rPr>
      </w:pPr>
    </w:p>
    <w:p>
      <w:pPr>
        <w:pStyle w:val="BodyText"/>
        <w:spacing w:line="240" w:lineRule="auto" w:before="44"/>
        <w:ind w:left="0" w:right="1139"/>
        <w:jc w:val="right"/>
      </w:pPr>
      <w:r>
        <w:rPr/>
        <w:pict>
          <v:shape style="position:absolute;margin-left:57.029999pt;margin-top:-20.968275pt;width:478.6pt;height:272.9pt;mso-position-horizontal-relative:page;mso-position-vertical-relative:paragraph;z-index:160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171"/>
                    <w:gridCol w:w="3335"/>
                    <w:gridCol w:w="3051"/>
                  </w:tblGrid>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内部控制评价报告全文披露日期</w:t>
                        </w:r>
                      </w:p>
                    </w:tc>
                    <w:tc>
                      <w:tcPr>
                        <w:tcW w:w="6386"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内部控制评价报告全文披露索引</w:t>
                        </w:r>
                      </w:p>
                    </w:tc>
                    <w:tc>
                      <w:tcPr>
                        <w:tcW w:w="6386"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《公司</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年度内部控制自我评价报告》详见巨潮资讯网（</w:t>
                        </w:r>
                        <w:hyperlink r:id="rId10">
                          <w:r>
                            <w:rPr>
                              <w:rFonts w:ascii="Times New Roman" w:hAnsi="Times New Roman" w:cs="Times New Roman" w:eastAsia="Times New Roman" w:hint="default"/>
                              <w:sz w:val="18"/>
                              <w:szCs w:val="18"/>
                            </w:rPr>
                            <w:t>www.cninfo.com.cn</w:t>
                          </w:r>
                        </w:hyperlink>
                      </w:p>
                    </w:tc>
                  </w:tr>
                  <w:tr>
                    <w:trPr>
                      <w:trHeight w:val="714"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88"/>
                          <w:jc w:val="left"/>
                          <w:rPr>
                            <w:rFonts w:ascii="宋体" w:hAnsi="宋体" w:cs="宋体" w:eastAsia="宋体" w:hint="default"/>
                            <w:sz w:val="18"/>
                            <w:szCs w:val="18"/>
                          </w:rPr>
                        </w:pPr>
                        <w:r>
                          <w:rPr>
                            <w:rFonts w:ascii="宋体" w:hAnsi="宋体" w:cs="宋体" w:eastAsia="宋体" w:hint="default"/>
                            <w:sz w:val="18"/>
                            <w:szCs w:val="18"/>
                          </w:rPr>
                          <w:t>纳入评价范围单位资产总额占公司合并 财务报表资产总额的比例</w:t>
                        </w:r>
                      </w:p>
                    </w:tc>
                    <w:tc>
                      <w:tcPr>
                        <w:tcW w:w="6386"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r>
                  <w:tr>
                    <w:trPr>
                      <w:trHeight w:val="714"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88"/>
                          <w:jc w:val="left"/>
                          <w:rPr>
                            <w:rFonts w:ascii="宋体" w:hAnsi="宋体" w:cs="宋体" w:eastAsia="宋体" w:hint="default"/>
                            <w:sz w:val="18"/>
                            <w:szCs w:val="18"/>
                          </w:rPr>
                        </w:pPr>
                        <w:r>
                          <w:rPr>
                            <w:rFonts w:ascii="宋体" w:hAnsi="宋体" w:cs="宋体" w:eastAsia="宋体" w:hint="default"/>
                            <w:sz w:val="18"/>
                            <w:szCs w:val="18"/>
                          </w:rPr>
                          <w:t>纳入评价范围单位营业收入占公司合并 财务报表营业收入的比例</w:t>
                        </w:r>
                      </w:p>
                    </w:tc>
                    <w:tc>
                      <w:tcPr>
                        <w:tcW w:w="6386"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r>
                  <w:tr>
                    <w:trPr>
                      <w:trHeight w:val="397" w:hRule="exact"/>
                    </w:trPr>
                    <w:tc>
                      <w:tcPr>
                        <w:tcW w:w="955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0"/>
                          <w:jc w:val="center"/>
                          <w:rPr>
                            <w:rFonts w:ascii="宋体" w:hAnsi="宋体" w:cs="宋体" w:eastAsia="宋体" w:hint="default"/>
                            <w:sz w:val="18"/>
                            <w:szCs w:val="18"/>
                          </w:rPr>
                        </w:pPr>
                        <w:r>
                          <w:rPr>
                            <w:rFonts w:ascii="宋体" w:hAnsi="宋体" w:cs="宋体" w:eastAsia="宋体" w:hint="default"/>
                            <w:sz w:val="18"/>
                            <w:szCs w:val="18"/>
                          </w:rPr>
                          <w:t>缺陷认定标准</w:t>
                        </w:r>
                      </w:p>
                    </w:tc>
                  </w:tr>
                  <w:tr>
                    <w:trPr>
                      <w:trHeight w:val="407"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33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1" w:right="0"/>
                          <w:jc w:val="center"/>
                          <w:rPr>
                            <w:rFonts w:ascii="宋体" w:hAnsi="宋体" w:cs="宋体" w:eastAsia="宋体" w:hint="default"/>
                            <w:sz w:val="18"/>
                            <w:szCs w:val="18"/>
                          </w:rPr>
                        </w:pPr>
                        <w:r>
                          <w:rPr>
                            <w:rFonts w:ascii="宋体" w:hAnsi="宋体" w:cs="宋体" w:eastAsia="宋体" w:hint="default"/>
                            <w:sz w:val="18"/>
                            <w:szCs w:val="18"/>
                          </w:rPr>
                          <w:t>财务报告</w:t>
                        </w:r>
                      </w:p>
                    </w:tc>
                    <w:tc>
                      <w:tcPr>
                        <w:tcW w:w="3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非财务报告</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定性标准</w:t>
                        </w:r>
                      </w:p>
                    </w:tc>
                    <w:tc>
                      <w:tcPr>
                        <w:tcW w:w="333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定量标准</w:t>
                        </w:r>
                      </w:p>
                    </w:tc>
                    <w:tc>
                      <w:tcPr>
                        <w:tcW w:w="333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财务报告重大缺陷数量（个）</w:t>
                        </w:r>
                      </w:p>
                    </w:tc>
                    <w:tc>
                      <w:tcPr>
                        <w:tcW w:w="6386"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非财务报告重大缺陷数量（个）</w:t>
                        </w:r>
                      </w:p>
                    </w:tc>
                    <w:tc>
                      <w:tcPr>
                        <w:tcW w:w="6386"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财务报告重要缺陷数量（个）</w:t>
                        </w:r>
                      </w:p>
                    </w:tc>
                    <w:tc>
                      <w:tcPr>
                        <w:tcW w:w="6386"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非财务报告重要缺陷数量（个）</w:t>
                        </w:r>
                      </w:p>
                    </w:tc>
                    <w:tc>
                      <w:tcPr>
                        <w:tcW w:w="6386"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1"/>
          <w:szCs w:val="21"/>
        </w:rPr>
      </w:pPr>
    </w:p>
    <w:p>
      <w:pPr>
        <w:pStyle w:val="Heading2"/>
        <w:spacing w:line="240" w:lineRule="auto" w:before="26"/>
        <w:ind w:left="1134" w:right="0"/>
        <w:jc w:val="left"/>
        <w:rPr>
          <w:b w:val="0"/>
          <w:bCs w:val="0"/>
        </w:rPr>
      </w:pPr>
      <w:bookmarkStart w:name="十、内部控制审计报告或鉴证报告" w:id="150"/>
      <w:bookmarkEnd w:id="150"/>
      <w:r>
        <w:rPr>
          <w:b w:val="0"/>
          <w:bCs w:val="0"/>
        </w:rPr>
      </w:r>
      <w:r>
        <w:rPr/>
        <w:t>十、内部控制审计报告或鉴证报告</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不适用</w:t>
      </w:r>
    </w:p>
    <w:p>
      <w:pPr>
        <w:spacing w:after="0" w:line="240" w:lineRule="auto"/>
        <w:jc w:val="left"/>
        <w:sectPr>
          <w:pgSz w:w="11910" w:h="16840"/>
          <w:pgMar w:header="747" w:footer="979" w:top="1060" w:bottom="1160" w:left="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right="816"/>
        <w:jc w:val="center"/>
        <w:rPr>
          <w:b w:val="0"/>
          <w:bCs w:val="0"/>
        </w:rPr>
      </w:pPr>
      <w:bookmarkStart w:name="第十节 公司债券相关情况" w:id="151"/>
      <w:bookmarkEnd w:id="151"/>
      <w:r>
        <w:rPr>
          <w:b w:val="0"/>
          <w:bCs w:val="0"/>
        </w:rPr>
      </w:r>
      <w:bookmarkStart w:name="_bookmark9" w:id="152"/>
      <w:bookmarkEnd w:id="152"/>
      <w:r>
        <w:rPr>
          <w:b w:val="0"/>
          <w:bCs w:val="0"/>
        </w:rPr>
      </w:r>
      <w:r>
        <w:rPr/>
        <w:t>第十节</w:t>
      </w:r>
      <w:r>
        <w:rPr>
          <w:spacing w:val="-9"/>
        </w:rPr>
        <w:t> </w:t>
      </w:r>
      <w:r>
        <w:rPr/>
        <w:t>公司债券相关情况</w:t>
      </w:r>
      <w:r>
        <w:rPr>
          <w:b w:val="0"/>
          <w:bCs w:val="0"/>
        </w:rPr>
      </w:r>
    </w:p>
    <w:p>
      <w:pPr>
        <w:spacing w:line="240" w:lineRule="auto" w:before="8"/>
        <w:rPr>
          <w:rFonts w:ascii="宋体" w:hAnsi="宋体" w:cs="宋体" w:eastAsia="宋体" w:hint="default"/>
          <w:b/>
          <w:bCs/>
          <w:sz w:val="42"/>
          <w:szCs w:val="42"/>
        </w:rPr>
      </w:pPr>
    </w:p>
    <w:p>
      <w:pPr>
        <w:pStyle w:val="BodyText"/>
        <w:spacing w:line="357" w:lineRule="auto"/>
        <w:ind w:right="2113"/>
        <w:jc w:val="left"/>
      </w:pPr>
      <w:r>
        <w:rPr/>
        <w:t>公司是否存在公开发行并在证券交易所上市，且在年度报告批准报出日未到期或到期未能全额兑付的公司债券 否</w:t>
      </w:r>
    </w:p>
    <w:p>
      <w:pPr>
        <w:spacing w:after="0" w:line="357" w:lineRule="auto"/>
        <w:jc w:val="left"/>
        <w:sectPr>
          <w:pgSz w:w="11910" w:h="16840"/>
          <w:pgMar w:header="747" w:footer="979" w:top="1060" w:bottom="1160" w:left="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817" w:right="816"/>
        <w:jc w:val="center"/>
        <w:rPr>
          <w:b w:val="0"/>
          <w:bCs w:val="0"/>
        </w:rPr>
      </w:pPr>
      <w:bookmarkStart w:name="第十一节 财务报告" w:id="153"/>
      <w:bookmarkEnd w:id="153"/>
      <w:r>
        <w:rPr>
          <w:b w:val="0"/>
          <w:bCs w:val="0"/>
        </w:rPr>
      </w:r>
      <w:bookmarkStart w:name="_bookmark10" w:id="154"/>
      <w:bookmarkEnd w:id="154"/>
      <w:r>
        <w:rPr>
          <w:b w:val="0"/>
          <w:bCs w:val="0"/>
        </w:rPr>
      </w:r>
      <w:r>
        <w:rPr/>
        <w:t>第十一节</w:t>
      </w:r>
      <w:r>
        <w:rPr>
          <w:spacing w:val="-3"/>
        </w:rPr>
        <w:t> </w:t>
      </w:r>
      <w:r>
        <w:rPr/>
        <w:t>财务报告</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left"/>
        <w:rPr>
          <w:b w:val="0"/>
          <w:bCs w:val="0"/>
        </w:rPr>
      </w:pPr>
      <w:bookmarkStart w:name="一、审计报告" w:id="155"/>
      <w:bookmarkEnd w:id="155"/>
      <w:r>
        <w:rPr>
          <w:b w:val="0"/>
          <w:bCs w:val="0"/>
        </w:rPr>
      </w:r>
      <w:r>
        <w:rPr/>
        <w:t>一、审计报告</w:t>
      </w:r>
      <w:r>
        <w:rPr>
          <w:b w:val="0"/>
          <w:bCs w:val="0"/>
        </w:rPr>
      </w:r>
    </w:p>
    <w:p>
      <w:pPr>
        <w:spacing w:line="240" w:lineRule="auto" w:before="9"/>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4784"/>
        <w:gridCol w:w="4785"/>
      </w:tblGrid>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审计意见类型</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标准的无保留意见</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审计报告签署日期</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审计机构名称</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利安达会计师事务所（特殊普通合伙）</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审计报告文号</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利安达审字</w:t>
            </w:r>
            <w:r>
              <w:rPr>
                <w:rFonts w:ascii="Times New Roman" w:hAnsi="Times New Roman" w:cs="Times New Roman" w:eastAsia="Times New Roman" w:hint="default"/>
                <w:sz w:val="18"/>
                <w:szCs w:val="18"/>
              </w:rPr>
              <w:t>[2018]</w:t>
            </w:r>
            <w:r>
              <w:rPr>
                <w:rFonts w:ascii="宋体" w:hAnsi="宋体" w:cs="宋体" w:eastAsia="宋体" w:hint="default"/>
                <w:sz w:val="18"/>
                <w:szCs w:val="18"/>
              </w:rPr>
              <w:t>第</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2286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注册会计师姓名</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邱淦泳、许海丽</w:t>
            </w:r>
          </w:p>
        </w:tc>
      </w:tr>
    </w:tbl>
    <w:p>
      <w:pPr>
        <w:pStyle w:val="Heading4"/>
        <w:spacing w:line="240" w:lineRule="auto" w:before="26"/>
        <w:ind w:left="5324" w:right="0"/>
        <w:jc w:val="left"/>
      </w:pPr>
      <w:r>
        <w:rPr/>
        <w:t>审计报告正文</w:t>
      </w:r>
    </w:p>
    <w:p>
      <w:pPr>
        <w:spacing w:line="240" w:lineRule="auto" w:before="8"/>
        <w:rPr>
          <w:rFonts w:ascii="宋体" w:hAnsi="宋体" w:cs="宋体" w:eastAsia="宋体" w:hint="default"/>
          <w:sz w:val="29"/>
          <w:szCs w:val="29"/>
        </w:rPr>
      </w:pPr>
    </w:p>
    <w:p>
      <w:pPr>
        <w:pStyle w:val="Heading3"/>
        <w:spacing w:line="273" w:lineRule="auto"/>
        <w:ind w:left="1556" w:right="6747" w:hanging="423"/>
        <w:jc w:val="left"/>
        <w:rPr>
          <w:b w:val="0"/>
          <w:bCs w:val="0"/>
        </w:rPr>
      </w:pPr>
      <w:r>
        <w:rPr/>
        <w:t>河北先河环保科技股份有限公司全体股东：</w:t>
      </w:r>
      <w:r>
        <w:rPr>
          <w:w w:val="99"/>
        </w:rPr>
        <w:t> </w:t>
      </w:r>
      <w:r>
        <w:rPr/>
        <w:t>一、审计意见</w:t>
      </w:r>
      <w:r>
        <w:rPr>
          <w:b w:val="0"/>
          <w:bCs w:val="0"/>
        </w:rPr>
      </w:r>
    </w:p>
    <w:p>
      <w:pPr>
        <w:pStyle w:val="Heading4"/>
        <w:spacing w:line="256" w:lineRule="auto"/>
        <w:ind w:right="1129" w:firstLine="420"/>
        <w:jc w:val="both"/>
      </w:pPr>
      <w:r>
        <w:rPr>
          <w:spacing w:val="-1"/>
        </w:rPr>
        <w:t>我们审计了河北先河环保科技股份有限公司（以下简称“先河环保公司”）财务报表，包括</w:t>
      </w: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12</w:t>
      </w:r>
      <w:r>
        <w:rPr>
          <w:rFonts w:ascii="Times New Roman" w:hAnsi="Times New Roman" w:cs="Times New Roman" w:eastAsia="Times New Roman" w:hint="default"/>
          <w:spacing w:val="1"/>
        </w:rPr>
        <w:t> </w:t>
      </w:r>
      <w:r>
        <w:rPr>
          <w:spacing w:val="-1"/>
        </w:rPr>
        <w:t>月</w:t>
      </w:r>
      <w:r>
        <w:rPr>
          <w:rFonts w:ascii="Times New Roman" w:hAnsi="Times New Roman" w:cs="Times New Roman" w:eastAsia="Times New Roman" w:hint="default"/>
          <w:spacing w:val="-1"/>
        </w:rPr>
        <w:t>31</w:t>
      </w:r>
      <w:r>
        <w:rPr>
          <w:spacing w:val="-1"/>
        </w:rPr>
        <w:t>日的合并及母公司资产负债表，</w:t>
      </w:r>
      <w:r>
        <w:rPr>
          <w:rFonts w:ascii="Times New Roman" w:hAnsi="Times New Roman" w:cs="Times New Roman" w:eastAsia="Times New Roman" w:hint="default"/>
          <w:spacing w:val="-1"/>
        </w:rPr>
        <w:t>2017</w:t>
      </w:r>
      <w:r>
        <w:rPr>
          <w:spacing w:val="-1"/>
        </w:rPr>
        <w:t>年度的合并及母公司利润表、合并及母公司现金流量表、合并及</w:t>
      </w:r>
      <w:r>
        <w:rPr>
          <w:spacing w:val="-82"/>
        </w:rPr>
        <w:t> </w:t>
      </w:r>
      <w:r>
        <w:rPr>
          <w:spacing w:val="-82"/>
        </w:rPr>
      </w:r>
      <w:r>
        <w:rPr/>
        <w:t>母公司股东权益变动表以及相关财务报表附注。</w:t>
      </w:r>
    </w:p>
    <w:p>
      <w:pPr>
        <w:pStyle w:val="Heading4"/>
        <w:spacing w:line="240" w:lineRule="auto" w:before="22"/>
        <w:ind w:left="1554" w:right="0"/>
        <w:jc w:val="left"/>
      </w:pPr>
      <w:r>
        <w:rPr/>
        <w:t>我们认为，后附的财务报表在所有重大方面按照企业会计准则的规定编制，公允反映了先河环保公司</w:t>
      </w:r>
    </w:p>
    <w:p>
      <w:pPr>
        <w:pStyle w:val="Heading4"/>
        <w:spacing w:line="266" w:lineRule="auto" w:before="37"/>
        <w:ind w:left="1553" w:right="0" w:hanging="420"/>
        <w:jc w:val="left"/>
      </w:pP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日合并及母公司的财务状况以及</w:t>
      </w:r>
      <w:r>
        <w:rPr>
          <w:rFonts w:ascii="Times New Roman" w:hAnsi="Times New Roman" w:cs="Times New Roman" w:eastAsia="Times New Roman" w:hint="default"/>
        </w:rPr>
        <w:t>2017</w:t>
      </w:r>
      <w:r>
        <w:rPr/>
        <w:t>年度合并及母公司的经营成果和现金流量。 </w:t>
      </w:r>
      <w:r>
        <w:rPr>
          <w:rFonts w:ascii="宋体" w:hAnsi="宋体" w:cs="宋体" w:eastAsia="宋体" w:hint="default"/>
          <w:b/>
          <w:bCs/>
        </w:rPr>
        <w:t>二、形成审计意见的基础</w:t>
      </w:r>
      <w:r>
        <w:rPr>
          <w:rFonts w:ascii="宋体" w:hAnsi="宋体" w:cs="宋体" w:eastAsia="宋体" w:hint="default"/>
          <w:b/>
          <w:bCs/>
          <w:w w:val="99"/>
        </w:rPr>
        <w:t> </w:t>
      </w:r>
      <w:r>
        <w:rPr>
          <w:spacing w:val="-1"/>
        </w:rPr>
        <w:t>我们按照中国注册会计师审计准则的规定执行了审计工作。审计报告的“注册会计师对财务报表审计</w:t>
      </w:r>
    </w:p>
    <w:p>
      <w:pPr>
        <w:pStyle w:val="Heading4"/>
        <w:spacing w:line="273" w:lineRule="auto" w:before="14"/>
        <w:ind w:right="1131"/>
        <w:jc w:val="both"/>
      </w:pPr>
      <w:r>
        <w:rPr>
          <w:spacing w:val="-1"/>
        </w:rPr>
        <w:t>的责任”部分进一步阐述了我们在这些准则下的责任。按照中国注册会计师职业道德守则，我们独立于先</w:t>
      </w:r>
      <w:r>
        <w:rPr>
          <w:spacing w:val="-83"/>
        </w:rPr>
        <w:t> </w:t>
      </w:r>
      <w:r>
        <w:rPr>
          <w:spacing w:val="-83"/>
        </w:rPr>
      </w:r>
      <w:r>
        <w:rPr>
          <w:spacing w:val="-1"/>
        </w:rPr>
        <w:t>河环保公司，并履行了职业道德方面的其他责任。我们相信，我们获取的审计证据是充分、适当的，为发</w:t>
      </w:r>
      <w:r>
        <w:rPr>
          <w:spacing w:val="-83"/>
        </w:rPr>
        <w:t> </w:t>
      </w:r>
      <w:r>
        <w:rPr>
          <w:spacing w:val="-83"/>
        </w:rPr>
      </w:r>
      <w:r>
        <w:rPr/>
        <w:t>表审计意见提供了基础。</w:t>
      </w:r>
    </w:p>
    <w:p>
      <w:pPr>
        <w:pStyle w:val="Heading4"/>
        <w:spacing w:line="273" w:lineRule="auto"/>
        <w:ind w:left="1553" w:right="0" w:firstLine="2"/>
        <w:jc w:val="left"/>
      </w:pPr>
      <w:r>
        <w:rPr>
          <w:rFonts w:ascii="宋体" w:hAnsi="宋体" w:cs="宋体" w:eastAsia="宋体" w:hint="default"/>
          <w:b/>
          <w:bCs/>
        </w:rPr>
        <w:t>三、关键审计事项</w:t>
      </w:r>
      <w:r>
        <w:rPr>
          <w:rFonts w:ascii="宋体" w:hAnsi="宋体" w:cs="宋体" w:eastAsia="宋体" w:hint="default"/>
          <w:b/>
          <w:bCs/>
          <w:w w:val="99"/>
        </w:rPr>
        <w:t> </w:t>
      </w:r>
      <w:r>
        <w:rPr>
          <w:spacing w:val="-1"/>
        </w:rPr>
        <w:t>关键审计事项是我们根据职业判断，认为对本期财务报表审计最为重要的事项。这些事项的应对以对</w:t>
      </w:r>
    </w:p>
    <w:p>
      <w:pPr>
        <w:pStyle w:val="Heading4"/>
        <w:spacing w:line="273" w:lineRule="auto"/>
        <w:ind w:right="1131"/>
        <w:jc w:val="both"/>
      </w:pPr>
      <w:r>
        <w:rPr>
          <w:spacing w:val="-1"/>
        </w:rPr>
        <w:t>财务报表整体进行审计并形成审计意见为背景，我们不对这些事项单独发表意见。我们确定下列事项是需</w:t>
      </w:r>
      <w:r>
        <w:rPr>
          <w:spacing w:val="-81"/>
        </w:rPr>
        <w:t> </w:t>
      </w:r>
      <w:r>
        <w:rPr>
          <w:spacing w:val="-81"/>
        </w:rPr>
      </w:r>
      <w:r>
        <w:rPr/>
        <w:t>要在审计报告中沟通的关键审计事项。</w:t>
      </w:r>
    </w:p>
    <w:p>
      <w:pPr>
        <w:pStyle w:val="Heading4"/>
        <w:spacing w:line="240" w:lineRule="auto"/>
        <w:ind w:left="1553" w:right="0"/>
        <w:jc w:val="left"/>
      </w:pPr>
      <w:r>
        <w:rPr/>
        <w:t>（一）商誉减值测试</w:t>
      </w:r>
    </w:p>
    <w:p>
      <w:pPr>
        <w:pStyle w:val="Heading4"/>
        <w:spacing w:line="256" w:lineRule="auto" w:before="37"/>
        <w:ind w:left="1553" w:right="1118"/>
        <w:jc w:val="left"/>
      </w:pPr>
      <w:r>
        <w:rPr>
          <w:rFonts w:ascii="Times New Roman" w:hAnsi="Times New Roman" w:cs="Times New Roman" w:eastAsia="Times New Roman" w:hint="default"/>
        </w:rPr>
        <w:t>1</w:t>
      </w:r>
      <w:r>
        <w:rPr/>
        <w:t>、事项描述 </w:t>
      </w:r>
      <w:r>
        <w:rPr>
          <w:spacing w:val="-2"/>
        </w:rPr>
        <w:t>截止</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日，先河环保公司合并财务报表中商誉账面价值为</w:t>
      </w:r>
      <w:r>
        <w:rPr>
          <w:rFonts w:ascii="Times New Roman" w:hAnsi="Times New Roman" w:cs="Times New Roman" w:eastAsia="Times New Roman" w:hint="default"/>
          <w:spacing w:val="-2"/>
        </w:rPr>
        <w:t>293,709,487.56</w:t>
      </w:r>
      <w:r>
        <w:rPr>
          <w:spacing w:val="-2"/>
        </w:rPr>
        <w:t>元，先河环保公司</w:t>
      </w:r>
    </w:p>
    <w:p>
      <w:pPr>
        <w:pStyle w:val="Heading4"/>
        <w:spacing w:line="273" w:lineRule="auto" w:before="5"/>
        <w:ind w:left="1134" w:right="1129"/>
        <w:jc w:val="both"/>
      </w:pPr>
      <w:r>
        <w:rPr>
          <w:spacing w:val="-1"/>
        </w:rPr>
        <w:t>管理层（以下简称“管理层”）在每年年度终了对商誉进行减值测试，并依据减值测试的结果调整商誉的</w:t>
      </w:r>
      <w:r>
        <w:rPr>
          <w:spacing w:val="-84"/>
        </w:rPr>
        <w:t> </w:t>
      </w:r>
      <w:r>
        <w:rPr>
          <w:spacing w:val="-84"/>
        </w:rPr>
      </w:r>
      <w:r>
        <w:rPr>
          <w:spacing w:val="-1"/>
        </w:rPr>
        <w:t>账面价值。商誉减值测试的结果很大程度上依赖于管理层所做的估计和采用的假设，包括对资产组预计未</w:t>
      </w:r>
      <w:r>
        <w:rPr>
          <w:spacing w:val="-81"/>
        </w:rPr>
        <w:t> </w:t>
      </w:r>
      <w:r>
        <w:rPr>
          <w:spacing w:val="-81"/>
        </w:rPr>
      </w:r>
      <w:r>
        <w:rPr>
          <w:spacing w:val="-1"/>
        </w:rPr>
        <w:t>来可产生现金流量和折现率等的估计。该等估计受到管理层对未来市场以及对经济环境判断的影响，采用</w:t>
      </w:r>
      <w:r>
        <w:rPr>
          <w:spacing w:val="-81"/>
        </w:rPr>
        <w:t> </w:t>
      </w:r>
      <w:r>
        <w:rPr>
          <w:spacing w:val="-81"/>
        </w:rPr>
      </w:r>
      <w:r>
        <w:rPr>
          <w:spacing w:val="-1"/>
        </w:rPr>
        <w:t>不同的估计和假设会对评估的商誉之可收回价值有很大的影响。由于减值测试过程较为复杂，同时涉及重</w:t>
      </w:r>
      <w:r>
        <w:rPr>
          <w:spacing w:val="-81"/>
        </w:rPr>
        <w:t> </w:t>
      </w:r>
      <w:r>
        <w:rPr>
          <w:spacing w:val="-81"/>
        </w:rPr>
      </w:r>
      <w:r>
        <w:rPr/>
        <w:t>大判断，因此我们确定商誉减值测试为关注审计事项。</w:t>
      </w:r>
    </w:p>
    <w:p>
      <w:pPr>
        <w:pStyle w:val="Heading4"/>
        <w:spacing w:line="256" w:lineRule="auto"/>
        <w:ind w:left="1553" w:right="5083"/>
        <w:jc w:val="left"/>
      </w:pPr>
      <w:r>
        <w:rPr/>
        <w:t>关于商誉减值测试的会计政策见财务报表附注四（</w:t>
      </w:r>
      <w:r>
        <w:rPr>
          <w:rFonts w:ascii="Times New Roman" w:hAnsi="Times New Roman" w:cs="Times New Roman" w:eastAsia="Times New Roman" w:hint="default"/>
        </w:rPr>
        <w:t>19</w:t>
      </w:r>
      <w:r>
        <w:rPr/>
        <w:t>） </w:t>
      </w:r>
      <w:r>
        <w:rPr>
          <w:rFonts w:ascii="Times New Roman" w:hAnsi="Times New Roman" w:cs="Times New Roman" w:eastAsia="Times New Roman" w:hint="default"/>
        </w:rPr>
        <w:t>2</w:t>
      </w:r>
      <w:r>
        <w:rPr/>
        <w:t>、审计应对 我们对先河环保公司商誉减值执行的主要审计程序包括：</w:t>
      </w:r>
    </w:p>
    <w:p>
      <w:pPr>
        <w:pStyle w:val="Heading4"/>
        <w:spacing w:line="240" w:lineRule="auto" w:before="22"/>
        <w:ind w:left="1553" w:right="0"/>
        <w:jc w:val="left"/>
      </w:pPr>
      <w:r>
        <w:rPr/>
        <w:t>（</w:t>
      </w:r>
      <w:r>
        <w:rPr>
          <w:rFonts w:ascii="Times New Roman" w:hAnsi="Times New Roman" w:cs="Times New Roman" w:eastAsia="Times New Roman" w:hint="default"/>
        </w:rPr>
        <w:t>1</w:t>
      </w:r>
      <w:r>
        <w:rPr/>
        <w:t>）了解各资产组的历史业绩情况及发展规划，以及行业的发展趋势；</w:t>
      </w:r>
    </w:p>
    <w:p>
      <w:pPr>
        <w:pStyle w:val="Heading4"/>
        <w:spacing w:line="240" w:lineRule="auto" w:before="21"/>
        <w:ind w:left="1553" w:right="0"/>
        <w:jc w:val="left"/>
      </w:pPr>
      <w:r>
        <w:rPr/>
        <w:t>（</w:t>
      </w:r>
      <w:r>
        <w:rPr>
          <w:rFonts w:ascii="Times New Roman" w:hAnsi="Times New Roman" w:cs="Times New Roman" w:eastAsia="Times New Roman" w:hint="default"/>
        </w:rPr>
        <w:t>2</w:t>
      </w:r>
      <w:r>
        <w:rPr/>
        <w:t>）评估管理层选择的估值方法和采用的主要假设的合理性；</w:t>
      </w:r>
    </w:p>
    <w:p>
      <w:pPr>
        <w:spacing w:after="0" w:line="240" w:lineRule="auto"/>
        <w:jc w:val="left"/>
        <w:sectPr>
          <w:pgSz w:w="11910" w:h="16840"/>
          <w:pgMar w:header="747" w:footer="979" w:top="1060" w:bottom="1160" w:left="0" w:right="0"/>
        </w:sectPr>
      </w:pPr>
    </w:p>
    <w:p>
      <w:pPr>
        <w:spacing w:line="240" w:lineRule="auto" w:before="9"/>
        <w:rPr>
          <w:rFonts w:ascii="宋体" w:hAnsi="宋体" w:cs="宋体" w:eastAsia="宋体" w:hint="default"/>
          <w:sz w:val="24"/>
          <w:szCs w:val="24"/>
        </w:rPr>
      </w:pPr>
    </w:p>
    <w:p>
      <w:pPr>
        <w:pStyle w:val="Heading4"/>
        <w:spacing w:line="256" w:lineRule="auto" w:before="35"/>
        <w:ind w:right="1141" w:firstLine="420"/>
        <w:jc w:val="both"/>
      </w:pPr>
      <w:r>
        <w:rPr/>
        <w:t>（</w:t>
      </w:r>
      <w:r>
        <w:rPr>
          <w:rFonts w:ascii="Times New Roman" w:hAnsi="Times New Roman" w:cs="Times New Roman" w:eastAsia="Times New Roman" w:hint="default"/>
        </w:rPr>
        <w:t>3</w:t>
      </w:r>
      <w:r>
        <w:rPr/>
        <w:t>）复核现金流量预测水平和所采用折现率的合理性，并与相关资产组的历史数据及行业水平进行 比较分析；</w:t>
      </w:r>
    </w:p>
    <w:p>
      <w:pPr>
        <w:pStyle w:val="Heading4"/>
        <w:spacing w:line="240" w:lineRule="auto" w:before="22"/>
        <w:ind w:left="1553" w:right="0"/>
        <w:jc w:val="left"/>
      </w:pPr>
      <w:r>
        <w:rPr/>
        <w:t>（</w:t>
      </w:r>
      <w:r>
        <w:rPr>
          <w:rFonts w:ascii="Times New Roman" w:hAnsi="Times New Roman" w:cs="Times New Roman" w:eastAsia="Times New Roman" w:hint="default"/>
        </w:rPr>
        <w:t>4</w:t>
      </w:r>
      <w:r>
        <w:rPr/>
        <w:t>）复核商誉减值测试的计算准确性。</w:t>
      </w:r>
    </w:p>
    <w:p>
      <w:pPr>
        <w:pStyle w:val="Heading4"/>
        <w:spacing w:line="240" w:lineRule="auto" w:before="21"/>
        <w:ind w:left="1553" w:right="0"/>
        <w:jc w:val="left"/>
      </w:pPr>
      <w:r>
        <w:rPr/>
        <w:t>（二）应收账款的减值</w:t>
      </w:r>
    </w:p>
    <w:p>
      <w:pPr>
        <w:pStyle w:val="Heading4"/>
        <w:spacing w:line="256" w:lineRule="auto" w:before="37"/>
        <w:ind w:left="1553" w:right="1118"/>
        <w:jc w:val="left"/>
      </w:pPr>
      <w:r>
        <w:rPr>
          <w:rFonts w:ascii="Times New Roman" w:hAnsi="Times New Roman" w:cs="Times New Roman" w:eastAsia="Times New Roman" w:hint="default"/>
        </w:rPr>
        <w:t>1</w:t>
      </w:r>
      <w:r>
        <w:rPr/>
        <w:t>、事项描述 </w:t>
      </w:r>
      <w:r>
        <w:rPr>
          <w:spacing w:val="5"/>
        </w:rPr>
        <w:t>截止</w:t>
      </w:r>
      <w:r>
        <w:rPr>
          <w:rFonts w:ascii="Times New Roman" w:hAnsi="Times New Roman" w:cs="Times New Roman" w:eastAsia="Times New Roman" w:hint="default"/>
          <w:spacing w:val="5"/>
        </w:rPr>
        <w:t>2017</w:t>
      </w:r>
      <w:r>
        <w:rPr>
          <w:spacing w:val="5"/>
        </w:rPr>
        <w:t>年</w:t>
      </w:r>
      <w:r>
        <w:rPr>
          <w:rFonts w:ascii="Times New Roman" w:hAnsi="Times New Roman" w:cs="Times New Roman" w:eastAsia="Times New Roman" w:hint="default"/>
          <w:spacing w:val="5"/>
        </w:rPr>
        <w:t>12</w:t>
      </w:r>
      <w:r>
        <w:rPr>
          <w:spacing w:val="5"/>
        </w:rPr>
        <w:t>月</w:t>
      </w:r>
      <w:r>
        <w:rPr>
          <w:rFonts w:ascii="Times New Roman" w:hAnsi="Times New Roman" w:cs="Times New Roman" w:eastAsia="Times New Roman" w:hint="default"/>
          <w:spacing w:val="5"/>
        </w:rPr>
        <w:t>31</w:t>
      </w:r>
      <w:r>
        <w:rPr>
          <w:spacing w:val="5"/>
        </w:rPr>
        <w:t>日，如先河环保公司合并财务报表附注六、</w:t>
      </w:r>
      <w:r>
        <w:rPr>
          <w:rFonts w:ascii="Times New Roman" w:hAnsi="Times New Roman" w:cs="Times New Roman" w:eastAsia="Times New Roman" w:hint="default"/>
          <w:spacing w:val="5"/>
        </w:rPr>
        <w:t>3</w:t>
      </w:r>
      <w:r>
        <w:rPr>
          <w:spacing w:val="5"/>
        </w:rPr>
        <w:t>所述，先河环保公司应收账款余额</w:t>
      </w:r>
    </w:p>
    <w:p>
      <w:pPr>
        <w:pStyle w:val="Heading4"/>
        <w:spacing w:line="268" w:lineRule="auto" w:before="5"/>
        <w:ind w:right="0"/>
        <w:jc w:val="left"/>
      </w:pPr>
      <w:r>
        <w:rPr>
          <w:rFonts w:ascii="Times New Roman" w:hAnsi="Times New Roman" w:cs="Times New Roman" w:eastAsia="Times New Roman" w:hint="default"/>
          <w:spacing w:val="-2"/>
        </w:rPr>
        <w:t>408,839,395.15</w:t>
      </w:r>
      <w:r>
        <w:rPr>
          <w:spacing w:val="-2"/>
        </w:rPr>
        <w:t>元，坏账准备金额</w:t>
      </w:r>
      <w:r>
        <w:rPr>
          <w:rFonts w:ascii="Times New Roman" w:hAnsi="Times New Roman" w:cs="Times New Roman" w:eastAsia="Times New Roman" w:hint="default"/>
          <w:spacing w:val="-2"/>
        </w:rPr>
        <w:t>118,001,912.93</w:t>
      </w:r>
      <w:r>
        <w:rPr>
          <w:spacing w:val="-2"/>
        </w:rPr>
        <w:t>元，净值为</w:t>
      </w:r>
      <w:r>
        <w:rPr>
          <w:rFonts w:ascii="Times New Roman" w:hAnsi="Times New Roman" w:cs="Times New Roman" w:eastAsia="Times New Roman" w:hint="default"/>
          <w:spacing w:val="-2"/>
        </w:rPr>
        <w:t>290,837,482.22</w:t>
      </w:r>
      <w:r>
        <w:rPr>
          <w:spacing w:val="-2"/>
        </w:rPr>
        <w:t>元，应收账款净值账面价值较高。</w:t>
      </w:r>
      <w:r>
        <w:rPr>
          <w:spacing w:val="-45"/>
        </w:rPr>
        <w:t> </w:t>
      </w:r>
      <w:r>
        <w:rPr>
          <w:spacing w:val="-45"/>
        </w:rPr>
      </w:r>
      <w:r>
        <w:rPr/>
        <w:t>管理层在对应收账款的可回收性进行评估时，需要综合考虑应收账款的账龄、债务人的还款记录、债务人</w:t>
      </w:r>
      <w:r>
        <w:rPr/>
        <w:t> 的行业现状等因素。由于应收账款余额重大且坏账准备的评估涉及运用重要会计估计和判断，且若应收账 款不能按期收回或无法收回而发生坏账对财务报表影响较为重大，因此我们确定应收账款的坏账准备为关 键审计事项。</w:t>
      </w:r>
    </w:p>
    <w:p>
      <w:pPr>
        <w:pStyle w:val="Heading4"/>
        <w:spacing w:line="256" w:lineRule="auto" w:before="12"/>
        <w:ind w:left="1553" w:right="4243"/>
        <w:jc w:val="left"/>
      </w:pPr>
      <w:r>
        <w:rPr/>
        <w:t>关于应收账款坏账准备的会计政策见财务报表附注四（</w:t>
      </w:r>
      <w:r>
        <w:rPr>
          <w:rFonts w:ascii="Times New Roman" w:hAnsi="Times New Roman" w:cs="Times New Roman" w:eastAsia="Times New Roman" w:hint="default"/>
        </w:rPr>
        <w:t>10</w:t>
      </w:r>
      <w:r>
        <w:rPr/>
        <w:t>） </w:t>
      </w:r>
      <w:r>
        <w:rPr>
          <w:rFonts w:ascii="Times New Roman" w:hAnsi="Times New Roman" w:cs="Times New Roman" w:eastAsia="Times New Roman" w:hint="default"/>
        </w:rPr>
        <w:t>2</w:t>
      </w:r>
      <w:r>
        <w:rPr/>
        <w:t>、审计应对 我们对先河环保公司应收账款坏账准备执行的主要审计程序包括：</w:t>
      </w:r>
    </w:p>
    <w:p>
      <w:pPr>
        <w:pStyle w:val="Heading4"/>
        <w:spacing w:line="240" w:lineRule="auto" w:before="22"/>
        <w:ind w:left="1553" w:right="0"/>
        <w:jc w:val="left"/>
      </w:pPr>
      <w:r>
        <w:rPr/>
        <w:t>（</w:t>
      </w:r>
      <w:r>
        <w:rPr>
          <w:rFonts w:ascii="Times New Roman" w:hAnsi="Times New Roman" w:cs="Times New Roman" w:eastAsia="Times New Roman" w:hint="default"/>
        </w:rPr>
        <w:t>1</w:t>
      </w:r>
      <w:r>
        <w:rPr/>
        <w:t>）评估管理层对应收账款管理相关内部控制的设计和运行有效性；</w:t>
      </w:r>
    </w:p>
    <w:p>
      <w:pPr>
        <w:pStyle w:val="Heading4"/>
        <w:spacing w:line="256" w:lineRule="auto" w:before="21"/>
        <w:ind w:right="0" w:firstLine="420"/>
        <w:jc w:val="left"/>
      </w:pPr>
      <w:r>
        <w:rPr>
          <w:spacing w:val="-1"/>
        </w:rPr>
        <w:t>（</w:t>
      </w:r>
      <w:r>
        <w:rPr>
          <w:rFonts w:ascii="Times New Roman" w:hAnsi="Times New Roman" w:cs="Times New Roman" w:eastAsia="Times New Roman" w:hint="default"/>
          <w:spacing w:val="-1"/>
        </w:rPr>
        <w:t>2</w:t>
      </w:r>
      <w:r>
        <w:rPr>
          <w:spacing w:val="-1"/>
        </w:rPr>
        <w:t>）了解和评价先河环保公司应收账款坏账准备会计估计的合理性，包括确定应收账款组合的依据、</w:t>
      </w:r>
      <w:r>
        <w:rPr/>
        <w:t> 金额重大的判断、单独计提坏账准备的判断等；</w:t>
      </w:r>
    </w:p>
    <w:p>
      <w:pPr>
        <w:pStyle w:val="Heading4"/>
        <w:spacing w:line="240" w:lineRule="auto" w:before="22"/>
        <w:ind w:left="1554" w:right="0"/>
        <w:jc w:val="left"/>
      </w:pPr>
      <w:r>
        <w:rPr/>
        <w:t>（</w:t>
      </w:r>
      <w:r>
        <w:rPr>
          <w:rFonts w:ascii="Times New Roman" w:hAnsi="Times New Roman" w:cs="Times New Roman" w:eastAsia="Times New Roman" w:hint="default"/>
        </w:rPr>
        <w:t>3</w:t>
      </w:r>
      <w:r>
        <w:rPr/>
        <w:t>）复核管理层对应收账款可收回性进行评估的相关考虑和客观证据；</w:t>
      </w:r>
    </w:p>
    <w:p>
      <w:pPr>
        <w:pStyle w:val="Heading4"/>
        <w:spacing w:line="264" w:lineRule="auto" w:before="21"/>
        <w:ind w:left="1134" w:right="1131" w:firstLine="420"/>
        <w:jc w:val="both"/>
      </w:pPr>
      <w:r>
        <w:rPr/>
        <w:t>（</w:t>
      </w:r>
      <w:r>
        <w:rPr>
          <w:rFonts w:ascii="Times New Roman" w:hAnsi="Times New Roman" w:cs="Times New Roman" w:eastAsia="Times New Roman" w:hint="default"/>
        </w:rPr>
        <w:t>4</w:t>
      </w:r>
      <w:r>
        <w:rPr/>
        <w:t>）复核先河环保公司对应收账款坏账准备的计提过程，包括单项计提的坏账准备以及按账龄分析 </w:t>
      </w:r>
      <w:r>
        <w:rPr>
          <w:spacing w:val="-1"/>
        </w:rPr>
        <w:t>法进行计提的坏账准备，检查计提方法是否按照先河环保公司坏账政策执行，重新计算坏账计提金额是否</w:t>
      </w:r>
      <w:r>
        <w:rPr>
          <w:spacing w:val="-81"/>
        </w:rPr>
        <w:t> </w:t>
      </w:r>
      <w:r>
        <w:rPr>
          <w:spacing w:val="-81"/>
        </w:rPr>
      </w:r>
      <w:r>
        <w:rPr/>
        <w:t>适当；</w:t>
      </w:r>
    </w:p>
    <w:p>
      <w:pPr>
        <w:pStyle w:val="Heading4"/>
        <w:spacing w:line="240" w:lineRule="auto" w:before="16"/>
        <w:ind w:left="1554" w:right="0"/>
        <w:jc w:val="left"/>
      </w:pPr>
      <w:r>
        <w:rPr/>
        <w:t>（</w:t>
      </w:r>
      <w:r>
        <w:rPr>
          <w:rFonts w:ascii="Times New Roman" w:hAnsi="Times New Roman" w:cs="Times New Roman" w:eastAsia="Times New Roman" w:hint="default"/>
        </w:rPr>
        <w:t>5</w:t>
      </w:r>
      <w:r>
        <w:rPr/>
        <w:t>）对应收账款期末余额选取样本执行函证程序；</w:t>
      </w:r>
    </w:p>
    <w:p>
      <w:pPr>
        <w:pStyle w:val="Heading4"/>
        <w:spacing w:line="256" w:lineRule="auto" w:before="21"/>
        <w:ind w:left="1556" w:right="3298" w:hanging="3"/>
        <w:jc w:val="left"/>
        <w:rPr>
          <w:rFonts w:ascii="宋体" w:hAnsi="宋体" w:cs="宋体" w:eastAsia="宋体" w:hint="default"/>
        </w:rPr>
      </w:pPr>
      <w:r>
        <w:rPr/>
        <w:t>（</w:t>
      </w:r>
      <w:r>
        <w:rPr>
          <w:rFonts w:ascii="Times New Roman" w:hAnsi="Times New Roman" w:cs="Times New Roman" w:eastAsia="Times New Roman" w:hint="default"/>
        </w:rPr>
        <w:t>6</w:t>
      </w:r>
      <w:r>
        <w:rPr/>
        <w:t>）结合期后回款情况检查，评价管理层应收账款坏账准备计提的合理性。 </w:t>
      </w:r>
      <w:r>
        <w:rPr>
          <w:rFonts w:ascii="宋体" w:hAnsi="宋体" w:cs="宋体" w:eastAsia="宋体" w:hint="default"/>
          <w:b/>
          <w:bCs/>
        </w:rPr>
        <w:t>四、其他信息</w:t>
      </w:r>
      <w:r>
        <w:rPr>
          <w:rFonts w:ascii="宋体" w:hAnsi="宋体" w:cs="宋体" w:eastAsia="宋体" w:hint="default"/>
        </w:rPr>
      </w:r>
    </w:p>
    <w:p>
      <w:pPr>
        <w:pStyle w:val="Heading4"/>
        <w:spacing w:line="256" w:lineRule="auto" w:before="22"/>
        <w:ind w:right="1132" w:firstLine="420"/>
        <w:jc w:val="both"/>
      </w:pPr>
      <w:r>
        <w:rPr>
          <w:spacing w:val="-1"/>
        </w:rPr>
        <w:t>先河环保公司管理层对其他信息负责。其他信息包括先河环保公司</w:t>
      </w:r>
      <w:r>
        <w:rPr>
          <w:rFonts w:ascii="Times New Roman" w:hAnsi="Times New Roman" w:cs="Times New Roman" w:eastAsia="Times New Roman" w:hint="default"/>
          <w:spacing w:val="-1"/>
        </w:rPr>
        <w:t>2017</w:t>
      </w:r>
      <w:r>
        <w:rPr>
          <w:spacing w:val="-1"/>
        </w:rPr>
        <w:t>年年度报告中涵盖的信息，但</w:t>
      </w:r>
      <w:r>
        <w:rPr/>
        <w:t> 不包括财务报表和我们的审计报告。</w:t>
      </w:r>
    </w:p>
    <w:p>
      <w:pPr>
        <w:pStyle w:val="Heading4"/>
        <w:spacing w:line="273" w:lineRule="auto" w:before="22"/>
        <w:ind w:left="1553" w:right="0"/>
        <w:jc w:val="left"/>
      </w:pPr>
      <w:r>
        <w:rPr/>
        <w:t>我们对财务报表发表的审计意见不涵盖其他信息，我们也不对其他信息发表任何形式的鉴证结论。 </w:t>
      </w:r>
      <w:r>
        <w:rPr>
          <w:spacing w:val="-1"/>
        </w:rPr>
        <w:t>结合我们对财务报表的审计，我们的责任是阅读其他信息，在此过程中，考虑其他信息是否与财务报</w:t>
      </w:r>
    </w:p>
    <w:p>
      <w:pPr>
        <w:pStyle w:val="Heading4"/>
        <w:spacing w:line="273" w:lineRule="auto"/>
        <w:ind w:left="1553" w:right="0" w:hanging="420"/>
        <w:jc w:val="left"/>
      </w:pPr>
      <w:r>
        <w:rPr/>
        <w:t>表或我们在审计过程中了解到的情况存在重大不一致或者似乎存在重大错报。 </w:t>
      </w:r>
      <w:r>
        <w:rPr>
          <w:spacing w:val="-1"/>
        </w:rPr>
        <w:t>基于我们已执行的工作，如果我们确定其他信息存在重大错报，我们应当报告该事实。在这方面，我</w:t>
      </w:r>
    </w:p>
    <w:p>
      <w:pPr>
        <w:spacing w:line="273" w:lineRule="auto" w:before="7"/>
        <w:ind w:left="1556" w:right="6746" w:hanging="423"/>
        <w:jc w:val="left"/>
        <w:rPr>
          <w:rFonts w:ascii="宋体" w:hAnsi="宋体" w:cs="宋体" w:eastAsia="宋体" w:hint="default"/>
          <w:sz w:val="21"/>
          <w:szCs w:val="21"/>
        </w:rPr>
      </w:pPr>
      <w:r>
        <w:rPr>
          <w:rFonts w:ascii="宋体" w:hAnsi="宋体" w:cs="宋体" w:eastAsia="宋体" w:hint="default"/>
          <w:sz w:val="21"/>
          <w:szCs w:val="21"/>
        </w:rPr>
        <w:t>们无任何事项需要报告。 </w:t>
      </w:r>
      <w:r>
        <w:rPr>
          <w:rFonts w:ascii="宋体" w:hAnsi="宋体" w:cs="宋体" w:eastAsia="宋体" w:hint="default"/>
          <w:b/>
          <w:bCs/>
          <w:sz w:val="21"/>
          <w:szCs w:val="21"/>
        </w:rPr>
        <w:t>五、管理层和治理层对财务报表的责任</w:t>
      </w:r>
      <w:r>
        <w:rPr>
          <w:rFonts w:ascii="宋体" w:hAnsi="宋体" w:cs="宋体" w:eastAsia="宋体" w:hint="default"/>
          <w:sz w:val="21"/>
          <w:szCs w:val="21"/>
        </w:rPr>
      </w:r>
    </w:p>
    <w:p>
      <w:pPr>
        <w:pStyle w:val="Heading4"/>
        <w:spacing w:line="273" w:lineRule="auto"/>
        <w:ind w:right="1130" w:firstLine="420"/>
        <w:jc w:val="both"/>
      </w:pPr>
      <w:r>
        <w:rPr>
          <w:spacing w:val="-1"/>
        </w:rPr>
        <w:t>先河环保公司管理层负责按照企业会计准则的规定编制财务报表，使其实现公允反映，并设计、执行</w:t>
      </w:r>
      <w:r>
        <w:rPr/>
        <w:t> 和维护必要的内部控制，以使财务报表不存在由于舞弊或错误导致的重大错报。</w:t>
      </w:r>
    </w:p>
    <w:p>
      <w:pPr>
        <w:pStyle w:val="Heading4"/>
        <w:spacing w:line="273" w:lineRule="auto"/>
        <w:ind w:right="1131" w:firstLine="420"/>
        <w:jc w:val="both"/>
      </w:pPr>
      <w:r>
        <w:rPr>
          <w:spacing w:val="-1"/>
        </w:rPr>
        <w:t>在编制财务报表时，管理层负责评估先河环保公司的持续经营能力，披露与持续经营相关的事项（如</w:t>
      </w:r>
      <w:r>
        <w:rPr/>
        <w:t> </w:t>
      </w:r>
      <w:r>
        <w:rPr>
          <w:spacing w:val="-3"/>
        </w:rPr>
        <w:t>适用），并运用持续经营假设，除非管理层计划清算先河环保公司、终止运营或别无其他现实的选择。</w:t>
      </w:r>
    </w:p>
    <w:p>
      <w:pPr>
        <w:spacing w:line="273" w:lineRule="auto" w:before="7"/>
        <w:ind w:left="1556" w:right="5923" w:hanging="3"/>
        <w:jc w:val="left"/>
        <w:rPr>
          <w:rFonts w:ascii="宋体" w:hAnsi="宋体" w:cs="宋体" w:eastAsia="宋体" w:hint="default"/>
          <w:sz w:val="21"/>
          <w:szCs w:val="21"/>
        </w:rPr>
      </w:pPr>
      <w:r>
        <w:rPr>
          <w:rFonts w:ascii="宋体" w:hAnsi="宋体" w:cs="宋体" w:eastAsia="宋体" w:hint="default"/>
          <w:sz w:val="21"/>
          <w:szCs w:val="21"/>
        </w:rPr>
        <w:t>治理层负责监督先河环保公司的财务报告过程。 </w:t>
      </w:r>
      <w:r>
        <w:rPr>
          <w:rFonts w:ascii="宋体" w:hAnsi="宋体" w:cs="宋体" w:eastAsia="宋体" w:hint="default"/>
          <w:b/>
          <w:bCs/>
          <w:sz w:val="21"/>
          <w:szCs w:val="21"/>
        </w:rPr>
        <w:t>六、注册会计师对财务报表审计的责任</w:t>
      </w:r>
      <w:r>
        <w:rPr>
          <w:rFonts w:ascii="宋体" w:hAnsi="宋体" w:cs="宋体" w:eastAsia="宋体" w:hint="default"/>
          <w:sz w:val="21"/>
          <w:szCs w:val="21"/>
        </w:rPr>
      </w:r>
    </w:p>
    <w:p>
      <w:pPr>
        <w:pStyle w:val="Heading4"/>
        <w:spacing w:line="273" w:lineRule="auto"/>
        <w:ind w:right="1131" w:firstLine="420"/>
        <w:jc w:val="both"/>
      </w:pPr>
      <w:r>
        <w:rPr>
          <w:spacing w:val="-1"/>
        </w:rPr>
        <w:t>我们的目标是对财务报表整体是否不存在由于舞弊或错误导致的重大错报获取合理保证，并出具包含</w:t>
      </w:r>
      <w:r>
        <w:rPr/>
        <w:t> </w:t>
      </w:r>
      <w:r>
        <w:rPr>
          <w:spacing w:val="-1"/>
        </w:rPr>
        <w:t>审计意见的审计报告。合理保证是高水平的保证，但并不能保证按照审计准则执行的审计在某一重大错报</w:t>
      </w:r>
      <w:r>
        <w:rPr>
          <w:spacing w:val="-81"/>
        </w:rPr>
        <w:t> </w:t>
      </w:r>
      <w:r>
        <w:rPr>
          <w:spacing w:val="-81"/>
        </w:rPr>
      </w:r>
      <w:r>
        <w:rPr>
          <w:spacing w:val="-1"/>
        </w:rPr>
        <w:t>存在时总能发现。错报可能由于舞弊或错误导致，如果合理预期错报单独或汇总起来可能影响财务报表使</w:t>
      </w:r>
      <w:r>
        <w:rPr>
          <w:spacing w:val="-81"/>
        </w:rPr>
        <w:t> </w:t>
      </w:r>
      <w:r>
        <w:rPr>
          <w:spacing w:val="-81"/>
        </w:rPr>
      </w:r>
      <w:r>
        <w:rPr/>
        <w:t>用者依据财务报表作出的经济决策，则通常认为错报是重大的。</w:t>
      </w:r>
    </w:p>
    <w:p>
      <w:pPr>
        <w:pStyle w:val="Heading4"/>
        <w:spacing w:line="273" w:lineRule="auto"/>
        <w:ind w:right="1133" w:firstLine="420"/>
        <w:jc w:val="both"/>
      </w:pPr>
      <w:r>
        <w:rPr>
          <w:spacing w:val="-1"/>
        </w:rPr>
        <w:t>在按照审计准则执行审计工作的过程中，我们运用职业判断，并保持职业怀疑。同时，我们也执行以</w:t>
      </w:r>
      <w:r>
        <w:rPr/>
        <w:t> 下工作：</w:t>
      </w:r>
    </w:p>
    <w:p>
      <w:pPr>
        <w:spacing w:after="0" w:line="273" w:lineRule="auto"/>
        <w:jc w:val="both"/>
        <w:sectPr>
          <w:pgSz w:w="11910" w:h="16840"/>
          <w:pgMar w:header="747" w:footer="979" w:top="1060" w:bottom="1160" w:left="0" w:right="0"/>
        </w:sectPr>
      </w:pPr>
    </w:p>
    <w:p>
      <w:pPr>
        <w:spacing w:line="240" w:lineRule="auto" w:before="9"/>
        <w:rPr>
          <w:rFonts w:ascii="宋体" w:hAnsi="宋体" w:cs="宋体" w:eastAsia="宋体" w:hint="default"/>
          <w:sz w:val="24"/>
          <w:szCs w:val="24"/>
        </w:rPr>
      </w:pPr>
    </w:p>
    <w:p>
      <w:pPr>
        <w:pStyle w:val="Heading4"/>
        <w:spacing w:line="273" w:lineRule="auto" w:before="35"/>
        <w:ind w:right="1024" w:firstLine="420"/>
        <w:jc w:val="left"/>
      </w:pPr>
      <w:r>
        <w:rPr/>
        <w:t>（一）识别和评估由于舞弊或错误导致的财务报表重大错报风险，设计和实施审计程序以应对这些风 </w:t>
      </w:r>
      <w:r>
        <w:rPr>
          <w:spacing w:val="-3"/>
        </w:rPr>
        <w:t>险，并获取充分、适当的审计证据，作为发表审计意见的基础。由于舞弊可能涉及串通、伪造、故意遗漏、</w:t>
      </w:r>
      <w:r>
        <w:rPr>
          <w:spacing w:val="-94"/>
        </w:rPr>
        <w:t> </w:t>
      </w:r>
      <w:r>
        <w:rPr>
          <w:spacing w:val="-94"/>
        </w:rPr>
      </w:r>
      <w:r>
        <w:rPr/>
        <w:t>虚假陈述或凌驾于内部控制之上，未能发现由于舞弊导致的重大错报的风险高于未能发现由于错误导致的</w:t>
      </w:r>
      <w:r>
        <w:rPr/>
        <w:t> 重大错报的风险。</w:t>
      </w:r>
    </w:p>
    <w:p>
      <w:pPr>
        <w:pStyle w:val="Heading4"/>
        <w:spacing w:line="273" w:lineRule="auto" w:before="8"/>
        <w:ind w:right="1131" w:firstLine="420"/>
        <w:jc w:val="both"/>
      </w:pPr>
      <w:r>
        <w:rPr>
          <w:spacing w:val="-1"/>
        </w:rPr>
        <w:t>（二）了解与审计相关的内部控制，以设计恰当的审计程序，但目的并非对内部控制的有效性发表意</w:t>
      </w:r>
      <w:r>
        <w:rPr/>
        <w:t> 见。</w:t>
      </w:r>
    </w:p>
    <w:p>
      <w:pPr>
        <w:pStyle w:val="Heading4"/>
        <w:spacing w:line="240" w:lineRule="auto"/>
        <w:ind w:left="1554" w:right="0"/>
        <w:jc w:val="left"/>
      </w:pPr>
      <w:r>
        <w:rPr/>
        <w:t>（三）评价管理层选用会计政策的恰当性和作出会计估计及相关披露的合理性。</w:t>
      </w:r>
    </w:p>
    <w:p>
      <w:pPr>
        <w:pStyle w:val="Heading4"/>
        <w:spacing w:line="273" w:lineRule="auto" w:before="37"/>
        <w:ind w:right="1131" w:firstLine="420"/>
        <w:jc w:val="both"/>
      </w:pPr>
      <w:r>
        <w:rPr>
          <w:spacing w:val="-1"/>
        </w:rPr>
        <w:t>（四）对管理层使用持续经营假设的恰当性得出结论。同时，根据获取的审计证据，就可能导致对先</w:t>
      </w:r>
      <w:r>
        <w:rPr/>
        <w:t> </w:t>
      </w:r>
      <w:r>
        <w:rPr>
          <w:spacing w:val="-1"/>
        </w:rPr>
        <w:t>河环保公司持续经营能力产生重大疑虑的事项或情况是否存在重大不确定性得出结论。如果我们得出结论</w:t>
      </w:r>
      <w:r>
        <w:rPr>
          <w:spacing w:val="-81"/>
        </w:rPr>
        <w:t> </w:t>
      </w:r>
      <w:r>
        <w:rPr>
          <w:spacing w:val="-81"/>
        </w:rPr>
      </w:r>
      <w:r>
        <w:rPr>
          <w:spacing w:val="-1"/>
        </w:rPr>
        <w:t>认为存在重大不确定性，审计准则要求我们在审计报告中提请报表使用者注意财务报表中的相关披露；如</w:t>
      </w:r>
      <w:r>
        <w:rPr>
          <w:spacing w:val="-81"/>
        </w:rPr>
        <w:t> </w:t>
      </w:r>
      <w:r>
        <w:rPr>
          <w:spacing w:val="-81"/>
        </w:rPr>
      </w:r>
      <w:r>
        <w:rPr>
          <w:spacing w:val="-1"/>
        </w:rPr>
        <w:t>果披露不充分，我们应当发表非无保留意见。我们的结论基于截至审计报告日可获得的信息。然而，未来</w:t>
      </w:r>
      <w:r>
        <w:rPr>
          <w:spacing w:val="-86"/>
        </w:rPr>
        <w:t> </w:t>
      </w:r>
      <w:r>
        <w:rPr>
          <w:spacing w:val="-86"/>
        </w:rPr>
      </w:r>
      <w:r>
        <w:rPr/>
        <w:t>的事项或情况可能导致先河环保公司不能持续经营。</w:t>
      </w:r>
    </w:p>
    <w:p>
      <w:pPr>
        <w:pStyle w:val="Heading4"/>
        <w:spacing w:line="273" w:lineRule="auto"/>
        <w:ind w:left="1134" w:right="1142" w:firstLine="420"/>
        <w:jc w:val="both"/>
      </w:pPr>
      <w:r>
        <w:rPr>
          <w:spacing w:val="-1"/>
        </w:rPr>
        <w:t>（五）评价财务报表的总体列报、结构和内容（包括披露），并评价财务报表是否公允反映相关交易</w:t>
      </w:r>
      <w:r>
        <w:rPr/>
        <w:t> 和事项。</w:t>
      </w:r>
    </w:p>
    <w:p>
      <w:pPr>
        <w:pStyle w:val="Heading4"/>
        <w:spacing w:line="273" w:lineRule="auto"/>
        <w:ind w:left="1134" w:right="1131" w:firstLine="420"/>
        <w:jc w:val="both"/>
      </w:pPr>
      <w:r>
        <w:rPr>
          <w:spacing w:val="-1"/>
        </w:rPr>
        <w:t>（六）就先河环保公司中实体或业务活动的财务信息获取充分、适当的审计证据，以对财务报表发表</w:t>
      </w:r>
      <w:r>
        <w:rPr/>
        <w:t> 意见。我们负责指导、监督和执行集团审计。我们对审计意见承担全部责任。</w:t>
      </w:r>
    </w:p>
    <w:p>
      <w:pPr>
        <w:pStyle w:val="Heading4"/>
        <w:spacing w:line="273" w:lineRule="auto"/>
        <w:ind w:left="1134" w:right="1131" w:firstLine="420"/>
        <w:jc w:val="both"/>
      </w:pPr>
      <w:r>
        <w:rPr>
          <w:spacing w:val="-1"/>
        </w:rPr>
        <w:t>我们与治理层就计划的审计范围、时间安排和重大审计发现等事项进行沟通，包括沟通我们在审计中</w:t>
      </w:r>
      <w:r>
        <w:rPr/>
        <w:t> 识别出的值得关注的内部控制缺陷。</w:t>
      </w:r>
    </w:p>
    <w:p>
      <w:pPr>
        <w:pStyle w:val="Heading4"/>
        <w:spacing w:line="273" w:lineRule="auto"/>
        <w:ind w:left="1134" w:right="1132" w:firstLine="420"/>
        <w:jc w:val="both"/>
      </w:pPr>
      <w:r>
        <w:rPr>
          <w:spacing w:val="-1"/>
        </w:rPr>
        <w:t>我们还就已遵守与独立性相关的职业道德要求向治理层提供声明，并与治理层沟通可能被合理认为影</w:t>
      </w:r>
      <w:r>
        <w:rPr/>
        <w:t> </w:t>
      </w:r>
      <w:r>
        <w:rPr>
          <w:spacing w:val="-4"/>
        </w:rPr>
        <w:t>响我们独立性的所有关系和其他事项，以及相关的防范措施（如适用）。</w:t>
      </w:r>
    </w:p>
    <w:p>
      <w:pPr>
        <w:pStyle w:val="Heading4"/>
        <w:spacing w:line="273" w:lineRule="auto"/>
        <w:ind w:left="1134" w:right="1131" w:firstLine="420"/>
        <w:jc w:val="both"/>
      </w:pPr>
      <w:r>
        <w:rPr>
          <w:spacing w:val="-1"/>
        </w:rPr>
        <w:t>从与治理层沟通过的事项中，我们确定哪些事项对本期财务报表审计最为重要，因而构成关键审计事</w:t>
      </w:r>
      <w:r>
        <w:rPr/>
        <w:t> </w:t>
      </w:r>
      <w:r>
        <w:rPr>
          <w:spacing w:val="-1"/>
        </w:rPr>
        <w:t>项。我们在审计报告中描述这些事项，除非法律法规禁止公开披露这些事项，或在极少数情形下，如果合</w:t>
      </w:r>
      <w:r>
        <w:rPr>
          <w:spacing w:val="-86"/>
        </w:rPr>
        <w:t> </w:t>
      </w:r>
      <w:r>
        <w:rPr>
          <w:spacing w:val="-86"/>
        </w:rPr>
      </w:r>
      <w:r>
        <w:rPr>
          <w:spacing w:val="-1"/>
        </w:rPr>
        <w:t>理预期在审计报告中沟通某事项造成的负面后果超过在公众利益方面产生的益处，我们确定不应在审计报</w:t>
      </w:r>
      <w:r>
        <w:rPr>
          <w:spacing w:val="-81"/>
        </w:rPr>
        <w:t> </w:t>
      </w:r>
      <w:r>
        <w:rPr>
          <w:spacing w:val="-81"/>
        </w:rPr>
      </w:r>
      <w:r>
        <w:rPr/>
        <w:t>告中沟通该事项。</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5"/>
          <w:szCs w:val="15"/>
        </w:rPr>
      </w:pPr>
    </w:p>
    <w:p>
      <w:pPr>
        <w:pStyle w:val="Heading4"/>
        <w:tabs>
          <w:tab w:pos="5879" w:val="left" w:leader="none"/>
        </w:tabs>
        <w:spacing w:line="240" w:lineRule="auto" w:before="0"/>
        <w:ind w:left="0" w:right="816"/>
        <w:jc w:val="center"/>
      </w:pPr>
      <w:r>
        <w:rPr>
          <w:spacing w:val="-1"/>
        </w:rPr>
        <w:t>利安达会计师事务所</w:t>
        <w:tab/>
        <w:t>中国注册会计师：邱淦泳</w:t>
      </w:r>
    </w:p>
    <w:p>
      <w:pPr>
        <w:pStyle w:val="Heading4"/>
        <w:tabs>
          <w:tab w:pos="8062" w:val="left" w:leader="none"/>
        </w:tabs>
        <w:spacing w:line="240" w:lineRule="auto" w:before="37"/>
        <w:ind w:left="1555" w:right="0"/>
        <w:jc w:val="left"/>
      </w:pPr>
      <w:r>
        <w:rPr>
          <w:spacing w:val="-1"/>
        </w:rPr>
        <w:t>（特殊普通合伙）</w:t>
        <w:tab/>
        <w:t>（项目合伙人）</w:t>
      </w:r>
    </w:p>
    <w:p>
      <w:pPr>
        <w:spacing w:line="240" w:lineRule="auto" w:before="9"/>
        <w:rPr>
          <w:rFonts w:ascii="宋体" w:hAnsi="宋体" w:cs="宋体" w:eastAsia="宋体" w:hint="default"/>
          <w:sz w:val="26"/>
          <w:szCs w:val="26"/>
        </w:rPr>
      </w:pPr>
    </w:p>
    <w:p>
      <w:pPr>
        <w:pStyle w:val="Heading4"/>
        <w:spacing w:line="240" w:lineRule="auto" w:before="0"/>
        <w:ind w:left="7312" w:right="0"/>
        <w:jc w:val="left"/>
      </w:pPr>
      <w:r>
        <w:rPr/>
        <w:t>中国注册会计师：许海丽</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4"/>
        <w:tabs>
          <w:tab w:pos="7223" w:val="left" w:leader="none"/>
        </w:tabs>
        <w:spacing w:line="240" w:lineRule="auto" w:before="137"/>
        <w:ind w:left="2043" w:right="0"/>
        <w:jc w:val="left"/>
      </w:pPr>
      <w:r>
        <w:rPr>
          <w:spacing w:val="-1"/>
        </w:rPr>
        <w:t>中国</w:t>
      </w:r>
      <w:r>
        <w:rPr>
          <w:rFonts w:ascii="Times New Roman" w:hAnsi="Times New Roman" w:cs="Times New Roman" w:eastAsia="Times New Roman" w:hint="default"/>
          <w:spacing w:val="-1"/>
        </w:rPr>
        <w:t>·</w:t>
      </w:r>
      <w:r>
        <w:rPr>
          <w:spacing w:val="-1"/>
        </w:rPr>
        <w:t>北京</w:t>
        <w:tab/>
        <w:t>二〇一八年四月二十三日</w:t>
      </w:r>
    </w:p>
    <w:p>
      <w:pPr>
        <w:spacing w:after="0" w:line="240" w:lineRule="auto"/>
        <w:jc w:val="left"/>
        <w:sectPr>
          <w:pgSz w:w="11910" w:h="16840"/>
          <w:pgMar w:header="747" w:footer="979" w:top="1060" w:bottom="1160" w:left="0" w:right="0"/>
        </w:sectPr>
      </w:pPr>
    </w:p>
    <w:p>
      <w:pPr>
        <w:spacing w:line="240" w:lineRule="auto" w:before="9"/>
        <w:rPr>
          <w:rFonts w:ascii="宋体" w:hAnsi="宋体" w:cs="宋体" w:eastAsia="宋体" w:hint="default"/>
          <w:sz w:val="23"/>
          <w:szCs w:val="23"/>
        </w:rPr>
      </w:pPr>
    </w:p>
    <w:p>
      <w:pPr>
        <w:pStyle w:val="Heading2"/>
        <w:spacing w:line="240" w:lineRule="auto" w:before="26"/>
        <w:ind w:right="0"/>
        <w:jc w:val="left"/>
        <w:rPr>
          <w:b w:val="0"/>
          <w:bCs w:val="0"/>
        </w:rPr>
      </w:pPr>
      <w:bookmarkStart w:name="二、财务报表" w:id="156"/>
      <w:bookmarkEnd w:id="156"/>
      <w:r>
        <w:rPr>
          <w:b w:val="0"/>
          <w:bCs w:val="0"/>
        </w:rPr>
      </w:r>
      <w:r>
        <w:rPr/>
        <w:t>二、财务报表</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财务附注中报表的单位为：人民币元</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1、合并资产负债表" w:id="157"/>
      <w:bookmarkEnd w:id="157"/>
      <w:r>
        <w:rPr>
          <w:b w:val="0"/>
          <w:bCs w:val="0"/>
        </w:rPr>
      </w:r>
      <w:r>
        <w:rPr>
          <w:rFonts w:ascii="Times New Roman" w:hAnsi="Times New Roman" w:cs="Times New Roman" w:eastAsia="Times New Roman" w:hint="default"/>
        </w:rPr>
        <w:t>1</w:t>
      </w:r>
      <w:r>
        <w:rPr/>
        <w:t>、合并资产负债表</w:t>
      </w:r>
      <w:r>
        <w:rPr>
          <w:b w:val="0"/>
          <w:bCs w:val="0"/>
        </w:rPr>
      </w:r>
    </w:p>
    <w:p>
      <w:pPr>
        <w:spacing w:line="240" w:lineRule="auto" w:before="4"/>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79" w:top="1060" w:bottom="1160" w:left="0" w:right="0"/>
        </w:sectPr>
      </w:pPr>
    </w:p>
    <w:p>
      <w:pPr>
        <w:pStyle w:val="BodyText"/>
        <w:spacing w:line="240" w:lineRule="auto" w:before="44"/>
        <w:ind w:right="-19"/>
        <w:jc w:val="left"/>
      </w:pPr>
      <w:r>
        <w:rPr/>
        <w:t>编制单位：河北先河环保科技股份有限公司</w:t>
      </w:r>
    </w:p>
    <w:p>
      <w:pPr>
        <w:spacing w:line="240" w:lineRule="auto" w:before="0"/>
        <w:rPr>
          <w:rFonts w:ascii="宋体" w:hAnsi="宋体" w:cs="宋体" w:eastAsia="宋体" w:hint="default"/>
          <w:sz w:val="18"/>
          <w:szCs w:val="18"/>
        </w:rPr>
      </w:pPr>
      <w:r>
        <w:rPr/>
        <w:br w:type="column"/>
      </w:r>
      <w:r>
        <w:rPr>
          <w:rFonts w:ascii="宋体"/>
          <w:sz w:val="18"/>
        </w:rPr>
      </w:r>
    </w:p>
    <w:p>
      <w:pPr>
        <w:pStyle w:val="BodyText"/>
        <w:spacing w:line="240" w:lineRule="auto" w:before="160"/>
        <w:ind w:left="617" w:right="-17"/>
        <w:jc w:val="left"/>
      </w:pP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12 </w:t>
      </w:r>
      <w:r>
        <w:rPr/>
        <w:t>月</w:t>
      </w:r>
      <w:r>
        <w:rPr>
          <w:spacing w:val="-46"/>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ind w:left="1113" w:right="1112"/>
        <w:jc w:val="center"/>
      </w:pPr>
      <w:r>
        <w:rPr/>
        <w:t>单位：元</w:t>
      </w:r>
    </w:p>
    <w:p>
      <w:pPr>
        <w:spacing w:after="0" w:line="240" w:lineRule="auto"/>
        <w:jc w:val="center"/>
        <w:sectPr>
          <w:type w:val="continuous"/>
          <w:pgSz w:w="11910" w:h="16840"/>
          <w:pgMar w:top="1060" w:bottom="1160" w:left="0" w:right="0"/>
          <w:cols w:num="3" w:equalWidth="0">
            <w:col w:w="4555" w:space="40"/>
            <w:col w:w="2102" w:space="2223"/>
            <w:col w:w="2990"/>
          </w:cols>
        </w:sectPr>
      </w:pP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570,186,613.69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445,172,999.18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拆出资金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200,000.00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290,837,482.22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277,192,359.80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108,571,568.94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98,501,738.97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应收保费</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应收分保账款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应收分保合同准备金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856,176.00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97,403,408.00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67,048,771.37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买入返售金融资产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415,526,571.16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274,601,465.60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持有待售的资产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43,033,723.63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31,851,553.90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1,525,759,367.64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1,195,225,064.82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发放贷款及垫款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4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247,286,844.71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241,575,796.45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3,722,428.60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12,452,049.34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26,554,657.43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23,915,793.72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293,709,487.56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293,109,487.56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4,309,457.76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2,861,090.07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19,654,030.84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16,263,458.56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595,236,906.90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590,177,675.70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2,120,996,274.54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1,785,402,740.52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向中央银行借款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941"/>
              <w:jc w:val="right"/>
              <w:rPr>
                <w:rFonts w:ascii="宋体" w:hAnsi="宋体" w:cs="宋体" w:eastAsia="宋体" w:hint="default"/>
                <w:sz w:val="18"/>
                <w:szCs w:val="18"/>
              </w:rPr>
            </w:pPr>
            <w:r>
              <w:rPr>
                <w:rFonts w:ascii="宋体" w:hAnsi="宋体" w:cs="宋体" w:eastAsia="宋体" w:hint="default"/>
                <w:sz w:val="18"/>
                <w:szCs w:val="18"/>
              </w:rPr>
              <w:t>吸收存款及同业存放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拆入资金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36,657,890.79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499,860.00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142,533,004.63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84,783,421.06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156,327,700.35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105,948,202.73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941"/>
              <w:jc w:val="right"/>
              <w:rPr>
                <w:rFonts w:ascii="宋体" w:hAnsi="宋体" w:cs="宋体" w:eastAsia="宋体" w:hint="default"/>
                <w:sz w:val="18"/>
                <w:szCs w:val="18"/>
              </w:rPr>
            </w:pPr>
            <w:r>
              <w:rPr>
                <w:rFonts w:ascii="宋体" w:hAnsi="宋体" w:cs="宋体" w:eastAsia="宋体" w:hint="default"/>
                <w:sz w:val="18"/>
                <w:szCs w:val="18"/>
              </w:rPr>
              <w:t>卖出回购金融资产款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应付手续费及佣金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7,976,167.39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9,921,983.16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89,150,070.64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59,894,861.80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4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19,081,069.48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11,129,558.87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应付分保账款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保险合同准备金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代理买卖证券款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代理承销证券款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持有待售的负债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8,766,998.40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8,409,432.00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460,492,901.68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280,587,319.62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9"/>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6,692,543.04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8,863,086.92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119,517.54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163,064.05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6,812,060.58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9,026,150.97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467,304,962.26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289,613,470.59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344,395,344.00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344,395,344.00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9"/>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677,770,058.81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677,770,058.81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731,372.78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1,713,946.74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63,828,556.20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44,248,834.40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2967"/>
        <w:gridCol w:w="3301"/>
        <w:gridCol w:w="3300"/>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515,637,231.11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381,487,196.57</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归属于母公司所有者权益合计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1,602,362,562.90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1,449,615,380.52</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51,328,749.38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46,173,889.41</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1,653,691,312.28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1,495,789,269.93</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2,120,996,274.54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1,785,402,740.52</w:t>
            </w:r>
          </w:p>
        </w:tc>
      </w:tr>
    </w:tbl>
    <w:p>
      <w:pPr>
        <w:spacing w:line="240" w:lineRule="auto" w:before="3"/>
        <w:rPr>
          <w:rFonts w:ascii="Times New Roman" w:hAnsi="Times New Roman" w:cs="Times New Roman" w:eastAsia="Times New Roman" w:hint="default"/>
          <w:sz w:val="23"/>
          <w:szCs w:val="23"/>
        </w:rPr>
      </w:pPr>
    </w:p>
    <w:p>
      <w:pPr>
        <w:pStyle w:val="BodyText"/>
        <w:tabs>
          <w:tab w:pos="3420" w:val="left" w:leader="none"/>
          <w:tab w:pos="7561" w:val="left" w:leader="none"/>
        </w:tabs>
        <w:spacing w:line="240" w:lineRule="auto" w:before="44"/>
        <w:ind w:left="0" w:right="1229"/>
        <w:jc w:val="right"/>
      </w:pPr>
      <w:r>
        <w:rPr/>
        <w:t>法定代表人：李玉国</w:t>
        <w:tab/>
        <w:t>主管会计工作负责人：李国壁</w:t>
        <w:tab/>
        <w:t>会计机构负责人：王才宁</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2、母公司资产负债表" w:id="158"/>
      <w:bookmarkEnd w:id="158"/>
      <w:r>
        <w:rPr>
          <w:b w:val="0"/>
          <w:bCs w:val="0"/>
        </w:rPr>
      </w:r>
      <w:r>
        <w:rPr>
          <w:rFonts w:ascii="Times New Roman" w:hAnsi="Times New Roman" w:cs="Times New Roman" w:eastAsia="Times New Roman" w:hint="default"/>
        </w:rPr>
        <w:t>2</w:t>
      </w:r>
      <w:r>
        <w:rPr/>
        <w:t>、母公司资产负债表</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417,353,506.95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310,931,803.17</w:t>
            </w: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275,549,504.29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231,133,345.09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70,962,224.59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63,200,698.17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856,176.00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132,148,442.51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68,490,272.11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313,596,744.13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228,157,307.86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持有待售的资产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30,000,000.00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1,249,610,422.47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932,769,602.40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472,276,948.90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472,276,948.90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173,830,356.30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171,086,578.59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3,225,195.88</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4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12,214,602.14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12,532,484.08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711,960.00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18,162,616.59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14,920,259.86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677,196,483.93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674,041,467.31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1,926,806,906.40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1,606,811,069.71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36,657,890.79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499,860.00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109,362,946.04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59,763,386.86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101,937,788.72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69,249,498.60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2,057,757.85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5,196,683.23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68,150,275.33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34,368,499.26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11,804,177.29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1,957,850.51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持有待售的负债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8,766,998.40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8,409,432.00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338,737,834.42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179,445,210.46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9"/>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4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2,573,616.08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3,228,086.92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2,573,616.08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3,228,086.92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341,311,450.50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182,673,297.38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344,395,344.00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344,395,344.00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9"/>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677,770,058.81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677,770,058.81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63,828,556.20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44,248,834.40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499,501,496.89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357,723,535.12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1,585,495,455.90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1,424,137,772.33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1,926,806,906.40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1,606,811,069.71</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5"/>
        <w:ind w:left="1134" w:right="0"/>
        <w:jc w:val="left"/>
        <w:rPr>
          <w:b w:val="0"/>
          <w:bCs w:val="0"/>
        </w:rPr>
      </w:pPr>
      <w:bookmarkStart w:name="3、合并利润表" w:id="159"/>
      <w:bookmarkEnd w:id="159"/>
      <w:r>
        <w:rPr>
          <w:b w:val="0"/>
          <w:bCs w:val="0"/>
        </w:rPr>
      </w:r>
      <w:r>
        <w:rPr>
          <w:rFonts w:ascii="Times New Roman" w:hAnsi="Times New Roman" w:cs="Times New Roman" w:eastAsia="Times New Roman" w:hint="default"/>
        </w:rPr>
        <w:t>3</w:t>
      </w:r>
      <w:r>
        <w:rPr/>
        <w:t>、合并利润表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3057"/>
        <w:gridCol w:w="3222"/>
        <w:gridCol w:w="3278"/>
      </w:tblGrid>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一、营业总收入</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1,042,537,654.56</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789,543,369.79</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其中：营业收入</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1,042,537,654.56</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789,543,369.79</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已赚保费</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手续费及佣金收入</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二、营业总成本</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841,681,206.56</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676,736,219.64</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其中：营业成本</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506,303,412.13</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397,717,325.67</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r>
        <w:rPr/>
        <w:pict>
          <v:group style="position:absolute;margin-left:212.119995pt;margin-top:400.699982pt;width:157.7pt;height:19.650pt;mso-position-horizontal-relative:page;mso-position-vertical-relative:page;z-index:-985432" coordorigin="4242,8014" coordsize="3154,393">
            <v:shape style="position:absolute;left:4242;top:8014;width:3154;height:393" coordorigin="4242,8014" coordsize="3154,393" path="m4242,8406l7396,8406,7396,8014,4242,8014,4242,8406xe" filled="true" fillcolor="#ffffff" stroked="false">
              <v:path arrowok="t"/>
              <v:fill type="solid"/>
            </v:shape>
            <w10:wrap type="none"/>
          </v:group>
        </w:pict>
      </w:r>
      <w:r>
        <w:rPr/>
        <w:pict>
          <v:group style="position:absolute;margin-left:212.119995pt;margin-top:536.919983pt;width:157.7pt;height:19.650pt;mso-position-horizontal-relative:page;mso-position-vertical-relative:page;z-index:-985408" coordorigin="4242,10738" coordsize="3154,393">
            <v:shape style="position:absolute;left:4242;top:10738;width:3154;height:393" coordorigin="4242,10738" coordsize="3154,393" path="m4242,11131l7396,11131,7396,10738,4242,10738,4242,11131xe" filled="true" fillcolor="#ffffff" stroked="false">
              <v:path arrowok="t"/>
              <v:fill type="solid"/>
            </v:shape>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3080"/>
        <w:gridCol w:w="1060"/>
        <w:gridCol w:w="2151"/>
        <w:gridCol w:w="3278"/>
      </w:tblGrid>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手续费及佣金支出</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退保金</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赔付支出净额</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65"/>
              <w:jc w:val="right"/>
              <w:rPr>
                <w:rFonts w:ascii="宋体" w:hAnsi="宋体" w:cs="宋体" w:eastAsia="宋体" w:hint="default"/>
                <w:sz w:val="18"/>
                <w:szCs w:val="18"/>
              </w:rPr>
            </w:pPr>
            <w:r>
              <w:rPr>
                <w:rFonts w:ascii="宋体" w:hAnsi="宋体" w:cs="宋体" w:eastAsia="宋体" w:hint="default"/>
                <w:sz w:val="18"/>
                <w:szCs w:val="18"/>
              </w:rPr>
              <w:t>提取保险合同准备金净额</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保单红利支出</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分保费用</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税金及附加</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12,180,419.62</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9,500,472.44</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53" w:right="0"/>
              <w:jc w:val="left"/>
              <w:rPr>
                <w:rFonts w:ascii="Times New Roman" w:hAnsi="Times New Roman" w:cs="Times New Roman" w:eastAsia="Times New Roman" w:hint="default"/>
                <w:sz w:val="18"/>
                <w:szCs w:val="18"/>
              </w:rPr>
            </w:pPr>
            <w:r>
              <w:rPr>
                <w:rFonts w:ascii="Times New Roman"/>
                <w:sz w:val="18"/>
              </w:rPr>
              <w:t>132,081,488.37</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103,570,032.12</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53" w:right="0"/>
              <w:jc w:val="left"/>
              <w:rPr>
                <w:rFonts w:ascii="Times New Roman" w:hAnsi="Times New Roman" w:cs="Times New Roman" w:eastAsia="Times New Roman" w:hint="default"/>
                <w:sz w:val="18"/>
                <w:szCs w:val="18"/>
              </w:rPr>
            </w:pPr>
            <w:r>
              <w:rPr>
                <w:rFonts w:ascii="Times New Roman"/>
                <w:sz w:val="18"/>
              </w:rPr>
              <w:t>165,026,230.84</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148,283,924.86</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-2,144,766.83</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-2,842,277.76</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28,234,422.43</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20,506,742.31</w:t>
            </w: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加：公允价值变动收益（损失以</w:t>
            </w:r>
          </w:p>
          <w:p>
            <w:pPr>
              <w:pStyle w:val="TableParagraph"/>
              <w:spacing w:line="240" w:lineRule="auto" w:before="77"/>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-15,780.03</w:t>
            </w:r>
            <w:r>
              <w:rPr>
                <w:rFonts w:ascii="Times New Roman"/>
                <w:sz w:val="18"/>
              </w:rPr>
            </w: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1" w:firstLine="720"/>
              <w:jc w:val="left"/>
              <w:rPr>
                <w:rFonts w:ascii="宋体" w:hAnsi="宋体" w:cs="宋体" w:eastAsia="宋体" w:hint="default"/>
                <w:sz w:val="18"/>
                <w:szCs w:val="18"/>
              </w:rPr>
            </w:pPr>
            <w:r>
              <w:rPr>
                <w:rFonts w:ascii="宋体" w:hAnsi="宋体" w:cs="宋体" w:eastAsia="宋体" w:hint="default"/>
                <w:spacing w:val="-3"/>
                <w:sz w:val="18"/>
                <w:szCs w:val="18"/>
              </w:rPr>
              <w:t>其中：对联营企业和合营企业</w:t>
            </w:r>
            <w:r>
              <w:rPr>
                <w:rFonts w:ascii="宋体" w:hAnsi="宋体" w:cs="宋体" w:eastAsia="宋体" w:hint="default"/>
                <w:sz w:val="18"/>
                <w:szCs w:val="18"/>
              </w:rPr>
              <w:t> 的投资收益</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9" w:space="0" w:color="FFFFFF"/>
            </w:tcBorders>
            <w:shd w:val="clear" w:color="auto" w:fill="D2D2D2"/>
          </w:tcPr>
          <w:p>
            <w:pPr>
              <w:pStyle w:val="TableParagraph"/>
              <w:spacing w:line="240" w:lineRule="auto" w:before="51"/>
              <w:ind w:right="119"/>
              <w:jc w:val="right"/>
              <w:rPr>
                <w:rFonts w:ascii="宋体" w:hAnsi="宋体" w:cs="宋体" w:eastAsia="宋体" w:hint="default"/>
                <w:sz w:val="18"/>
                <w:szCs w:val="18"/>
              </w:rPr>
            </w:pPr>
            <w:r>
              <w:rPr>
                <w:rFonts w:ascii="宋体" w:hAnsi="宋体" w:cs="宋体" w:eastAsia="宋体" w:hint="default"/>
                <w:spacing w:val="-1"/>
                <w:sz w:val="18"/>
                <w:szCs w:val="18"/>
              </w:rPr>
              <w:t>汇兑收益（损失以</w:t>
            </w:r>
            <w:r>
              <w:rPr>
                <w:rFonts w:ascii="Times New Roman" w:hAnsi="Times New Roman" w:cs="Times New Roman" w:eastAsia="Times New Roman" w:hint="default"/>
                <w:spacing w:val="-1"/>
                <w:sz w:val="18"/>
                <w:szCs w:val="18"/>
              </w:rPr>
              <w:t>“</w:t>
            </w:r>
            <w:r>
              <w:rPr>
                <w:rFonts w:ascii="Times New Roman" w:hAnsi="Times New Roman" w:cs="Times New Roman" w:eastAsia="Times New Roman" w:hint="default"/>
                <w:spacing w:val="-1"/>
                <w:sz w:val="18"/>
                <w:szCs w:val="18"/>
              </w:rPr>
              <w:t>-</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号填列</w:t>
            </w:r>
          </w:p>
        </w:tc>
        <w:tc>
          <w:tcPr>
            <w:tcW w:w="3211" w:type="dxa"/>
            <w:gridSpan w:val="2"/>
            <w:tcBorders>
              <w:top w:val="single" w:sz="4" w:space="0" w:color="000000"/>
              <w:left w:val="single" w:sz="9" w:space="0" w:color="FFFFFF"/>
              <w:bottom w:val="single" w:sz="4" w:space="0" w:color="000000"/>
              <w:right w:val="single" w:sz="4" w:space="0" w:color="000000"/>
            </w:tcBorders>
          </w:tcPr>
          <w:p>
            <w:pPr>
              <w:pStyle w:val="TableParagraph"/>
              <w:spacing w:line="240" w:lineRule="auto" w:before="51"/>
              <w:ind w:left="-144" w:right="0"/>
              <w:jc w:val="left"/>
              <w:rPr>
                <w:rFonts w:ascii="宋体" w:hAnsi="宋体" w:cs="宋体" w:eastAsia="宋体" w:hint="default"/>
                <w:sz w:val="18"/>
                <w:szCs w:val="18"/>
              </w:rPr>
            </w:pPr>
            <w:r>
              <w:rPr>
                <w:rFonts w:ascii="宋体" w:hAnsi="宋体" w:cs="宋体" w:eastAsia="宋体" w:hint="default"/>
                <w:sz w:val="18"/>
                <w:szCs w:val="18"/>
              </w:rPr>
              <w:t>）</w:t>
            </w: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资产处置收</w:t>
            </w:r>
            <w:r>
              <w:rPr>
                <w:rFonts w:ascii="宋体" w:hAnsi="宋体" w:cs="宋体" w:eastAsia="宋体" w:hint="default"/>
                <w:spacing w:val="-76"/>
                <w:sz w:val="18"/>
                <w:szCs w:val="18"/>
              </w:rPr>
              <w:t>益</w:t>
            </w:r>
            <w:r>
              <w:rPr>
                <w:rFonts w:ascii="宋体" w:hAnsi="宋体" w:cs="宋体" w:eastAsia="宋体" w:hint="default"/>
                <w:sz w:val="18"/>
                <w:szCs w:val="18"/>
              </w:rPr>
              <w:t>（损失以</w:t>
            </w:r>
            <w:r>
              <w:rPr>
                <w:rFonts w:ascii="Times New Roman" w:hAnsi="Times New Roman" w:cs="Times New Roman" w:eastAsia="Times New Roman" w:hint="default"/>
                <w:spacing w:val="-1"/>
                <w:w w:val="100"/>
                <w:sz w:val="18"/>
                <w:szCs w:val="18"/>
              </w:rPr>
              <w:t>“</w:t>
            </w:r>
            <w:r>
              <w:rPr>
                <w:rFonts w:ascii="Times New Roman" w:hAnsi="Times New Roman" w:cs="Times New Roman" w:eastAsia="Times New Roman" w:hint="default"/>
                <w:w w:val="99"/>
                <w:sz w:val="18"/>
                <w:szCs w:val="18"/>
              </w:rPr>
              <w:t>-</w:t>
            </w:r>
            <w:r>
              <w:rPr>
                <w:rFonts w:ascii="Times New Roman" w:hAnsi="Times New Roman" w:cs="Times New Roman" w:eastAsia="Times New Roman" w:hint="default"/>
                <w:w w:val="100"/>
                <w:sz w:val="18"/>
                <w:szCs w:val="18"/>
              </w:rPr>
              <w:t>”</w:t>
            </w:r>
            <w:r>
              <w:rPr>
                <w:rFonts w:ascii="宋体" w:hAnsi="宋体" w:cs="宋体" w:eastAsia="宋体" w:hint="default"/>
                <w:sz w:val="18"/>
                <w:szCs w:val="18"/>
              </w:rPr>
              <w:t>号填</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20,786.66</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110,077.89</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31,399,343.75</w:t>
            </w: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53" w:right="0"/>
              <w:jc w:val="left"/>
              <w:rPr>
                <w:rFonts w:ascii="Times New Roman" w:hAnsi="Times New Roman" w:cs="Times New Roman" w:eastAsia="Times New Roman" w:hint="default"/>
                <w:sz w:val="18"/>
                <w:szCs w:val="18"/>
              </w:rPr>
            </w:pPr>
            <w:r>
              <w:rPr>
                <w:rFonts w:ascii="Times New Roman"/>
                <w:sz w:val="18"/>
              </w:rPr>
              <w:t>232,260,798.38</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112,917,228.04</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2,123,319.97</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25,374,275.30</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677,799.83</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355,741.65</w:t>
            </w:r>
          </w:p>
        </w:tc>
      </w:tr>
      <w:tr>
        <w:trPr>
          <w:trHeight w:val="402" w:hRule="exact"/>
        </w:trPr>
        <w:tc>
          <w:tcPr>
            <w:tcW w:w="3080" w:type="dxa"/>
            <w:tcBorders>
              <w:top w:val="single" w:sz="4" w:space="0" w:color="000000"/>
              <w:left w:val="single" w:sz="4" w:space="0" w:color="000000"/>
              <w:bottom w:val="single" w:sz="4" w:space="0" w:color="000000"/>
              <w:right w:val="single" w:sz="9" w:space="0" w:color="FFFFFF"/>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6"/>
                <w:sz w:val="18"/>
                <w:szCs w:val="18"/>
              </w:rPr>
              <w:t>四、利润总额（亏损总额以</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号填列</w:t>
            </w:r>
          </w:p>
        </w:tc>
        <w:tc>
          <w:tcPr>
            <w:tcW w:w="1060" w:type="dxa"/>
            <w:tcBorders>
              <w:top w:val="single" w:sz="4" w:space="0" w:color="000000"/>
              <w:left w:val="single" w:sz="9" w:space="0" w:color="FFFFFF"/>
              <w:bottom w:val="single" w:sz="4" w:space="0" w:color="000000"/>
              <w:right w:val="nil" w:sz="6" w:space="0" w:color="auto"/>
            </w:tcBorders>
          </w:tcPr>
          <w:p>
            <w:pPr>
              <w:pStyle w:val="TableParagraph"/>
              <w:spacing w:line="240" w:lineRule="auto" w:before="51"/>
              <w:ind w:left="-129" w:right="0"/>
              <w:jc w:val="left"/>
              <w:rPr>
                <w:rFonts w:ascii="宋体" w:hAnsi="宋体" w:cs="宋体" w:eastAsia="宋体" w:hint="default"/>
                <w:sz w:val="18"/>
                <w:szCs w:val="18"/>
              </w:rPr>
            </w:pPr>
            <w:r>
              <w:rPr>
                <w:rFonts w:ascii="宋体" w:hAnsi="宋体" w:cs="宋体" w:eastAsia="宋体" w:hint="default"/>
                <w:sz w:val="18"/>
                <w:szCs w:val="18"/>
              </w:rPr>
              <w:t>）</w:t>
            </w:r>
          </w:p>
        </w:tc>
        <w:tc>
          <w:tcPr>
            <w:tcW w:w="215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left="997" w:right="0"/>
              <w:jc w:val="left"/>
              <w:rPr>
                <w:rFonts w:ascii="Times New Roman" w:hAnsi="Times New Roman" w:cs="Times New Roman" w:eastAsia="Times New Roman" w:hint="default"/>
                <w:sz w:val="18"/>
                <w:szCs w:val="18"/>
              </w:rPr>
            </w:pPr>
            <w:r>
              <w:rPr>
                <w:rFonts w:ascii="Times New Roman"/>
                <w:sz w:val="18"/>
              </w:rPr>
              <w:t>233,706,318.52</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137,935,761.69</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34,151,211.22</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21,095,606.29</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53" w:right="0"/>
              <w:jc w:val="left"/>
              <w:rPr>
                <w:rFonts w:ascii="Times New Roman" w:hAnsi="Times New Roman" w:cs="Times New Roman" w:eastAsia="Times New Roman" w:hint="default"/>
                <w:sz w:val="18"/>
                <w:szCs w:val="18"/>
              </w:rPr>
            </w:pPr>
            <w:r>
              <w:rPr>
                <w:rFonts w:ascii="Times New Roman"/>
                <w:sz w:val="18"/>
              </w:rPr>
              <w:t>199,555,107.30</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116,840,155.40</w:t>
            </w: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0" w:right="0"/>
              <w:jc w:val="left"/>
              <w:rPr>
                <w:rFonts w:ascii="宋体" w:hAnsi="宋体" w:cs="宋体" w:eastAsia="宋体" w:hint="default"/>
                <w:sz w:val="18"/>
                <w:szCs w:val="18"/>
              </w:rPr>
            </w:pPr>
            <w:r>
              <w:rPr>
                <w:rFonts w:ascii="宋体" w:hAnsi="宋体" w:cs="宋体" w:eastAsia="宋体" w:hint="default"/>
                <w:spacing w:val="-2"/>
                <w:sz w:val="18"/>
                <w:szCs w:val="18"/>
              </w:rPr>
              <w:t>（一）持续经营净利润（净亏损以</w:t>
            </w:r>
          </w:p>
          <w:p>
            <w:pPr>
              <w:pStyle w:val="TableParagraph"/>
              <w:spacing w:line="240" w:lineRule="auto" w:before="77"/>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053" w:right="0"/>
              <w:jc w:val="left"/>
              <w:rPr>
                <w:rFonts w:ascii="Times New Roman" w:hAnsi="Times New Roman" w:cs="Times New Roman" w:eastAsia="Times New Roman" w:hint="default"/>
                <w:sz w:val="18"/>
                <w:szCs w:val="18"/>
              </w:rPr>
            </w:pPr>
            <w:r>
              <w:rPr>
                <w:rFonts w:ascii="Times New Roman"/>
                <w:sz w:val="18"/>
              </w:rPr>
              <w:t>199,555,107.30</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116,840,155.40</w:t>
            </w: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0" w:right="0"/>
              <w:jc w:val="left"/>
              <w:rPr>
                <w:rFonts w:ascii="宋体" w:hAnsi="宋体" w:cs="宋体" w:eastAsia="宋体" w:hint="default"/>
                <w:sz w:val="18"/>
                <w:szCs w:val="18"/>
              </w:rPr>
            </w:pPr>
            <w:r>
              <w:rPr>
                <w:rFonts w:ascii="宋体" w:hAnsi="宋体" w:cs="宋体" w:eastAsia="宋体" w:hint="default"/>
                <w:spacing w:val="-2"/>
                <w:sz w:val="18"/>
                <w:szCs w:val="18"/>
              </w:rPr>
              <w:t>（二）终止经营净利润（净亏损以</w:t>
            </w:r>
          </w:p>
          <w:p>
            <w:pPr>
              <w:pStyle w:val="TableParagraph"/>
              <w:spacing w:line="240" w:lineRule="auto" w:before="77"/>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归属于母公司所有者的净利润</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53" w:right="0"/>
              <w:jc w:val="left"/>
              <w:rPr>
                <w:rFonts w:ascii="Times New Roman" w:hAnsi="Times New Roman" w:cs="Times New Roman" w:eastAsia="Times New Roman" w:hint="default"/>
                <w:sz w:val="18"/>
                <w:szCs w:val="18"/>
              </w:rPr>
            </w:pPr>
            <w:r>
              <w:rPr>
                <w:rFonts w:ascii="Times New Roman"/>
                <w:sz w:val="18"/>
              </w:rPr>
              <w:t>188,169,290.74</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105,311,976.46</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少数股东损益</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11,385,816.56</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11,528,178.94</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六、其他综合收益的税后净额</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-1,551,455.97</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1,563,176.83</w:t>
            </w: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65" w:firstLine="180"/>
              <w:jc w:val="left"/>
              <w:rPr>
                <w:rFonts w:ascii="宋体" w:hAnsi="宋体" w:cs="宋体" w:eastAsia="宋体" w:hint="default"/>
                <w:sz w:val="18"/>
                <w:szCs w:val="18"/>
              </w:rPr>
            </w:pPr>
            <w:r>
              <w:rPr>
                <w:rFonts w:ascii="宋体" w:hAnsi="宋体" w:cs="宋体" w:eastAsia="宋体" w:hint="default"/>
                <w:sz w:val="18"/>
                <w:szCs w:val="18"/>
              </w:rPr>
              <w:t>归属母公司所有者的其他综合收益 的税后净额</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-982,573.96</w:t>
            </w:r>
            <w:r>
              <w:rPr>
                <w:rFonts w:ascii="Times New Roman"/>
                <w:sz w:val="18"/>
              </w:rPr>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936,054.08</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40" w:type="dxa"/>
        <w:tblLayout w:type="fixed"/>
        <w:tblCellMar>
          <w:top w:w="0" w:type="dxa"/>
          <w:left w:w="0" w:type="dxa"/>
          <w:bottom w:w="0" w:type="dxa"/>
          <w:right w:w="0" w:type="dxa"/>
        </w:tblCellMar>
        <w:tblLook w:val="01E0"/>
      </w:tblPr>
      <w:tblGrid>
        <w:gridCol w:w="3057"/>
        <w:gridCol w:w="3222"/>
        <w:gridCol w:w="3278"/>
      </w:tblGrid>
      <w:tr>
        <w:trPr>
          <w:trHeight w:val="71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1" w:firstLine="342"/>
              <w:jc w:val="left"/>
              <w:rPr>
                <w:rFonts w:ascii="宋体" w:hAnsi="宋体" w:cs="宋体" w:eastAsia="宋体" w:hint="default"/>
                <w:sz w:val="18"/>
                <w:szCs w:val="18"/>
              </w:rPr>
            </w:pPr>
            <w:r>
              <w:rPr>
                <w:rFonts w:ascii="宋体" w:hAnsi="宋体" w:cs="宋体" w:eastAsia="宋体" w:hint="default"/>
                <w:spacing w:val="-2"/>
                <w:sz w:val="18"/>
                <w:szCs w:val="18"/>
              </w:rPr>
              <w:t>（一）以后不能重分类进损益的其</w:t>
            </w:r>
            <w:r>
              <w:rPr>
                <w:rFonts w:ascii="宋体" w:hAnsi="宋体" w:cs="宋体" w:eastAsia="宋体" w:hint="default"/>
                <w:sz w:val="18"/>
                <w:szCs w:val="18"/>
              </w:rPr>
              <w:t> 他综合收益</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19"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重新计量设定受益计划净 负债或净资产的变动</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1" w:right="19"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权益法下在被投资单位不 能重分类进损益的其他综合收益中享 有的份额</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0" w:firstLine="342"/>
              <w:jc w:val="left"/>
              <w:rPr>
                <w:rFonts w:ascii="宋体" w:hAnsi="宋体" w:cs="宋体" w:eastAsia="宋体" w:hint="default"/>
                <w:sz w:val="18"/>
                <w:szCs w:val="18"/>
              </w:rPr>
            </w:pPr>
            <w:r>
              <w:rPr>
                <w:rFonts w:ascii="宋体" w:hAnsi="宋体" w:cs="宋体" w:eastAsia="宋体" w:hint="default"/>
                <w:spacing w:val="-2"/>
                <w:sz w:val="18"/>
                <w:szCs w:val="18"/>
              </w:rPr>
              <w:t>（二）以后将重分类进损益的其他</w:t>
            </w:r>
            <w:r>
              <w:rPr>
                <w:rFonts w:ascii="宋体" w:hAnsi="宋体" w:cs="宋体" w:eastAsia="宋体" w:hint="default"/>
                <w:sz w:val="18"/>
                <w:szCs w:val="18"/>
              </w:rPr>
              <w:t> 综合收益</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-982,573.96</w:t>
            </w:r>
            <w:r>
              <w:rPr>
                <w:rFonts w:ascii="Times New Roman"/>
                <w:sz w:val="18"/>
              </w:rPr>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936,054.08</w:t>
            </w:r>
          </w:p>
        </w:tc>
      </w:tr>
      <w:tr>
        <w:trPr>
          <w:trHeight w:val="1026"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1" w:right="19"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权益法下在被投资单位以 后将重分类进损益的其他综合收益中 享有的份额</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可供出售金融资产公允价</w:t>
            </w:r>
          </w:p>
          <w:p>
            <w:pPr>
              <w:pStyle w:val="TableParagraph"/>
              <w:spacing w:line="240" w:lineRule="auto" w:before="64"/>
              <w:ind w:left="11" w:right="0"/>
              <w:jc w:val="left"/>
              <w:rPr>
                <w:rFonts w:ascii="宋体" w:hAnsi="宋体" w:cs="宋体" w:eastAsia="宋体" w:hint="default"/>
                <w:sz w:val="18"/>
                <w:szCs w:val="18"/>
              </w:rPr>
            </w:pPr>
            <w:r>
              <w:rPr>
                <w:rFonts w:ascii="宋体" w:hAnsi="宋体" w:cs="宋体" w:eastAsia="宋体" w:hint="default"/>
                <w:sz w:val="18"/>
                <w:szCs w:val="18"/>
              </w:rPr>
              <w:t>值变动损益</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19"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持有至到期投资重分类为 可供出售金融资产损益</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现金流量套期损益的有效</w:t>
            </w:r>
          </w:p>
          <w:p>
            <w:pPr>
              <w:pStyle w:val="TableParagraph"/>
              <w:spacing w:line="240" w:lineRule="auto" w:before="64"/>
              <w:ind w:left="11" w:right="0"/>
              <w:jc w:val="left"/>
              <w:rPr>
                <w:rFonts w:ascii="宋体" w:hAnsi="宋体" w:cs="宋体" w:eastAsia="宋体" w:hint="default"/>
                <w:sz w:val="18"/>
                <w:szCs w:val="18"/>
              </w:rPr>
            </w:pPr>
            <w:r>
              <w:rPr>
                <w:rFonts w:ascii="宋体" w:hAnsi="宋体" w:cs="宋体" w:eastAsia="宋体" w:hint="default"/>
                <w:sz w:val="18"/>
                <w:szCs w:val="18"/>
              </w:rPr>
              <w:t>部分</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99"/>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5.</w:t>
            </w:r>
            <w:r>
              <w:rPr>
                <w:rFonts w:ascii="宋体" w:hAnsi="宋体" w:cs="宋体" w:eastAsia="宋体" w:hint="default"/>
                <w:spacing w:val="-1"/>
                <w:sz w:val="18"/>
                <w:szCs w:val="18"/>
              </w:rPr>
              <w:t>外币财务报表折算差额</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-982,573.96</w:t>
            </w:r>
            <w:r>
              <w:rPr>
                <w:rFonts w:ascii="Times New Roman"/>
                <w:sz w:val="18"/>
              </w:rPr>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936,054.08</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54" w:firstLine="180"/>
              <w:jc w:val="left"/>
              <w:rPr>
                <w:rFonts w:ascii="宋体" w:hAnsi="宋体" w:cs="宋体" w:eastAsia="宋体" w:hint="default"/>
                <w:sz w:val="18"/>
                <w:szCs w:val="18"/>
              </w:rPr>
            </w:pPr>
            <w:r>
              <w:rPr>
                <w:rFonts w:ascii="宋体" w:hAnsi="宋体" w:cs="宋体" w:eastAsia="宋体" w:hint="default"/>
                <w:sz w:val="18"/>
                <w:szCs w:val="18"/>
              </w:rPr>
              <w:t>归属于少数股东的其他综合收益的 税后净额</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-568,882.01</w:t>
            </w:r>
            <w:r>
              <w:rPr>
                <w:rFonts w:ascii="Times New Roman"/>
                <w:sz w:val="18"/>
              </w:rPr>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627,122.75</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七、综合收益总额</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198,003,651.33</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118,403,332.23</w:t>
            </w:r>
          </w:p>
        </w:tc>
      </w:tr>
      <w:tr>
        <w:trPr>
          <w:trHeight w:val="71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54" w:firstLine="360"/>
              <w:jc w:val="left"/>
              <w:rPr>
                <w:rFonts w:ascii="宋体" w:hAnsi="宋体" w:cs="宋体" w:eastAsia="宋体" w:hint="default"/>
                <w:sz w:val="18"/>
                <w:szCs w:val="18"/>
              </w:rPr>
            </w:pPr>
            <w:r>
              <w:rPr>
                <w:rFonts w:ascii="宋体" w:hAnsi="宋体" w:cs="宋体" w:eastAsia="宋体" w:hint="default"/>
                <w:sz w:val="18"/>
                <w:szCs w:val="18"/>
              </w:rPr>
              <w:t>归属于母公司所有者的综合收益 总额</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187,186,716.78</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106,248,030.54</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54"/>
              <w:jc w:val="right"/>
              <w:rPr>
                <w:rFonts w:ascii="宋体" w:hAnsi="宋体" w:cs="宋体" w:eastAsia="宋体" w:hint="default"/>
                <w:sz w:val="18"/>
                <w:szCs w:val="18"/>
              </w:rPr>
            </w:pPr>
            <w:r>
              <w:rPr>
                <w:rFonts w:ascii="宋体" w:hAnsi="宋体" w:cs="宋体" w:eastAsia="宋体" w:hint="default"/>
                <w:sz w:val="18"/>
                <w:szCs w:val="18"/>
              </w:rPr>
              <w:t>归属于少数股东的综合收益总额</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10,816,934.55</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12,155,301.69</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八、每股收益：</w:t>
            </w:r>
          </w:p>
        </w:tc>
        <w:tc>
          <w:tcPr>
            <w:tcW w:w="322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0.55</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0.310</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0.55</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0.310</w:t>
            </w:r>
          </w:p>
        </w:tc>
      </w:tr>
    </w:tbl>
    <w:p>
      <w:pPr>
        <w:pStyle w:val="BodyText"/>
        <w:tabs>
          <w:tab w:pos="4554" w:val="left" w:leader="none"/>
          <w:tab w:pos="8695" w:val="left" w:leader="none"/>
        </w:tabs>
        <w:spacing w:line="624" w:lineRule="auto" w:before="51"/>
        <w:ind w:right="1229"/>
        <w:jc w:val="left"/>
      </w:pPr>
      <w:r>
        <w:rPr/>
        <w:t>本期发生同一控制下企业合并的，被合并方在合并前实现的净利润为：元，上期被合并方实现的净利润为：元。 法定代表人：李玉国</w:t>
        <w:tab/>
        <w:t>主管会计工作负责人：李国壁</w:t>
        <w:tab/>
        <w:t>会计机构负责人：王才宁</w:t>
      </w:r>
    </w:p>
    <w:p>
      <w:pPr>
        <w:pStyle w:val="Heading3"/>
        <w:spacing w:line="240" w:lineRule="auto" w:before="63"/>
        <w:ind w:right="0"/>
        <w:jc w:val="left"/>
        <w:rPr>
          <w:b w:val="0"/>
          <w:bCs w:val="0"/>
        </w:rPr>
      </w:pPr>
      <w:bookmarkStart w:name="4、母公司利润表" w:id="160"/>
      <w:bookmarkEnd w:id="160"/>
      <w:r>
        <w:rPr>
          <w:b w:val="0"/>
          <w:bCs w:val="0"/>
        </w:rPr>
      </w:r>
      <w:r>
        <w:rPr>
          <w:rFonts w:ascii="Times New Roman" w:hAnsi="Times New Roman" w:cs="Times New Roman" w:eastAsia="Times New Roman" w:hint="default"/>
        </w:rPr>
        <w:t>4</w:t>
      </w:r>
      <w:r>
        <w:rPr/>
        <w:t>、母公司利润表</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2957"/>
        <w:gridCol w:w="3300"/>
        <w:gridCol w:w="3300"/>
      </w:tblGrid>
      <w:tr>
        <w:trPr>
          <w:trHeight w:val="402" w:hRule="exact"/>
        </w:trPr>
        <w:tc>
          <w:tcPr>
            <w:tcW w:w="29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0"/>
              <w:jc w:val="center"/>
              <w:rPr>
                <w:rFonts w:ascii="宋体" w:hAnsi="宋体" w:cs="宋体" w:eastAsia="宋体" w:hint="default"/>
                <w:sz w:val="18"/>
                <w:szCs w:val="18"/>
              </w:rPr>
            </w:pPr>
            <w:r>
              <w:rPr>
                <w:rFonts w:ascii="宋体" w:hAnsi="宋体" w:cs="宋体" w:eastAsia="宋体" w:hint="default"/>
                <w:sz w:val="18"/>
                <w:szCs w:val="18"/>
              </w:rPr>
              <w:t>项目</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9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一、营业收入</w:t>
            </w:r>
          </w:p>
        </w:tc>
        <w:tc>
          <w:tcPr>
            <w:tcW w:w="33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2130" w:right="0"/>
              <w:jc w:val="left"/>
              <w:rPr>
                <w:rFonts w:ascii="Times New Roman" w:hAnsi="Times New Roman" w:cs="Times New Roman" w:eastAsia="Times New Roman" w:hint="default"/>
                <w:sz w:val="18"/>
                <w:szCs w:val="18"/>
              </w:rPr>
            </w:pPr>
            <w:r>
              <w:rPr>
                <w:rFonts w:ascii="Times New Roman"/>
                <w:sz w:val="18"/>
              </w:rPr>
              <w:t>753,982,353.25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43" w:right="0"/>
              <w:jc w:val="left"/>
              <w:rPr>
                <w:rFonts w:ascii="Times New Roman" w:hAnsi="Times New Roman" w:cs="Times New Roman" w:eastAsia="Times New Roman" w:hint="default"/>
                <w:sz w:val="18"/>
                <w:szCs w:val="18"/>
              </w:rPr>
            </w:pPr>
            <w:r>
              <w:rPr>
                <w:rFonts w:ascii="Times New Roman"/>
                <w:sz w:val="18"/>
              </w:rPr>
              <w:t>482,395,984.74</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2967"/>
        <w:gridCol w:w="3301"/>
        <w:gridCol w:w="3300"/>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减：营业成本</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370,175,805.18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242,468,511.38</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税金及附加</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9,592,371.67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6,312,215.00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93,847,203.54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73,741,931.20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80,736,013.29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73,631,239.37</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-2,062,057.21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-2,112,949.39</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21,615,711.58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17,508,254.25</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加：公允价值变动收益（损失以</w:t>
            </w:r>
          </w:p>
          <w:p>
            <w:pPr>
              <w:pStyle w:val="TableParagraph"/>
              <w:spacing w:line="240" w:lineRule="auto" w:before="77"/>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17,071,281.72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13,393,582.61</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2" w:firstLine="720"/>
              <w:jc w:val="left"/>
              <w:rPr>
                <w:rFonts w:ascii="宋体" w:hAnsi="宋体" w:cs="宋体" w:eastAsia="宋体" w:hint="default"/>
                <w:sz w:val="18"/>
                <w:szCs w:val="18"/>
              </w:rPr>
            </w:pPr>
            <w:r>
              <w:rPr>
                <w:rFonts w:ascii="宋体" w:hAnsi="宋体" w:cs="宋体" w:eastAsia="宋体" w:hint="default"/>
                <w:sz w:val="18"/>
                <w:szCs w:val="18"/>
              </w:rPr>
              <w:t>其中：对联营企业和合营企 业的投资收益</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资产处置收益（损失以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填列）</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-8,832.21</w:t>
            </w:r>
            <w:r>
              <w:rPr>
                <w:rFonts w:ascii="Times New Roman"/>
                <w:sz w:val="18"/>
              </w:rPr>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25,663,131.80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222,811,718.72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84,231,533.33</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775,864.14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15,887,370.86</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113,717.95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253,045.31</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71"/>
              <w:jc w:val="left"/>
              <w:rPr>
                <w:rFonts w:ascii="宋体" w:hAnsi="宋体" w:cs="宋体" w:eastAsia="宋体" w:hint="default"/>
                <w:sz w:val="18"/>
                <w:szCs w:val="18"/>
              </w:rPr>
            </w:pPr>
            <w:r>
              <w:rPr>
                <w:rFonts w:ascii="宋体" w:hAnsi="宋体" w:cs="宋体" w:eastAsia="宋体" w:hint="default"/>
                <w:sz w:val="18"/>
                <w:szCs w:val="18"/>
              </w:rPr>
              <w:t>三、利润总额（亏损总额以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223,473,864.91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99,865,858.88</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27,676,646.94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12,396,343.71</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195,797,217.97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87,469,515.17</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4" w:firstLine="360"/>
              <w:jc w:val="left"/>
              <w:rPr>
                <w:rFonts w:ascii="宋体" w:hAnsi="宋体" w:cs="宋体" w:eastAsia="宋体" w:hint="default"/>
                <w:sz w:val="18"/>
                <w:szCs w:val="18"/>
              </w:rPr>
            </w:pPr>
            <w:r>
              <w:rPr>
                <w:rFonts w:ascii="宋体" w:hAnsi="宋体" w:cs="宋体" w:eastAsia="宋体" w:hint="default"/>
                <w:sz w:val="18"/>
                <w:szCs w:val="18"/>
              </w:rPr>
              <w:t>（一）持续经营净利润（净亏损 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195,797,217.97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87,469,515.17</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4" w:firstLine="360"/>
              <w:jc w:val="left"/>
              <w:rPr>
                <w:rFonts w:ascii="宋体" w:hAnsi="宋体" w:cs="宋体" w:eastAsia="宋体" w:hint="default"/>
                <w:sz w:val="18"/>
                <w:szCs w:val="18"/>
              </w:rPr>
            </w:pPr>
            <w:r>
              <w:rPr>
                <w:rFonts w:ascii="宋体" w:hAnsi="宋体" w:cs="宋体" w:eastAsia="宋体" w:hint="default"/>
                <w:sz w:val="18"/>
                <w:szCs w:val="18"/>
              </w:rPr>
              <w:t>（二）终止经营净利润（净亏损 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五、其他综合收益的税后净额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4" w:firstLine="360"/>
              <w:jc w:val="left"/>
              <w:rPr>
                <w:rFonts w:ascii="宋体" w:hAnsi="宋体" w:cs="宋体" w:eastAsia="宋体" w:hint="default"/>
                <w:sz w:val="18"/>
                <w:szCs w:val="18"/>
              </w:rPr>
            </w:pPr>
            <w:r>
              <w:rPr>
                <w:rFonts w:ascii="宋体" w:hAnsi="宋体" w:cs="宋体" w:eastAsia="宋体" w:hint="default"/>
                <w:sz w:val="18"/>
                <w:szCs w:val="18"/>
              </w:rPr>
              <w:t>（一）以后不能重分类进损益的 其他综合收益</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98"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 净负债或净资产的变动</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54" w:firstLine="900"/>
              <w:jc w:val="both"/>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权益法下在被投资单位 不能重分类进损益的其他综合收益中 享有的份额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4" w:firstLine="360"/>
              <w:jc w:val="left"/>
              <w:rPr>
                <w:rFonts w:ascii="宋体" w:hAnsi="宋体" w:cs="宋体" w:eastAsia="宋体" w:hint="default"/>
                <w:sz w:val="18"/>
                <w:szCs w:val="18"/>
              </w:rPr>
            </w:pPr>
            <w:r>
              <w:rPr>
                <w:rFonts w:ascii="宋体" w:hAnsi="宋体" w:cs="宋体" w:eastAsia="宋体" w:hint="default"/>
                <w:sz w:val="18"/>
                <w:szCs w:val="18"/>
              </w:rPr>
              <w:t>（二）以后将重分类进损益的其 他综合收益</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9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权益法下在被投资单位</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40" w:type="dxa"/>
        <w:tblLayout w:type="fixed"/>
        <w:tblCellMar>
          <w:top w:w="0" w:type="dxa"/>
          <w:left w:w="0" w:type="dxa"/>
          <w:bottom w:w="0" w:type="dxa"/>
          <w:right w:w="0" w:type="dxa"/>
        </w:tblCellMar>
        <w:tblLook w:val="01E0"/>
      </w:tblPr>
      <w:tblGrid>
        <w:gridCol w:w="2945"/>
        <w:gridCol w:w="3312"/>
        <w:gridCol w:w="3300"/>
      </w:tblGrid>
      <w:tr>
        <w:trPr>
          <w:trHeight w:val="67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10"/>
              <w:ind w:left="11" w:right="41"/>
              <w:jc w:val="left"/>
              <w:rPr>
                <w:rFonts w:ascii="宋体" w:hAnsi="宋体" w:cs="宋体" w:eastAsia="宋体" w:hint="default"/>
                <w:sz w:val="18"/>
                <w:szCs w:val="18"/>
              </w:rPr>
            </w:pPr>
            <w:r>
              <w:rPr>
                <w:rFonts w:ascii="宋体" w:hAnsi="宋体" w:cs="宋体" w:eastAsia="宋体" w:hint="default"/>
                <w:sz w:val="18"/>
                <w:szCs w:val="18"/>
              </w:rPr>
              <w:t>以后将重分类进损益的其他综合收益 中享有的份额</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1" w:right="86"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可供出售金融资产公允 价值变动损益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1" w:right="86"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持有至到期投资重分类 为可供出售金融资产损益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现金流量套期损益的有</w:t>
            </w:r>
          </w:p>
          <w:p>
            <w:pPr>
              <w:pStyle w:val="TableParagraph"/>
              <w:spacing w:line="240" w:lineRule="auto" w:before="63"/>
              <w:ind w:left="11" w:right="0"/>
              <w:jc w:val="left"/>
              <w:rPr>
                <w:rFonts w:ascii="宋体" w:hAnsi="宋体" w:cs="宋体" w:eastAsia="宋体" w:hint="default"/>
                <w:sz w:val="18"/>
                <w:szCs w:val="18"/>
              </w:rPr>
            </w:pPr>
            <w:r>
              <w:rPr>
                <w:rFonts w:ascii="宋体" w:hAnsi="宋体" w:cs="宋体" w:eastAsia="宋体" w:hint="default"/>
                <w:sz w:val="18"/>
                <w:szCs w:val="18"/>
              </w:rPr>
              <w:t>效部分</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外币财务报表折算差额</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六、综合收益总额</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195,797,217.97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87,469,515.17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七、每股收益：</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0.570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0.250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0.570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0.250</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5"/>
        <w:ind w:left="1134" w:right="0"/>
        <w:jc w:val="left"/>
        <w:rPr>
          <w:b w:val="0"/>
          <w:bCs w:val="0"/>
        </w:rPr>
      </w:pPr>
      <w:bookmarkStart w:name="5、合并现金流量表" w:id="161"/>
      <w:bookmarkEnd w:id="161"/>
      <w:r>
        <w:rPr>
          <w:b w:val="0"/>
          <w:bCs w:val="0"/>
        </w:rPr>
      </w:r>
      <w:r>
        <w:rPr>
          <w:rFonts w:ascii="Times New Roman" w:hAnsi="Times New Roman" w:cs="Times New Roman" w:eastAsia="Times New Roman" w:hint="default"/>
        </w:rPr>
        <w:t>5</w:t>
      </w:r>
      <w:r>
        <w:rPr/>
        <w:t>、合并现金流量表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2943"/>
        <w:gridCol w:w="3314"/>
        <w:gridCol w:w="3300"/>
      </w:tblGrid>
      <w:tr>
        <w:trPr>
          <w:trHeight w:val="40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40"/>
              <w:jc w:val="righ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1,215,815,564.94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969,770,822.98</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客户存款和同业存放款项净增加</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向中央银行借款净增加额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向其他金融机构拆入资金净增加</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41"/>
              <w:jc w:val="right"/>
              <w:rPr>
                <w:rFonts w:ascii="宋体" w:hAnsi="宋体" w:cs="宋体" w:eastAsia="宋体" w:hint="default"/>
                <w:sz w:val="18"/>
                <w:szCs w:val="18"/>
              </w:rPr>
            </w:pPr>
            <w:r>
              <w:rPr>
                <w:rFonts w:ascii="宋体" w:hAnsi="宋体" w:cs="宋体" w:eastAsia="宋体" w:hint="default"/>
                <w:sz w:val="18"/>
                <w:szCs w:val="18"/>
              </w:rPr>
              <w:t>收到原保险合同保费取得的现金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收到再保险业务现金净额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保户储金及投资款净增加额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处置以公允价值计量且其变动计 入当期损益的金融资产净增加额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40"/>
              <w:jc w:val="right"/>
              <w:rPr>
                <w:rFonts w:ascii="宋体" w:hAnsi="宋体" w:cs="宋体" w:eastAsia="宋体" w:hint="default"/>
                <w:sz w:val="18"/>
                <w:szCs w:val="18"/>
              </w:rPr>
            </w:pPr>
            <w:r>
              <w:rPr>
                <w:rFonts w:ascii="宋体" w:hAnsi="宋体" w:cs="宋体" w:eastAsia="宋体" w:hint="default"/>
                <w:sz w:val="18"/>
                <w:szCs w:val="18"/>
              </w:rPr>
              <w:t>收取利息、手续费及佣金的现金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拆入资金净增加额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回购业务资金净增加额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18,736,865.91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7,698,489.19</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40"/>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39,941,074.73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34,215,627.62</w:t>
            </w:r>
          </w:p>
        </w:tc>
      </w:tr>
      <w:tr>
        <w:trPr>
          <w:trHeight w:val="40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1,274,493,505.58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1,011,684,939.79</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40" w:type="dxa"/>
        <w:tblLayout w:type="fixed"/>
        <w:tblCellMar>
          <w:top w:w="0" w:type="dxa"/>
          <w:left w:w="0" w:type="dxa"/>
          <w:bottom w:w="0" w:type="dxa"/>
          <w:right w:w="0" w:type="dxa"/>
        </w:tblCellMar>
        <w:tblLook w:val="01E0"/>
      </w:tblPr>
      <w:tblGrid>
        <w:gridCol w:w="2943"/>
        <w:gridCol w:w="3314"/>
        <w:gridCol w:w="3300"/>
      </w:tblGrid>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675,102,974.90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546,368,390.12</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客户贷款及垫款净增加额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存放中央银行和同业款项净增加</w:t>
            </w:r>
          </w:p>
          <w:p>
            <w:pPr>
              <w:pStyle w:val="TableParagraph"/>
              <w:spacing w:line="240" w:lineRule="auto" w:before="78"/>
              <w:ind w:left="11"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支付原保险合同赔付款项的现金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支付利息、手续费及佣金的现金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支付保单红利的现金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146,563,997.07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99,535,122.66</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92,138,651.71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84,260,691.10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1"/>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169,275,626.35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129,715,207.69</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1,083,081,250.03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859,879,411.57</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191,412,255.55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151,805,528.22</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168,288.89</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507,393.16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1,075.75</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507,393.16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169,364.64</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22,070,617.35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19,457,610.63</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30,000,000.00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质押贷款净增加额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4,856,743.75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61,430,839.65</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36,927,361.10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110,888,450.28</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-36,419,967.94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-110,719,085.64</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其中：子公司吸收少数股东投资 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2967"/>
        <w:gridCol w:w="3302"/>
        <w:gridCol w:w="3300"/>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2"/>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2"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39,752,826.83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20,101,367.20</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2" w:firstLine="360"/>
              <w:jc w:val="left"/>
              <w:rPr>
                <w:rFonts w:ascii="宋体" w:hAnsi="宋体" w:cs="宋体" w:eastAsia="宋体" w:hint="default"/>
                <w:sz w:val="18"/>
                <w:szCs w:val="18"/>
              </w:rPr>
            </w:pPr>
            <w:r>
              <w:rPr>
                <w:rFonts w:ascii="宋体" w:hAnsi="宋体" w:cs="宋体" w:eastAsia="宋体" w:hint="default"/>
                <w:sz w:val="18"/>
                <w:szCs w:val="18"/>
              </w:rPr>
              <w:t>其中：子公司支付给少数股东的 股利、利润</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5,313,292.43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2,881,600.00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2"/>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39,752,826.83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20,101,367.20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-39,752,826.83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-20,101,367.20</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2"/>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-490,790.77</w:t>
            </w:r>
            <w:r>
              <w:rPr>
                <w:rFonts w:ascii="Times New Roman"/>
                <w:sz w:val="18"/>
              </w:rPr>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301,514.78</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114,748,670.01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21,286,590.16</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2"/>
              <w:jc w:val="righ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442,093,599.18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420,807,009.02</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556,842,269.19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442,093,599.18</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5"/>
        <w:ind w:left="1134" w:right="0"/>
        <w:jc w:val="left"/>
        <w:rPr>
          <w:b w:val="0"/>
          <w:bCs w:val="0"/>
        </w:rPr>
      </w:pPr>
      <w:bookmarkStart w:name="6、母公司现金流量表" w:id="162"/>
      <w:bookmarkEnd w:id="162"/>
      <w:r>
        <w:rPr>
          <w:b w:val="0"/>
          <w:bCs w:val="0"/>
        </w:rPr>
      </w:r>
      <w:r>
        <w:rPr>
          <w:rFonts w:ascii="Times New Roman" w:hAnsi="Times New Roman" w:cs="Times New Roman" w:eastAsia="Times New Roman" w:hint="default"/>
        </w:rPr>
        <w:t>6</w:t>
      </w:r>
      <w:r>
        <w:rPr/>
        <w:t>、母公司现金流量表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2943"/>
        <w:gridCol w:w="3314"/>
        <w:gridCol w:w="3300"/>
      </w:tblGrid>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844,603,575.84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589,647,626.31</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18,202,053.96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7,236,728.50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85,413,240.38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19,746,040.36</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948,218,870.18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616,630,395.17</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429,962,705.98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299,591,571.81</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91,476,141.81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59,328,087.51</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65,404,571.64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55,851,078.82</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225,033,382.64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91,254,544.45</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811,876,802.07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506,025,282.59</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136,342,068.11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110,605,112.58</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17,071,281.72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14,408,000.00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40" w:type="dxa"/>
        <w:tblLayout w:type="fixed"/>
        <w:tblCellMar>
          <w:top w:w="0" w:type="dxa"/>
          <w:left w:w="0" w:type="dxa"/>
          <w:bottom w:w="0" w:type="dxa"/>
          <w:right w:w="0" w:type="dxa"/>
        </w:tblCellMar>
        <w:tblLook w:val="01E0"/>
      </w:tblPr>
      <w:tblGrid>
        <w:gridCol w:w="2943"/>
        <w:gridCol w:w="3314"/>
        <w:gridCol w:w="3300"/>
      </w:tblGrid>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54,688.89</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2,128,598.35</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17,071,281.72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16,591,287.24</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7,771,206.15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11,418,425.07</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30,000,000.00</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54,611,100.00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17,771,206.15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96,029,525.07</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-699,924.43</w:t>
            </w:r>
            <w:r>
              <w:rPr>
                <w:rFonts w:ascii="Times New Roman"/>
                <w:sz w:val="18"/>
              </w:rPr>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-79,438,237.83</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34,439,534.40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17,219,767.20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34,439,534.40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17,219,767.20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-34,439,534.40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-17,219,767.20</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101,202,609.28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13,947,107.55</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310,553,803.17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296,606,695.62</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411,756,412.45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310,553,803.17</w:t>
            </w:r>
          </w:p>
        </w:tc>
      </w:tr>
    </w:tbl>
    <w:p>
      <w:pPr>
        <w:spacing w:line="240" w:lineRule="auto" w:before="2"/>
        <w:rPr>
          <w:rFonts w:ascii="宋体" w:hAnsi="宋体" w:cs="宋体" w:eastAsia="宋体" w:hint="default"/>
          <w:sz w:val="19"/>
          <w:szCs w:val="19"/>
        </w:rPr>
      </w:pPr>
    </w:p>
    <w:p>
      <w:pPr>
        <w:pStyle w:val="Heading3"/>
        <w:spacing w:line="240" w:lineRule="auto" w:before="35"/>
        <w:ind w:left="1134" w:right="0"/>
        <w:jc w:val="left"/>
        <w:rPr>
          <w:b w:val="0"/>
          <w:bCs w:val="0"/>
        </w:rPr>
      </w:pPr>
      <w:bookmarkStart w:name="7、合并所有者权益变动表" w:id="163"/>
      <w:bookmarkEnd w:id="163"/>
      <w:r>
        <w:rPr>
          <w:b w:val="0"/>
          <w:bCs w:val="0"/>
        </w:rPr>
      </w:r>
      <w:r>
        <w:rPr>
          <w:rFonts w:ascii="Times New Roman" w:hAnsi="Times New Roman" w:cs="Times New Roman" w:eastAsia="Times New Roman" w:hint="default"/>
        </w:rPr>
        <w:t>7</w:t>
      </w:r>
      <w:r>
        <w:rPr/>
        <w:t>、合并所有者权益变动表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1134" w:right="0"/>
        <w:jc w:val="left"/>
      </w:pPr>
      <w:r>
        <w:rPr/>
        <w:t>本期金额</w:t>
      </w:r>
    </w:p>
    <w:p>
      <w:pPr>
        <w:pStyle w:val="BodyText"/>
        <w:spacing w:line="240" w:lineRule="auto" w:before="117"/>
        <w:ind w:left="0" w:right="1130"/>
        <w:jc w:val="right"/>
      </w:pPr>
      <w:r>
        <w:rPr/>
        <w:t>单位：元</w:t>
      </w:r>
    </w:p>
    <w:p>
      <w:pPr>
        <w:spacing w:after="0" w:line="240" w:lineRule="auto"/>
        <w:jc w:val="right"/>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40" w:type="dxa"/>
        <w:tblLayout w:type="fixed"/>
        <w:tblCellMar>
          <w:top w:w="0" w:type="dxa"/>
          <w:left w:w="0" w:type="dxa"/>
          <w:bottom w:w="0" w:type="dxa"/>
          <w:right w:w="0" w:type="dxa"/>
        </w:tblCellMar>
        <w:tblLook w:val="01E0"/>
      </w:tblPr>
      <w:tblGrid>
        <w:gridCol w:w="1415"/>
        <w:gridCol w:w="574"/>
        <w:gridCol w:w="530"/>
        <w:gridCol w:w="532"/>
        <w:gridCol w:w="530"/>
        <w:gridCol w:w="665"/>
        <w:gridCol w:w="665"/>
        <w:gridCol w:w="665"/>
        <w:gridCol w:w="665"/>
        <w:gridCol w:w="664"/>
        <w:gridCol w:w="666"/>
        <w:gridCol w:w="665"/>
        <w:gridCol w:w="665"/>
        <w:gridCol w:w="659"/>
      </w:tblGrid>
      <w:tr>
        <w:trPr>
          <w:trHeight w:val="402" w:hRule="exact"/>
        </w:trPr>
        <w:tc>
          <w:tcPr>
            <w:tcW w:w="1415" w:type="dxa"/>
            <w:vMerge w:val="restart"/>
            <w:tcBorders>
              <w:top w:val="single" w:sz="4" w:space="0" w:color="000000"/>
              <w:left w:val="single" w:sz="4" w:space="0" w:color="000000"/>
              <w:right w:val="single" w:sz="4" w:space="0" w:color="000000"/>
            </w:tcBorders>
            <w:shd w:val="clear" w:color="auto" w:fill="D2D2D2"/>
          </w:tcPr>
          <w:p>
            <w:pPr/>
          </w:p>
        </w:tc>
        <w:tc>
          <w:tcPr>
            <w:tcW w:w="8145"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251" w:hRule="exact"/>
        </w:trPr>
        <w:tc>
          <w:tcPr>
            <w:tcW w:w="1415" w:type="dxa"/>
            <w:vMerge/>
            <w:tcBorders>
              <w:left w:val="single" w:sz="4" w:space="0" w:color="000000"/>
              <w:right w:val="single" w:sz="4" w:space="0" w:color="000000"/>
            </w:tcBorders>
            <w:shd w:val="clear" w:color="auto" w:fill="D2D2D2"/>
          </w:tcPr>
          <w:p>
            <w:pPr/>
          </w:p>
        </w:tc>
        <w:tc>
          <w:tcPr>
            <w:tcW w:w="6821" w:type="dxa"/>
            <w:gridSpan w:val="11"/>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665" w:type="dxa"/>
            <w:vMerge w:val="restart"/>
            <w:tcBorders>
              <w:top w:val="single" w:sz="4" w:space="0" w:color="000000"/>
              <w:left w:val="single" w:sz="4" w:space="0" w:color="000000"/>
              <w:right w:val="single" w:sz="4" w:space="0" w:color="000000"/>
            </w:tcBorders>
            <w:shd w:val="clear" w:color="auto" w:fill="D2D2D2"/>
          </w:tcPr>
          <w:p>
            <w:pPr/>
          </w:p>
        </w:tc>
        <w:tc>
          <w:tcPr>
            <w:tcW w:w="659"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1" w:hRule="exact"/>
        </w:trPr>
        <w:tc>
          <w:tcPr>
            <w:tcW w:w="1415" w:type="dxa"/>
            <w:vMerge/>
            <w:tcBorders>
              <w:left w:val="single" w:sz="4" w:space="0" w:color="000000"/>
              <w:bottom w:val="nil" w:sz="6" w:space="0" w:color="auto"/>
              <w:right w:val="single" w:sz="4" w:space="0" w:color="000000"/>
            </w:tcBorders>
            <w:shd w:val="clear" w:color="auto" w:fill="D2D2D2"/>
          </w:tcPr>
          <w:p>
            <w:pPr/>
          </w:p>
        </w:tc>
        <w:tc>
          <w:tcPr>
            <w:tcW w:w="6821" w:type="dxa"/>
            <w:gridSpan w:val="11"/>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59"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53" w:right="53"/>
              <w:jc w:val="center"/>
              <w:rPr>
                <w:rFonts w:ascii="宋体" w:hAnsi="宋体" w:cs="宋体" w:eastAsia="宋体" w:hint="default"/>
                <w:sz w:val="18"/>
                <w:szCs w:val="18"/>
              </w:rPr>
            </w:pPr>
            <w:r>
              <w:rPr>
                <w:rFonts w:ascii="宋体" w:hAnsi="宋体" w:cs="宋体" w:eastAsia="宋体" w:hint="default"/>
                <w:sz w:val="18"/>
                <w:szCs w:val="18"/>
              </w:rPr>
              <w:t>所有者 权益合 计</w:t>
            </w:r>
          </w:p>
        </w:tc>
      </w:tr>
      <w:tr>
        <w:trPr>
          <w:trHeight w:val="206" w:hRule="exact"/>
        </w:trPr>
        <w:tc>
          <w:tcPr>
            <w:tcW w:w="141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574" w:type="dxa"/>
            <w:vMerge w:val="restart"/>
            <w:tcBorders>
              <w:top w:val="single" w:sz="4" w:space="0" w:color="000000"/>
              <w:left w:val="single" w:sz="4" w:space="0" w:color="000000"/>
              <w:right w:val="single" w:sz="4" w:space="0" w:color="000000"/>
            </w:tcBorders>
            <w:shd w:val="clear" w:color="auto" w:fill="D2D2D2"/>
          </w:tcPr>
          <w:p>
            <w:pPr/>
          </w:p>
        </w:tc>
        <w:tc>
          <w:tcPr>
            <w:tcW w:w="159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250"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4" w:type="dxa"/>
            <w:tcBorders>
              <w:top w:val="single" w:sz="4" w:space="0" w:color="000000"/>
              <w:left w:val="single" w:sz="4" w:space="0" w:color="000000"/>
              <w:bottom w:val="nil" w:sz="6" w:space="0" w:color="auto"/>
              <w:right w:val="single" w:sz="4" w:space="0" w:color="000000"/>
            </w:tcBorders>
            <w:shd w:val="clear" w:color="auto" w:fill="D2D2D2"/>
          </w:tcPr>
          <w:p>
            <w:pPr/>
          </w:p>
        </w:tc>
        <w:tc>
          <w:tcPr>
            <w:tcW w:w="666"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6"/>
              <w:ind w:left="56" w:right="56"/>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59" w:type="dxa"/>
            <w:vMerge/>
            <w:tcBorders>
              <w:left w:val="single" w:sz="4" w:space="0" w:color="000000"/>
              <w:right w:val="single" w:sz="4" w:space="0" w:color="000000"/>
            </w:tcBorders>
            <w:shd w:val="clear" w:color="auto" w:fill="D2D2D2"/>
          </w:tcPr>
          <w:p>
            <w:pPr/>
          </w:p>
        </w:tc>
      </w:tr>
      <w:tr>
        <w:trPr>
          <w:trHeight w:val="173" w:hRule="exact"/>
        </w:trPr>
        <w:tc>
          <w:tcPr>
            <w:tcW w:w="1415" w:type="dxa"/>
            <w:vMerge/>
            <w:tcBorders>
              <w:left w:val="single" w:sz="4" w:space="0" w:color="000000"/>
              <w:bottom w:val="nil" w:sz="6" w:space="0" w:color="auto"/>
              <w:right w:val="single" w:sz="4" w:space="0" w:color="000000"/>
            </w:tcBorders>
            <w:shd w:val="clear" w:color="auto" w:fill="D2D2D2"/>
          </w:tcPr>
          <w:p>
            <w:pPr/>
          </w:p>
        </w:tc>
        <w:tc>
          <w:tcPr>
            <w:tcW w:w="574" w:type="dxa"/>
            <w:vMerge/>
            <w:tcBorders>
              <w:left w:val="single" w:sz="4" w:space="0" w:color="000000"/>
              <w:bottom w:val="nil" w:sz="6" w:space="0" w:color="auto"/>
              <w:right w:val="single" w:sz="4" w:space="0" w:color="000000"/>
            </w:tcBorders>
            <w:shd w:val="clear" w:color="auto" w:fill="D2D2D2"/>
          </w:tcPr>
          <w:p>
            <w:pPr/>
          </w:p>
        </w:tc>
        <w:tc>
          <w:tcPr>
            <w:tcW w:w="1592" w:type="dxa"/>
            <w:gridSpan w:val="3"/>
            <w:vMerge/>
            <w:tcBorders>
              <w:left w:val="single" w:sz="4" w:space="0" w:color="000000"/>
              <w:bottom w:val="single" w:sz="4" w:space="0" w:color="000000"/>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236" w:right="57" w:hanging="181"/>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146" w:right="56" w:hanging="90"/>
              <w:jc w:val="left"/>
              <w:rPr>
                <w:rFonts w:ascii="宋体" w:hAnsi="宋体" w:cs="宋体" w:eastAsia="宋体" w:hint="default"/>
                <w:sz w:val="18"/>
                <w:szCs w:val="18"/>
              </w:rPr>
            </w:pPr>
            <w:r>
              <w:rPr>
                <w:rFonts w:ascii="宋体" w:hAnsi="宋体" w:cs="宋体" w:eastAsia="宋体" w:hint="default"/>
                <w:sz w:val="18"/>
                <w:szCs w:val="18"/>
              </w:rPr>
              <w:t>减：库 存股</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56" w:right="56"/>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236" w:right="56"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664"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236" w:right="55"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66"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57" w:right="57"/>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146" w:right="56"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665" w:type="dxa"/>
            <w:vMerge/>
            <w:tcBorders>
              <w:left w:val="single" w:sz="4" w:space="0" w:color="000000"/>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84" w:hRule="exact"/>
        </w:trPr>
        <w:tc>
          <w:tcPr>
            <w:tcW w:w="1415" w:type="dxa"/>
            <w:vMerge w:val="restart"/>
            <w:tcBorders>
              <w:top w:val="nil" w:sz="6" w:space="0" w:color="auto"/>
              <w:left w:val="single" w:sz="4" w:space="0" w:color="000000"/>
              <w:right w:val="single" w:sz="4" w:space="0" w:color="000000"/>
            </w:tcBorders>
            <w:shd w:val="clear" w:color="auto" w:fill="D2D2D2"/>
          </w:tcPr>
          <w:p>
            <w:pPr/>
          </w:p>
        </w:tc>
        <w:tc>
          <w:tcPr>
            <w:tcW w:w="57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35"/>
              <w:ind w:left="108"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530"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74"/>
              <w:ind w:left="170" w:right="78" w:hanging="90"/>
              <w:jc w:val="left"/>
              <w:rPr>
                <w:rFonts w:ascii="宋体" w:hAnsi="宋体" w:cs="宋体" w:eastAsia="宋体" w:hint="default"/>
                <w:sz w:val="18"/>
                <w:szCs w:val="18"/>
              </w:rPr>
            </w:pPr>
            <w:r>
              <w:rPr>
                <w:rFonts w:ascii="宋体" w:hAnsi="宋体" w:cs="宋体" w:eastAsia="宋体" w:hint="default"/>
                <w:sz w:val="18"/>
                <w:szCs w:val="18"/>
              </w:rPr>
              <w:t>优先 股</w:t>
            </w:r>
          </w:p>
        </w:tc>
        <w:tc>
          <w:tcPr>
            <w:tcW w:w="53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74"/>
              <w:ind w:left="170" w:right="79" w:hanging="90"/>
              <w:jc w:val="left"/>
              <w:rPr>
                <w:rFonts w:ascii="宋体" w:hAnsi="宋体" w:cs="宋体" w:eastAsia="宋体" w:hint="default"/>
                <w:sz w:val="18"/>
                <w:szCs w:val="18"/>
              </w:rPr>
            </w:pPr>
            <w:r>
              <w:rPr>
                <w:rFonts w:ascii="宋体" w:hAnsi="宋体" w:cs="宋体" w:eastAsia="宋体" w:hint="default"/>
                <w:sz w:val="18"/>
                <w:szCs w:val="18"/>
              </w:rPr>
              <w:t>永续 债</w:t>
            </w:r>
          </w:p>
        </w:tc>
        <w:tc>
          <w:tcPr>
            <w:tcW w:w="530"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4" w:type="dxa"/>
            <w:vMerge/>
            <w:tcBorders>
              <w:left w:val="single" w:sz="4" w:space="0" w:color="000000"/>
              <w:right w:val="single" w:sz="4" w:space="0" w:color="000000"/>
            </w:tcBorders>
            <w:shd w:val="clear" w:color="auto" w:fill="D2D2D2"/>
          </w:tcPr>
          <w:p>
            <w:pPr/>
          </w:p>
        </w:tc>
        <w:tc>
          <w:tcPr>
            <w:tcW w:w="666"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69" w:hRule="exact"/>
        </w:trPr>
        <w:tc>
          <w:tcPr>
            <w:tcW w:w="1415" w:type="dxa"/>
            <w:vMerge/>
            <w:tcBorders>
              <w:left w:val="single" w:sz="4" w:space="0" w:color="000000"/>
              <w:right w:val="single" w:sz="4" w:space="0" w:color="000000"/>
            </w:tcBorders>
            <w:shd w:val="clear" w:color="auto" w:fill="D2D2D2"/>
          </w:tcPr>
          <w:p>
            <w:pPr/>
          </w:p>
        </w:tc>
        <w:tc>
          <w:tcPr>
            <w:tcW w:w="574" w:type="dxa"/>
            <w:vMerge/>
            <w:tcBorders>
              <w:left w:val="single" w:sz="4" w:space="0" w:color="000000"/>
              <w:bottom w:val="nil" w:sz="6" w:space="0" w:color="auto"/>
              <w:right w:val="single" w:sz="4" w:space="0" w:color="000000"/>
            </w:tcBorders>
            <w:shd w:val="clear" w:color="auto" w:fill="D2D2D2"/>
          </w:tcPr>
          <w:p>
            <w:pPr/>
          </w:p>
        </w:tc>
        <w:tc>
          <w:tcPr>
            <w:tcW w:w="530" w:type="dxa"/>
            <w:vMerge/>
            <w:tcBorders>
              <w:left w:val="single" w:sz="4" w:space="0" w:color="000000"/>
              <w:right w:val="single" w:sz="4" w:space="0" w:color="000000"/>
            </w:tcBorders>
            <w:shd w:val="clear" w:color="auto" w:fill="D2D2D2"/>
          </w:tcPr>
          <w:p>
            <w:pPr/>
          </w:p>
        </w:tc>
        <w:tc>
          <w:tcPr>
            <w:tcW w:w="532" w:type="dxa"/>
            <w:vMerge/>
            <w:tcBorders>
              <w:left w:val="single" w:sz="4" w:space="0" w:color="000000"/>
              <w:right w:val="single" w:sz="4" w:space="0" w:color="000000"/>
            </w:tcBorders>
            <w:shd w:val="clear" w:color="auto" w:fill="D2D2D2"/>
          </w:tcPr>
          <w:p>
            <w:pPr/>
          </w:p>
        </w:tc>
        <w:tc>
          <w:tcPr>
            <w:tcW w:w="53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8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4" w:type="dxa"/>
            <w:vMerge/>
            <w:tcBorders>
              <w:left w:val="single" w:sz="4" w:space="0" w:color="000000"/>
              <w:right w:val="single" w:sz="4" w:space="0" w:color="000000"/>
            </w:tcBorders>
            <w:shd w:val="clear" w:color="auto" w:fill="D2D2D2"/>
          </w:tcPr>
          <w:p>
            <w:pPr/>
          </w:p>
        </w:tc>
        <w:tc>
          <w:tcPr>
            <w:tcW w:w="666"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56" w:hRule="exact"/>
        </w:trPr>
        <w:tc>
          <w:tcPr>
            <w:tcW w:w="1415" w:type="dxa"/>
            <w:vMerge/>
            <w:tcBorders>
              <w:left w:val="single" w:sz="4" w:space="0" w:color="000000"/>
              <w:right w:val="single" w:sz="4" w:space="0" w:color="000000"/>
            </w:tcBorders>
            <w:shd w:val="clear" w:color="auto" w:fill="D2D2D2"/>
          </w:tcPr>
          <w:p>
            <w:pPr/>
          </w:p>
        </w:tc>
        <w:tc>
          <w:tcPr>
            <w:tcW w:w="574" w:type="dxa"/>
            <w:vMerge w:val="restart"/>
            <w:tcBorders>
              <w:top w:val="nil" w:sz="6" w:space="0" w:color="auto"/>
              <w:left w:val="single" w:sz="4" w:space="0" w:color="000000"/>
              <w:right w:val="single" w:sz="4" w:space="0" w:color="000000"/>
            </w:tcBorders>
            <w:shd w:val="clear" w:color="auto" w:fill="D2D2D2"/>
          </w:tcPr>
          <w:p>
            <w:pPr/>
          </w:p>
        </w:tc>
        <w:tc>
          <w:tcPr>
            <w:tcW w:w="530" w:type="dxa"/>
            <w:vMerge/>
            <w:tcBorders>
              <w:left w:val="single" w:sz="4" w:space="0" w:color="000000"/>
              <w:right w:val="single" w:sz="4" w:space="0" w:color="000000"/>
            </w:tcBorders>
            <w:shd w:val="clear" w:color="auto" w:fill="D2D2D2"/>
          </w:tcPr>
          <w:p>
            <w:pPr/>
          </w:p>
        </w:tc>
        <w:tc>
          <w:tcPr>
            <w:tcW w:w="532" w:type="dxa"/>
            <w:vMerge/>
            <w:tcBorders>
              <w:left w:val="single" w:sz="4" w:space="0" w:color="000000"/>
              <w:right w:val="single" w:sz="4" w:space="0" w:color="000000"/>
            </w:tcBorders>
            <w:shd w:val="clear" w:color="auto" w:fill="D2D2D2"/>
          </w:tcPr>
          <w:p>
            <w:pPr/>
          </w:p>
        </w:tc>
        <w:tc>
          <w:tcPr>
            <w:tcW w:w="530"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4" w:type="dxa"/>
            <w:vMerge/>
            <w:tcBorders>
              <w:left w:val="single" w:sz="4" w:space="0" w:color="000000"/>
              <w:bottom w:val="nil" w:sz="6" w:space="0" w:color="auto"/>
              <w:right w:val="single" w:sz="4" w:space="0" w:color="000000"/>
            </w:tcBorders>
            <w:shd w:val="clear" w:color="auto" w:fill="D2D2D2"/>
          </w:tcPr>
          <w:p>
            <w:pPr/>
          </w:p>
        </w:tc>
        <w:tc>
          <w:tcPr>
            <w:tcW w:w="666"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
        </w:tc>
        <w:tc>
          <w:tcPr>
            <w:tcW w:w="659" w:type="dxa"/>
            <w:vMerge/>
            <w:tcBorders>
              <w:left w:val="single" w:sz="4" w:space="0" w:color="000000"/>
              <w:bottom w:val="nil" w:sz="6" w:space="0" w:color="auto"/>
              <w:right w:val="single" w:sz="4" w:space="0" w:color="000000"/>
            </w:tcBorders>
            <w:shd w:val="clear" w:color="auto" w:fill="D2D2D2"/>
          </w:tcPr>
          <w:p>
            <w:pPr/>
          </w:p>
        </w:tc>
      </w:tr>
      <w:tr>
        <w:trPr>
          <w:trHeight w:val="229" w:hRule="exact"/>
        </w:trPr>
        <w:tc>
          <w:tcPr>
            <w:tcW w:w="1415" w:type="dxa"/>
            <w:vMerge/>
            <w:tcBorders>
              <w:left w:val="single" w:sz="4" w:space="0" w:color="000000"/>
              <w:bottom w:val="single" w:sz="4" w:space="0" w:color="000000"/>
              <w:right w:val="single" w:sz="4" w:space="0" w:color="000000"/>
            </w:tcBorders>
            <w:shd w:val="clear" w:color="auto" w:fill="D2D2D2"/>
          </w:tcPr>
          <w:p>
            <w:pPr/>
          </w:p>
        </w:tc>
        <w:tc>
          <w:tcPr>
            <w:tcW w:w="574" w:type="dxa"/>
            <w:vMerge/>
            <w:tcBorders>
              <w:left w:val="single" w:sz="4" w:space="0" w:color="000000"/>
              <w:bottom w:val="single" w:sz="4" w:space="0" w:color="000000"/>
              <w:right w:val="single" w:sz="4" w:space="0" w:color="000000"/>
            </w:tcBorders>
            <w:shd w:val="clear" w:color="auto" w:fill="D2D2D2"/>
          </w:tcPr>
          <w:p>
            <w:pPr/>
          </w:p>
        </w:tc>
        <w:tc>
          <w:tcPr>
            <w:tcW w:w="530" w:type="dxa"/>
            <w:vMerge/>
            <w:tcBorders>
              <w:left w:val="single" w:sz="4" w:space="0" w:color="000000"/>
              <w:bottom w:val="single" w:sz="4" w:space="0" w:color="000000"/>
              <w:right w:val="single" w:sz="4" w:space="0" w:color="000000"/>
            </w:tcBorders>
            <w:shd w:val="clear" w:color="auto" w:fill="D2D2D2"/>
          </w:tcPr>
          <w:p>
            <w:pPr/>
          </w:p>
        </w:tc>
        <w:tc>
          <w:tcPr>
            <w:tcW w:w="532" w:type="dxa"/>
            <w:vMerge/>
            <w:tcBorders>
              <w:left w:val="single" w:sz="4" w:space="0" w:color="000000"/>
              <w:bottom w:val="single" w:sz="4" w:space="0" w:color="000000"/>
              <w:right w:val="single" w:sz="4" w:space="0" w:color="000000"/>
            </w:tcBorders>
            <w:shd w:val="clear" w:color="auto" w:fill="D2D2D2"/>
          </w:tcPr>
          <w:p>
            <w:pPr/>
          </w:p>
        </w:tc>
        <w:tc>
          <w:tcPr>
            <w:tcW w:w="530"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4" w:type="dxa"/>
            <w:tcBorders>
              <w:top w:val="nil" w:sz="6" w:space="0" w:color="auto"/>
              <w:left w:val="single" w:sz="4" w:space="0" w:color="000000"/>
              <w:bottom w:val="single" w:sz="4" w:space="0" w:color="000000"/>
              <w:right w:val="single" w:sz="4" w:space="0" w:color="000000"/>
            </w:tcBorders>
            <w:shd w:val="clear" w:color="auto" w:fill="D2D2D2"/>
          </w:tcPr>
          <w:p>
            <w:pPr/>
          </w:p>
        </w:tc>
        <w:tc>
          <w:tcPr>
            <w:tcW w:w="666"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59"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17" w:hRule="exact"/>
        </w:trPr>
        <w:tc>
          <w:tcPr>
            <w:tcW w:w="1415" w:type="dxa"/>
            <w:tcBorders>
              <w:top w:val="single" w:sz="4" w:space="0" w:color="000000"/>
              <w:left w:val="single" w:sz="4" w:space="0" w:color="000000"/>
              <w:bottom w:val="nil" w:sz="6" w:space="0" w:color="auto"/>
              <w:right w:val="single" w:sz="4" w:space="0" w:color="000000"/>
            </w:tcBorders>
            <w:shd w:val="clear" w:color="auto" w:fill="D2D2D2"/>
          </w:tcPr>
          <w:p>
            <w:pPr/>
          </w:p>
        </w:tc>
        <w:tc>
          <w:tcPr>
            <w:tcW w:w="574" w:type="dxa"/>
            <w:vMerge w:val="restart"/>
            <w:tcBorders>
              <w:top w:val="single" w:sz="4" w:space="0" w:color="000000"/>
              <w:left w:val="single" w:sz="9" w:space="0" w:color="D2D2D2"/>
              <w:right w:val="single" w:sz="4" w:space="0" w:color="000000"/>
            </w:tcBorders>
          </w:tcPr>
          <w:p>
            <w:pPr>
              <w:pStyle w:val="TableParagraph"/>
              <w:spacing w:line="240" w:lineRule="auto" w:before="91"/>
              <w:ind w:left="40" w:right="0"/>
              <w:jc w:val="left"/>
              <w:rPr>
                <w:rFonts w:ascii="Times New Roman" w:hAnsi="Times New Roman" w:cs="Times New Roman" w:eastAsia="Times New Roman" w:hint="default"/>
                <w:sz w:val="18"/>
                <w:szCs w:val="18"/>
              </w:rPr>
            </w:pPr>
            <w:r>
              <w:rPr>
                <w:rFonts w:ascii="Times New Roman"/>
                <w:sz w:val="18"/>
              </w:rPr>
              <w:t>344,39</w:t>
            </w:r>
          </w:p>
          <w:p>
            <w:pPr>
              <w:pStyle w:val="TableParagraph"/>
              <w:spacing w:line="240" w:lineRule="auto" w:before="105"/>
              <w:ind w:left="85" w:right="0"/>
              <w:jc w:val="left"/>
              <w:rPr>
                <w:rFonts w:ascii="Times New Roman" w:hAnsi="Times New Roman" w:cs="Times New Roman" w:eastAsia="Times New Roman" w:hint="default"/>
                <w:sz w:val="18"/>
                <w:szCs w:val="18"/>
              </w:rPr>
            </w:pPr>
            <w:r>
              <w:rPr>
                <w:rFonts w:ascii="Times New Roman"/>
                <w:sz w:val="18"/>
              </w:rPr>
              <w:t>5,344.</w:t>
            </w:r>
          </w:p>
          <w:p>
            <w:pPr>
              <w:pStyle w:val="TableParagraph"/>
              <w:spacing w:line="240" w:lineRule="auto" w:before="106"/>
              <w:ind w:left="355" w:right="0"/>
              <w:jc w:val="left"/>
              <w:rPr>
                <w:rFonts w:ascii="Times New Roman" w:hAnsi="Times New Roman" w:cs="Times New Roman" w:eastAsia="Times New Roman" w:hint="default"/>
                <w:sz w:val="18"/>
                <w:szCs w:val="18"/>
              </w:rPr>
            </w:pPr>
            <w:r>
              <w:rPr>
                <w:rFonts w:ascii="Times New Roman"/>
                <w:sz w:val="18"/>
              </w:rPr>
              <w:t>00</w:t>
            </w: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677,770</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,058.81</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7" w:right="0"/>
              <w:jc w:val="center"/>
              <w:rPr>
                <w:rFonts w:ascii="Times New Roman" w:hAnsi="Times New Roman" w:cs="Times New Roman" w:eastAsia="Times New Roman" w:hint="default"/>
                <w:sz w:val="18"/>
                <w:szCs w:val="18"/>
              </w:rPr>
            </w:pPr>
            <w:r>
              <w:rPr>
                <w:rFonts w:ascii="Times New Roman"/>
                <w:sz w:val="18"/>
              </w:rPr>
              <w:t>1,713,9</w:t>
            </w:r>
          </w:p>
          <w:p>
            <w:pPr>
              <w:pStyle w:val="TableParagraph"/>
              <w:spacing w:line="240" w:lineRule="auto" w:before="106"/>
              <w:ind w:left="203" w:right="0"/>
              <w:jc w:val="center"/>
              <w:rPr>
                <w:rFonts w:ascii="Times New Roman" w:hAnsi="Times New Roman" w:cs="Times New Roman" w:eastAsia="Times New Roman" w:hint="default"/>
                <w:sz w:val="18"/>
                <w:szCs w:val="18"/>
              </w:rPr>
            </w:pPr>
            <w:r>
              <w:rPr>
                <w:rFonts w:ascii="Times New Roman"/>
                <w:sz w:val="18"/>
              </w:rPr>
              <w:t>46.74</w:t>
            </w:r>
          </w:p>
        </w:tc>
        <w:tc>
          <w:tcPr>
            <w:tcW w:w="665" w:type="dxa"/>
            <w:vMerge w:val="restart"/>
            <w:tcBorders>
              <w:top w:val="single" w:sz="4" w:space="0" w:color="000000"/>
              <w:left w:val="single" w:sz="4" w:space="0" w:color="000000"/>
              <w:right w:val="single" w:sz="4" w:space="0" w:color="000000"/>
            </w:tcBorders>
          </w:tcPr>
          <w:p>
            <w:pPr/>
          </w:p>
        </w:tc>
        <w:tc>
          <w:tcPr>
            <w:tcW w:w="664"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44,248,</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834.40</w:t>
            </w:r>
          </w:p>
        </w:tc>
        <w:tc>
          <w:tcPr>
            <w:tcW w:w="666"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381,487</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,196.57</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46,173,</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889.41</w:t>
            </w: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1,495,7</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89,269.</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93</w:t>
            </w:r>
          </w:p>
        </w:tc>
      </w:tr>
      <w:tr>
        <w:trPr>
          <w:trHeight w:val="392" w:hRule="exact"/>
        </w:trPr>
        <w:tc>
          <w:tcPr>
            <w:tcW w:w="141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8"/>
                <w:sz w:val="18"/>
                <w:szCs w:val="18"/>
              </w:rPr>
              <w:t>一、上年期末余额</w:t>
            </w:r>
          </w:p>
        </w:tc>
        <w:tc>
          <w:tcPr>
            <w:tcW w:w="574"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4" w:type="dxa"/>
            <w:vMerge/>
            <w:tcBorders>
              <w:left w:val="single" w:sz="4" w:space="0" w:color="000000"/>
              <w:right w:val="single" w:sz="4" w:space="0" w:color="000000"/>
            </w:tcBorders>
          </w:tcPr>
          <w:p>
            <w:pPr/>
          </w:p>
        </w:tc>
        <w:tc>
          <w:tcPr>
            <w:tcW w:w="666"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317" w:hRule="exact"/>
        </w:trPr>
        <w:tc>
          <w:tcPr>
            <w:tcW w:w="1415" w:type="dxa"/>
            <w:tcBorders>
              <w:top w:val="nil" w:sz="6" w:space="0" w:color="auto"/>
              <w:left w:val="single" w:sz="4" w:space="0" w:color="000000"/>
              <w:bottom w:val="single" w:sz="4" w:space="0" w:color="000000"/>
              <w:right w:val="single" w:sz="4" w:space="0" w:color="000000"/>
            </w:tcBorders>
            <w:shd w:val="clear" w:color="auto" w:fill="D2D2D2"/>
          </w:tcPr>
          <w:p>
            <w:pPr/>
          </w:p>
        </w:tc>
        <w:tc>
          <w:tcPr>
            <w:tcW w:w="574"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4" w:type="dxa"/>
            <w:vMerge/>
            <w:tcBorders>
              <w:left w:val="single" w:sz="4" w:space="0" w:color="000000"/>
              <w:bottom w:val="single" w:sz="4" w:space="0" w:color="000000"/>
              <w:right w:val="single" w:sz="4" w:space="0" w:color="000000"/>
            </w:tcBorders>
          </w:tcPr>
          <w:p>
            <w:pPr/>
          </w:p>
        </w:tc>
        <w:tc>
          <w:tcPr>
            <w:tcW w:w="666"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r>
        <w:trPr>
          <w:trHeight w:val="714"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9"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574"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574"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31" w:firstLine="720"/>
              <w:jc w:val="left"/>
              <w:rPr>
                <w:rFonts w:ascii="宋体" w:hAnsi="宋体" w:cs="宋体" w:eastAsia="宋体" w:hint="default"/>
                <w:sz w:val="18"/>
                <w:szCs w:val="18"/>
              </w:rPr>
            </w:pPr>
            <w:r>
              <w:rPr>
                <w:rFonts w:ascii="宋体" w:hAnsi="宋体" w:cs="宋体" w:eastAsia="宋体" w:hint="default"/>
                <w:sz w:val="18"/>
                <w:szCs w:val="18"/>
              </w:rPr>
              <w:t>同一控 制下企业合并</w:t>
            </w:r>
          </w:p>
        </w:tc>
        <w:tc>
          <w:tcPr>
            <w:tcW w:w="574"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74"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317" w:hRule="exact"/>
        </w:trPr>
        <w:tc>
          <w:tcPr>
            <w:tcW w:w="1415" w:type="dxa"/>
            <w:tcBorders>
              <w:top w:val="single" w:sz="4" w:space="0" w:color="000000"/>
              <w:left w:val="single" w:sz="4" w:space="0" w:color="000000"/>
              <w:bottom w:val="nil" w:sz="6" w:space="0" w:color="auto"/>
              <w:right w:val="single" w:sz="4" w:space="0" w:color="000000"/>
            </w:tcBorders>
            <w:shd w:val="clear" w:color="auto" w:fill="D2D2D2"/>
          </w:tcPr>
          <w:p>
            <w:pPr/>
          </w:p>
        </w:tc>
        <w:tc>
          <w:tcPr>
            <w:tcW w:w="574" w:type="dxa"/>
            <w:vMerge w:val="restart"/>
            <w:tcBorders>
              <w:top w:val="single" w:sz="4" w:space="0" w:color="000000"/>
              <w:left w:val="single" w:sz="9" w:space="0" w:color="D2D2D2"/>
              <w:right w:val="single" w:sz="4" w:space="0" w:color="000000"/>
            </w:tcBorders>
          </w:tcPr>
          <w:p>
            <w:pPr>
              <w:pStyle w:val="TableParagraph"/>
              <w:spacing w:line="240" w:lineRule="auto" w:before="91"/>
              <w:ind w:left="40" w:right="0"/>
              <w:jc w:val="left"/>
              <w:rPr>
                <w:rFonts w:ascii="Times New Roman" w:hAnsi="Times New Roman" w:cs="Times New Roman" w:eastAsia="Times New Roman" w:hint="default"/>
                <w:sz w:val="18"/>
                <w:szCs w:val="18"/>
              </w:rPr>
            </w:pPr>
            <w:r>
              <w:rPr>
                <w:rFonts w:ascii="Times New Roman"/>
                <w:sz w:val="18"/>
              </w:rPr>
              <w:t>344,39</w:t>
            </w:r>
          </w:p>
          <w:p>
            <w:pPr>
              <w:pStyle w:val="TableParagraph"/>
              <w:spacing w:line="240" w:lineRule="auto" w:before="105"/>
              <w:ind w:left="85" w:right="0"/>
              <w:jc w:val="left"/>
              <w:rPr>
                <w:rFonts w:ascii="Times New Roman" w:hAnsi="Times New Roman" w:cs="Times New Roman" w:eastAsia="Times New Roman" w:hint="default"/>
                <w:sz w:val="18"/>
                <w:szCs w:val="18"/>
              </w:rPr>
            </w:pPr>
            <w:r>
              <w:rPr>
                <w:rFonts w:ascii="Times New Roman"/>
                <w:sz w:val="18"/>
              </w:rPr>
              <w:t>5,344.</w:t>
            </w:r>
          </w:p>
          <w:p>
            <w:pPr>
              <w:pStyle w:val="TableParagraph"/>
              <w:spacing w:line="240" w:lineRule="auto" w:before="106"/>
              <w:ind w:left="355" w:right="0"/>
              <w:jc w:val="left"/>
              <w:rPr>
                <w:rFonts w:ascii="Times New Roman" w:hAnsi="Times New Roman" w:cs="Times New Roman" w:eastAsia="Times New Roman" w:hint="default"/>
                <w:sz w:val="18"/>
                <w:szCs w:val="18"/>
              </w:rPr>
            </w:pPr>
            <w:r>
              <w:rPr>
                <w:rFonts w:ascii="Times New Roman"/>
                <w:sz w:val="18"/>
              </w:rPr>
              <w:t>00</w:t>
            </w: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677,770</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,058.81</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7" w:right="0"/>
              <w:jc w:val="center"/>
              <w:rPr>
                <w:rFonts w:ascii="Times New Roman" w:hAnsi="Times New Roman" w:cs="Times New Roman" w:eastAsia="Times New Roman" w:hint="default"/>
                <w:sz w:val="18"/>
                <w:szCs w:val="18"/>
              </w:rPr>
            </w:pPr>
            <w:r>
              <w:rPr>
                <w:rFonts w:ascii="Times New Roman"/>
                <w:sz w:val="18"/>
              </w:rPr>
              <w:t>1,713,9</w:t>
            </w:r>
          </w:p>
          <w:p>
            <w:pPr>
              <w:pStyle w:val="TableParagraph"/>
              <w:spacing w:line="240" w:lineRule="auto" w:before="106"/>
              <w:ind w:left="203" w:right="0"/>
              <w:jc w:val="center"/>
              <w:rPr>
                <w:rFonts w:ascii="Times New Roman" w:hAnsi="Times New Roman" w:cs="Times New Roman" w:eastAsia="Times New Roman" w:hint="default"/>
                <w:sz w:val="18"/>
                <w:szCs w:val="18"/>
              </w:rPr>
            </w:pPr>
            <w:r>
              <w:rPr>
                <w:rFonts w:ascii="Times New Roman"/>
                <w:sz w:val="18"/>
              </w:rPr>
              <w:t>46.74</w:t>
            </w:r>
          </w:p>
        </w:tc>
        <w:tc>
          <w:tcPr>
            <w:tcW w:w="665" w:type="dxa"/>
            <w:vMerge w:val="restart"/>
            <w:tcBorders>
              <w:top w:val="single" w:sz="4" w:space="0" w:color="000000"/>
              <w:left w:val="single" w:sz="4" w:space="0" w:color="000000"/>
              <w:right w:val="single" w:sz="4" w:space="0" w:color="000000"/>
            </w:tcBorders>
          </w:tcPr>
          <w:p>
            <w:pPr/>
          </w:p>
        </w:tc>
        <w:tc>
          <w:tcPr>
            <w:tcW w:w="664"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44,248,</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834.40</w:t>
            </w:r>
          </w:p>
        </w:tc>
        <w:tc>
          <w:tcPr>
            <w:tcW w:w="666"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381,487</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,196.57</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46,173,</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889.41</w:t>
            </w: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1,495,7</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89,269.</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93</w:t>
            </w:r>
          </w:p>
        </w:tc>
      </w:tr>
      <w:tr>
        <w:trPr>
          <w:trHeight w:val="392" w:hRule="exact"/>
        </w:trPr>
        <w:tc>
          <w:tcPr>
            <w:tcW w:w="141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8"/>
                <w:sz w:val="18"/>
                <w:szCs w:val="18"/>
              </w:rPr>
              <w:t>二、本年期初余额</w:t>
            </w:r>
          </w:p>
        </w:tc>
        <w:tc>
          <w:tcPr>
            <w:tcW w:w="574"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4" w:type="dxa"/>
            <w:vMerge/>
            <w:tcBorders>
              <w:left w:val="single" w:sz="4" w:space="0" w:color="000000"/>
              <w:right w:val="single" w:sz="4" w:space="0" w:color="000000"/>
            </w:tcBorders>
          </w:tcPr>
          <w:p>
            <w:pPr/>
          </w:p>
        </w:tc>
        <w:tc>
          <w:tcPr>
            <w:tcW w:w="666"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317" w:hRule="exact"/>
        </w:trPr>
        <w:tc>
          <w:tcPr>
            <w:tcW w:w="1415" w:type="dxa"/>
            <w:tcBorders>
              <w:top w:val="nil" w:sz="6" w:space="0" w:color="auto"/>
              <w:left w:val="single" w:sz="4" w:space="0" w:color="000000"/>
              <w:bottom w:val="single" w:sz="4" w:space="0" w:color="000000"/>
              <w:right w:val="single" w:sz="4" w:space="0" w:color="000000"/>
            </w:tcBorders>
            <w:shd w:val="clear" w:color="auto" w:fill="D2D2D2"/>
          </w:tcPr>
          <w:p>
            <w:pPr/>
          </w:p>
        </w:tc>
        <w:tc>
          <w:tcPr>
            <w:tcW w:w="574"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4" w:type="dxa"/>
            <w:vMerge/>
            <w:tcBorders>
              <w:left w:val="single" w:sz="4" w:space="0" w:color="000000"/>
              <w:bottom w:val="single" w:sz="4" w:space="0" w:color="000000"/>
              <w:right w:val="single" w:sz="4" w:space="0" w:color="000000"/>
            </w:tcBorders>
          </w:tcPr>
          <w:p>
            <w:pPr/>
          </w:p>
        </w:tc>
        <w:tc>
          <w:tcPr>
            <w:tcW w:w="666"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r>
        <w:trPr>
          <w:trHeight w:val="1026"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1" w:right="9"/>
              <w:jc w:val="both"/>
              <w:rPr>
                <w:rFonts w:ascii="宋体" w:hAnsi="宋体" w:cs="宋体" w:eastAsia="宋体" w:hint="default"/>
                <w:sz w:val="18"/>
                <w:szCs w:val="18"/>
              </w:rPr>
            </w:pPr>
            <w:r>
              <w:rPr>
                <w:rFonts w:ascii="宋体" w:hAnsi="宋体" w:cs="宋体" w:eastAsia="宋体" w:hint="default"/>
                <w:spacing w:val="-8"/>
                <w:sz w:val="18"/>
                <w:szCs w:val="18"/>
              </w:rPr>
              <w:t>三、本期增减变动</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5"/>
                <w:sz w:val="18"/>
                <w:szCs w:val="18"/>
              </w:rPr>
              <w:t>金额（减少以</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w:t>
            </w:r>
            <w:r>
              <w:rPr>
                <w:rFonts w:ascii="Times New Roman" w:hAnsi="Times New Roman" w:cs="Times New Roman" w:eastAsia="Times New Roman" w:hint="default"/>
                <w:spacing w:val="-39"/>
                <w:sz w:val="18"/>
                <w:szCs w:val="18"/>
              </w:rPr>
              <w:t> </w:t>
            </w:r>
            <w:r>
              <w:rPr>
                <w:rFonts w:ascii="宋体" w:hAnsi="宋体" w:cs="宋体" w:eastAsia="宋体" w:hint="default"/>
                <w:sz w:val="18"/>
                <w:szCs w:val="18"/>
              </w:rPr>
              <w:t>号填列）</w:t>
            </w:r>
          </w:p>
        </w:tc>
        <w:tc>
          <w:tcPr>
            <w:tcW w:w="574"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6" w:right="0"/>
              <w:jc w:val="left"/>
              <w:rPr>
                <w:rFonts w:ascii="Times New Roman" w:hAnsi="Times New Roman" w:cs="Times New Roman" w:eastAsia="Times New Roman" w:hint="default"/>
                <w:sz w:val="18"/>
                <w:szCs w:val="18"/>
              </w:rPr>
            </w:pPr>
            <w:r>
              <w:rPr>
                <w:rFonts w:ascii="Times New Roman"/>
                <w:sz w:val="18"/>
              </w:rPr>
              <w:t>-982,57</w:t>
            </w:r>
          </w:p>
          <w:p>
            <w:pPr>
              <w:pStyle w:val="TableParagraph"/>
              <w:spacing w:line="240" w:lineRule="auto" w:before="106"/>
              <w:ind w:left="316" w:right="0"/>
              <w:jc w:val="left"/>
              <w:rPr>
                <w:rFonts w:ascii="Times New Roman" w:hAnsi="Times New Roman" w:cs="Times New Roman" w:eastAsia="Times New Roman" w:hint="default"/>
                <w:sz w:val="18"/>
                <w:szCs w:val="18"/>
              </w:rPr>
            </w:pPr>
            <w:r>
              <w:rPr>
                <w:rFonts w:ascii="Times New Roman"/>
                <w:sz w:val="18"/>
              </w:rPr>
              <w:t>3.96</w:t>
            </w: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19,579,</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721.80</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134,150</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,034.54</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7" w:right="0"/>
              <w:jc w:val="center"/>
              <w:rPr>
                <w:rFonts w:ascii="Times New Roman" w:hAnsi="Times New Roman" w:cs="Times New Roman" w:eastAsia="Times New Roman" w:hint="default"/>
                <w:sz w:val="18"/>
                <w:szCs w:val="18"/>
              </w:rPr>
            </w:pPr>
            <w:r>
              <w:rPr>
                <w:rFonts w:ascii="Times New Roman"/>
                <w:sz w:val="18"/>
              </w:rPr>
              <w:t>5,154,8</w:t>
            </w:r>
          </w:p>
          <w:p>
            <w:pPr>
              <w:pStyle w:val="TableParagraph"/>
              <w:spacing w:line="240" w:lineRule="auto" w:before="106"/>
              <w:ind w:left="203" w:right="0"/>
              <w:jc w:val="center"/>
              <w:rPr>
                <w:rFonts w:ascii="Times New Roman" w:hAnsi="Times New Roman" w:cs="Times New Roman" w:eastAsia="Times New Roman" w:hint="default"/>
                <w:sz w:val="18"/>
                <w:szCs w:val="18"/>
              </w:rPr>
            </w:pPr>
            <w:r>
              <w:rPr>
                <w:rFonts w:ascii="Times New Roman"/>
                <w:sz w:val="18"/>
              </w:rPr>
              <w:t>59.97</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157,902</w:t>
            </w:r>
          </w:p>
          <w:p>
            <w:pPr>
              <w:pStyle w:val="TableParagraph"/>
              <w:spacing w:line="240" w:lineRule="auto" w:before="106"/>
              <w:ind w:left="85" w:right="0"/>
              <w:jc w:val="left"/>
              <w:rPr>
                <w:rFonts w:ascii="Times New Roman" w:hAnsi="Times New Roman" w:cs="Times New Roman" w:eastAsia="Times New Roman" w:hint="default"/>
                <w:sz w:val="18"/>
                <w:szCs w:val="18"/>
              </w:rPr>
            </w:pPr>
            <w:r>
              <w:rPr>
                <w:rFonts w:ascii="Times New Roman"/>
                <w:sz w:val="18"/>
              </w:rPr>
              <w:t>,042.35</w:t>
            </w:r>
          </w:p>
        </w:tc>
      </w:tr>
      <w:tr>
        <w:trPr>
          <w:trHeight w:val="714"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9"/>
              <w:jc w:val="left"/>
              <w:rPr>
                <w:rFonts w:ascii="宋体" w:hAnsi="宋体" w:cs="宋体" w:eastAsia="宋体" w:hint="default"/>
                <w:sz w:val="18"/>
                <w:szCs w:val="18"/>
              </w:rPr>
            </w:pPr>
            <w:r>
              <w:rPr>
                <w:rFonts w:ascii="宋体" w:hAnsi="宋体" w:cs="宋体" w:eastAsia="宋体" w:hint="default"/>
                <w:spacing w:val="-8"/>
                <w:sz w:val="18"/>
                <w:szCs w:val="18"/>
              </w:rPr>
              <w:t>（一）综合收益总</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额</w:t>
            </w:r>
          </w:p>
        </w:tc>
        <w:tc>
          <w:tcPr>
            <w:tcW w:w="574"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6" w:right="0"/>
              <w:jc w:val="left"/>
              <w:rPr>
                <w:rFonts w:ascii="Times New Roman" w:hAnsi="Times New Roman" w:cs="Times New Roman" w:eastAsia="Times New Roman" w:hint="default"/>
                <w:sz w:val="18"/>
                <w:szCs w:val="18"/>
              </w:rPr>
            </w:pPr>
            <w:r>
              <w:rPr>
                <w:rFonts w:ascii="Times New Roman"/>
                <w:sz w:val="18"/>
              </w:rPr>
              <w:t>-982,57</w:t>
            </w:r>
          </w:p>
          <w:p>
            <w:pPr>
              <w:pStyle w:val="TableParagraph"/>
              <w:spacing w:line="240" w:lineRule="auto" w:before="106"/>
              <w:ind w:left="316" w:right="0"/>
              <w:jc w:val="left"/>
              <w:rPr>
                <w:rFonts w:ascii="Times New Roman" w:hAnsi="Times New Roman" w:cs="Times New Roman" w:eastAsia="Times New Roman" w:hint="default"/>
                <w:sz w:val="18"/>
                <w:szCs w:val="18"/>
              </w:rPr>
            </w:pPr>
            <w:r>
              <w:rPr>
                <w:rFonts w:ascii="Times New Roman"/>
                <w:sz w:val="18"/>
              </w:rPr>
              <w:t>3.96</w:t>
            </w: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6" w:right="0"/>
              <w:jc w:val="left"/>
              <w:rPr>
                <w:rFonts w:ascii="Times New Roman" w:hAnsi="Times New Roman" w:cs="Times New Roman" w:eastAsia="Times New Roman" w:hint="default"/>
                <w:sz w:val="18"/>
                <w:szCs w:val="18"/>
              </w:rPr>
            </w:pPr>
            <w:r>
              <w:rPr>
                <w:rFonts w:ascii="Times New Roman"/>
                <w:sz w:val="18"/>
              </w:rPr>
              <w:t>188,169</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,290.74</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1" w:right="0"/>
              <w:jc w:val="left"/>
              <w:rPr>
                <w:rFonts w:ascii="Times New Roman" w:hAnsi="Times New Roman" w:cs="Times New Roman" w:eastAsia="Times New Roman" w:hint="default"/>
                <w:sz w:val="18"/>
                <w:szCs w:val="18"/>
              </w:rPr>
            </w:pPr>
            <w:r>
              <w:rPr>
                <w:rFonts w:ascii="Times New Roman"/>
                <w:sz w:val="18"/>
              </w:rPr>
              <w:t>10,816,</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934.55</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0" w:right="0"/>
              <w:jc w:val="left"/>
              <w:rPr>
                <w:rFonts w:ascii="Times New Roman" w:hAnsi="Times New Roman" w:cs="Times New Roman" w:eastAsia="Times New Roman" w:hint="default"/>
                <w:sz w:val="18"/>
                <w:szCs w:val="18"/>
              </w:rPr>
            </w:pPr>
            <w:r>
              <w:rPr>
                <w:rFonts w:ascii="Times New Roman"/>
                <w:sz w:val="18"/>
              </w:rPr>
              <w:t>198,003</w:t>
            </w:r>
          </w:p>
          <w:p>
            <w:pPr>
              <w:pStyle w:val="TableParagraph"/>
              <w:spacing w:line="240" w:lineRule="auto" w:before="106"/>
              <w:ind w:left="85" w:right="0"/>
              <w:jc w:val="left"/>
              <w:rPr>
                <w:rFonts w:ascii="Times New Roman" w:hAnsi="Times New Roman" w:cs="Times New Roman" w:eastAsia="Times New Roman" w:hint="default"/>
                <w:sz w:val="18"/>
                <w:szCs w:val="18"/>
              </w:rPr>
            </w:pPr>
            <w:r>
              <w:rPr>
                <w:rFonts w:ascii="Times New Roman"/>
                <w:sz w:val="18"/>
              </w:rPr>
              <w:t>,651.33</w:t>
            </w:r>
          </w:p>
        </w:tc>
      </w:tr>
      <w:tr>
        <w:trPr>
          <w:trHeight w:val="714"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9"/>
              <w:jc w:val="left"/>
              <w:rPr>
                <w:rFonts w:ascii="宋体" w:hAnsi="宋体" w:cs="宋体" w:eastAsia="宋体" w:hint="default"/>
                <w:sz w:val="18"/>
                <w:szCs w:val="18"/>
              </w:rPr>
            </w:pPr>
            <w:r>
              <w:rPr>
                <w:rFonts w:ascii="宋体" w:hAnsi="宋体" w:cs="宋体" w:eastAsia="宋体" w:hint="default"/>
                <w:spacing w:val="-8"/>
                <w:sz w:val="18"/>
                <w:szCs w:val="18"/>
              </w:rPr>
              <w:t>（二）所有者投入</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和减少资本</w:t>
            </w:r>
          </w:p>
        </w:tc>
        <w:tc>
          <w:tcPr>
            <w:tcW w:w="574"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6" w:right="0"/>
              <w:jc w:val="left"/>
              <w:rPr>
                <w:rFonts w:ascii="Times New Roman" w:hAnsi="Times New Roman" w:cs="Times New Roman" w:eastAsia="Times New Roman" w:hint="default"/>
                <w:sz w:val="18"/>
                <w:szCs w:val="18"/>
              </w:rPr>
            </w:pPr>
            <w:r>
              <w:rPr>
                <w:rFonts w:ascii="Times New Roman"/>
                <w:sz w:val="18"/>
              </w:rPr>
              <w:t>-348,78</w:t>
            </w:r>
          </w:p>
          <w:p>
            <w:pPr>
              <w:pStyle w:val="TableParagraph"/>
              <w:spacing w:line="240" w:lineRule="auto" w:before="106"/>
              <w:ind w:left="316" w:right="0"/>
              <w:jc w:val="left"/>
              <w:rPr>
                <w:rFonts w:ascii="Times New Roman" w:hAnsi="Times New Roman" w:cs="Times New Roman" w:eastAsia="Times New Roman" w:hint="default"/>
                <w:sz w:val="18"/>
                <w:szCs w:val="18"/>
              </w:rPr>
            </w:pPr>
            <w:r>
              <w:rPr>
                <w:rFonts w:ascii="Times New Roman"/>
                <w:sz w:val="18"/>
              </w:rPr>
              <w:t>2.15</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0" w:right="0"/>
              <w:jc w:val="left"/>
              <w:rPr>
                <w:rFonts w:ascii="Times New Roman" w:hAnsi="Times New Roman" w:cs="Times New Roman" w:eastAsia="Times New Roman" w:hint="default"/>
                <w:sz w:val="18"/>
                <w:szCs w:val="18"/>
              </w:rPr>
            </w:pPr>
            <w:r>
              <w:rPr>
                <w:rFonts w:ascii="Times New Roman"/>
                <w:sz w:val="18"/>
              </w:rPr>
              <w:t>-348,78</w:t>
            </w:r>
          </w:p>
          <w:p>
            <w:pPr>
              <w:pStyle w:val="TableParagraph"/>
              <w:spacing w:line="240" w:lineRule="auto" w:before="106"/>
              <w:ind w:left="310" w:right="0"/>
              <w:jc w:val="left"/>
              <w:rPr>
                <w:rFonts w:ascii="Times New Roman" w:hAnsi="Times New Roman" w:cs="Times New Roman" w:eastAsia="Times New Roman" w:hint="default"/>
                <w:sz w:val="18"/>
                <w:szCs w:val="18"/>
              </w:rPr>
            </w:pPr>
            <w:r>
              <w:rPr>
                <w:rFonts w:ascii="Times New Roman"/>
                <w:sz w:val="18"/>
              </w:rPr>
              <w:t>2.15</w:t>
            </w:r>
          </w:p>
        </w:tc>
      </w:tr>
      <w:tr>
        <w:trPr>
          <w:trHeight w:val="714"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42"/>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574"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42"/>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574"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1" w:right="42"/>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574"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415" w:type="dxa"/>
            <w:tcBorders>
              <w:top w:val="single" w:sz="4" w:space="0" w:color="000000"/>
              <w:left w:val="single" w:sz="4" w:space="0" w:color="000000"/>
              <w:bottom w:val="nil" w:sz="6" w:space="0" w:color="auto"/>
              <w:right w:val="single" w:sz="4" w:space="0" w:color="000000"/>
            </w:tcBorders>
            <w:shd w:val="clear" w:color="auto" w:fill="D2D2D2"/>
          </w:tcPr>
          <w:p>
            <w:pPr/>
          </w:p>
        </w:tc>
        <w:tc>
          <w:tcPr>
            <w:tcW w:w="574" w:type="dxa"/>
            <w:vMerge w:val="restart"/>
            <w:tcBorders>
              <w:top w:val="single" w:sz="4" w:space="0" w:color="000000"/>
              <w:left w:val="single" w:sz="9" w:space="0" w:color="D2D2D2"/>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4" w:type="dxa"/>
            <w:vMerge w:val="restart"/>
            <w:tcBorders>
              <w:top w:val="single" w:sz="4" w:space="0" w:color="000000"/>
              <w:left w:val="single" w:sz="4" w:space="0" w:color="000000"/>
              <w:right w:val="single" w:sz="4" w:space="0" w:color="000000"/>
            </w:tcBorders>
          </w:tcPr>
          <w:p>
            <w:pPr/>
          </w:p>
        </w:tc>
        <w:tc>
          <w:tcPr>
            <w:tcW w:w="666"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91"/>
              <w:ind w:left="76" w:right="0"/>
              <w:jc w:val="left"/>
              <w:rPr>
                <w:rFonts w:ascii="Times New Roman" w:hAnsi="Times New Roman" w:cs="Times New Roman" w:eastAsia="Times New Roman" w:hint="default"/>
                <w:sz w:val="18"/>
                <w:szCs w:val="18"/>
              </w:rPr>
            </w:pPr>
            <w:r>
              <w:rPr>
                <w:rFonts w:ascii="Times New Roman"/>
                <w:sz w:val="18"/>
              </w:rPr>
              <w:t>-348,78</w:t>
            </w:r>
          </w:p>
          <w:p>
            <w:pPr>
              <w:pStyle w:val="TableParagraph"/>
              <w:spacing w:line="240" w:lineRule="auto" w:before="106"/>
              <w:ind w:left="316" w:right="0"/>
              <w:jc w:val="left"/>
              <w:rPr>
                <w:rFonts w:ascii="Times New Roman" w:hAnsi="Times New Roman" w:cs="Times New Roman" w:eastAsia="Times New Roman" w:hint="default"/>
                <w:sz w:val="18"/>
                <w:szCs w:val="18"/>
              </w:rPr>
            </w:pPr>
            <w:r>
              <w:rPr>
                <w:rFonts w:ascii="Times New Roman"/>
                <w:sz w:val="18"/>
              </w:rPr>
              <w:t>2.15</w:t>
            </w: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91"/>
              <w:ind w:left="70" w:right="0"/>
              <w:jc w:val="left"/>
              <w:rPr>
                <w:rFonts w:ascii="Times New Roman" w:hAnsi="Times New Roman" w:cs="Times New Roman" w:eastAsia="Times New Roman" w:hint="default"/>
                <w:sz w:val="18"/>
                <w:szCs w:val="18"/>
              </w:rPr>
            </w:pPr>
            <w:r>
              <w:rPr>
                <w:rFonts w:ascii="Times New Roman"/>
                <w:sz w:val="18"/>
              </w:rPr>
              <w:t>-348,78</w:t>
            </w:r>
          </w:p>
          <w:p>
            <w:pPr>
              <w:pStyle w:val="TableParagraph"/>
              <w:spacing w:line="240" w:lineRule="auto" w:before="106"/>
              <w:ind w:left="310" w:right="0"/>
              <w:jc w:val="left"/>
              <w:rPr>
                <w:rFonts w:ascii="Times New Roman" w:hAnsi="Times New Roman" w:cs="Times New Roman" w:eastAsia="Times New Roman" w:hint="default"/>
                <w:sz w:val="18"/>
                <w:szCs w:val="18"/>
              </w:rPr>
            </w:pPr>
            <w:r>
              <w:rPr>
                <w:rFonts w:ascii="Times New Roman"/>
                <w:sz w:val="18"/>
              </w:rPr>
              <w:t>2.15</w:t>
            </w:r>
          </w:p>
        </w:tc>
      </w:tr>
      <w:tr>
        <w:trPr>
          <w:trHeight w:val="392" w:hRule="exact"/>
        </w:trPr>
        <w:tc>
          <w:tcPr>
            <w:tcW w:w="141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74"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4" w:type="dxa"/>
            <w:vMerge/>
            <w:tcBorders>
              <w:left w:val="single" w:sz="4" w:space="0" w:color="000000"/>
              <w:right w:val="single" w:sz="4" w:space="0" w:color="000000"/>
            </w:tcBorders>
          </w:tcPr>
          <w:p>
            <w:pPr/>
          </w:p>
        </w:tc>
        <w:tc>
          <w:tcPr>
            <w:tcW w:w="666"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161" w:hRule="exact"/>
        </w:trPr>
        <w:tc>
          <w:tcPr>
            <w:tcW w:w="1415" w:type="dxa"/>
            <w:tcBorders>
              <w:top w:val="nil" w:sz="6" w:space="0" w:color="auto"/>
              <w:left w:val="single" w:sz="4" w:space="0" w:color="000000"/>
              <w:bottom w:val="single" w:sz="4" w:space="0" w:color="000000"/>
              <w:right w:val="single" w:sz="4" w:space="0" w:color="000000"/>
            </w:tcBorders>
            <w:shd w:val="clear" w:color="auto" w:fill="D2D2D2"/>
          </w:tcPr>
          <w:p>
            <w:pPr/>
          </w:p>
        </w:tc>
        <w:tc>
          <w:tcPr>
            <w:tcW w:w="574"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4" w:type="dxa"/>
            <w:vMerge/>
            <w:tcBorders>
              <w:left w:val="single" w:sz="4" w:space="0" w:color="000000"/>
              <w:bottom w:val="single" w:sz="4" w:space="0" w:color="000000"/>
              <w:right w:val="single" w:sz="4" w:space="0" w:color="000000"/>
            </w:tcBorders>
          </w:tcPr>
          <w:p>
            <w:pPr/>
          </w:p>
        </w:tc>
        <w:tc>
          <w:tcPr>
            <w:tcW w:w="666"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r>
        <w:trPr>
          <w:trHeight w:val="161" w:hRule="exact"/>
        </w:trPr>
        <w:tc>
          <w:tcPr>
            <w:tcW w:w="1415" w:type="dxa"/>
            <w:tcBorders>
              <w:top w:val="single" w:sz="4" w:space="0" w:color="000000"/>
              <w:left w:val="single" w:sz="4" w:space="0" w:color="000000"/>
              <w:bottom w:val="nil" w:sz="6" w:space="0" w:color="auto"/>
              <w:right w:val="single" w:sz="4" w:space="0" w:color="000000"/>
            </w:tcBorders>
            <w:shd w:val="clear" w:color="auto" w:fill="D2D2D2"/>
          </w:tcPr>
          <w:p>
            <w:pPr/>
          </w:p>
        </w:tc>
        <w:tc>
          <w:tcPr>
            <w:tcW w:w="574" w:type="dxa"/>
            <w:vMerge w:val="restart"/>
            <w:tcBorders>
              <w:top w:val="single" w:sz="4" w:space="0" w:color="000000"/>
              <w:left w:val="single" w:sz="9" w:space="0" w:color="D2D2D2"/>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4" w:type="dxa"/>
            <w:vMerge w:val="restart"/>
            <w:tcBorders>
              <w:top w:val="single" w:sz="4" w:space="0" w:color="000000"/>
              <w:left w:val="single" w:sz="4" w:space="0" w:color="000000"/>
              <w:right w:val="single" w:sz="4" w:space="0" w:color="000000"/>
            </w:tcBorders>
          </w:tcPr>
          <w:p>
            <w:pPr>
              <w:pStyle w:val="TableParagraph"/>
              <w:spacing w:line="240" w:lineRule="auto" w:before="91"/>
              <w:ind w:left="91" w:right="0"/>
              <w:jc w:val="left"/>
              <w:rPr>
                <w:rFonts w:ascii="Times New Roman" w:hAnsi="Times New Roman" w:cs="Times New Roman" w:eastAsia="Times New Roman" w:hint="default"/>
                <w:sz w:val="18"/>
                <w:szCs w:val="18"/>
              </w:rPr>
            </w:pPr>
            <w:r>
              <w:rPr>
                <w:rFonts w:ascii="Times New Roman"/>
                <w:sz w:val="18"/>
              </w:rPr>
              <w:t>19,579,</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721.80</w:t>
            </w:r>
          </w:p>
        </w:tc>
        <w:tc>
          <w:tcPr>
            <w:tcW w:w="666"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-54,019,</w:t>
            </w:r>
          </w:p>
          <w:p>
            <w:pPr>
              <w:pStyle w:val="TableParagraph"/>
              <w:spacing w:line="240" w:lineRule="auto" w:before="106"/>
              <w:ind w:left="113" w:right="0"/>
              <w:jc w:val="center"/>
              <w:rPr>
                <w:rFonts w:ascii="Times New Roman" w:hAnsi="Times New Roman" w:cs="Times New Roman" w:eastAsia="Times New Roman" w:hint="default"/>
                <w:sz w:val="18"/>
                <w:szCs w:val="18"/>
              </w:rPr>
            </w:pPr>
            <w:r>
              <w:rPr>
                <w:rFonts w:ascii="Times New Roman"/>
                <w:sz w:val="18"/>
              </w:rPr>
              <w:t>256.20</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-5,313,2</w:t>
            </w:r>
          </w:p>
          <w:p>
            <w:pPr>
              <w:pStyle w:val="TableParagraph"/>
              <w:spacing w:line="240" w:lineRule="auto" w:before="106"/>
              <w:ind w:left="203" w:right="0"/>
              <w:jc w:val="center"/>
              <w:rPr>
                <w:rFonts w:ascii="Times New Roman" w:hAnsi="Times New Roman" w:cs="Times New Roman" w:eastAsia="Times New Roman" w:hint="default"/>
                <w:sz w:val="18"/>
                <w:szCs w:val="18"/>
              </w:rPr>
            </w:pPr>
            <w:r>
              <w:rPr>
                <w:rFonts w:ascii="Times New Roman"/>
                <w:sz w:val="18"/>
              </w:rPr>
              <w:t>92.43</w:t>
            </w: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-39,752,</w:t>
            </w:r>
          </w:p>
          <w:p>
            <w:pPr>
              <w:pStyle w:val="TableParagraph"/>
              <w:spacing w:line="240" w:lineRule="auto" w:before="106"/>
              <w:ind w:left="107" w:right="0"/>
              <w:jc w:val="center"/>
              <w:rPr>
                <w:rFonts w:ascii="Times New Roman" w:hAnsi="Times New Roman" w:cs="Times New Roman" w:eastAsia="Times New Roman" w:hint="default"/>
                <w:sz w:val="18"/>
                <w:szCs w:val="18"/>
              </w:rPr>
            </w:pPr>
            <w:r>
              <w:rPr>
                <w:rFonts w:ascii="Times New Roman"/>
                <w:sz w:val="18"/>
              </w:rPr>
              <w:t>826.83</w:t>
            </w:r>
          </w:p>
        </w:tc>
      </w:tr>
      <w:tr>
        <w:trPr>
          <w:trHeight w:val="393" w:hRule="exact"/>
        </w:trPr>
        <w:tc>
          <w:tcPr>
            <w:tcW w:w="141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574"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4" w:type="dxa"/>
            <w:vMerge/>
            <w:tcBorders>
              <w:left w:val="single" w:sz="4" w:space="0" w:color="000000"/>
              <w:right w:val="single" w:sz="4" w:space="0" w:color="000000"/>
            </w:tcBorders>
          </w:tcPr>
          <w:p>
            <w:pPr/>
          </w:p>
        </w:tc>
        <w:tc>
          <w:tcPr>
            <w:tcW w:w="666"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161" w:hRule="exact"/>
        </w:trPr>
        <w:tc>
          <w:tcPr>
            <w:tcW w:w="1415" w:type="dxa"/>
            <w:tcBorders>
              <w:top w:val="nil" w:sz="6" w:space="0" w:color="auto"/>
              <w:left w:val="single" w:sz="4" w:space="0" w:color="000000"/>
              <w:bottom w:val="single" w:sz="4" w:space="0" w:color="000000"/>
              <w:right w:val="single" w:sz="4" w:space="0" w:color="000000"/>
            </w:tcBorders>
            <w:shd w:val="clear" w:color="auto" w:fill="D2D2D2"/>
          </w:tcPr>
          <w:p>
            <w:pPr/>
          </w:p>
        </w:tc>
        <w:tc>
          <w:tcPr>
            <w:tcW w:w="574"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4" w:type="dxa"/>
            <w:vMerge/>
            <w:tcBorders>
              <w:left w:val="single" w:sz="4" w:space="0" w:color="000000"/>
              <w:bottom w:val="single" w:sz="4" w:space="0" w:color="000000"/>
              <w:right w:val="single" w:sz="4" w:space="0" w:color="000000"/>
            </w:tcBorders>
          </w:tcPr>
          <w:p>
            <w:pPr/>
          </w:p>
        </w:tc>
        <w:tc>
          <w:tcPr>
            <w:tcW w:w="666"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r>
        <w:trPr>
          <w:trHeight w:val="161" w:hRule="exact"/>
        </w:trPr>
        <w:tc>
          <w:tcPr>
            <w:tcW w:w="1415" w:type="dxa"/>
            <w:tcBorders>
              <w:top w:val="single" w:sz="4" w:space="0" w:color="000000"/>
              <w:left w:val="single" w:sz="4" w:space="0" w:color="000000"/>
              <w:bottom w:val="nil" w:sz="6" w:space="0" w:color="auto"/>
              <w:right w:val="single" w:sz="4" w:space="0" w:color="000000"/>
            </w:tcBorders>
            <w:shd w:val="clear" w:color="auto" w:fill="D2D2D2"/>
          </w:tcPr>
          <w:p>
            <w:pPr/>
          </w:p>
        </w:tc>
        <w:tc>
          <w:tcPr>
            <w:tcW w:w="574" w:type="dxa"/>
            <w:vMerge w:val="restart"/>
            <w:tcBorders>
              <w:top w:val="single" w:sz="4" w:space="0" w:color="000000"/>
              <w:left w:val="single" w:sz="9" w:space="0" w:color="D2D2D2"/>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4" w:type="dxa"/>
            <w:vMerge w:val="restart"/>
            <w:tcBorders>
              <w:top w:val="single" w:sz="4" w:space="0" w:color="000000"/>
              <w:left w:val="single" w:sz="4" w:space="0" w:color="000000"/>
              <w:right w:val="single" w:sz="4" w:space="0" w:color="000000"/>
            </w:tcBorders>
          </w:tcPr>
          <w:p>
            <w:pPr>
              <w:pStyle w:val="TableParagraph"/>
              <w:spacing w:line="240" w:lineRule="auto" w:before="91"/>
              <w:ind w:left="91" w:right="0"/>
              <w:jc w:val="left"/>
              <w:rPr>
                <w:rFonts w:ascii="Times New Roman" w:hAnsi="Times New Roman" w:cs="Times New Roman" w:eastAsia="Times New Roman" w:hint="default"/>
                <w:sz w:val="18"/>
                <w:szCs w:val="18"/>
              </w:rPr>
            </w:pPr>
            <w:r>
              <w:rPr>
                <w:rFonts w:ascii="Times New Roman"/>
                <w:sz w:val="18"/>
              </w:rPr>
              <w:t>19,579,</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721.80</w:t>
            </w:r>
          </w:p>
        </w:tc>
        <w:tc>
          <w:tcPr>
            <w:tcW w:w="666"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-19,579,</w:t>
            </w:r>
          </w:p>
          <w:p>
            <w:pPr>
              <w:pStyle w:val="TableParagraph"/>
              <w:spacing w:line="240" w:lineRule="auto" w:before="106"/>
              <w:ind w:left="113" w:right="0"/>
              <w:jc w:val="center"/>
              <w:rPr>
                <w:rFonts w:ascii="Times New Roman" w:hAnsi="Times New Roman" w:cs="Times New Roman" w:eastAsia="Times New Roman" w:hint="default"/>
                <w:sz w:val="18"/>
                <w:szCs w:val="18"/>
              </w:rPr>
            </w:pPr>
            <w:r>
              <w:rPr>
                <w:rFonts w:ascii="Times New Roman"/>
                <w:sz w:val="18"/>
              </w:rPr>
              <w:t>721.80</w:t>
            </w:r>
          </w:p>
        </w:tc>
        <w:tc>
          <w:tcPr>
            <w:tcW w:w="665" w:type="dxa"/>
            <w:vMerge w:val="restart"/>
            <w:tcBorders>
              <w:top w:val="single" w:sz="4" w:space="0" w:color="000000"/>
              <w:left w:val="single" w:sz="4" w:space="0" w:color="000000"/>
              <w:right w:val="single" w:sz="4" w:space="0" w:color="000000"/>
            </w:tcBorders>
          </w:tcPr>
          <w:p>
            <w:pPr/>
          </w:p>
        </w:tc>
        <w:tc>
          <w:tcPr>
            <w:tcW w:w="659" w:type="dxa"/>
            <w:vMerge w:val="restart"/>
            <w:tcBorders>
              <w:top w:val="single" w:sz="4" w:space="0" w:color="000000"/>
              <w:left w:val="single" w:sz="4" w:space="0" w:color="000000"/>
              <w:right w:val="single" w:sz="4" w:space="0" w:color="000000"/>
            </w:tcBorders>
          </w:tcPr>
          <w:p>
            <w:pPr/>
          </w:p>
        </w:tc>
      </w:tr>
      <w:tr>
        <w:trPr>
          <w:trHeight w:val="392" w:hRule="exact"/>
        </w:trPr>
        <w:tc>
          <w:tcPr>
            <w:tcW w:w="141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574"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4" w:type="dxa"/>
            <w:vMerge/>
            <w:tcBorders>
              <w:left w:val="single" w:sz="4" w:space="0" w:color="000000"/>
              <w:right w:val="single" w:sz="4" w:space="0" w:color="000000"/>
            </w:tcBorders>
          </w:tcPr>
          <w:p>
            <w:pPr/>
          </w:p>
        </w:tc>
        <w:tc>
          <w:tcPr>
            <w:tcW w:w="666"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161" w:hRule="exact"/>
        </w:trPr>
        <w:tc>
          <w:tcPr>
            <w:tcW w:w="1415" w:type="dxa"/>
            <w:tcBorders>
              <w:top w:val="nil" w:sz="6" w:space="0" w:color="auto"/>
              <w:left w:val="single" w:sz="4" w:space="0" w:color="000000"/>
              <w:bottom w:val="single" w:sz="4" w:space="0" w:color="000000"/>
              <w:right w:val="single" w:sz="4" w:space="0" w:color="000000"/>
            </w:tcBorders>
            <w:shd w:val="clear" w:color="auto" w:fill="D2D2D2"/>
          </w:tcPr>
          <w:p>
            <w:pPr/>
          </w:p>
        </w:tc>
        <w:tc>
          <w:tcPr>
            <w:tcW w:w="574"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4" w:type="dxa"/>
            <w:vMerge/>
            <w:tcBorders>
              <w:left w:val="single" w:sz="4" w:space="0" w:color="000000"/>
              <w:bottom w:val="single" w:sz="4" w:space="0" w:color="000000"/>
              <w:right w:val="single" w:sz="4" w:space="0" w:color="000000"/>
            </w:tcBorders>
          </w:tcPr>
          <w:p>
            <w:pPr/>
          </w:p>
        </w:tc>
        <w:tc>
          <w:tcPr>
            <w:tcW w:w="666"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1438"/>
        <w:gridCol w:w="563"/>
        <w:gridCol w:w="530"/>
        <w:gridCol w:w="532"/>
        <w:gridCol w:w="530"/>
        <w:gridCol w:w="665"/>
        <w:gridCol w:w="665"/>
        <w:gridCol w:w="665"/>
        <w:gridCol w:w="665"/>
        <w:gridCol w:w="664"/>
        <w:gridCol w:w="666"/>
        <w:gridCol w:w="665"/>
        <w:gridCol w:w="665"/>
        <w:gridCol w:w="659"/>
      </w:tblGrid>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 准备</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 股东）的分配</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-34,439,</w:t>
            </w:r>
          </w:p>
          <w:p>
            <w:pPr>
              <w:pStyle w:val="TableParagraph"/>
              <w:spacing w:line="240" w:lineRule="auto" w:before="106"/>
              <w:ind w:left="113" w:right="0"/>
              <w:jc w:val="center"/>
              <w:rPr>
                <w:rFonts w:ascii="Times New Roman" w:hAnsi="Times New Roman" w:cs="Times New Roman" w:eastAsia="Times New Roman" w:hint="default"/>
                <w:sz w:val="18"/>
                <w:szCs w:val="18"/>
              </w:rPr>
            </w:pPr>
            <w:r>
              <w:rPr>
                <w:rFonts w:ascii="Times New Roman"/>
                <w:sz w:val="18"/>
              </w:rPr>
              <w:t>534.40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-5,313,2</w:t>
            </w:r>
          </w:p>
          <w:p>
            <w:pPr>
              <w:pStyle w:val="TableParagraph"/>
              <w:spacing w:line="240" w:lineRule="auto" w:before="106"/>
              <w:ind w:left="203" w:right="0"/>
              <w:jc w:val="center"/>
              <w:rPr>
                <w:rFonts w:ascii="Times New Roman" w:hAnsi="Times New Roman" w:cs="Times New Roman" w:eastAsia="Times New Roman" w:hint="default"/>
                <w:sz w:val="18"/>
                <w:szCs w:val="18"/>
              </w:rPr>
            </w:pPr>
            <w:r>
              <w:rPr>
                <w:rFonts w:ascii="Times New Roman"/>
                <w:sz w:val="18"/>
              </w:rPr>
              <w:t>92.43</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-39,752,</w:t>
            </w:r>
          </w:p>
          <w:p>
            <w:pPr>
              <w:pStyle w:val="TableParagraph"/>
              <w:spacing w:line="240" w:lineRule="auto" w:before="106"/>
              <w:ind w:left="107" w:right="0"/>
              <w:jc w:val="center"/>
              <w:rPr>
                <w:rFonts w:ascii="Times New Roman" w:hAnsi="Times New Roman" w:cs="Times New Roman" w:eastAsia="Times New Roman" w:hint="default"/>
                <w:sz w:val="18"/>
                <w:szCs w:val="18"/>
              </w:rPr>
            </w:pPr>
            <w:r>
              <w:rPr>
                <w:rFonts w:ascii="Times New Roman"/>
                <w:sz w:val="18"/>
              </w:rPr>
              <w:t>826.83</w:t>
            </w: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1"/>
              <w:jc w:val="left"/>
              <w:rPr>
                <w:rFonts w:ascii="宋体" w:hAnsi="宋体" w:cs="宋体" w:eastAsia="宋体" w:hint="default"/>
                <w:sz w:val="18"/>
                <w:szCs w:val="18"/>
              </w:rPr>
            </w:pPr>
            <w:r>
              <w:rPr>
                <w:rFonts w:ascii="宋体" w:hAnsi="宋体" w:cs="宋体" w:eastAsia="宋体" w:hint="default"/>
                <w:spacing w:val="-8"/>
                <w:sz w:val="18"/>
                <w:szCs w:val="18"/>
              </w:rPr>
              <w:t>（四）所有者权益</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内部结转</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pacing w:val="-8"/>
                <w:sz w:val="18"/>
                <w:szCs w:val="18"/>
              </w:rPr>
              <w:t>四、本期期末余额</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344,39</w:t>
            </w:r>
          </w:p>
          <w:p>
            <w:pPr>
              <w:pStyle w:val="TableParagraph"/>
              <w:spacing w:line="240" w:lineRule="auto" w:before="105"/>
              <w:ind w:left="80" w:right="0"/>
              <w:jc w:val="left"/>
              <w:rPr>
                <w:rFonts w:ascii="Times New Roman" w:hAnsi="Times New Roman" w:cs="Times New Roman" w:eastAsia="Times New Roman" w:hint="default"/>
                <w:sz w:val="18"/>
                <w:szCs w:val="18"/>
              </w:rPr>
            </w:pPr>
            <w:r>
              <w:rPr>
                <w:rFonts w:ascii="Times New Roman"/>
                <w:sz w:val="18"/>
              </w:rPr>
              <w:t>5,344.</w:t>
            </w:r>
          </w:p>
          <w:p>
            <w:pPr>
              <w:pStyle w:val="TableParagraph"/>
              <w:spacing w:line="240" w:lineRule="auto" w:before="106"/>
              <w:ind w:left="350"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677,770</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,058.81</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731,372</w:t>
            </w:r>
          </w:p>
          <w:p>
            <w:pPr>
              <w:pStyle w:val="TableParagraph"/>
              <w:spacing w:line="240" w:lineRule="auto" w:before="106"/>
              <w:ind w:left="406" w:right="0"/>
              <w:jc w:val="left"/>
              <w:rPr>
                <w:rFonts w:ascii="Times New Roman" w:hAnsi="Times New Roman" w:cs="Times New Roman" w:eastAsia="Times New Roman" w:hint="default"/>
                <w:sz w:val="18"/>
                <w:szCs w:val="18"/>
              </w:rPr>
            </w:pPr>
            <w:r>
              <w:rPr>
                <w:rFonts w:ascii="Times New Roman"/>
                <w:sz w:val="18"/>
              </w:rPr>
              <w:t>.78</w:t>
            </w: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63,828,</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556.20</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515,637</w:t>
            </w:r>
          </w:p>
          <w:p>
            <w:pPr>
              <w:pStyle w:val="TableParagraph"/>
              <w:spacing w:line="240" w:lineRule="auto" w:before="106"/>
              <w:ind w:left="98" w:right="0"/>
              <w:jc w:val="left"/>
              <w:rPr>
                <w:rFonts w:ascii="Times New Roman" w:hAnsi="Times New Roman" w:cs="Times New Roman" w:eastAsia="Times New Roman" w:hint="default"/>
                <w:sz w:val="18"/>
                <w:szCs w:val="18"/>
              </w:rPr>
            </w:pPr>
            <w:r>
              <w:rPr>
                <w:rFonts w:ascii="Times New Roman"/>
                <w:sz w:val="18"/>
              </w:rPr>
              <w:t>,231.11</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51,328,</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749.38</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1,653,6</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91,312.</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28</w:t>
            </w:r>
          </w:p>
        </w:tc>
      </w:tr>
    </w:tbl>
    <w:p>
      <w:pPr>
        <w:pStyle w:val="BodyText"/>
        <w:spacing w:line="240" w:lineRule="auto" w:before="51"/>
        <w:ind w:left="1134" w:right="0"/>
        <w:jc w:val="left"/>
      </w:pPr>
      <w:r>
        <w:rPr/>
        <w:t>上期金额</w:t>
      </w:r>
    </w:p>
    <w:p>
      <w:pPr>
        <w:pStyle w:val="BodyText"/>
        <w:spacing w:line="240" w:lineRule="auto" w:before="117"/>
        <w:ind w:left="0" w:right="1130"/>
        <w:jc w:val="right"/>
      </w:pPr>
      <w:r>
        <w:rPr/>
        <w:t>单位：元</w:t>
      </w:r>
    </w:p>
    <w:p>
      <w:pPr>
        <w:spacing w:line="240" w:lineRule="auto" w:before="0"/>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1415"/>
        <w:gridCol w:w="574"/>
        <w:gridCol w:w="530"/>
        <w:gridCol w:w="532"/>
        <w:gridCol w:w="530"/>
        <w:gridCol w:w="665"/>
        <w:gridCol w:w="665"/>
        <w:gridCol w:w="665"/>
        <w:gridCol w:w="665"/>
        <w:gridCol w:w="665"/>
        <w:gridCol w:w="665"/>
        <w:gridCol w:w="678"/>
        <w:gridCol w:w="652"/>
        <w:gridCol w:w="659"/>
      </w:tblGrid>
      <w:tr>
        <w:trPr>
          <w:trHeight w:val="402" w:hRule="exact"/>
        </w:trPr>
        <w:tc>
          <w:tcPr>
            <w:tcW w:w="1415" w:type="dxa"/>
            <w:vMerge w:val="restart"/>
            <w:tcBorders>
              <w:top w:val="single" w:sz="4" w:space="0" w:color="000000"/>
              <w:left w:val="single" w:sz="4" w:space="0" w:color="000000"/>
              <w:right w:val="single" w:sz="4" w:space="0" w:color="000000"/>
            </w:tcBorders>
            <w:shd w:val="clear" w:color="auto" w:fill="D2D2D2"/>
          </w:tcPr>
          <w:p>
            <w:pPr/>
          </w:p>
        </w:tc>
        <w:tc>
          <w:tcPr>
            <w:tcW w:w="8144"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251" w:hRule="exact"/>
        </w:trPr>
        <w:tc>
          <w:tcPr>
            <w:tcW w:w="1415" w:type="dxa"/>
            <w:vMerge/>
            <w:tcBorders>
              <w:left w:val="single" w:sz="4" w:space="0" w:color="000000"/>
              <w:right w:val="single" w:sz="4" w:space="0" w:color="000000"/>
            </w:tcBorders>
            <w:shd w:val="clear" w:color="auto" w:fill="D2D2D2"/>
          </w:tcPr>
          <w:p>
            <w:pPr/>
          </w:p>
        </w:tc>
        <w:tc>
          <w:tcPr>
            <w:tcW w:w="6834" w:type="dxa"/>
            <w:gridSpan w:val="11"/>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2"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652" w:type="dxa"/>
            <w:vMerge w:val="restart"/>
            <w:tcBorders>
              <w:top w:val="single" w:sz="4" w:space="0" w:color="000000"/>
              <w:left w:val="single" w:sz="4" w:space="0" w:color="000000"/>
              <w:right w:val="single" w:sz="4" w:space="0" w:color="000000"/>
            </w:tcBorders>
            <w:shd w:val="clear" w:color="auto" w:fill="D2D2D2"/>
          </w:tcPr>
          <w:p>
            <w:pPr/>
          </w:p>
        </w:tc>
        <w:tc>
          <w:tcPr>
            <w:tcW w:w="659"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1" w:hRule="exact"/>
        </w:trPr>
        <w:tc>
          <w:tcPr>
            <w:tcW w:w="1415" w:type="dxa"/>
            <w:vMerge/>
            <w:tcBorders>
              <w:left w:val="single" w:sz="4" w:space="0" w:color="000000"/>
              <w:bottom w:val="nil" w:sz="6" w:space="0" w:color="auto"/>
              <w:right w:val="single" w:sz="4" w:space="0" w:color="000000"/>
            </w:tcBorders>
            <w:shd w:val="clear" w:color="auto" w:fill="D2D2D2"/>
          </w:tcPr>
          <w:p>
            <w:pPr/>
          </w:p>
        </w:tc>
        <w:tc>
          <w:tcPr>
            <w:tcW w:w="6834" w:type="dxa"/>
            <w:gridSpan w:val="11"/>
            <w:vMerge/>
            <w:tcBorders>
              <w:left w:val="single" w:sz="4" w:space="0" w:color="000000"/>
              <w:bottom w:val="single" w:sz="4" w:space="0" w:color="000000"/>
              <w:right w:val="single" w:sz="4" w:space="0" w:color="000000"/>
            </w:tcBorders>
            <w:shd w:val="clear" w:color="auto" w:fill="D2D2D2"/>
          </w:tcPr>
          <w:p>
            <w:pPr/>
          </w:p>
        </w:tc>
        <w:tc>
          <w:tcPr>
            <w:tcW w:w="652" w:type="dxa"/>
            <w:vMerge/>
            <w:tcBorders>
              <w:left w:val="single" w:sz="4" w:space="0" w:color="000000"/>
              <w:bottom w:val="nil" w:sz="6" w:space="0" w:color="auto"/>
              <w:right w:val="single" w:sz="4" w:space="0" w:color="000000"/>
            </w:tcBorders>
            <w:shd w:val="clear" w:color="auto" w:fill="D2D2D2"/>
          </w:tcPr>
          <w:p>
            <w:pPr/>
          </w:p>
        </w:tc>
        <w:tc>
          <w:tcPr>
            <w:tcW w:w="659"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54" w:right="53"/>
              <w:jc w:val="center"/>
              <w:rPr>
                <w:rFonts w:ascii="宋体" w:hAnsi="宋体" w:cs="宋体" w:eastAsia="宋体" w:hint="default"/>
                <w:sz w:val="18"/>
                <w:szCs w:val="18"/>
              </w:rPr>
            </w:pPr>
            <w:r>
              <w:rPr>
                <w:rFonts w:ascii="宋体" w:hAnsi="宋体" w:cs="宋体" w:eastAsia="宋体" w:hint="default"/>
                <w:sz w:val="18"/>
                <w:szCs w:val="18"/>
              </w:rPr>
              <w:t>所有者 权益合 计</w:t>
            </w:r>
          </w:p>
        </w:tc>
      </w:tr>
      <w:tr>
        <w:trPr>
          <w:trHeight w:val="206" w:hRule="exact"/>
        </w:trPr>
        <w:tc>
          <w:tcPr>
            <w:tcW w:w="141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574" w:type="dxa"/>
            <w:vMerge w:val="restart"/>
            <w:tcBorders>
              <w:top w:val="single" w:sz="4" w:space="0" w:color="000000"/>
              <w:left w:val="single" w:sz="4" w:space="0" w:color="000000"/>
              <w:right w:val="single" w:sz="4" w:space="0" w:color="000000"/>
            </w:tcBorders>
            <w:shd w:val="clear" w:color="auto" w:fill="D2D2D2"/>
          </w:tcPr>
          <w:p>
            <w:pPr/>
          </w:p>
        </w:tc>
        <w:tc>
          <w:tcPr>
            <w:tcW w:w="159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250"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78" w:type="dxa"/>
            <w:tcBorders>
              <w:top w:val="single" w:sz="4" w:space="0" w:color="000000"/>
              <w:left w:val="single" w:sz="4" w:space="0" w:color="000000"/>
              <w:bottom w:val="nil" w:sz="6" w:space="0" w:color="auto"/>
              <w:right w:val="single" w:sz="4" w:space="0" w:color="000000"/>
            </w:tcBorders>
            <w:shd w:val="clear" w:color="auto" w:fill="D2D2D2"/>
          </w:tcPr>
          <w:p>
            <w:pPr/>
          </w:p>
        </w:tc>
        <w:tc>
          <w:tcPr>
            <w:tcW w:w="652"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6"/>
              <w:ind w:left="50" w:right="49"/>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59" w:type="dxa"/>
            <w:vMerge/>
            <w:tcBorders>
              <w:left w:val="single" w:sz="4" w:space="0" w:color="000000"/>
              <w:right w:val="single" w:sz="4" w:space="0" w:color="000000"/>
            </w:tcBorders>
            <w:shd w:val="clear" w:color="auto" w:fill="D2D2D2"/>
          </w:tcPr>
          <w:p>
            <w:pPr/>
          </w:p>
        </w:tc>
      </w:tr>
      <w:tr>
        <w:trPr>
          <w:trHeight w:val="174" w:hRule="exact"/>
        </w:trPr>
        <w:tc>
          <w:tcPr>
            <w:tcW w:w="1415" w:type="dxa"/>
            <w:vMerge/>
            <w:tcBorders>
              <w:left w:val="single" w:sz="4" w:space="0" w:color="000000"/>
              <w:bottom w:val="nil" w:sz="6" w:space="0" w:color="auto"/>
              <w:right w:val="single" w:sz="4" w:space="0" w:color="000000"/>
            </w:tcBorders>
            <w:shd w:val="clear" w:color="auto" w:fill="D2D2D2"/>
          </w:tcPr>
          <w:p>
            <w:pPr/>
          </w:p>
        </w:tc>
        <w:tc>
          <w:tcPr>
            <w:tcW w:w="574" w:type="dxa"/>
            <w:vMerge/>
            <w:tcBorders>
              <w:left w:val="single" w:sz="4" w:space="0" w:color="000000"/>
              <w:bottom w:val="nil" w:sz="6" w:space="0" w:color="auto"/>
              <w:right w:val="single" w:sz="4" w:space="0" w:color="000000"/>
            </w:tcBorders>
            <w:shd w:val="clear" w:color="auto" w:fill="D2D2D2"/>
          </w:tcPr>
          <w:p>
            <w:pPr/>
          </w:p>
        </w:tc>
        <w:tc>
          <w:tcPr>
            <w:tcW w:w="1592" w:type="dxa"/>
            <w:gridSpan w:val="3"/>
            <w:vMerge/>
            <w:tcBorders>
              <w:left w:val="single" w:sz="4" w:space="0" w:color="000000"/>
              <w:bottom w:val="single" w:sz="4" w:space="0" w:color="000000"/>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7" w:right="57" w:hanging="181"/>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46" w:right="56" w:hanging="90"/>
              <w:jc w:val="left"/>
              <w:rPr>
                <w:rFonts w:ascii="宋体" w:hAnsi="宋体" w:cs="宋体" w:eastAsia="宋体" w:hint="default"/>
                <w:sz w:val="18"/>
                <w:szCs w:val="18"/>
              </w:rPr>
            </w:pPr>
            <w:r>
              <w:rPr>
                <w:rFonts w:ascii="宋体" w:hAnsi="宋体" w:cs="宋体" w:eastAsia="宋体" w:hint="default"/>
                <w:sz w:val="18"/>
                <w:szCs w:val="18"/>
              </w:rPr>
              <w:t>减：库 存股</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56" w:right="56"/>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6" w:right="56"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6" w:right="56"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56" w:right="57"/>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678"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53" w:right="62"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652" w:type="dxa"/>
            <w:vMerge/>
            <w:tcBorders>
              <w:left w:val="single" w:sz="4" w:space="0" w:color="000000"/>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84" w:hRule="exact"/>
        </w:trPr>
        <w:tc>
          <w:tcPr>
            <w:tcW w:w="1415" w:type="dxa"/>
            <w:vMerge w:val="restart"/>
            <w:tcBorders>
              <w:top w:val="nil" w:sz="6" w:space="0" w:color="auto"/>
              <w:left w:val="single" w:sz="4" w:space="0" w:color="000000"/>
              <w:right w:val="single" w:sz="4" w:space="0" w:color="000000"/>
            </w:tcBorders>
            <w:shd w:val="clear" w:color="auto" w:fill="D2D2D2"/>
          </w:tcPr>
          <w:p>
            <w:pPr/>
          </w:p>
        </w:tc>
        <w:tc>
          <w:tcPr>
            <w:tcW w:w="57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33"/>
              <w:ind w:left="107"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53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74"/>
              <w:ind w:left="170" w:right="78" w:hanging="90"/>
              <w:jc w:val="left"/>
              <w:rPr>
                <w:rFonts w:ascii="宋体" w:hAnsi="宋体" w:cs="宋体" w:eastAsia="宋体" w:hint="default"/>
                <w:sz w:val="18"/>
                <w:szCs w:val="18"/>
              </w:rPr>
            </w:pPr>
            <w:r>
              <w:rPr>
                <w:rFonts w:ascii="宋体" w:hAnsi="宋体" w:cs="宋体" w:eastAsia="宋体" w:hint="default"/>
                <w:sz w:val="18"/>
                <w:szCs w:val="18"/>
              </w:rPr>
              <w:t>优先 股</w:t>
            </w:r>
          </w:p>
        </w:tc>
        <w:tc>
          <w:tcPr>
            <w:tcW w:w="53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74"/>
              <w:ind w:left="171" w:right="78" w:hanging="90"/>
              <w:jc w:val="left"/>
              <w:rPr>
                <w:rFonts w:ascii="宋体" w:hAnsi="宋体" w:cs="宋体" w:eastAsia="宋体" w:hint="default"/>
                <w:sz w:val="18"/>
                <w:szCs w:val="18"/>
              </w:rPr>
            </w:pPr>
            <w:r>
              <w:rPr>
                <w:rFonts w:ascii="宋体" w:hAnsi="宋体" w:cs="宋体" w:eastAsia="宋体" w:hint="default"/>
                <w:sz w:val="18"/>
                <w:szCs w:val="18"/>
              </w:rPr>
              <w:t>永续 债</w:t>
            </w:r>
          </w:p>
        </w:tc>
        <w:tc>
          <w:tcPr>
            <w:tcW w:w="530"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78" w:type="dxa"/>
            <w:vMerge/>
            <w:tcBorders>
              <w:left w:val="single" w:sz="4" w:space="0" w:color="000000"/>
              <w:right w:val="single" w:sz="4" w:space="0" w:color="000000"/>
            </w:tcBorders>
            <w:shd w:val="clear" w:color="auto" w:fill="D2D2D2"/>
          </w:tcPr>
          <w:p>
            <w:pPr/>
          </w:p>
        </w:tc>
        <w:tc>
          <w:tcPr>
            <w:tcW w:w="652" w:type="dxa"/>
            <w:vMerge/>
            <w:tcBorders>
              <w:left w:val="single" w:sz="4" w:space="0" w:color="000000"/>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68" w:hRule="exact"/>
        </w:trPr>
        <w:tc>
          <w:tcPr>
            <w:tcW w:w="1415" w:type="dxa"/>
            <w:vMerge/>
            <w:tcBorders>
              <w:left w:val="single" w:sz="4" w:space="0" w:color="000000"/>
              <w:right w:val="single" w:sz="4" w:space="0" w:color="000000"/>
            </w:tcBorders>
            <w:shd w:val="clear" w:color="auto" w:fill="D2D2D2"/>
          </w:tcPr>
          <w:p>
            <w:pPr/>
          </w:p>
        </w:tc>
        <w:tc>
          <w:tcPr>
            <w:tcW w:w="574" w:type="dxa"/>
            <w:vMerge/>
            <w:tcBorders>
              <w:left w:val="single" w:sz="4" w:space="0" w:color="000000"/>
              <w:bottom w:val="nil" w:sz="6" w:space="0" w:color="auto"/>
              <w:right w:val="single" w:sz="4" w:space="0" w:color="000000"/>
            </w:tcBorders>
            <w:shd w:val="clear" w:color="auto" w:fill="D2D2D2"/>
          </w:tcPr>
          <w:p>
            <w:pPr/>
          </w:p>
        </w:tc>
        <w:tc>
          <w:tcPr>
            <w:tcW w:w="530" w:type="dxa"/>
            <w:vMerge/>
            <w:tcBorders>
              <w:left w:val="single" w:sz="4" w:space="0" w:color="000000"/>
              <w:right w:val="single" w:sz="4" w:space="0" w:color="000000"/>
            </w:tcBorders>
            <w:shd w:val="clear" w:color="auto" w:fill="D2D2D2"/>
          </w:tcPr>
          <w:p>
            <w:pPr/>
          </w:p>
        </w:tc>
        <w:tc>
          <w:tcPr>
            <w:tcW w:w="532" w:type="dxa"/>
            <w:vMerge/>
            <w:tcBorders>
              <w:left w:val="single" w:sz="4" w:space="0" w:color="000000"/>
              <w:right w:val="single" w:sz="4" w:space="0" w:color="000000"/>
            </w:tcBorders>
            <w:shd w:val="clear" w:color="auto" w:fill="D2D2D2"/>
          </w:tcPr>
          <w:p>
            <w:pPr/>
          </w:p>
        </w:tc>
        <w:tc>
          <w:tcPr>
            <w:tcW w:w="53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8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78" w:type="dxa"/>
            <w:vMerge/>
            <w:tcBorders>
              <w:left w:val="single" w:sz="4" w:space="0" w:color="000000"/>
              <w:right w:val="single" w:sz="4" w:space="0" w:color="000000"/>
            </w:tcBorders>
            <w:shd w:val="clear" w:color="auto" w:fill="D2D2D2"/>
          </w:tcPr>
          <w:p>
            <w:pPr/>
          </w:p>
        </w:tc>
        <w:tc>
          <w:tcPr>
            <w:tcW w:w="652" w:type="dxa"/>
            <w:vMerge/>
            <w:tcBorders>
              <w:left w:val="single" w:sz="4" w:space="0" w:color="000000"/>
              <w:bottom w:val="nil" w:sz="6" w:space="0" w:color="auto"/>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56" w:hRule="exact"/>
        </w:trPr>
        <w:tc>
          <w:tcPr>
            <w:tcW w:w="1415" w:type="dxa"/>
            <w:vMerge/>
            <w:tcBorders>
              <w:left w:val="single" w:sz="4" w:space="0" w:color="000000"/>
              <w:right w:val="single" w:sz="4" w:space="0" w:color="000000"/>
            </w:tcBorders>
            <w:shd w:val="clear" w:color="auto" w:fill="D2D2D2"/>
          </w:tcPr>
          <w:p>
            <w:pPr/>
          </w:p>
        </w:tc>
        <w:tc>
          <w:tcPr>
            <w:tcW w:w="574" w:type="dxa"/>
            <w:vMerge w:val="restart"/>
            <w:tcBorders>
              <w:top w:val="nil" w:sz="6" w:space="0" w:color="auto"/>
              <w:left w:val="single" w:sz="4" w:space="0" w:color="000000"/>
              <w:right w:val="single" w:sz="4" w:space="0" w:color="000000"/>
            </w:tcBorders>
            <w:shd w:val="clear" w:color="auto" w:fill="D2D2D2"/>
          </w:tcPr>
          <w:p>
            <w:pPr/>
          </w:p>
        </w:tc>
        <w:tc>
          <w:tcPr>
            <w:tcW w:w="530" w:type="dxa"/>
            <w:vMerge/>
            <w:tcBorders>
              <w:left w:val="single" w:sz="4" w:space="0" w:color="000000"/>
              <w:right w:val="single" w:sz="4" w:space="0" w:color="000000"/>
            </w:tcBorders>
            <w:shd w:val="clear" w:color="auto" w:fill="D2D2D2"/>
          </w:tcPr>
          <w:p>
            <w:pPr/>
          </w:p>
        </w:tc>
        <w:tc>
          <w:tcPr>
            <w:tcW w:w="532" w:type="dxa"/>
            <w:vMerge/>
            <w:tcBorders>
              <w:left w:val="single" w:sz="4" w:space="0" w:color="000000"/>
              <w:right w:val="single" w:sz="4" w:space="0" w:color="000000"/>
            </w:tcBorders>
            <w:shd w:val="clear" w:color="auto" w:fill="D2D2D2"/>
          </w:tcPr>
          <w:p>
            <w:pPr/>
          </w:p>
        </w:tc>
        <w:tc>
          <w:tcPr>
            <w:tcW w:w="530"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78" w:type="dxa"/>
            <w:vMerge/>
            <w:tcBorders>
              <w:left w:val="single" w:sz="4" w:space="0" w:color="000000"/>
              <w:bottom w:val="nil" w:sz="6" w:space="0" w:color="auto"/>
              <w:right w:val="single" w:sz="4" w:space="0" w:color="000000"/>
            </w:tcBorders>
            <w:shd w:val="clear" w:color="auto" w:fill="D2D2D2"/>
          </w:tcPr>
          <w:p>
            <w:pPr/>
          </w:p>
        </w:tc>
        <w:tc>
          <w:tcPr>
            <w:tcW w:w="652" w:type="dxa"/>
            <w:vMerge w:val="restart"/>
            <w:tcBorders>
              <w:top w:val="nil" w:sz="6" w:space="0" w:color="auto"/>
              <w:left w:val="single" w:sz="4" w:space="0" w:color="000000"/>
              <w:right w:val="single" w:sz="4" w:space="0" w:color="000000"/>
            </w:tcBorders>
            <w:shd w:val="clear" w:color="auto" w:fill="D2D2D2"/>
          </w:tcPr>
          <w:p>
            <w:pPr/>
          </w:p>
        </w:tc>
        <w:tc>
          <w:tcPr>
            <w:tcW w:w="659" w:type="dxa"/>
            <w:vMerge/>
            <w:tcBorders>
              <w:left w:val="single" w:sz="4" w:space="0" w:color="000000"/>
              <w:bottom w:val="nil" w:sz="6" w:space="0" w:color="auto"/>
              <w:right w:val="single" w:sz="4" w:space="0" w:color="000000"/>
            </w:tcBorders>
            <w:shd w:val="clear" w:color="auto" w:fill="D2D2D2"/>
          </w:tcPr>
          <w:p>
            <w:pPr/>
          </w:p>
        </w:tc>
      </w:tr>
      <w:tr>
        <w:trPr>
          <w:trHeight w:val="228" w:hRule="exact"/>
        </w:trPr>
        <w:tc>
          <w:tcPr>
            <w:tcW w:w="1415" w:type="dxa"/>
            <w:vMerge/>
            <w:tcBorders>
              <w:left w:val="single" w:sz="4" w:space="0" w:color="000000"/>
              <w:bottom w:val="single" w:sz="4" w:space="0" w:color="000000"/>
              <w:right w:val="single" w:sz="4" w:space="0" w:color="000000"/>
            </w:tcBorders>
            <w:shd w:val="clear" w:color="auto" w:fill="D2D2D2"/>
          </w:tcPr>
          <w:p>
            <w:pPr/>
          </w:p>
        </w:tc>
        <w:tc>
          <w:tcPr>
            <w:tcW w:w="574" w:type="dxa"/>
            <w:vMerge/>
            <w:tcBorders>
              <w:left w:val="single" w:sz="4" w:space="0" w:color="000000"/>
              <w:bottom w:val="single" w:sz="4" w:space="0" w:color="000000"/>
              <w:right w:val="single" w:sz="4" w:space="0" w:color="000000"/>
            </w:tcBorders>
            <w:shd w:val="clear" w:color="auto" w:fill="D2D2D2"/>
          </w:tcPr>
          <w:p>
            <w:pPr/>
          </w:p>
        </w:tc>
        <w:tc>
          <w:tcPr>
            <w:tcW w:w="530" w:type="dxa"/>
            <w:vMerge/>
            <w:tcBorders>
              <w:left w:val="single" w:sz="4" w:space="0" w:color="000000"/>
              <w:bottom w:val="single" w:sz="4" w:space="0" w:color="000000"/>
              <w:right w:val="single" w:sz="4" w:space="0" w:color="000000"/>
            </w:tcBorders>
            <w:shd w:val="clear" w:color="auto" w:fill="D2D2D2"/>
          </w:tcPr>
          <w:p>
            <w:pPr/>
          </w:p>
        </w:tc>
        <w:tc>
          <w:tcPr>
            <w:tcW w:w="532" w:type="dxa"/>
            <w:vMerge/>
            <w:tcBorders>
              <w:left w:val="single" w:sz="4" w:space="0" w:color="000000"/>
              <w:bottom w:val="single" w:sz="4" w:space="0" w:color="000000"/>
              <w:right w:val="single" w:sz="4" w:space="0" w:color="000000"/>
            </w:tcBorders>
            <w:shd w:val="clear" w:color="auto" w:fill="D2D2D2"/>
          </w:tcPr>
          <w:p>
            <w:pPr/>
          </w:p>
        </w:tc>
        <w:tc>
          <w:tcPr>
            <w:tcW w:w="530"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78" w:type="dxa"/>
            <w:tcBorders>
              <w:top w:val="nil" w:sz="6" w:space="0" w:color="auto"/>
              <w:left w:val="single" w:sz="4" w:space="0" w:color="000000"/>
              <w:bottom w:val="single" w:sz="4" w:space="0" w:color="000000"/>
              <w:right w:val="single" w:sz="4" w:space="0" w:color="000000"/>
            </w:tcBorders>
            <w:shd w:val="clear" w:color="auto" w:fill="D2D2D2"/>
          </w:tcPr>
          <w:p>
            <w:pPr/>
          </w:p>
        </w:tc>
        <w:tc>
          <w:tcPr>
            <w:tcW w:w="652" w:type="dxa"/>
            <w:vMerge/>
            <w:tcBorders>
              <w:left w:val="single" w:sz="4" w:space="0" w:color="000000"/>
              <w:bottom w:val="single" w:sz="4" w:space="0" w:color="000000"/>
              <w:right w:val="single" w:sz="4" w:space="0" w:color="000000"/>
            </w:tcBorders>
            <w:shd w:val="clear" w:color="auto" w:fill="D2D2D2"/>
          </w:tcPr>
          <w:p>
            <w:pPr/>
          </w:p>
        </w:tc>
        <w:tc>
          <w:tcPr>
            <w:tcW w:w="659"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18" w:hRule="exact"/>
        </w:trPr>
        <w:tc>
          <w:tcPr>
            <w:tcW w:w="1415" w:type="dxa"/>
            <w:tcBorders>
              <w:top w:val="single" w:sz="4" w:space="0" w:color="000000"/>
              <w:left w:val="single" w:sz="4" w:space="0" w:color="000000"/>
              <w:bottom w:val="nil" w:sz="6" w:space="0" w:color="auto"/>
              <w:right w:val="single" w:sz="4" w:space="0" w:color="000000"/>
            </w:tcBorders>
            <w:shd w:val="clear" w:color="auto" w:fill="D2D2D2"/>
          </w:tcPr>
          <w:p>
            <w:pPr/>
          </w:p>
        </w:tc>
        <w:tc>
          <w:tcPr>
            <w:tcW w:w="574" w:type="dxa"/>
            <w:vMerge w:val="restart"/>
            <w:tcBorders>
              <w:top w:val="single" w:sz="4" w:space="0" w:color="000000"/>
              <w:left w:val="single" w:sz="9" w:space="0" w:color="D2D2D2"/>
              <w:right w:val="single" w:sz="4" w:space="0" w:color="000000"/>
            </w:tcBorders>
          </w:tcPr>
          <w:p>
            <w:pPr>
              <w:pStyle w:val="TableParagraph"/>
              <w:spacing w:line="240" w:lineRule="auto" w:before="92"/>
              <w:ind w:left="40" w:right="0"/>
              <w:jc w:val="left"/>
              <w:rPr>
                <w:rFonts w:ascii="Times New Roman" w:hAnsi="Times New Roman" w:cs="Times New Roman" w:eastAsia="Times New Roman" w:hint="default"/>
                <w:sz w:val="18"/>
                <w:szCs w:val="18"/>
              </w:rPr>
            </w:pPr>
            <w:r>
              <w:rPr>
                <w:rFonts w:ascii="Times New Roman"/>
                <w:sz w:val="18"/>
              </w:rPr>
              <w:t>344,39</w:t>
            </w:r>
          </w:p>
          <w:p>
            <w:pPr>
              <w:pStyle w:val="TableParagraph"/>
              <w:spacing w:line="240" w:lineRule="auto" w:before="104"/>
              <w:ind w:left="84" w:right="0"/>
              <w:jc w:val="left"/>
              <w:rPr>
                <w:rFonts w:ascii="Times New Roman" w:hAnsi="Times New Roman" w:cs="Times New Roman" w:eastAsia="Times New Roman" w:hint="default"/>
                <w:sz w:val="18"/>
                <w:szCs w:val="18"/>
              </w:rPr>
            </w:pPr>
            <w:r>
              <w:rPr>
                <w:rFonts w:ascii="Times New Roman"/>
                <w:sz w:val="18"/>
              </w:rPr>
              <w:t>5,344.</w:t>
            </w:r>
          </w:p>
          <w:p>
            <w:pPr>
              <w:pStyle w:val="TableParagraph"/>
              <w:spacing w:line="240" w:lineRule="auto" w:before="106"/>
              <w:ind w:left="354" w:right="0"/>
              <w:jc w:val="left"/>
              <w:rPr>
                <w:rFonts w:ascii="Times New Roman" w:hAnsi="Times New Roman" w:cs="Times New Roman" w:eastAsia="Times New Roman" w:hint="default"/>
                <w:sz w:val="18"/>
                <w:szCs w:val="18"/>
              </w:rPr>
            </w:pPr>
            <w:r>
              <w:rPr>
                <w:rFonts w:ascii="Times New Roman"/>
                <w:sz w:val="18"/>
              </w:rPr>
              <w:t>00</w:t>
            </w: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677,770</w:t>
            </w:r>
          </w:p>
          <w:p>
            <w:pPr>
              <w:pStyle w:val="TableParagraph"/>
              <w:spacing w:line="240" w:lineRule="auto" w:before="105"/>
              <w:ind w:left="92" w:right="0"/>
              <w:jc w:val="left"/>
              <w:rPr>
                <w:rFonts w:ascii="Times New Roman" w:hAnsi="Times New Roman" w:cs="Times New Roman" w:eastAsia="Times New Roman" w:hint="default"/>
                <w:sz w:val="18"/>
                <w:szCs w:val="18"/>
              </w:rPr>
            </w:pPr>
            <w:r>
              <w:rPr>
                <w:rFonts w:ascii="Times New Roman"/>
                <w:sz w:val="18"/>
              </w:rPr>
              <w:t>,058.81</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777,892</w:t>
            </w:r>
          </w:p>
          <w:p>
            <w:pPr>
              <w:pStyle w:val="TableParagraph"/>
              <w:spacing w:line="240" w:lineRule="auto" w:before="105"/>
              <w:ind w:left="406" w:right="0"/>
              <w:jc w:val="left"/>
              <w:rPr>
                <w:rFonts w:ascii="Times New Roman" w:hAnsi="Times New Roman" w:cs="Times New Roman" w:eastAsia="Times New Roman" w:hint="default"/>
                <w:sz w:val="18"/>
                <w:szCs w:val="18"/>
              </w:rPr>
            </w:pPr>
            <w:r>
              <w:rPr>
                <w:rFonts w:ascii="Times New Roman"/>
                <w:sz w:val="18"/>
              </w:rPr>
              <w:t>.66</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35,501,</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882.88</w:t>
            </w:r>
          </w:p>
        </w:tc>
        <w:tc>
          <w:tcPr>
            <w:tcW w:w="665" w:type="dxa"/>
            <w:vMerge w:val="restart"/>
            <w:tcBorders>
              <w:top w:val="single" w:sz="4" w:space="0" w:color="000000"/>
              <w:left w:val="single" w:sz="4" w:space="0" w:color="000000"/>
              <w:right w:val="single" w:sz="4" w:space="0" w:color="000000"/>
            </w:tcBorders>
          </w:tcPr>
          <w:p>
            <w:pPr/>
          </w:p>
        </w:tc>
        <w:tc>
          <w:tcPr>
            <w:tcW w:w="678"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310,309</w:t>
            </w:r>
          </w:p>
          <w:p>
            <w:pPr>
              <w:pStyle w:val="TableParagraph"/>
              <w:spacing w:line="240" w:lineRule="auto" w:before="105"/>
              <w:ind w:left="104" w:right="0"/>
              <w:jc w:val="left"/>
              <w:rPr>
                <w:rFonts w:ascii="Times New Roman" w:hAnsi="Times New Roman" w:cs="Times New Roman" w:eastAsia="Times New Roman" w:hint="default"/>
                <w:sz w:val="18"/>
                <w:szCs w:val="18"/>
              </w:rPr>
            </w:pPr>
            <w:r>
              <w:rPr>
                <w:rFonts w:ascii="Times New Roman"/>
                <w:sz w:val="18"/>
              </w:rPr>
              <w:t>,507.01</w:t>
            </w:r>
          </w:p>
        </w:tc>
        <w:tc>
          <w:tcPr>
            <w:tcW w:w="652"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sz w:val="18"/>
              </w:rPr>
              <w:t>35,784,</w:t>
            </w:r>
          </w:p>
          <w:p>
            <w:pPr>
              <w:pStyle w:val="TableParagraph"/>
              <w:spacing w:line="240" w:lineRule="auto" w:before="105"/>
              <w:ind w:left="124" w:right="0"/>
              <w:jc w:val="left"/>
              <w:rPr>
                <w:rFonts w:ascii="Times New Roman" w:hAnsi="Times New Roman" w:cs="Times New Roman" w:eastAsia="Times New Roman" w:hint="default"/>
                <w:sz w:val="18"/>
                <w:szCs w:val="18"/>
              </w:rPr>
            </w:pPr>
            <w:r>
              <w:rPr>
                <w:rFonts w:ascii="Times New Roman"/>
                <w:sz w:val="18"/>
              </w:rPr>
              <w:t>797.05</w:t>
            </w: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1,404,5</w:t>
            </w:r>
          </w:p>
          <w:p>
            <w:pPr>
              <w:pStyle w:val="TableParagraph"/>
              <w:spacing w:line="240" w:lineRule="auto" w:before="104"/>
              <w:ind w:right="21"/>
              <w:jc w:val="right"/>
              <w:rPr>
                <w:rFonts w:ascii="Times New Roman" w:hAnsi="Times New Roman" w:cs="Times New Roman" w:eastAsia="Times New Roman" w:hint="default"/>
                <w:sz w:val="18"/>
                <w:szCs w:val="18"/>
              </w:rPr>
            </w:pPr>
            <w:r>
              <w:rPr>
                <w:rFonts w:ascii="Times New Roman"/>
                <w:sz w:val="18"/>
              </w:rPr>
              <w:t>39,482.</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41</w:t>
            </w:r>
          </w:p>
        </w:tc>
      </w:tr>
      <w:tr>
        <w:trPr>
          <w:trHeight w:val="391" w:hRule="exact"/>
        </w:trPr>
        <w:tc>
          <w:tcPr>
            <w:tcW w:w="141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8"/>
                <w:sz w:val="18"/>
                <w:szCs w:val="18"/>
              </w:rPr>
              <w:t>一、上年期末余额</w:t>
            </w:r>
          </w:p>
        </w:tc>
        <w:tc>
          <w:tcPr>
            <w:tcW w:w="574"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78" w:type="dxa"/>
            <w:vMerge/>
            <w:tcBorders>
              <w:left w:val="single" w:sz="4" w:space="0" w:color="000000"/>
              <w:right w:val="single" w:sz="4" w:space="0" w:color="000000"/>
            </w:tcBorders>
          </w:tcPr>
          <w:p>
            <w:pPr/>
          </w:p>
        </w:tc>
        <w:tc>
          <w:tcPr>
            <w:tcW w:w="652"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317" w:hRule="exact"/>
        </w:trPr>
        <w:tc>
          <w:tcPr>
            <w:tcW w:w="1415" w:type="dxa"/>
            <w:tcBorders>
              <w:top w:val="nil" w:sz="6" w:space="0" w:color="auto"/>
              <w:left w:val="single" w:sz="4" w:space="0" w:color="000000"/>
              <w:bottom w:val="single" w:sz="4" w:space="0" w:color="000000"/>
              <w:right w:val="single" w:sz="4" w:space="0" w:color="000000"/>
            </w:tcBorders>
            <w:shd w:val="clear" w:color="auto" w:fill="D2D2D2"/>
          </w:tcPr>
          <w:p>
            <w:pPr/>
          </w:p>
        </w:tc>
        <w:tc>
          <w:tcPr>
            <w:tcW w:w="574"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78" w:type="dxa"/>
            <w:vMerge/>
            <w:tcBorders>
              <w:left w:val="single" w:sz="4" w:space="0" w:color="000000"/>
              <w:bottom w:val="single" w:sz="4" w:space="0" w:color="000000"/>
              <w:right w:val="single" w:sz="4" w:space="0" w:color="000000"/>
            </w:tcBorders>
          </w:tcPr>
          <w:p>
            <w:pPr/>
          </w:p>
        </w:tc>
        <w:tc>
          <w:tcPr>
            <w:tcW w:w="652"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r>
        <w:trPr>
          <w:trHeight w:val="714"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10"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574"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31"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574"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131" w:firstLine="720"/>
              <w:jc w:val="left"/>
              <w:rPr>
                <w:rFonts w:ascii="宋体" w:hAnsi="宋体" w:cs="宋体" w:eastAsia="宋体" w:hint="default"/>
                <w:sz w:val="18"/>
                <w:szCs w:val="18"/>
              </w:rPr>
            </w:pPr>
            <w:r>
              <w:rPr>
                <w:rFonts w:ascii="宋体" w:hAnsi="宋体" w:cs="宋体" w:eastAsia="宋体" w:hint="default"/>
                <w:sz w:val="18"/>
                <w:szCs w:val="18"/>
              </w:rPr>
              <w:t>同一控 制下企业合并</w:t>
            </w:r>
          </w:p>
        </w:tc>
        <w:tc>
          <w:tcPr>
            <w:tcW w:w="574"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92" w:right="0"/>
              <w:jc w:val="left"/>
              <w:rPr>
                <w:rFonts w:ascii="Times New Roman" w:hAnsi="Times New Roman" w:cs="Times New Roman" w:eastAsia="Times New Roman" w:hint="default"/>
                <w:sz w:val="18"/>
                <w:szCs w:val="18"/>
              </w:rPr>
            </w:pPr>
            <w:r>
              <w:rPr>
                <w:rFonts w:ascii="Times New Roman"/>
                <w:sz w:val="18"/>
              </w:rPr>
              <w:t>16,890,</w:t>
            </w:r>
          </w:p>
          <w:p>
            <w:pPr>
              <w:pStyle w:val="TableParagraph"/>
              <w:spacing w:line="240" w:lineRule="auto" w:before="105"/>
              <w:ind w:left="137" w:right="0"/>
              <w:jc w:val="left"/>
              <w:rPr>
                <w:rFonts w:ascii="Times New Roman" w:hAnsi="Times New Roman" w:cs="Times New Roman" w:eastAsia="Times New Roman" w:hint="default"/>
                <w:sz w:val="18"/>
                <w:szCs w:val="18"/>
              </w:rPr>
            </w:pPr>
            <w:r>
              <w:rPr>
                <w:rFonts w:ascii="Times New Roman"/>
                <w:sz w:val="18"/>
              </w:rPr>
              <w:t>000.00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1" w:right="0"/>
              <w:jc w:val="center"/>
              <w:rPr>
                <w:rFonts w:ascii="Times New Roman" w:hAnsi="Times New Roman" w:cs="Times New Roman" w:eastAsia="Times New Roman" w:hint="default"/>
                <w:sz w:val="18"/>
                <w:szCs w:val="18"/>
              </w:rPr>
            </w:pPr>
            <w:r>
              <w:rPr>
                <w:rFonts w:ascii="Times New Roman"/>
                <w:sz w:val="18"/>
              </w:rPr>
              <w:t>-7,257,5</w:t>
            </w:r>
          </w:p>
          <w:p>
            <w:pPr>
              <w:pStyle w:val="TableParagraph"/>
              <w:spacing w:line="240" w:lineRule="auto" w:before="105"/>
              <w:ind w:left="216" w:right="0"/>
              <w:jc w:val="center"/>
              <w:rPr>
                <w:rFonts w:ascii="Times New Roman" w:hAnsi="Times New Roman" w:cs="Times New Roman" w:eastAsia="Times New Roman" w:hint="default"/>
                <w:sz w:val="18"/>
                <w:szCs w:val="18"/>
              </w:rPr>
            </w:pPr>
            <w:r>
              <w:rPr>
                <w:rFonts w:ascii="Times New Roman"/>
                <w:sz w:val="18"/>
              </w:rPr>
              <w:t>68.18</w:t>
            </w: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61" w:right="0"/>
              <w:jc w:val="center"/>
              <w:rPr>
                <w:rFonts w:ascii="Times New Roman" w:hAnsi="Times New Roman" w:cs="Times New Roman" w:eastAsia="Times New Roman" w:hint="default"/>
                <w:sz w:val="18"/>
                <w:szCs w:val="18"/>
              </w:rPr>
            </w:pPr>
            <w:r>
              <w:rPr>
                <w:rFonts w:ascii="Times New Roman"/>
                <w:sz w:val="18"/>
              </w:rPr>
              <w:t>9,632,4</w:t>
            </w:r>
          </w:p>
          <w:p>
            <w:pPr>
              <w:pStyle w:val="TableParagraph"/>
              <w:spacing w:line="240" w:lineRule="auto" w:before="105"/>
              <w:ind w:left="197" w:right="0"/>
              <w:jc w:val="center"/>
              <w:rPr>
                <w:rFonts w:ascii="Times New Roman" w:hAnsi="Times New Roman" w:cs="Times New Roman" w:eastAsia="Times New Roman" w:hint="default"/>
                <w:sz w:val="18"/>
                <w:szCs w:val="18"/>
              </w:rPr>
            </w:pPr>
            <w:r>
              <w:rPr>
                <w:rFonts w:ascii="Times New Roman"/>
                <w:sz w:val="18"/>
              </w:rPr>
              <w:t>31.82</w:t>
            </w:r>
          </w:p>
        </w:tc>
      </w:tr>
    </w:tbl>
    <w:p>
      <w:pPr>
        <w:spacing w:after="0" w:line="240" w:lineRule="auto"/>
        <w:jc w:val="center"/>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1437"/>
        <w:gridCol w:w="562"/>
        <w:gridCol w:w="530"/>
        <w:gridCol w:w="532"/>
        <w:gridCol w:w="530"/>
        <w:gridCol w:w="665"/>
        <w:gridCol w:w="665"/>
        <w:gridCol w:w="665"/>
        <w:gridCol w:w="665"/>
        <w:gridCol w:w="665"/>
        <w:gridCol w:w="665"/>
        <w:gridCol w:w="678"/>
        <w:gridCol w:w="652"/>
        <w:gridCol w:w="659"/>
      </w:tblGrid>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pacing w:val="-8"/>
                <w:sz w:val="18"/>
                <w:szCs w:val="18"/>
              </w:rPr>
              <w:t>二、本年期初余额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344,39</w:t>
            </w:r>
          </w:p>
          <w:p>
            <w:pPr>
              <w:pStyle w:val="TableParagraph"/>
              <w:spacing w:line="240" w:lineRule="auto" w:before="105"/>
              <w:ind w:left="79" w:right="0"/>
              <w:jc w:val="left"/>
              <w:rPr>
                <w:rFonts w:ascii="Times New Roman" w:hAnsi="Times New Roman" w:cs="Times New Roman" w:eastAsia="Times New Roman" w:hint="default"/>
                <w:sz w:val="18"/>
                <w:szCs w:val="18"/>
              </w:rPr>
            </w:pPr>
            <w:r>
              <w:rPr>
                <w:rFonts w:ascii="Times New Roman"/>
                <w:sz w:val="18"/>
              </w:rPr>
              <w:t>5,344.</w:t>
            </w:r>
          </w:p>
          <w:p>
            <w:pPr>
              <w:pStyle w:val="TableParagraph"/>
              <w:spacing w:line="240" w:lineRule="auto" w:before="106"/>
              <w:ind w:left="349"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694,660</w:t>
            </w:r>
          </w:p>
          <w:p>
            <w:pPr>
              <w:pStyle w:val="TableParagraph"/>
              <w:spacing w:line="240" w:lineRule="auto" w:before="106"/>
              <w:ind w:left="92" w:right="0"/>
              <w:jc w:val="left"/>
              <w:rPr>
                <w:rFonts w:ascii="Times New Roman" w:hAnsi="Times New Roman" w:cs="Times New Roman" w:eastAsia="Times New Roman" w:hint="default"/>
                <w:sz w:val="18"/>
                <w:szCs w:val="18"/>
              </w:rPr>
            </w:pPr>
            <w:r>
              <w:rPr>
                <w:rFonts w:ascii="Times New Roman"/>
                <w:sz w:val="18"/>
              </w:rPr>
              <w:t>,058.81</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777,892</w:t>
            </w:r>
          </w:p>
          <w:p>
            <w:pPr>
              <w:pStyle w:val="TableParagraph"/>
              <w:spacing w:line="240" w:lineRule="auto" w:before="106"/>
              <w:ind w:left="406" w:right="0"/>
              <w:jc w:val="left"/>
              <w:rPr>
                <w:rFonts w:ascii="Times New Roman" w:hAnsi="Times New Roman" w:cs="Times New Roman" w:eastAsia="Times New Roman" w:hint="default"/>
                <w:sz w:val="18"/>
                <w:szCs w:val="18"/>
              </w:rPr>
            </w:pPr>
            <w:r>
              <w:rPr>
                <w:rFonts w:ascii="Times New Roman"/>
                <w:sz w:val="18"/>
              </w:rPr>
              <w:t>.66</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35,501,</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882.88</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303,051</w:t>
            </w:r>
          </w:p>
          <w:p>
            <w:pPr>
              <w:pStyle w:val="TableParagraph"/>
              <w:spacing w:line="240" w:lineRule="auto" w:before="106"/>
              <w:ind w:left="104" w:right="0"/>
              <w:jc w:val="left"/>
              <w:rPr>
                <w:rFonts w:ascii="Times New Roman" w:hAnsi="Times New Roman" w:cs="Times New Roman" w:eastAsia="Times New Roman" w:hint="default"/>
                <w:sz w:val="18"/>
                <w:szCs w:val="18"/>
              </w:rPr>
            </w:pPr>
            <w:r>
              <w:rPr>
                <w:rFonts w:ascii="Times New Roman"/>
                <w:sz w:val="18"/>
              </w:rPr>
              <w:t>,938.83</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sz w:val="18"/>
              </w:rPr>
              <w:t>35,784,</w:t>
            </w:r>
          </w:p>
          <w:p>
            <w:pPr>
              <w:pStyle w:val="TableParagraph"/>
              <w:spacing w:line="240" w:lineRule="auto" w:before="106"/>
              <w:ind w:left="124" w:right="0"/>
              <w:jc w:val="left"/>
              <w:rPr>
                <w:rFonts w:ascii="Times New Roman" w:hAnsi="Times New Roman" w:cs="Times New Roman" w:eastAsia="Times New Roman" w:hint="default"/>
                <w:sz w:val="18"/>
                <w:szCs w:val="18"/>
              </w:rPr>
            </w:pPr>
            <w:r>
              <w:rPr>
                <w:rFonts w:ascii="Times New Roman"/>
                <w:sz w:val="18"/>
              </w:rPr>
              <w:t>797.05</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1,414,1</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71,914.</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23</w:t>
            </w: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21"/>
              <w:jc w:val="both"/>
              <w:rPr>
                <w:rFonts w:ascii="宋体" w:hAnsi="宋体" w:cs="宋体" w:eastAsia="宋体" w:hint="default"/>
                <w:sz w:val="18"/>
                <w:szCs w:val="18"/>
              </w:rPr>
            </w:pPr>
            <w:r>
              <w:rPr>
                <w:rFonts w:ascii="宋体" w:hAnsi="宋体" w:cs="宋体" w:eastAsia="宋体" w:hint="default"/>
                <w:spacing w:val="-8"/>
                <w:sz w:val="18"/>
                <w:szCs w:val="18"/>
              </w:rPr>
              <w:t>三、本期增减变动</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5"/>
                <w:sz w:val="18"/>
                <w:szCs w:val="18"/>
              </w:rPr>
              <w:t>金额（减少以</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w:t>
            </w:r>
            <w:r>
              <w:rPr>
                <w:rFonts w:ascii="Times New Roman" w:hAnsi="Times New Roman" w:cs="Times New Roman" w:eastAsia="Times New Roman" w:hint="default"/>
                <w:spacing w:val="-40"/>
                <w:sz w:val="18"/>
                <w:szCs w:val="18"/>
              </w:rPr>
              <w:t> </w:t>
            </w:r>
            <w:r>
              <w:rPr>
                <w:rFonts w:ascii="宋体" w:hAnsi="宋体" w:cs="宋体" w:eastAsia="宋体" w:hint="default"/>
                <w:sz w:val="18"/>
                <w:szCs w:val="18"/>
              </w:rPr>
              <w:t>号填列）</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 w:right="0"/>
              <w:jc w:val="center"/>
              <w:rPr>
                <w:rFonts w:ascii="Times New Roman" w:hAnsi="Times New Roman" w:cs="Times New Roman" w:eastAsia="Times New Roman" w:hint="default"/>
                <w:sz w:val="18"/>
                <w:szCs w:val="18"/>
              </w:rPr>
            </w:pPr>
            <w:r>
              <w:rPr>
                <w:rFonts w:ascii="Times New Roman"/>
                <w:sz w:val="18"/>
              </w:rPr>
              <w:t>-16,890,</w:t>
            </w:r>
          </w:p>
          <w:p>
            <w:pPr>
              <w:pStyle w:val="TableParagraph"/>
              <w:spacing w:line="240" w:lineRule="auto" w:before="106"/>
              <w:ind w:left="115" w:right="0"/>
              <w:jc w:val="center"/>
              <w:rPr>
                <w:rFonts w:ascii="Times New Roman" w:hAnsi="Times New Roman" w:cs="Times New Roman" w:eastAsia="Times New Roman" w:hint="default"/>
                <w:sz w:val="18"/>
                <w:szCs w:val="18"/>
              </w:rPr>
            </w:pPr>
            <w:r>
              <w:rPr>
                <w:rFonts w:ascii="Times New Roman"/>
                <w:sz w:val="18"/>
              </w:rPr>
              <w:t>000.00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936,054</w:t>
            </w:r>
          </w:p>
          <w:p>
            <w:pPr>
              <w:pStyle w:val="TableParagraph"/>
              <w:spacing w:line="240" w:lineRule="auto" w:before="106"/>
              <w:ind w:left="406" w:right="0"/>
              <w:jc w:val="left"/>
              <w:rPr>
                <w:rFonts w:ascii="Times New Roman" w:hAnsi="Times New Roman" w:cs="Times New Roman" w:eastAsia="Times New Roman" w:hint="default"/>
                <w:sz w:val="18"/>
                <w:szCs w:val="18"/>
              </w:rPr>
            </w:pPr>
            <w:r>
              <w:rPr>
                <w:rFonts w:ascii="Times New Roman"/>
                <w:sz w:val="18"/>
              </w:rPr>
              <w:t>.08</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7" w:right="0"/>
              <w:jc w:val="center"/>
              <w:rPr>
                <w:rFonts w:ascii="Times New Roman" w:hAnsi="Times New Roman" w:cs="Times New Roman" w:eastAsia="Times New Roman" w:hint="default"/>
                <w:sz w:val="18"/>
                <w:szCs w:val="18"/>
              </w:rPr>
            </w:pPr>
            <w:r>
              <w:rPr>
                <w:rFonts w:ascii="Times New Roman"/>
                <w:sz w:val="18"/>
              </w:rPr>
              <w:t>8,746,9</w:t>
            </w:r>
          </w:p>
          <w:p>
            <w:pPr>
              <w:pStyle w:val="TableParagraph"/>
              <w:spacing w:line="240" w:lineRule="auto" w:before="106"/>
              <w:ind w:left="203" w:right="0"/>
              <w:jc w:val="center"/>
              <w:rPr>
                <w:rFonts w:ascii="Times New Roman" w:hAnsi="Times New Roman" w:cs="Times New Roman" w:eastAsia="Times New Roman" w:hint="default"/>
                <w:sz w:val="18"/>
                <w:szCs w:val="18"/>
              </w:rPr>
            </w:pPr>
            <w:r>
              <w:rPr>
                <w:rFonts w:ascii="Times New Roman"/>
                <w:sz w:val="18"/>
              </w:rPr>
              <w:t>51.52</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04" w:right="0"/>
              <w:jc w:val="left"/>
              <w:rPr>
                <w:rFonts w:ascii="Times New Roman" w:hAnsi="Times New Roman" w:cs="Times New Roman" w:eastAsia="Times New Roman" w:hint="default"/>
                <w:sz w:val="18"/>
                <w:szCs w:val="18"/>
              </w:rPr>
            </w:pPr>
            <w:r>
              <w:rPr>
                <w:rFonts w:ascii="Times New Roman"/>
                <w:sz w:val="18"/>
              </w:rPr>
              <w:t>78,435,</w:t>
            </w:r>
          </w:p>
          <w:p>
            <w:pPr>
              <w:pStyle w:val="TableParagraph"/>
              <w:spacing w:line="240" w:lineRule="auto" w:before="106"/>
              <w:ind w:left="149" w:right="0"/>
              <w:jc w:val="left"/>
              <w:rPr>
                <w:rFonts w:ascii="Times New Roman" w:hAnsi="Times New Roman" w:cs="Times New Roman" w:eastAsia="Times New Roman" w:hint="default"/>
                <w:sz w:val="18"/>
                <w:szCs w:val="18"/>
              </w:rPr>
            </w:pPr>
            <w:r>
              <w:rPr>
                <w:rFonts w:ascii="Times New Roman"/>
                <w:sz w:val="18"/>
              </w:rPr>
              <w:t>257.74</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sz w:val="18"/>
              </w:rPr>
              <w:t>10,389,</w:t>
            </w:r>
          </w:p>
          <w:p>
            <w:pPr>
              <w:pStyle w:val="TableParagraph"/>
              <w:spacing w:line="240" w:lineRule="auto" w:before="106"/>
              <w:ind w:left="124" w:right="0"/>
              <w:jc w:val="left"/>
              <w:rPr>
                <w:rFonts w:ascii="Times New Roman" w:hAnsi="Times New Roman" w:cs="Times New Roman" w:eastAsia="Times New Roman" w:hint="default"/>
                <w:sz w:val="18"/>
                <w:szCs w:val="18"/>
              </w:rPr>
            </w:pPr>
            <w:r>
              <w:rPr>
                <w:rFonts w:ascii="Times New Roman"/>
                <w:sz w:val="18"/>
              </w:rPr>
              <w:t>092.36</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85" w:right="0"/>
              <w:jc w:val="left"/>
              <w:rPr>
                <w:rFonts w:ascii="Times New Roman" w:hAnsi="Times New Roman" w:cs="Times New Roman" w:eastAsia="Times New Roman" w:hint="default"/>
                <w:sz w:val="18"/>
                <w:szCs w:val="18"/>
              </w:rPr>
            </w:pPr>
            <w:r>
              <w:rPr>
                <w:rFonts w:ascii="Times New Roman"/>
                <w:sz w:val="18"/>
              </w:rPr>
              <w:t>81,617,</w:t>
            </w:r>
          </w:p>
          <w:p>
            <w:pPr>
              <w:pStyle w:val="TableParagraph"/>
              <w:spacing w:line="240" w:lineRule="auto" w:before="106"/>
              <w:ind w:left="130" w:right="0"/>
              <w:jc w:val="left"/>
              <w:rPr>
                <w:rFonts w:ascii="Times New Roman" w:hAnsi="Times New Roman" w:cs="Times New Roman" w:eastAsia="Times New Roman" w:hint="default"/>
                <w:sz w:val="18"/>
                <w:szCs w:val="18"/>
              </w:rPr>
            </w:pPr>
            <w:r>
              <w:rPr>
                <w:rFonts w:ascii="Times New Roman"/>
                <w:sz w:val="18"/>
              </w:rPr>
              <w:t>355.70</w:t>
            </w: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1"/>
              <w:jc w:val="left"/>
              <w:rPr>
                <w:rFonts w:ascii="宋体" w:hAnsi="宋体" w:cs="宋体" w:eastAsia="宋体" w:hint="default"/>
                <w:sz w:val="18"/>
                <w:szCs w:val="18"/>
              </w:rPr>
            </w:pPr>
            <w:r>
              <w:rPr>
                <w:rFonts w:ascii="宋体" w:hAnsi="宋体" w:cs="宋体" w:eastAsia="宋体" w:hint="default"/>
                <w:spacing w:val="-8"/>
                <w:sz w:val="18"/>
                <w:szCs w:val="18"/>
              </w:rPr>
              <w:t>（一）综合收益总</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额</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6" w:right="0"/>
              <w:jc w:val="left"/>
              <w:rPr>
                <w:rFonts w:ascii="Times New Roman" w:hAnsi="Times New Roman" w:cs="Times New Roman" w:eastAsia="Times New Roman" w:hint="default"/>
                <w:sz w:val="18"/>
                <w:szCs w:val="18"/>
              </w:rPr>
            </w:pPr>
            <w:r>
              <w:rPr>
                <w:rFonts w:ascii="Times New Roman"/>
                <w:sz w:val="18"/>
              </w:rPr>
              <w:t>936,054</w:t>
            </w:r>
          </w:p>
          <w:p>
            <w:pPr>
              <w:pStyle w:val="TableParagraph"/>
              <w:spacing w:line="240" w:lineRule="auto" w:before="106"/>
              <w:ind w:left="406" w:right="0"/>
              <w:jc w:val="left"/>
              <w:rPr>
                <w:rFonts w:ascii="Times New Roman" w:hAnsi="Times New Roman" w:cs="Times New Roman" w:eastAsia="Times New Roman" w:hint="default"/>
                <w:sz w:val="18"/>
                <w:szCs w:val="18"/>
              </w:rPr>
            </w:pPr>
            <w:r>
              <w:rPr>
                <w:rFonts w:ascii="Times New Roman"/>
                <w:sz w:val="18"/>
              </w:rPr>
              <w:t>.08</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5" w:right="0"/>
              <w:jc w:val="left"/>
              <w:rPr>
                <w:rFonts w:ascii="Times New Roman" w:hAnsi="Times New Roman" w:cs="Times New Roman" w:eastAsia="Times New Roman" w:hint="default"/>
                <w:sz w:val="18"/>
                <w:szCs w:val="18"/>
              </w:rPr>
            </w:pPr>
            <w:r>
              <w:rPr>
                <w:rFonts w:ascii="Times New Roman"/>
                <w:sz w:val="18"/>
              </w:rPr>
              <w:t>105,311</w:t>
            </w:r>
          </w:p>
          <w:p>
            <w:pPr>
              <w:pStyle w:val="TableParagraph"/>
              <w:spacing w:line="240" w:lineRule="auto" w:before="106"/>
              <w:ind w:left="104" w:right="0"/>
              <w:jc w:val="left"/>
              <w:rPr>
                <w:rFonts w:ascii="Times New Roman" w:hAnsi="Times New Roman" w:cs="Times New Roman" w:eastAsia="Times New Roman" w:hint="default"/>
                <w:sz w:val="18"/>
                <w:szCs w:val="18"/>
              </w:rPr>
            </w:pPr>
            <w:r>
              <w:rPr>
                <w:rFonts w:ascii="Times New Roman"/>
                <w:sz w:val="18"/>
              </w:rPr>
              <w:t>,976.46</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9" w:right="0"/>
              <w:jc w:val="left"/>
              <w:rPr>
                <w:rFonts w:ascii="Times New Roman" w:hAnsi="Times New Roman" w:cs="Times New Roman" w:eastAsia="Times New Roman" w:hint="default"/>
                <w:sz w:val="18"/>
                <w:szCs w:val="18"/>
              </w:rPr>
            </w:pPr>
            <w:r>
              <w:rPr>
                <w:rFonts w:ascii="Times New Roman"/>
                <w:sz w:val="18"/>
              </w:rPr>
              <w:t>12,155,</w:t>
            </w:r>
          </w:p>
          <w:p>
            <w:pPr>
              <w:pStyle w:val="TableParagraph"/>
              <w:spacing w:line="240" w:lineRule="auto" w:before="106"/>
              <w:ind w:left="124" w:right="0"/>
              <w:jc w:val="left"/>
              <w:rPr>
                <w:rFonts w:ascii="Times New Roman" w:hAnsi="Times New Roman" w:cs="Times New Roman" w:eastAsia="Times New Roman" w:hint="default"/>
                <w:sz w:val="18"/>
                <w:szCs w:val="18"/>
              </w:rPr>
            </w:pPr>
            <w:r>
              <w:rPr>
                <w:rFonts w:ascii="Times New Roman"/>
                <w:sz w:val="18"/>
              </w:rPr>
              <w:t>301.69</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6" w:right="0"/>
              <w:jc w:val="left"/>
              <w:rPr>
                <w:rFonts w:ascii="Times New Roman" w:hAnsi="Times New Roman" w:cs="Times New Roman" w:eastAsia="Times New Roman" w:hint="default"/>
                <w:sz w:val="18"/>
                <w:szCs w:val="18"/>
              </w:rPr>
            </w:pPr>
            <w:r>
              <w:rPr>
                <w:rFonts w:ascii="Times New Roman"/>
                <w:sz w:val="18"/>
              </w:rPr>
              <w:t>118,403</w:t>
            </w:r>
          </w:p>
          <w:p>
            <w:pPr>
              <w:pStyle w:val="TableParagraph"/>
              <w:spacing w:line="240" w:lineRule="auto" w:before="106"/>
              <w:ind w:left="85" w:right="0"/>
              <w:jc w:val="left"/>
              <w:rPr>
                <w:rFonts w:ascii="Times New Roman" w:hAnsi="Times New Roman" w:cs="Times New Roman" w:eastAsia="Times New Roman" w:hint="default"/>
                <w:sz w:val="18"/>
                <w:szCs w:val="18"/>
              </w:rPr>
            </w:pPr>
            <w:r>
              <w:rPr>
                <w:rFonts w:ascii="Times New Roman"/>
                <w:sz w:val="18"/>
              </w:rPr>
              <w:t>,332.23</w:t>
            </w: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1"/>
              <w:jc w:val="left"/>
              <w:rPr>
                <w:rFonts w:ascii="宋体" w:hAnsi="宋体" w:cs="宋体" w:eastAsia="宋体" w:hint="default"/>
                <w:sz w:val="18"/>
                <w:szCs w:val="18"/>
              </w:rPr>
            </w:pPr>
            <w:r>
              <w:rPr>
                <w:rFonts w:ascii="宋体" w:hAnsi="宋体" w:cs="宋体" w:eastAsia="宋体" w:hint="default"/>
                <w:spacing w:val="-8"/>
                <w:sz w:val="18"/>
                <w:szCs w:val="18"/>
              </w:rPr>
              <w:t>（二）所有者投入</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和减少资本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 w:right="0"/>
              <w:jc w:val="center"/>
              <w:rPr>
                <w:rFonts w:ascii="Times New Roman" w:hAnsi="Times New Roman" w:cs="Times New Roman" w:eastAsia="Times New Roman" w:hint="default"/>
                <w:sz w:val="18"/>
                <w:szCs w:val="18"/>
              </w:rPr>
            </w:pPr>
            <w:r>
              <w:rPr>
                <w:rFonts w:ascii="Times New Roman"/>
                <w:sz w:val="18"/>
              </w:rPr>
              <w:t>-16,890,</w:t>
            </w:r>
          </w:p>
          <w:p>
            <w:pPr>
              <w:pStyle w:val="TableParagraph"/>
              <w:spacing w:line="240" w:lineRule="auto" w:before="106"/>
              <w:ind w:left="115" w:right="0"/>
              <w:jc w:val="center"/>
              <w:rPr>
                <w:rFonts w:ascii="Times New Roman" w:hAnsi="Times New Roman" w:cs="Times New Roman" w:eastAsia="Times New Roman" w:hint="default"/>
                <w:sz w:val="18"/>
                <w:szCs w:val="18"/>
              </w:rPr>
            </w:pPr>
            <w:r>
              <w:rPr>
                <w:rFonts w:ascii="Times New Roman"/>
                <w:sz w:val="18"/>
              </w:rPr>
              <w:t>000.00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center"/>
              <w:rPr>
                <w:rFonts w:ascii="Times New Roman" w:hAnsi="Times New Roman" w:cs="Times New Roman" w:eastAsia="Times New Roman" w:hint="default"/>
                <w:sz w:val="18"/>
                <w:szCs w:val="18"/>
              </w:rPr>
            </w:pPr>
            <w:r>
              <w:rPr>
                <w:rFonts w:ascii="Times New Roman"/>
                <w:sz w:val="18"/>
              </w:rPr>
              <w:t>1,835,7</w:t>
            </w:r>
          </w:p>
          <w:p>
            <w:pPr>
              <w:pStyle w:val="TableParagraph"/>
              <w:spacing w:line="240" w:lineRule="auto" w:before="106"/>
              <w:ind w:left="192" w:right="0"/>
              <w:jc w:val="center"/>
              <w:rPr>
                <w:rFonts w:ascii="Times New Roman" w:hAnsi="Times New Roman" w:cs="Times New Roman" w:eastAsia="Times New Roman" w:hint="default"/>
                <w:sz w:val="18"/>
                <w:szCs w:val="18"/>
              </w:rPr>
            </w:pPr>
            <w:r>
              <w:rPr>
                <w:rFonts w:ascii="Times New Roman"/>
                <w:sz w:val="18"/>
              </w:rPr>
              <w:t>90.67</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-15,054,</w:t>
            </w:r>
          </w:p>
          <w:p>
            <w:pPr>
              <w:pStyle w:val="TableParagraph"/>
              <w:spacing w:line="240" w:lineRule="auto" w:before="106"/>
              <w:ind w:left="107" w:right="0"/>
              <w:jc w:val="center"/>
              <w:rPr>
                <w:rFonts w:ascii="Times New Roman" w:hAnsi="Times New Roman" w:cs="Times New Roman" w:eastAsia="Times New Roman" w:hint="default"/>
                <w:sz w:val="18"/>
                <w:szCs w:val="18"/>
              </w:rPr>
            </w:pPr>
            <w:r>
              <w:rPr>
                <w:rFonts w:ascii="Times New Roman"/>
                <w:sz w:val="18"/>
              </w:rPr>
              <w:t>209.33</w:t>
            </w: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 w:right="0"/>
              <w:jc w:val="center"/>
              <w:rPr>
                <w:rFonts w:ascii="Times New Roman" w:hAnsi="Times New Roman" w:cs="Times New Roman" w:eastAsia="Times New Roman" w:hint="default"/>
                <w:sz w:val="18"/>
                <w:szCs w:val="18"/>
              </w:rPr>
            </w:pPr>
            <w:r>
              <w:rPr>
                <w:rFonts w:ascii="Times New Roman"/>
                <w:sz w:val="18"/>
              </w:rPr>
              <w:t>-16,890,</w:t>
            </w:r>
          </w:p>
          <w:p>
            <w:pPr>
              <w:pStyle w:val="TableParagraph"/>
              <w:spacing w:line="240" w:lineRule="auto" w:before="106"/>
              <w:ind w:left="115" w:right="0"/>
              <w:jc w:val="center"/>
              <w:rPr>
                <w:rFonts w:ascii="Times New Roman" w:hAnsi="Times New Roman" w:cs="Times New Roman" w:eastAsia="Times New Roman" w:hint="default"/>
                <w:sz w:val="18"/>
                <w:szCs w:val="18"/>
              </w:rPr>
            </w:pPr>
            <w:r>
              <w:rPr>
                <w:rFonts w:ascii="Times New Roman"/>
                <w:sz w:val="18"/>
              </w:rPr>
              <w:t>000.00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center"/>
              <w:rPr>
                <w:rFonts w:ascii="Times New Roman" w:hAnsi="Times New Roman" w:cs="Times New Roman" w:eastAsia="Times New Roman" w:hint="default"/>
                <w:sz w:val="18"/>
                <w:szCs w:val="18"/>
              </w:rPr>
            </w:pPr>
            <w:r>
              <w:rPr>
                <w:rFonts w:ascii="Times New Roman"/>
                <w:sz w:val="18"/>
              </w:rPr>
              <w:t>1,835,7</w:t>
            </w:r>
          </w:p>
          <w:p>
            <w:pPr>
              <w:pStyle w:val="TableParagraph"/>
              <w:spacing w:line="240" w:lineRule="auto" w:before="106"/>
              <w:ind w:left="192" w:right="0"/>
              <w:jc w:val="center"/>
              <w:rPr>
                <w:rFonts w:ascii="Times New Roman" w:hAnsi="Times New Roman" w:cs="Times New Roman" w:eastAsia="Times New Roman" w:hint="default"/>
                <w:sz w:val="18"/>
                <w:szCs w:val="18"/>
              </w:rPr>
            </w:pPr>
            <w:r>
              <w:rPr>
                <w:rFonts w:ascii="Times New Roman"/>
                <w:sz w:val="18"/>
              </w:rPr>
              <w:t>90.67</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-15,054,</w:t>
            </w:r>
          </w:p>
          <w:p>
            <w:pPr>
              <w:pStyle w:val="TableParagraph"/>
              <w:spacing w:line="240" w:lineRule="auto" w:before="106"/>
              <w:ind w:left="107" w:right="0"/>
              <w:jc w:val="center"/>
              <w:rPr>
                <w:rFonts w:ascii="Times New Roman" w:hAnsi="Times New Roman" w:cs="Times New Roman" w:eastAsia="Times New Roman" w:hint="default"/>
                <w:sz w:val="18"/>
                <w:szCs w:val="18"/>
              </w:rPr>
            </w:pPr>
            <w:r>
              <w:rPr>
                <w:rFonts w:ascii="Times New Roman"/>
                <w:sz w:val="18"/>
              </w:rPr>
              <w:t>209.33</w:t>
            </w: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7" w:right="0"/>
              <w:jc w:val="center"/>
              <w:rPr>
                <w:rFonts w:ascii="Times New Roman" w:hAnsi="Times New Roman" w:cs="Times New Roman" w:eastAsia="Times New Roman" w:hint="default"/>
                <w:sz w:val="18"/>
                <w:szCs w:val="18"/>
              </w:rPr>
            </w:pPr>
            <w:r>
              <w:rPr>
                <w:rFonts w:ascii="Times New Roman"/>
                <w:sz w:val="18"/>
              </w:rPr>
              <w:t>8,746,9</w:t>
            </w:r>
          </w:p>
          <w:p>
            <w:pPr>
              <w:pStyle w:val="TableParagraph"/>
              <w:spacing w:line="240" w:lineRule="auto" w:before="106"/>
              <w:ind w:left="203" w:right="0"/>
              <w:jc w:val="center"/>
              <w:rPr>
                <w:rFonts w:ascii="Times New Roman" w:hAnsi="Times New Roman" w:cs="Times New Roman" w:eastAsia="Times New Roman" w:hint="default"/>
                <w:sz w:val="18"/>
                <w:szCs w:val="18"/>
              </w:rPr>
            </w:pPr>
            <w:r>
              <w:rPr>
                <w:rFonts w:ascii="Times New Roman"/>
                <w:sz w:val="18"/>
              </w:rPr>
              <w:t>51.52</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-25,966,</w:t>
            </w:r>
          </w:p>
          <w:p>
            <w:pPr>
              <w:pStyle w:val="TableParagraph"/>
              <w:spacing w:line="240" w:lineRule="auto" w:before="106"/>
              <w:ind w:left="126" w:right="0"/>
              <w:jc w:val="center"/>
              <w:rPr>
                <w:rFonts w:ascii="Times New Roman" w:hAnsi="Times New Roman" w:cs="Times New Roman" w:eastAsia="Times New Roman" w:hint="default"/>
                <w:sz w:val="18"/>
                <w:szCs w:val="18"/>
              </w:rPr>
            </w:pPr>
            <w:r>
              <w:rPr>
                <w:rFonts w:ascii="Times New Roman"/>
                <w:sz w:val="18"/>
              </w:rPr>
              <w:t>718.72</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9" w:right="0"/>
              <w:jc w:val="left"/>
              <w:rPr>
                <w:rFonts w:ascii="Times New Roman" w:hAnsi="Times New Roman" w:cs="Times New Roman" w:eastAsia="Times New Roman" w:hint="default"/>
                <w:sz w:val="18"/>
                <w:szCs w:val="18"/>
              </w:rPr>
            </w:pPr>
            <w:r>
              <w:rPr>
                <w:rFonts w:ascii="Times New Roman"/>
                <w:sz w:val="18"/>
              </w:rPr>
              <w:t>-3,602,</w:t>
            </w:r>
          </w:p>
          <w:p>
            <w:pPr>
              <w:pStyle w:val="TableParagraph"/>
              <w:spacing w:line="240" w:lineRule="auto" w:before="106"/>
              <w:ind w:left="124" w:right="0"/>
              <w:jc w:val="left"/>
              <w:rPr>
                <w:rFonts w:ascii="Times New Roman" w:hAnsi="Times New Roman" w:cs="Times New Roman" w:eastAsia="Times New Roman" w:hint="default"/>
                <w:sz w:val="18"/>
                <w:szCs w:val="18"/>
              </w:rPr>
            </w:pPr>
            <w:r>
              <w:rPr>
                <w:rFonts w:ascii="Times New Roman"/>
                <w:sz w:val="18"/>
              </w:rPr>
              <w:t>000.00</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-20,821,</w:t>
            </w:r>
          </w:p>
          <w:p>
            <w:pPr>
              <w:pStyle w:val="TableParagraph"/>
              <w:spacing w:line="240" w:lineRule="auto" w:before="106"/>
              <w:ind w:left="107" w:right="0"/>
              <w:jc w:val="center"/>
              <w:rPr>
                <w:rFonts w:ascii="Times New Roman" w:hAnsi="Times New Roman" w:cs="Times New Roman" w:eastAsia="Times New Roman" w:hint="default"/>
                <w:sz w:val="18"/>
                <w:szCs w:val="18"/>
              </w:rPr>
            </w:pPr>
            <w:r>
              <w:rPr>
                <w:rFonts w:ascii="Times New Roman"/>
                <w:sz w:val="18"/>
              </w:rPr>
              <w:t>767.20</w:t>
            </w: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7" w:right="0"/>
              <w:jc w:val="center"/>
              <w:rPr>
                <w:rFonts w:ascii="Times New Roman" w:hAnsi="Times New Roman" w:cs="Times New Roman" w:eastAsia="Times New Roman" w:hint="default"/>
                <w:sz w:val="18"/>
                <w:szCs w:val="18"/>
              </w:rPr>
            </w:pPr>
            <w:r>
              <w:rPr>
                <w:rFonts w:ascii="Times New Roman"/>
                <w:sz w:val="18"/>
              </w:rPr>
              <w:t>8,746,9</w:t>
            </w:r>
          </w:p>
          <w:p>
            <w:pPr>
              <w:pStyle w:val="TableParagraph"/>
              <w:spacing w:line="240" w:lineRule="auto" w:before="106"/>
              <w:ind w:left="203" w:right="0"/>
              <w:jc w:val="center"/>
              <w:rPr>
                <w:rFonts w:ascii="Times New Roman" w:hAnsi="Times New Roman" w:cs="Times New Roman" w:eastAsia="Times New Roman" w:hint="default"/>
                <w:sz w:val="18"/>
                <w:szCs w:val="18"/>
              </w:rPr>
            </w:pPr>
            <w:r>
              <w:rPr>
                <w:rFonts w:ascii="Times New Roman"/>
                <w:sz w:val="18"/>
              </w:rPr>
              <w:t>51.52</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 w:right="0"/>
              <w:jc w:val="center"/>
              <w:rPr>
                <w:rFonts w:ascii="Times New Roman" w:hAnsi="Times New Roman" w:cs="Times New Roman" w:eastAsia="Times New Roman" w:hint="default"/>
                <w:sz w:val="18"/>
                <w:szCs w:val="18"/>
              </w:rPr>
            </w:pPr>
            <w:r>
              <w:rPr>
                <w:rFonts w:ascii="Times New Roman"/>
                <w:sz w:val="18"/>
              </w:rPr>
              <w:t>-8,746,9</w:t>
            </w:r>
          </w:p>
          <w:p>
            <w:pPr>
              <w:pStyle w:val="TableParagraph"/>
              <w:spacing w:line="240" w:lineRule="auto" w:before="106"/>
              <w:ind w:left="216" w:right="0"/>
              <w:jc w:val="center"/>
              <w:rPr>
                <w:rFonts w:ascii="Times New Roman" w:hAnsi="Times New Roman" w:cs="Times New Roman" w:eastAsia="Times New Roman" w:hint="default"/>
                <w:sz w:val="18"/>
                <w:szCs w:val="18"/>
              </w:rPr>
            </w:pPr>
            <w:r>
              <w:rPr>
                <w:rFonts w:ascii="Times New Roman"/>
                <w:sz w:val="18"/>
              </w:rPr>
              <w:t>51.52</w:t>
            </w: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 准备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 股东）的分配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-17,219,</w:t>
            </w:r>
          </w:p>
          <w:p>
            <w:pPr>
              <w:pStyle w:val="TableParagraph"/>
              <w:spacing w:line="240" w:lineRule="auto" w:before="106"/>
              <w:ind w:left="126" w:right="0"/>
              <w:jc w:val="center"/>
              <w:rPr>
                <w:rFonts w:ascii="Times New Roman" w:hAnsi="Times New Roman" w:cs="Times New Roman" w:eastAsia="Times New Roman" w:hint="default"/>
                <w:sz w:val="18"/>
                <w:szCs w:val="18"/>
              </w:rPr>
            </w:pPr>
            <w:r>
              <w:rPr>
                <w:rFonts w:ascii="Times New Roman"/>
                <w:sz w:val="18"/>
              </w:rPr>
              <w:t>767.20</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9" w:right="0"/>
              <w:jc w:val="left"/>
              <w:rPr>
                <w:rFonts w:ascii="Times New Roman" w:hAnsi="Times New Roman" w:cs="Times New Roman" w:eastAsia="Times New Roman" w:hint="default"/>
                <w:sz w:val="18"/>
                <w:szCs w:val="18"/>
              </w:rPr>
            </w:pPr>
            <w:r>
              <w:rPr>
                <w:rFonts w:ascii="Times New Roman"/>
                <w:sz w:val="18"/>
              </w:rPr>
              <w:t>-3,602,</w:t>
            </w:r>
          </w:p>
          <w:p>
            <w:pPr>
              <w:pStyle w:val="TableParagraph"/>
              <w:spacing w:line="240" w:lineRule="auto" w:before="106"/>
              <w:ind w:left="124" w:right="0"/>
              <w:jc w:val="left"/>
              <w:rPr>
                <w:rFonts w:ascii="Times New Roman" w:hAnsi="Times New Roman" w:cs="Times New Roman" w:eastAsia="Times New Roman" w:hint="default"/>
                <w:sz w:val="18"/>
                <w:szCs w:val="18"/>
              </w:rPr>
            </w:pPr>
            <w:r>
              <w:rPr>
                <w:rFonts w:ascii="Times New Roman"/>
                <w:sz w:val="18"/>
              </w:rPr>
              <w:t>000.00</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-20,821,</w:t>
            </w:r>
          </w:p>
          <w:p>
            <w:pPr>
              <w:pStyle w:val="TableParagraph"/>
              <w:spacing w:line="240" w:lineRule="auto" w:before="106"/>
              <w:ind w:left="107" w:right="0"/>
              <w:jc w:val="center"/>
              <w:rPr>
                <w:rFonts w:ascii="Times New Roman" w:hAnsi="Times New Roman" w:cs="Times New Roman" w:eastAsia="Times New Roman" w:hint="default"/>
                <w:sz w:val="18"/>
                <w:szCs w:val="18"/>
              </w:rPr>
            </w:pPr>
            <w:r>
              <w:rPr>
                <w:rFonts w:ascii="Times New Roman"/>
                <w:sz w:val="18"/>
              </w:rPr>
              <w:t>767.20</w:t>
            </w: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1"/>
              <w:jc w:val="left"/>
              <w:rPr>
                <w:rFonts w:ascii="宋体" w:hAnsi="宋体" w:cs="宋体" w:eastAsia="宋体" w:hint="default"/>
                <w:sz w:val="18"/>
                <w:szCs w:val="18"/>
              </w:rPr>
            </w:pPr>
            <w:r>
              <w:rPr>
                <w:rFonts w:ascii="宋体" w:hAnsi="宋体" w:cs="宋体" w:eastAsia="宋体" w:hint="default"/>
                <w:spacing w:val="-8"/>
                <w:sz w:val="18"/>
                <w:szCs w:val="18"/>
              </w:rPr>
              <w:t>（四）所有者权益</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内部结转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1437"/>
        <w:gridCol w:w="562"/>
        <w:gridCol w:w="530"/>
        <w:gridCol w:w="532"/>
        <w:gridCol w:w="530"/>
        <w:gridCol w:w="665"/>
        <w:gridCol w:w="665"/>
        <w:gridCol w:w="665"/>
        <w:gridCol w:w="665"/>
        <w:gridCol w:w="665"/>
        <w:gridCol w:w="665"/>
        <w:gridCol w:w="678"/>
        <w:gridCol w:w="652"/>
        <w:gridCol w:w="659"/>
      </w:tblGrid>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9" w:right="0"/>
              <w:jc w:val="left"/>
              <w:rPr>
                <w:rFonts w:ascii="Times New Roman" w:hAnsi="Times New Roman" w:cs="Times New Roman" w:eastAsia="Times New Roman" w:hint="default"/>
                <w:sz w:val="18"/>
                <w:szCs w:val="18"/>
              </w:rPr>
            </w:pPr>
            <w:r>
              <w:rPr>
                <w:rFonts w:ascii="Times New Roman"/>
                <w:sz w:val="18"/>
              </w:rPr>
              <w:t>-910,00</w:t>
            </w:r>
          </w:p>
          <w:p>
            <w:pPr>
              <w:pStyle w:val="TableParagraph"/>
              <w:spacing w:line="240" w:lineRule="auto" w:before="106"/>
              <w:ind w:left="329" w:right="0"/>
              <w:jc w:val="left"/>
              <w:rPr>
                <w:rFonts w:ascii="Times New Roman" w:hAnsi="Times New Roman" w:cs="Times New Roman" w:eastAsia="Times New Roman" w:hint="default"/>
                <w:sz w:val="18"/>
                <w:szCs w:val="18"/>
              </w:rPr>
            </w:pPr>
            <w:r>
              <w:rPr>
                <w:rFonts w:ascii="Times New Roman"/>
                <w:sz w:val="18"/>
              </w:rPr>
              <w:t>0.00</w:t>
            </w: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0" w:right="0"/>
              <w:jc w:val="left"/>
              <w:rPr>
                <w:rFonts w:ascii="Times New Roman" w:hAnsi="Times New Roman" w:cs="Times New Roman" w:eastAsia="Times New Roman" w:hint="default"/>
                <w:sz w:val="18"/>
                <w:szCs w:val="18"/>
              </w:rPr>
            </w:pPr>
            <w:r>
              <w:rPr>
                <w:rFonts w:ascii="Times New Roman"/>
                <w:sz w:val="18"/>
              </w:rPr>
              <w:t>-910,00</w:t>
            </w:r>
          </w:p>
          <w:p>
            <w:pPr>
              <w:pStyle w:val="TableParagraph"/>
              <w:spacing w:line="240" w:lineRule="auto" w:before="106"/>
              <w:ind w:left="310" w:right="0"/>
              <w:jc w:val="left"/>
              <w:rPr>
                <w:rFonts w:ascii="Times New Roman" w:hAnsi="Times New Roman" w:cs="Times New Roman" w:eastAsia="Times New Roman" w:hint="default"/>
                <w:sz w:val="18"/>
                <w:szCs w:val="18"/>
              </w:rPr>
            </w:pPr>
            <w:r>
              <w:rPr>
                <w:rFonts w:ascii="Times New Roman"/>
                <w:sz w:val="18"/>
              </w:rPr>
              <w:t>0.00</w:t>
            </w: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pacing w:val="-8"/>
                <w:sz w:val="18"/>
                <w:szCs w:val="18"/>
              </w:rPr>
              <w:t>四、本期期末余额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344,39</w:t>
            </w:r>
          </w:p>
          <w:p>
            <w:pPr>
              <w:pStyle w:val="TableParagraph"/>
              <w:spacing w:line="240" w:lineRule="auto" w:before="105"/>
              <w:ind w:left="79" w:right="0"/>
              <w:jc w:val="left"/>
              <w:rPr>
                <w:rFonts w:ascii="Times New Roman" w:hAnsi="Times New Roman" w:cs="Times New Roman" w:eastAsia="Times New Roman" w:hint="default"/>
                <w:sz w:val="18"/>
                <w:szCs w:val="18"/>
              </w:rPr>
            </w:pPr>
            <w:r>
              <w:rPr>
                <w:rFonts w:ascii="Times New Roman"/>
                <w:sz w:val="18"/>
              </w:rPr>
              <w:t>5,344.</w:t>
            </w:r>
          </w:p>
          <w:p>
            <w:pPr>
              <w:pStyle w:val="TableParagraph"/>
              <w:spacing w:line="240" w:lineRule="auto" w:before="106"/>
              <w:ind w:left="349"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677,770</w:t>
            </w:r>
          </w:p>
          <w:p>
            <w:pPr>
              <w:pStyle w:val="TableParagraph"/>
              <w:spacing w:line="240" w:lineRule="auto" w:before="106"/>
              <w:ind w:left="92" w:right="0"/>
              <w:jc w:val="left"/>
              <w:rPr>
                <w:rFonts w:ascii="Times New Roman" w:hAnsi="Times New Roman" w:cs="Times New Roman" w:eastAsia="Times New Roman" w:hint="default"/>
                <w:sz w:val="18"/>
                <w:szCs w:val="18"/>
              </w:rPr>
            </w:pPr>
            <w:r>
              <w:rPr>
                <w:rFonts w:ascii="Times New Roman"/>
                <w:sz w:val="18"/>
              </w:rPr>
              <w:t>,058.81</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7" w:right="0"/>
              <w:jc w:val="center"/>
              <w:rPr>
                <w:rFonts w:ascii="Times New Roman" w:hAnsi="Times New Roman" w:cs="Times New Roman" w:eastAsia="Times New Roman" w:hint="default"/>
                <w:sz w:val="18"/>
                <w:szCs w:val="18"/>
              </w:rPr>
            </w:pPr>
            <w:r>
              <w:rPr>
                <w:rFonts w:ascii="Times New Roman"/>
                <w:sz w:val="18"/>
              </w:rPr>
              <w:t>1,713,9</w:t>
            </w:r>
          </w:p>
          <w:p>
            <w:pPr>
              <w:pStyle w:val="TableParagraph"/>
              <w:spacing w:line="240" w:lineRule="auto" w:before="106"/>
              <w:ind w:left="203" w:right="0"/>
              <w:jc w:val="center"/>
              <w:rPr>
                <w:rFonts w:ascii="Times New Roman" w:hAnsi="Times New Roman" w:cs="Times New Roman" w:eastAsia="Times New Roman" w:hint="default"/>
                <w:sz w:val="18"/>
                <w:szCs w:val="18"/>
              </w:rPr>
            </w:pPr>
            <w:r>
              <w:rPr>
                <w:rFonts w:ascii="Times New Roman"/>
                <w:sz w:val="18"/>
              </w:rPr>
              <w:t>46.74</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44,248,</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834.40</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381,487</w:t>
            </w:r>
          </w:p>
          <w:p>
            <w:pPr>
              <w:pStyle w:val="TableParagraph"/>
              <w:spacing w:line="240" w:lineRule="auto" w:before="106"/>
              <w:ind w:left="104" w:right="0"/>
              <w:jc w:val="left"/>
              <w:rPr>
                <w:rFonts w:ascii="Times New Roman" w:hAnsi="Times New Roman" w:cs="Times New Roman" w:eastAsia="Times New Roman" w:hint="default"/>
                <w:sz w:val="18"/>
                <w:szCs w:val="18"/>
              </w:rPr>
            </w:pPr>
            <w:r>
              <w:rPr>
                <w:rFonts w:ascii="Times New Roman"/>
                <w:sz w:val="18"/>
              </w:rPr>
              <w:t>,196.57</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sz w:val="18"/>
              </w:rPr>
              <w:t>46,173,</w:t>
            </w:r>
          </w:p>
          <w:p>
            <w:pPr>
              <w:pStyle w:val="TableParagraph"/>
              <w:spacing w:line="240" w:lineRule="auto" w:before="106"/>
              <w:ind w:left="124" w:right="0"/>
              <w:jc w:val="left"/>
              <w:rPr>
                <w:rFonts w:ascii="Times New Roman" w:hAnsi="Times New Roman" w:cs="Times New Roman" w:eastAsia="Times New Roman" w:hint="default"/>
                <w:sz w:val="18"/>
                <w:szCs w:val="18"/>
              </w:rPr>
            </w:pPr>
            <w:r>
              <w:rPr>
                <w:rFonts w:ascii="Times New Roman"/>
                <w:sz w:val="18"/>
              </w:rPr>
              <w:t>889.41</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1,495,7</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89,269.</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93</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5"/>
        <w:ind w:left="1134" w:right="0"/>
        <w:jc w:val="left"/>
        <w:rPr>
          <w:b w:val="0"/>
          <w:bCs w:val="0"/>
        </w:rPr>
      </w:pPr>
      <w:bookmarkStart w:name="8、母公司所有者权益变动表" w:id="164"/>
      <w:bookmarkEnd w:id="164"/>
      <w:r>
        <w:rPr>
          <w:b w:val="0"/>
          <w:bCs w:val="0"/>
        </w:rPr>
      </w:r>
      <w:r>
        <w:rPr>
          <w:rFonts w:ascii="Times New Roman" w:hAnsi="Times New Roman" w:cs="Times New Roman" w:eastAsia="Times New Roman" w:hint="default"/>
        </w:rPr>
        <w:t>8</w:t>
      </w:r>
      <w:r>
        <w:rPr/>
        <w:t>、母公司所有者权益变动表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1134" w:right="0"/>
        <w:jc w:val="left"/>
      </w:pPr>
      <w:r>
        <w:rPr/>
        <w:t>本期金额</w:t>
      </w:r>
    </w:p>
    <w:p>
      <w:pPr>
        <w:pStyle w:val="BodyText"/>
        <w:spacing w:line="240" w:lineRule="auto" w:before="117"/>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430"/>
        <w:gridCol w:w="703"/>
        <w:gridCol w:w="665"/>
        <w:gridCol w:w="665"/>
        <w:gridCol w:w="665"/>
        <w:gridCol w:w="797"/>
        <w:gridCol w:w="798"/>
        <w:gridCol w:w="798"/>
        <w:gridCol w:w="798"/>
        <w:gridCol w:w="797"/>
        <w:gridCol w:w="676"/>
        <w:gridCol w:w="781"/>
      </w:tblGrid>
      <w:tr>
        <w:trPr>
          <w:trHeight w:val="397" w:hRule="exact"/>
        </w:trPr>
        <w:tc>
          <w:tcPr>
            <w:tcW w:w="1430" w:type="dxa"/>
            <w:tcBorders>
              <w:top w:val="single" w:sz="4" w:space="0" w:color="000000"/>
              <w:left w:val="single" w:sz="4" w:space="0" w:color="000000"/>
              <w:bottom w:val="nil" w:sz="6" w:space="0" w:color="auto"/>
              <w:right w:val="single" w:sz="4" w:space="0" w:color="000000"/>
            </w:tcBorders>
            <w:shd w:val="clear" w:color="auto" w:fill="D2D2D2"/>
          </w:tcPr>
          <w:p>
            <w:pPr/>
          </w:p>
        </w:tc>
        <w:tc>
          <w:tcPr>
            <w:tcW w:w="8143"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211" w:hRule="exact"/>
        </w:trPr>
        <w:tc>
          <w:tcPr>
            <w:tcW w:w="143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61"/>
              <w:ind w:left="1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703" w:type="dxa"/>
            <w:tcBorders>
              <w:top w:val="single" w:sz="4" w:space="0" w:color="000000"/>
              <w:left w:val="single" w:sz="4" w:space="0" w:color="000000"/>
              <w:bottom w:val="nil" w:sz="6" w:space="0" w:color="auto"/>
              <w:right w:val="single" w:sz="4" w:space="0" w:color="000000"/>
            </w:tcBorders>
            <w:shd w:val="clear" w:color="auto" w:fill="D2D2D2"/>
          </w:tcPr>
          <w:p>
            <w:pPr/>
          </w:p>
        </w:tc>
        <w:tc>
          <w:tcPr>
            <w:tcW w:w="1995"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45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304" w:right="31" w:hanging="270"/>
              <w:jc w:val="left"/>
              <w:rPr>
                <w:rFonts w:ascii="宋体" w:hAnsi="宋体" w:cs="宋体" w:eastAsia="宋体" w:hint="default"/>
                <w:sz w:val="18"/>
                <w:szCs w:val="18"/>
              </w:rPr>
            </w:pPr>
            <w:r>
              <w:rPr>
                <w:rFonts w:ascii="宋体" w:hAnsi="宋体" w:cs="宋体" w:eastAsia="宋体" w:hint="default"/>
                <w:sz w:val="18"/>
                <w:szCs w:val="18"/>
              </w:rPr>
              <w:t>减：库存 股</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214" w:right="31" w:hanging="180"/>
              <w:jc w:val="left"/>
              <w:rPr>
                <w:rFonts w:ascii="宋体" w:hAnsi="宋体" w:cs="宋体" w:eastAsia="宋体" w:hint="default"/>
                <w:sz w:val="18"/>
                <w:szCs w:val="18"/>
              </w:rPr>
            </w:pPr>
            <w:r>
              <w:rPr>
                <w:rFonts w:ascii="宋体" w:hAnsi="宋体" w:cs="宋体" w:eastAsia="宋体" w:hint="default"/>
                <w:sz w:val="18"/>
                <w:szCs w:val="18"/>
              </w:rPr>
              <w:t>其他综合 收益</w:t>
            </w:r>
          </w:p>
        </w:tc>
        <w:tc>
          <w:tcPr>
            <w:tcW w:w="798"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67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152" w:right="61"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78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115" w:right="24" w:hanging="90"/>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191" w:hRule="exact"/>
        </w:trPr>
        <w:tc>
          <w:tcPr>
            <w:tcW w:w="1430" w:type="dxa"/>
            <w:vMerge/>
            <w:tcBorders>
              <w:left w:val="single" w:sz="4" w:space="0" w:color="000000"/>
              <w:bottom w:val="nil" w:sz="6" w:space="0" w:color="auto"/>
              <w:right w:val="single" w:sz="4" w:space="0" w:color="000000"/>
            </w:tcBorders>
            <w:shd w:val="clear" w:color="auto" w:fill="D2D2D2"/>
          </w:tcPr>
          <w:p>
            <w:pPr/>
          </w:p>
        </w:tc>
        <w:tc>
          <w:tcPr>
            <w:tcW w:w="70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71"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995" w:type="dxa"/>
            <w:gridSpan w:val="3"/>
            <w:vMerge/>
            <w:tcBorders>
              <w:left w:val="single" w:sz="4" w:space="0" w:color="000000"/>
              <w:bottom w:val="single" w:sz="4" w:space="0" w:color="000000"/>
              <w:right w:val="single" w:sz="4" w:space="0" w:color="000000"/>
            </w:tcBorders>
            <w:shd w:val="clear" w:color="auto" w:fill="D2D2D2"/>
          </w:tcPr>
          <w:p>
            <w:pP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676" w:type="dxa"/>
            <w:vMerge/>
            <w:tcBorders>
              <w:left w:val="single" w:sz="4" w:space="0" w:color="000000"/>
              <w:right w:val="single" w:sz="4" w:space="0" w:color="000000"/>
            </w:tcBorders>
            <w:shd w:val="clear" w:color="auto" w:fill="D2D2D2"/>
          </w:tcPr>
          <w:p>
            <w:pPr/>
          </w:p>
        </w:tc>
        <w:tc>
          <w:tcPr>
            <w:tcW w:w="781" w:type="dxa"/>
            <w:vMerge/>
            <w:tcBorders>
              <w:left w:val="single" w:sz="4" w:space="0" w:color="000000"/>
              <w:right w:val="single" w:sz="4" w:space="0" w:color="000000"/>
            </w:tcBorders>
            <w:shd w:val="clear" w:color="auto" w:fill="D2D2D2"/>
          </w:tcPr>
          <w:p>
            <w:pPr/>
          </w:p>
        </w:tc>
      </w:tr>
      <w:tr>
        <w:trPr>
          <w:trHeight w:val="202" w:hRule="exact"/>
        </w:trPr>
        <w:tc>
          <w:tcPr>
            <w:tcW w:w="1430" w:type="dxa"/>
            <w:vMerge w:val="restart"/>
            <w:tcBorders>
              <w:top w:val="nil" w:sz="6" w:space="0" w:color="auto"/>
              <w:left w:val="single" w:sz="4" w:space="0" w:color="000000"/>
              <w:right w:val="single" w:sz="4" w:space="0" w:color="000000"/>
            </w:tcBorders>
            <w:shd w:val="clear" w:color="auto" w:fill="D2D2D2"/>
          </w:tcPr>
          <w:p>
            <w:pPr/>
          </w:p>
        </w:tc>
        <w:tc>
          <w:tcPr>
            <w:tcW w:w="703" w:type="dxa"/>
            <w:vMerge/>
            <w:tcBorders>
              <w:left w:val="single" w:sz="4" w:space="0" w:color="000000"/>
              <w:bottom w:val="nil" w:sz="6" w:space="0" w:color="auto"/>
              <w:right w:val="single" w:sz="4" w:space="0" w:color="000000"/>
            </w:tcBorders>
            <w:shd w:val="clear" w:color="auto" w:fill="D2D2D2"/>
          </w:tcPr>
          <w:p>
            <w:pP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6"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6"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4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7" w:type="dxa"/>
            <w:vMerge/>
            <w:tcBorders>
              <w:left w:val="single" w:sz="4" w:space="0" w:color="000000"/>
              <w:bottom w:val="nil" w:sz="6" w:space="0" w:color="auto"/>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bottom w:val="nil" w:sz="6" w:space="0" w:color="auto"/>
              <w:right w:val="single" w:sz="4" w:space="0" w:color="000000"/>
            </w:tcBorders>
            <w:shd w:val="clear" w:color="auto" w:fill="D2D2D2"/>
          </w:tcPr>
          <w:p>
            <w:pPr/>
          </w:p>
        </w:tc>
        <w:tc>
          <w:tcPr>
            <w:tcW w:w="797" w:type="dxa"/>
            <w:vMerge/>
            <w:tcBorders>
              <w:left w:val="single" w:sz="4" w:space="0" w:color="000000"/>
              <w:bottom w:val="nil" w:sz="6" w:space="0" w:color="auto"/>
              <w:right w:val="single" w:sz="4" w:space="0" w:color="000000"/>
            </w:tcBorders>
            <w:shd w:val="clear" w:color="auto" w:fill="D2D2D2"/>
          </w:tcPr>
          <w:p>
            <w:pPr/>
          </w:p>
        </w:tc>
        <w:tc>
          <w:tcPr>
            <w:tcW w:w="676" w:type="dxa"/>
            <w:vMerge/>
            <w:tcBorders>
              <w:left w:val="single" w:sz="4" w:space="0" w:color="000000"/>
              <w:right w:val="single" w:sz="4" w:space="0" w:color="000000"/>
            </w:tcBorders>
            <w:shd w:val="clear" w:color="auto" w:fill="D2D2D2"/>
          </w:tcPr>
          <w:p>
            <w:pPr/>
          </w:p>
        </w:tc>
        <w:tc>
          <w:tcPr>
            <w:tcW w:w="781" w:type="dxa"/>
            <w:vMerge/>
            <w:tcBorders>
              <w:left w:val="single" w:sz="4" w:space="0" w:color="000000"/>
              <w:right w:val="single" w:sz="4" w:space="0" w:color="000000"/>
            </w:tcBorders>
            <w:shd w:val="clear" w:color="auto" w:fill="D2D2D2"/>
          </w:tcPr>
          <w:p>
            <w:pPr/>
          </w:p>
        </w:tc>
      </w:tr>
      <w:tr>
        <w:trPr>
          <w:trHeight w:val="205" w:hRule="exact"/>
        </w:trPr>
        <w:tc>
          <w:tcPr>
            <w:tcW w:w="1430" w:type="dxa"/>
            <w:vMerge/>
            <w:tcBorders>
              <w:left w:val="single" w:sz="4" w:space="0" w:color="000000"/>
              <w:bottom w:val="single" w:sz="4" w:space="0" w:color="000000"/>
              <w:right w:val="single" w:sz="4" w:space="0" w:color="000000"/>
            </w:tcBorders>
            <w:shd w:val="clear" w:color="auto" w:fill="D2D2D2"/>
          </w:tcPr>
          <w:p>
            <w:pPr/>
          </w:p>
        </w:tc>
        <w:tc>
          <w:tcPr>
            <w:tcW w:w="703"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676" w:type="dxa"/>
            <w:vMerge/>
            <w:tcBorders>
              <w:left w:val="single" w:sz="4" w:space="0" w:color="000000"/>
              <w:bottom w:val="single" w:sz="4" w:space="0" w:color="000000"/>
              <w:right w:val="single" w:sz="4" w:space="0" w:color="000000"/>
            </w:tcBorders>
            <w:shd w:val="clear" w:color="auto" w:fill="D2D2D2"/>
          </w:tcPr>
          <w:p>
            <w:pPr/>
          </w:p>
        </w:tc>
        <w:tc>
          <w:tcPr>
            <w:tcW w:w="781" w:type="dxa"/>
            <w:vMerge/>
            <w:tcBorders>
              <w:left w:val="single" w:sz="4" w:space="0" w:color="000000"/>
              <w:bottom w:val="single" w:sz="4" w:space="0" w:color="000000"/>
              <w:right w:val="single" w:sz="4" w:space="0" w:color="000000"/>
            </w:tcBorders>
            <w:shd w:val="clear" w:color="auto" w:fill="D2D2D2"/>
          </w:tcPr>
          <w:p>
            <w:pPr/>
          </w:p>
        </w:tc>
      </w:tr>
      <w:tr>
        <w:trPr>
          <w:trHeight w:val="161" w:hRule="exact"/>
        </w:trPr>
        <w:tc>
          <w:tcPr>
            <w:tcW w:w="1430" w:type="dxa"/>
            <w:tcBorders>
              <w:top w:val="single" w:sz="4" w:space="0" w:color="000000"/>
              <w:left w:val="single" w:sz="4" w:space="0" w:color="000000"/>
              <w:bottom w:val="nil" w:sz="6" w:space="0" w:color="auto"/>
              <w:right w:val="single" w:sz="4" w:space="0" w:color="000000"/>
            </w:tcBorders>
            <w:shd w:val="clear" w:color="auto" w:fill="D2D2D2"/>
          </w:tcPr>
          <w:p>
            <w:pPr/>
          </w:p>
        </w:tc>
        <w:tc>
          <w:tcPr>
            <w:tcW w:w="703" w:type="dxa"/>
            <w:vMerge w:val="restart"/>
            <w:tcBorders>
              <w:top w:val="single" w:sz="4" w:space="0" w:color="000000"/>
              <w:left w:val="single" w:sz="10" w:space="0" w:color="D2D2D2"/>
              <w:right w:val="single" w:sz="4" w:space="0" w:color="000000"/>
            </w:tcBorders>
          </w:tcPr>
          <w:p>
            <w:pPr>
              <w:pStyle w:val="TableParagraph"/>
              <w:spacing w:line="240" w:lineRule="auto" w:before="91"/>
              <w:ind w:left="8" w:right="0"/>
              <w:jc w:val="center"/>
              <w:rPr>
                <w:rFonts w:ascii="Times New Roman" w:hAnsi="Times New Roman" w:cs="Times New Roman" w:eastAsia="Times New Roman" w:hint="default"/>
                <w:sz w:val="18"/>
                <w:szCs w:val="18"/>
              </w:rPr>
            </w:pPr>
            <w:r>
              <w:rPr>
                <w:rFonts w:ascii="Times New Roman"/>
                <w:sz w:val="18"/>
              </w:rPr>
              <w:t>344,395,</w:t>
            </w:r>
          </w:p>
          <w:p>
            <w:pPr>
              <w:pStyle w:val="TableParagraph"/>
              <w:spacing w:line="240" w:lineRule="auto" w:before="106"/>
              <w:ind w:left="144" w:right="0"/>
              <w:jc w:val="center"/>
              <w:rPr>
                <w:rFonts w:ascii="Times New Roman" w:hAnsi="Times New Roman" w:cs="Times New Roman" w:eastAsia="Times New Roman" w:hint="default"/>
                <w:sz w:val="18"/>
                <w:szCs w:val="18"/>
              </w:rPr>
            </w:pPr>
            <w:r>
              <w:rPr>
                <w:rFonts w:ascii="Times New Roman"/>
                <w:sz w:val="18"/>
              </w:rPr>
              <w:t>344.00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677,770,0</w:t>
            </w:r>
          </w:p>
          <w:p>
            <w:pPr>
              <w:pStyle w:val="TableParagraph"/>
              <w:spacing w:line="240" w:lineRule="auto" w:before="106"/>
              <w:ind w:left="360" w:right="0"/>
              <w:jc w:val="left"/>
              <w:rPr>
                <w:rFonts w:ascii="Times New Roman" w:hAnsi="Times New Roman" w:cs="Times New Roman" w:eastAsia="Times New Roman" w:hint="default"/>
                <w:sz w:val="18"/>
                <w:szCs w:val="18"/>
              </w:rPr>
            </w:pPr>
            <w:r>
              <w:rPr>
                <w:rFonts w:ascii="Times New Roman"/>
                <w:sz w:val="18"/>
              </w:rPr>
              <w:t>58.81</w:t>
            </w:r>
          </w:p>
        </w:tc>
        <w:tc>
          <w:tcPr>
            <w:tcW w:w="798" w:type="dxa"/>
            <w:vMerge w:val="restart"/>
            <w:tcBorders>
              <w:top w:val="single" w:sz="22" w:space="0" w:color="D2D2D2"/>
              <w:left w:val="single" w:sz="4" w:space="0" w:color="000000"/>
              <w:right w:val="single" w:sz="4" w:space="0" w:color="000000"/>
            </w:tcBorders>
          </w:tcPr>
          <w:p>
            <w:pPr/>
          </w:p>
        </w:tc>
        <w:tc>
          <w:tcPr>
            <w:tcW w:w="798" w:type="dxa"/>
            <w:vMerge w:val="restart"/>
            <w:tcBorders>
              <w:top w:val="single" w:sz="22" w:space="0" w:color="D2D2D2"/>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44,248,83</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4.40</w:t>
            </w:r>
          </w:p>
        </w:tc>
        <w:tc>
          <w:tcPr>
            <w:tcW w:w="676" w:type="dxa"/>
            <w:vMerge w:val="restart"/>
            <w:tcBorders>
              <w:top w:val="single" w:sz="22" w:space="0" w:color="D2D2D2"/>
              <w:left w:val="single" w:sz="4" w:space="0" w:color="000000"/>
              <w:right w:val="single" w:sz="4" w:space="0" w:color="000000"/>
            </w:tcBorders>
          </w:tcPr>
          <w:p>
            <w:pPr>
              <w:pStyle w:val="TableParagraph"/>
              <w:spacing w:line="240" w:lineRule="auto" w:before="69"/>
              <w:ind w:left="58" w:right="0"/>
              <w:jc w:val="left"/>
              <w:rPr>
                <w:rFonts w:ascii="Times New Roman" w:hAnsi="Times New Roman" w:cs="Times New Roman" w:eastAsia="Times New Roman" w:hint="default"/>
                <w:sz w:val="18"/>
                <w:szCs w:val="18"/>
              </w:rPr>
            </w:pPr>
            <w:r>
              <w:rPr>
                <w:rFonts w:ascii="Times New Roman"/>
                <w:sz w:val="18"/>
              </w:rPr>
              <w:t>357,723</w:t>
            </w:r>
          </w:p>
          <w:p>
            <w:pPr>
              <w:pStyle w:val="TableParagraph"/>
              <w:spacing w:line="240" w:lineRule="auto" w:before="106"/>
              <w:ind w:left="103" w:right="0"/>
              <w:jc w:val="left"/>
              <w:rPr>
                <w:rFonts w:ascii="Times New Roman" w:hAnsi="Times New Roman" w:cs="Times New Roman" w:eastAsia="Times New Roman" w:hint="default"/>
                <w:sz w:val="18"/>
                <w:szCs w:val="18"/>
              </w:rPr>
            </w:pPr>
            <w:r>
              <w:rPr>
                <w:rFonts w:ascii="Times New Roman"/>
                <w:sz w:val="18"/>
              </w:rPr>
              <w:t>,535.12</w:t>
            </w:r>
          </w:p>
        </w:tc>
        <w:tc>
          <w:tcPr>
            <w:tcW w:w="781" w:type="dxa"/>
            <w:vMerge w:val="restart"/>
            <w:tcBorders>
              <w:top w:val="single" w:sz="22" w:space="0" w:color="D2D2D2"/>
              <w:left w:val="single" w:sz="4" w:space="0" w:color="000000"/>
              <w:right w:val="single" w:sz="4" w:space="0" w:color="000000"/>
            </w:tcBorders>
          </w:tcPr>
          <w:p>
            <w:pPr>
              <w:pStyle w:val="TableParagraph"/>
              <w:spacing w:line="240" w:lineRule="auto" w:before="69"/>
              <w:ind w:left="4" w:right="0"/>
              <w:jc w:val="center"/>
              <w:rPr>
                <w:rFonts w:ascii="Times New Roman" w:hAnsi="Times New Roman" w:cs="Times New Roman" w:eastAsia="Times New Roman" w:hint="default"/>
                <w:sz w:val="18"/>
                <w:szCs w:val="18"/>
              </w:rPr>
            </w:pPr>
            <w:r>
              <w:rPr>
                <w:rFonts w:ascii="Times New Roman"/>
                <w:sz w:val="18"/>
              </w:rPr>
              <w:t>1,424,137</w:t>
            </w:r>
          </w:p>
          <w:p>
            <w:pPr>
              <w:pStyle w:val="TableParagraph"/>
              <w:spacing w:line="240" w:lineRule="auto" w:before="106"/>
              <w:ind w:left="184" w:right="0"/>
              <w:jc w:val="center"/>
              <w:rPr>
                <w:rFonts w:ascii="Times New Roman" w:hAnsi="Times New Roman" w:cs="Times New Roman" w:eastAsia="Times New Roman" w:hint="default"/>
                <w:sz w:val="18"/>
                <w:szCs w:val="18"/>
              </w:rPr>
            </w:pPr>
            <w:r>
              <w:rPr>
                <w:rFonts w:ascii="Times New Roman"/>
                <w:sz w:val="18"/>
              </w:rPr>
              <w:t>,772.33</w:t>
            </w:r>
          </w:p>
        </w:tc>
      </w:tr>
      <w:tr>
        <w:trPr>
          <w:trHeight w:val="392" w:hRule="exact"/>
        </w:trPr>
        <w:tc>
          <w:tcPr>
            <w:tcW w:w="143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10"/>
              <w:jc w:val="right"/>
              <w:rPr>
                <w:rFonts w:ascii="宋体" w:hAnsi="宋体" w:cs="宋体" w:eastAsia="宋体" w:hint="default"/>
                <w:sz w:val="18"/>
                <w:szCs w:val="18"/>
              </w:rPr>
            </w:pPr>
            <w:r>
              <w:rPr>
                <w:rFonts w:ascii="宋体" w:hAnsi="宋体" w:cs="宋体" w:eastAsia="宋体" w:hint="default"/>
                <w:spacing w:val="-7"/>
                <w:w w:val="95"/>
                <w:sz w:val="18"/>
                <w:szCs w:val="18"/>
              </w:rPr>
              <w:t>一、上年期末余额</w:t>
            </w:r>
          </w:p>
        </w:tc>
        <w:tc>
          <w:tcPr>
            <w:tcW w:w="703"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161" w:hRule="exact"/>
        </w:trPr>
        <w:tc>
          <w:tcPr>
            <w:tcW w:w="1430" w:type="dxa"/>
            <w:tcBorders>
              <w:top w:val="nil" w:sz="6" w:space="0" w:color="auto"/>
              <w:left w:val="single" w:sz="4" w:space="0" w:color="000000"/>
              <w:bottom w:val="single" w:sz="4" w:space="0" w:color="000000"/>
              <w:right w:val="single" w:sz="4" w:space="0" w:color="000000"/>
            </w:tcBorders>
            <w:shd w:val="clear" w:color="auto" w:fill="D2D2D2"/>
          </w:tcPr>
          <w:p>
            <w:pPr/>
          </w:p>
        </w:tc>
        <w:tc>
          <w:tcPr>
            <w:tcW w:w="703"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714"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0"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430" w:type="dxa"/>
            <w:tcBorders>
              <w:top w:val="single" w:sz="4" w:space="0" w:color="000000"/>
              <w:left w:val="single" w:sz="4" w:space="0" w:color="000000"/>
              <w:bottom w:val="nil" w:sz="6" w:space="0" w:color="auto"/>
              <w:right w:val="single" w:sz="4" w:space="0" w:color="000000"/>
            </w:tcBorders>
            <w:shd w:val="clear" w:color="auto" w:fill="D2D2D2"/>
          </w:tcPr>
          <w:p>
            <w:pPr/>
          </w:p>
        </w:tc>
        <w:tc>
          <w:tcPr>
            <w:tcW w:w="703" w:type="dxa"/>
            <w:vMerge w:val="restart"/>
            <w:tcBorders>
              <w:top w:val="single" w:sz="4" w:space="0" w:color="000000"/>
              <w:left w:val="single" w:sz="10" w:space="0" w:color="D2D2D2"/>
              <w:right w:val="single" w:sz="4" w:space="0" w:color="000000"/>
            </w:tcBorders>
          </w:tcPr>
          <w:p>
            <w:pPr>
              <w:pStyle w:val="TableParagraph"/>
              <w:spacing w:line="240" w:lineRule="auto" w:before="91"/>
              <w:ind w:left="8" w:right="0"/>
              <w:jc w:val="center"/>
              <w:rPr>
                <w:rFonts w:ascii="Times New Roman" w:hAnsi="Times New Roman" w:cs="Times New Roman" w:eastAsia="Times New Roman" w:hint="default"/>
                <w:sz w:val="18"/>
                <w:szCs w:val="18"/>
              </w:rPr>
            </w:pPr>
            <w:r>
              <w:rPr>
                <w:rFonts w:ascii="Times New Roman"/>
                <w:sz w:val="18"/>
              </w:rPr>
              <w:t>344,395,</w:t>
            </w:r>
          </w:p>
          <w:p>
            <w:pPr>
              <w:pStyle w:val="TableParagraph"/>
              <w:spacing w:line="240" w:lineRule="auto" w:before="106"/>
              <w:ind w:left="144" w:right="0"/>
              <w:jc w:val="center"/>
              <w:rPr>
                <w:rFonts w:ascii="Times New Roman" w:hAnsi="Times New Roman" w:cs="Times New Roman" w:eastAsia="Times New Roman" w:hint="default"/>
                <w:sz w:val="18"/>
                <w:szCs w:val="18"/>
              </w:rPr>
            </w:pPr>
            <w:r>
              <w:rPr>
                <w:rFonts w:ascii="Times New Roman"/>
                <w:sz w:val="18"/>
              </w:rPr>
              <w:t>344.00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677,770,0</w:t>
            </w:r>
          </w:p>
          <w:p>
            <w:pPr>
              <w:pStyle w:val="TableParagraph"/>
              <w:spacing w:line="240" w:lineRule="auto" w:before="106"/>
              <w:ind w:left="360" w:right="0"/>
              <w:jc w:val="left"/>
              <w:rPr>
                <w:rFonts w:ascii="Times New Roman" w:hAnsi="Times New Roman" w:cs="Times New Roman" w:eastAsia="Times New Roman" w:hint="default"/>
                <w:sz w:val="18"/>
                <w:szCs w:val="18"/>
              </w:rPr>
            </w:pPr>
            <w:r>
              <w:rPr>
                <w:rFonts w:ascii="Times New Roman"/>
                <w:sz w:val="18"/>
              </w:rPr>
              <w:t>58.81</w:t>
            </w: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44,248,83</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4.40</w:t>
            </w:r>
          </w:p>
        </w:tc>
        <w:tc>
          <w:tcPr>
            <w:tcW w:w="676" w:type="dxa"/>
            <w:vMerge w:val="restart"/>
            <w:tcBorders>
              <w:top w:val="single" w:sz="4" w:space="0" w:color="000000"/>
              <w:left w:val="single" w:sz="4" w:space="0" w:color="000000"/>
              <w:right w:val="single" w:sz="4" w:space="0" w:color="000000"/>
            </w:tcBorders>
          </w:tcPr>
          <w:p>
            <w:pPr>
              <w:pStyle w:val="TableParagraph"/>
              <w:spacing w:line="240" w:lineRule="auto" w:before="91"/>
              <w:ind w:left="58" w:right="0"/>
              <w:jc w:val="left"/>
              <w:rPr>
                <w:rFonts w:ascii="Times New Roman" w:hAnsi="Times New Roman" w:cs="Times New Roman" w:eastAsia="Times New Roman" w:hint="default"/>
                <w:sz w:val="18"/>
                <w:szCs w:val="18"/>
              </w:rPr>
            </w:pPr>
            <w:r>
              <w:rPr>
                <w:rFonts w:ascii="Times New Roman"/>
                <w:sz w:val="18"/>
              </w:rPr>
              <w:t>357,723</w:t>
            </w:r>
          </w:p>
          <w:p>
            <w:pPr>
              <w:pStyle w:val="TableParagraph"/>
              <w:spacing w:line="240" w:lineRule="auto" w:before="106"/>
              <w:ind w:left="103" w:right="0"/>
              <w:jc w:val="left"/>
              <w:rPr>
                <w:rFonts w:ascii="Times New Roman" w:hAnsi="Times New Roman" w:cs="Times New Roman" w:eastAsia="Times New Roman" w:hint="default"/>
                <w:sz w:val="18"/>
                <w:szCs w:val="18"/>
              </w:rPr>
            </w:pPr>
            <w:r>
              <w:rPr>
                <w:rFonts w:ascii="Times New Roman"/>
                <w:sz w:val="18"/>
              </w:rPr>
              <w:t>,535.12</w:t>
            </w:r>
          </w:p>
        </w:tc>
        <w:tc>
          <w:tcPr>
            <w:tcW w:w="781" w:type="dxa"/>
            <w:vMerge w:val="restart"/>
            <w:tcBorders>
              <w:top w:val="single" w:sz="4" w:space="0" w:color="000000"/>
              <w:left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1,424,137</w:t>
            </w:r>
          </w:p>
          <w:p>
            <w:pPr>
              <w:pStyle w:val="TableParagraph"/>
              <w:spacing w:line="240" w:lineRule="auto" w:before="106"/>
              <w:ind w:left="184" w:right="0"/>
              <w:jc w:val="center"/>
              <w:rPr>
                <w:rFonts w:ascii="Times New Roman" w:hAnsi="Times New Roman" w:cs="Times New Roman" w:eastAsia="Times New Roman" w:hint="default"/>
                <w:sz w:val="18"/>
                <w:szCs w:val="18"/>
              </w:rPr>
            </w:pPr>
            <w:r>
              <w:rPr>
                <w:rFonts w:ascii="Times New Roman"/>
                <w:sz w:val="18"/>
              </w:rPr>
              <w:t>,772.33</w:t>
            </w:r>
          </w:p>
        </w:tc>
      </w:tr>
      <w:tr>
        <w:trPr>
          <w:trHeight w:val="392" w:hRule="exact"/>
        </w:trPr>
        <w:tc>
          <w:tcPr>
            <w:tcW w:w="143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10"/>
              <w:jc w:val="right"/>
              <w:rPr>
                <w:rFonts w:ascii="宋体" w:hAnsi="宋体" w:cs="宋体" w:eastAsia="宋体" w:hint="default"/>
                <w:sz w:val="18"/>
                <w:szCs w:val="18"/>
              </w:rPr>
            </w:pPr>
            <w:r>
              <w:rPr>
                <w:rFonts w:ascii="宋体" w:hAnsi="宋体" w:cs="宋体" w:eastAsia="宋体" w:hint="default"/>
                <w:spacing w:val="-7"/>
                <w:w w:val="95"/>
                <w:sz w:val="18"/>
                <w:szCs w:val="18"/>
              </w:rPr>
              <w:t>二、本年期初余额</w:t>
            </w:r>
          </w:p>
        </w:tc>
        <w:tc>
          <w:tcPr>
            <w:tcW w:w="703"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161" w:hRule="exact"/>
        </w:trPr>
        <w:tc>
          <w:tcPr>
            <w:tcW w:w="1430" w:type="dxa"/>
            <w:tcBorders>
              <w:top w:val="nil" w:sz="6" w:space="0" w:color="auto"/>
              <w:left w:val="single" w:sz="4" w:space="0" w:color="000000"/>
              <w:bottom w:val="single" w:sz="4" w:space="0" w:color="000000"/>
              <w:right w:val="single" w:sz="4" w:space="0" w:color="000000"/>
            </w:tcBorders>
            <w:shd w:val="clear" w:color="auto" w:fill="D2D2D2"/>
          </w:tcPr>
          <w:p>
            <w:pPr/>
          </w:p>
        </w:tc>
        <w:tc>
          <w:tcPr>
            <w:tcW w:w="703"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1026"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9"/>
              <w:jc w:val="both"/>
              <w:rPr>
                <w:rFonts w:ascii="宋体" w:hAnsi="宋体" w:cs="宋体" w:eastAsia="宋体" w:hint="default"/>
                <w:sz w:val="18"/>
                <w:szCs w:val="18"/>
              </w:rPr>
            </w:pPr>
            <w:r>
              <w:rPr>
                <w:rFonts w:ascii="宋体" w:hAnsi="宋体" w:cs="宋体" w:eastAsia="宋体" w:hint="default"/>
                <w:spacing w:val="-7"/>
                <w:sz w:val="18"/>
                <w:szCs w:val="18"/>
              </w:rPr>
              <w:t>三、本期增减变动</w:t>
            </w:r>
            <w:r>
              <w:rPr>
                <w:rFonts w:ascii="宋体" w:hAnsi="宋体" w:cs="宋体" w:eastAsia="宋体" w:hint="default"/>
                <w:sz w:val="18"/>
                <w:szCs w:val="18"/>
              </w:rPr>
              <w:t> </w:t>
            </w:r>
            <w:r>
              <w:rPr>
                <w:rFonts w:ascii="宋体" w:hAnsi="宋体" w:cs="宋体" w:eastAsia="宋体" w:hint="default"/>
                <w:spacing w:val="-4"/>
                <w:sz w:val="18"/>
                <w:szCs w:val="18"/>
              </w:rPr>
              <w:t>金额（减少以</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w:t>
            </w:r>
            <w:r>
              <w:rPr>
                <w:rFonts w:ascii="Times New Roman" w:hAnsi="Times New Roman" w:cs="Times New Roman" w:eastAsia="Times New Roman" w:hint="default"/>
                <w:w w:val="100"/>
                <w:sz w:val="18"/>
                <w:szCs w:val="18"/>
              </w:rPr>
              <w:t> </w:t>
            </w:r>
            <w:r>
              <w:rPr>
                <w:rFonts w:ascii="宋体" w:hAnsi="宋体" w:cs="宋体" w:eastAsia="宋体" w:hint="default"/>
                <w:sz w:val="18"/>
                <w:szCs w:val="18"/>
              </w:rPr>
              <w:t>号填列）</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19,579,72</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1.80</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8" w:right="0"/>
              <w:jc w:val="left"/>
              <w:rPr>
                <w:rFonts w:ascii="Times New Roman" w:hAnsi="Times New Roman" w:cs="Times New Roman" w:eastAsia="Times New Roman" w:hint="default"/>
                <w:sz w:val="18"/>
                <w:szCs w:val="18"/>
              </w:rPr>
            </w:pPr>
            <w:r>
              <w:rPr>
                <w:rFonts w:ascii="Times New Roman"/>
                <w:sz w:val="18"/>
              </w:rPr>
              <w:t>141,777</w:t>
            </w:r>
          </w:p>
          <w:p>
            <w:pPr>
              <w:pStyle w:val="TableParagraph"/>
              <w:spacing w:line="240" w:lineRule="auto" w:before="106"/>
              <w:ind w:left="103" w:right="0"/>
              <w:jc w:val="left"/>
              <w:rPr>
                <w:rFonts w:ascii="Times New Roman" w:hAnsi="Times New Roman" w:cs="Times New Roman" w:eastAsia="Times New Roman" w:hint="default"/>
                <w:sz w:val="18"/>
                <w:szCs w:val="18"/>
              </w:rPr>
            </w:pPr>
            <w:r>
              <w:rPr>
                <w:rFonts w:ascii="Times New Roman"/>
                <w:sz w:val="18"/>
              </w:rPr>
              <w:t>,961.77</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7" w:right="0"/>
              <w:jc w:val="left"/>
              <w:rPr>
                <w:rFonts w:ascii="Times New Roman" w:hAnsi="Times New Roman" w:cs="Times New Roman" w:eastAsia="Times New Roman" w:hint="default"/>
                <w:sz w:val="18"/>
                <w:szCs w:val="18"/>
              </w:rPr>
            </w:pPr>
            <w:r>
              <w:rPr>
                <w:rFonts w:ascii="Times New Roman"/>
                <w:sz w:val="18"/>
              </w:rPr>
              <w:t>161,357,6</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83.57</w:t>
            </w:r>
          </w:p>
        </w:tc>
      </w:tr>
      <w:tr>
        <w:trPr>
          <w:trHeight w:val="714"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0"/>
              <w:jc w:val="left"/>
              <w:rPr>
                <w:rFonts w:ascii="宋体" w:hAnsi="宋体" w:cs="宋体" w:eastAsia="宋体" w:hint="default"/>
                <w:sz w:val="18"/>
                <w:szCs w:val="18"/>
              </w:rPr>
            </w:pPr>
            <w:r>
              <w:rPr>
                <w:rFonts w:ascii="宋体" w:hAnsi="宋体" w:cs="宋体" w:eastAsia="宋体" w:hint="default"/>
                <w:spacing w:val="-7"/>
                <w:sz w:val="18"/>
                <w:szCs w:val="18"/>
              </w:rPr>
              <w:t>（一）综合收益总</w:t>
            </w:r>
            <w:r>
              <w:rPr>
                <w:rFonts w:ascii="宋体" w:hAnsi="宋体" w:cs="宋体" w:eastAsia="宋体" w:hint="default"/>
                <w:sz w:val="18"/>
                <w:szCs w:val="18"/>
              </w:rPr>
              <w:t> 额</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8" w:right="0"/>
              <w:jc w:val="left"/>
              <w:rPr>
                <w:rFonts w:ascii="Times New Roman" w:hAnsi="Times New Roman" w:cs="Times New Roman" w:eastAsia="Times New Roman" w:hint="default"/>
                <w:sz w:val="18"/>
                <w:szCs w:val="18"/>
              </w:rPr>
            </w:pPr>
            <w:r>
              <w:rPr>
                <w:rFonts w:ascii="Times New Roman"/>
                <w:sz w:val="18"/>
              </w:rPr>
              <w:t>195,797</w:t>
            </w:r>
          </w:p>
          <w:p>
            <w:pPr>
              <w:pStyle w:val="TableParagraph"/>
              <w:spacing w:line="240" w:lineRule="auto" w:before="106"/>
              <w:ind w:left="103" w:right="0"/>
              <w:jc w:val="left"/>
              <w:rPr>
                <w:rFonts w:ascii="Times New Roman" w:hAnsi="Times New Roman" w:cs="Times New Roman" w:eastAsia="Times New Roman" w:hint="default"/>
                <w:sz w:val="18"/>
                <w:szCs w:val="18"/>
              </w:rPr>
            </w:pPr>
            <w:r>
              <w:rPr>
                <w:rFonts w:ascii="Times New Roman"/>
                <w:sz w:val="18"/>
              </w:rPr>
              <w:t>,217.97</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195,797,2</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17.97</w:t>
            </w:r>
          </w:p>
        </w:tc>
      </w:tr>
      <w:tr>
        <w:trPr>
          <w:trHeight w:val="714"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0"/>
              <w:jc w:val="left"/>
              <w:rPr>
                <w:rFonts w:ascii="宋体" w:hAnsi="宋体" w:cs="宋体" w:eastAsia="宋体" w:hint="default"/>
                <w:sz w:val="18"/>
                <w:szCs w:val="18"/>
              </w:rPr>
            </w:pPr>
            <w:r>
              <w:rPr>
                <w:rFonts w:ascii="宋体" w:hAnsi="宋体" w:cs="宋体" w:eastAsia="宋体" w:hint="default"/>
                <w:spacing w:val="-7"/>
                <w:sz w:val="18"/>
                <w:szCs w:val="18"/>
              </w:rPr>
              <w:t>（二）所有者投入</w:t>
            </w:r>
            <w:r>
              <w:rPr>
                <w:rFonts w:ascii="宋体" w:hAnsi="宋体" w:cs="宋体" w:eastAsia="宋体" w:hint="default"/>
                <w:sz w:val="18"/>
                <w:szCs w:val="18"/>
              </w:rPr>
              <w:t> 和减少资本</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45"/>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45"/>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45"/>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1442"/>
        <w:gridCol w:w="691"/>
        <w:gridCol w:w="665"/>
        <w:gridCol w:w="665"/>
        <w:gridCol w:w="665"/>
        <w:gridCol w:w="797"/>
        <w:gridCol w:w="798"/>
        <w:gridCol w:w="798"/>
        <w:gridCol w:w="798"/>
        <w:gridCol w:w="797"/>
        <w:gridCol w:w="676"/>
        <w:gridCol w:w="781"/>
      </w:tblGrid>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19,579,72</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1.80</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-54,019,</w:t>
            </w:r>
          </w:p>
          <w:p>
            <w:pPr>
              <w:pStyle w:val="TableParagraph"/>
              <w:spacing w:line="240" w:lineRule="auto" w:before="106"/>
              <w:ind w:left="126" w:right="0"/>
              <w:jc w:val="center"/>
              <w:rPr>
                <w:rFonts w:ascii="Times New Roman" w:hAnsi="Times New Roman" w:cs="Times New Roman" w:eastAsia="Times New Roman" w:hint="default"/>
                <w:sz w:val="18"/>
                <w:szCs w:val="18"/>
              </w:rPr>
            </w:pPr>
            <w:r>
              <w:rPr>
                <w:rFonts w:ascii="Times New Roman"/>
                <w:sz w:val="18"/>
              </w:rPr>
              <w:t>256.20</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-34,439,5</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34.40</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19,579,72</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1.80</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-19,579,</w:t>
            </w:r>
          </w:p>
          <w:p>
            <w:pPr>
              <w:pStyle w:val="TableParagraph"/>
              <w:spacing w:line="240" w:lineRule="auto" w:before="106"/>
              <w:ind w:left="126" w:right="0"/>
              <w:jc w:val="center"/>
              <w:rPr>
                <w:rFonts w:ascii="Times New Roman" w:hAnsi="Times New Roman" w:cs="Times New Roman" w:eastAsia="Times New Roman" w:hint="default"/>
                <w:sz w:val="18"/>
                <w:szCs w:val="18"/>
              </w:rPr>
            </w:pPr>
            <w:r>
              <w:rPr>
                <w:rFonts w:ascii="Times New Roman"/>
                <w:sz w:val="18"/>
              </w:rPr>
              <w:t>721.80</w:t>
            </w: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．对所有者（或 股东）的分配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-34,439,</w:t>
            </w:r>
          </w:p>
          <w:p>
            <w:pPr>
              <w:pStyle w:val="TableParagraph"/>
              <w:spacing w:line="240" w:lineRule="auto" w:before="106"/>
              <w:ind w:left="126" w:right="0"/>
              <w:jc w:val="center"/>
              <w:rPr>
                <w:rFonts w:ascii="Times New Roman" w:hAnsi="Times New Roman" w:cs="Times New Roman" w:eastAsia="Times New Roman" w:hint="default"/>
                <w:sz w:val="18"/>
                <w:szCs w:val="18"/>
              </w:rPr>
            </w:pPr>
            <w:r>
              <w:rPr>
                <w:rFonts w:ascii="Times New Roman"/>
                <w:sz w:val="18"/>
              </w:rPr>
              <w:t>534.40</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-34,439,5</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34.40</w:t>
            </w: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pacing w:val="-7"/>
                <w:sz w:val="18"/>
                <w:szCs w:val="18"/>
              </w:rPr>
              <w:t>（四）所有者权益</w:t>
            </w:r>
            <w:r>
              <w:rPr>
                <w:rFonts w:ascii="宋体" w:hAnsi="宋体" w:cs="宋体" w:eastAsia="宋体" w:hint="default"/>
                <w:sz w:val="18"/>
                <w:szCs w:val="18"/>
              </w:rPr>
              <w:t> 内部结转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7"/>
                <w:sz w:val="18"/>
                <w:szCs w:val="18"/>
              </w:rPr>
              <w:t>四、本期期末余额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344,395,</w:t>
            </w:r>
          </w:p>
          <w:p>
            <w:pPr>
              <w:pStyle w:val="TableParagraph"/>
              <w:spacing w:line="240" w:lineRule="auto" w:before="106"/>
              <w:ind w:left="140" w:right="0"/>
              <w:jc w:val="center"/>
              <w:rPr>
                <w:rFonts w:ascii="Times New Roman" w:hAnsi="Times New Roman" w:cs="Times New Roman" w:eastAsia="Times New Roman" w:hint="default"/>
                <w:sz w:val="18"/>
                <w:szCs w:val="18"/>
              </w:rPr>
            </w:pPr>
            <w:r>
              <w:rPr>
                <w:rFonts w:ascii="Times New Roman"/>
                <w:sz w:val="18"/>
              </w:rPr>
              <w:t>344.00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677,770,0</w:t>
            </w:r>
          </w:p>
          <w:p>
            <w:pPr>
              <w:pStyle w:val="TableParagraph"/>
              <w:spacing w:line="240" w:lineRule="auto" w:before="106"/>
              <w:ind w:left="360" w:right="0"/>
              <w:jc w:val="left"/>
              <w:rPr>
                <w:rFonts w:ascii="Times New Roman" w:hAnsi="Times New Roman" w:cs="Times New Roman" w:eastAsia="Times New Roman" w:hint="default"/>
                <w:sz w:val="18"/>
                <w:szCs w:val="18"/>
              </w:rPr>
            </w:pPr>
            <w:r>
              <w:rPr>
                <w:rFonts w:ascii="Times New Roman"/>
                <w:sz w:val="18"/>
              </w:rPr>
              <w:t>58.81</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63,828,55</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6.20</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8" w:right="0"/>
              <w:jc w:val="left"/>
              <w:rPr>
                <w:rFonts w:ascii="Times New Roman" w:hAnsi="Times New Roman" w:cs="Times New Roman" w:eastAsia="Times New Roman" w:hint="default"/>
                <w:sz w:val="18"/>
                <w:szCs w:val="18"/>
              </w:rPr>
            </w:pPr>
            <w:r>
              <w:rPr>
                <w:rFonts w:ascii="Times New Roman"/>
                <w:sz w:val="18"/>
              </w:rPr>
              <w:t>499,501</w:t>
            </w:r>
          </w:p>
          <w:p>
            <w:pPr>
              <w:pStyle w:val="TableParagraph"/>
              <w:spacing w:line="240" w:lineRule="auto" w:before="106"/>
              <w:ind w:left="103" w:right="0"/>
              <w:jc w:val="left"/>
              <w:rPr>
                <w:rFonts w:ascii="Times New Roman" w:hAnsi="Times New Roman" w:cs="Times New Roman" w:eastAsia="Times New Roman" w:hint="default"/>
                <w:sz w:val="18"/>
                <w:szCs w:val="18"/>
              </w:rPr>
            </w:pPr>
            <w:r>
              <w:rPr>
                <w:rFonts w:ascii="Times New Roman"/>
                <w:sz w:val="18"/>
              </w:rPr>
              <w:t>,496.89</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1,585,495</w:t>
            </w:r>
          </w:p>
          <w:p>
            <w:pPr>
              <w:pStyle w:val="TableParagraph"/>
              <w:spacing w:line="240" w:lineRule="auto" w:before="106"/>
              <w:ind w:left="184" w:right="0"/>
              <w:jc w:val="center"/>
              <w:rPr>
                <w:rFonts w:ascii="Times New Roman" w:hAnsi="Times New Roman" w:cs="Times New Roman" w:eastAsia="Times New Roman" w:hint="default"/>
                <w:sz w:val="18"/>
                <w:szCs w:val="18"/>
              </w:rPr>
            </w:pPr>
            <w:r>
              <w:rPr>
                <w:rFonts w:ascii="Times New Roman"/>
                <w:sz w:val="18"/>
              </w:rPr>
              <w:t>,455.90</w:t>
            </w:r>
          </w:p>
        </w:tc>
      </w:tr>
    </w:tbl>
    <w:p>
      <w:pPr>
        <w:pStyle w:val="BodyText"/>
        <w:spacing w:line="240" w:lineRule="auto" w:before="51"/>
        <w:ind w:left="1134" w:right="0"/>
        <w:jc w:val="left"/>
      </w:pPr>
      <w:r>
        <w:rPr/>
        <w:t>上期金额</w:t>
      </w:r>
    </w:p>
    <w:p>
      <w:pPr>
        <w:pStyle w:val="BodyText"/>
        <w:spacing w:line="240" w:lineRule="auto" w:before="117"/>
        <w:ind w:left="0" w:right="1130"/>
        <w:jc w:val="right"/>
      </w:pPr>
      <w:r>
        <w:rPr/>
        <w:t>单位：元</w:t>
      </w:r>
    </w:p>
    <w:p>
      <w:pPr>
        <w:spacing w:line="240" w:lineRule="auto" w:before="0"/>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1418"/>
        <w:gridCol w:w="703"/>
        <w:gridCol w:w="665"/>
        <w:gridCol w:w="665"/>
        <w:gridCol w:w="665"/>
        <w:gridCol w:w="797"/>
        <w:gridCol w:w="798"/>
        <w:gridCol w:w="798"/>
        <w:gridCol w:w="798"/>
        <w:gridCol w:w="797"/>
        <w:gridCol w:w="676"/>
        <w:gridCol w:w="781"/>
      </w:tblGrid>
      <w:tr>
        <w:trPr>
          <w:trHeight w:val="397" w:hRule="exact"/>
        </w:trPr>
        <w:tc>
          <w:tcPr>
            <w:tcW w:w="1418" w:type="dxa"/>
            <w:tcBorders>
              <w:top w:val="single" w:sz="4" w:space="0" w:color="000000"/>
              <w:left w:val="single" w:sz="4" w:space="0" w:color="000000"/>
              <w:bottom w:val="nil" w:sz="6" w:space="0" w:color="auto"/>
              <w:right w:val="single" w:sz="4" w:space="0" w:color="000000"/>
            </w:tcBorders>
            <w:shd w:val="clear" w:color="auto" w:fill="D2D2D2"/>
          </w:tcPr>
          <w:p>
            <w:pPr/>
          </w:p>
        </w:tc>
        <w:tc>
          <w:tcPr>
            <w:tcW w:w="8143"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211" w:hRule="exact"/>
        </w:trPr>
        <w:tc>
          <w:tcPr>
            <w:tcW w:w="141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703" w:type="dxa"/>
            <w:tcBorders>
              <w:top w:val="single" w:sz="4" w:space="0" w:color="000000"/>
              <w:left w:val="single" w:sz="4" w:space="0" w:color="000000"/>
              <w:bottom w:val="nil" w:sz="6" w:space="0" w:color="auto"/>
              <w:right w:val="single" w:sz="4" w:space="0" w:color="000000"/>
            </w:tcBorders>
            <w:shd w:val="clear" w:color="auto" w:fill="D2D2D2"/>
          </w:tcPr>
          <w:p>
            <w:pPr/>
          </w:p>
        </w:tc>
        <w:tc>
          <w:tcPr>
            <w:tcW w:w="1995"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7"/>
              <w:ind w:left="45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304" w:right="31" w:hanging="270"/>
              <w:jc w:val="left"/>
              <w:rPr>
                <w:rFonts w:ascii="宋体" w:hAnsi="宋体" w:cs="宋体" w:eastAsia="宋体" w:hint="default"/>
                <w:sz w:val="18"/>
                <w:szCs w:val="18"/>
              </w:rPr>
            </w:pPr>
            <w:r>
              <w:rPr>
                <w:rFonts w:ascii="宋体" w:hAnsi="宋体" w:cs="宋体" w:eastAsia="宋体" w:hint="default"/>
                <w:sz w:val="18"/>
                <w:szCs w:val="18"/>
              </w:rPr>
              <w:t>减：库存 股</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214" w:right="31" w:hanging="180"/>
              <w:jc w:val="left"/>
              <w:rPr>
                <w:rFonts w:ascii="宋体" w:hAnsi="宋体" w:cs="宋体" w:eastAsia="宋体" w:hint="default"/>
                <w:sz w:val="18"/>
                <w:szCs w:val="18"/>
              </w:rPr>
            </w:pPr>
            <w:r>
              <w:rPr>
                <w:rFonts w:ascii="宋体" w:hAnsi="宋体" w:cs="宋体" w:eastAsia="宋体" w:hint="default"/>
                <w:sz w:val="18"/>
                <w:szCs w:val="18"/>
              </w:rPr>
              <w:t>其他综合 收益</w:t>
            </w:r>
          </w:p>
        </w:tc>
        <w:tc>
          <w:tcPr>
            <w:tcW w:w="798"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67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152" w:right="61"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78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115" w:right="24" w:hanging="90"/>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193" w:hRule="exact"/>
        </w:trPr>
        <w:tc>
          <w:tcPr>
            <w:tcW w:w="1418" w:type="dxa"/>
            <w:vMerge/>
            <w:tcBorders>
              <w:left w:val="single" w:sz="4" w:space="0" w:color="000000"/>
              <w:bottom w:val="nil" w:sz="6" w:space="0" w:color="auto"/>
              <w:right w:val="single" w:sz="4" w:space="0" w:color="000000"/>
            </w:tcBorders>
            <w:shd w:val="clear" w:color="auto" w:fill="D2D2D2"/>
          </w:tcPr>
          <w:p>
            <w:pPr/>
          </w:p>
        </w:tc>
        <w:tc>
          <w:tcPr>
            <w:tcW w:w="70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71"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995" w:type="dxa"/>
            <w:gridSpan w:val="3"/>
            <w:vMerge/>
            <w:tcBorders>
              <w:left w:val="single" w:sz="4" w:space="0" w:color="000000"/>
              <w:bottom w:val="single" w:sz="4" w:space="0" w:color="000000"/>
              <w:right w:val="single" w:sz="4" w:space="0" w:color="000000"/>
            </w:tcBorders>
            <w:shd w:val="clear" w:color="auto" w:fill="D2D2D2"/>
          </w:tcPr>
          <w:p>
            <w:pP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676" w:type="dxa"/>
            <w:vMerge/>
            <w:tcBorders>
              <w:left w:val="single" w:sz="4" w:space="0" w:color="000000"/>
              <w:right w:val="single" w:sz="4" w:space="0" w:color="000000"/>
            </w:tcBorders>
            <w:shd w:val="clear" w:color="auto" w:fill="D2D2D2"/>
          </w:tcPr>
          <w:p>
            <w:pPr/>
          </w:p>
        </w:tc>
        <w:tc>
          <w:tcPr>
            <w:tcW w:w="781" w:type="dxa"/>
            <w:vMerge/>
            <w:tcBorders>
              <w:left w:val="single" w:sz="4" w:space="0" w:color="000000"/>
              <w:right w:val="single" w:sz="4" w:space="0" w:color="000000"/>
            </w:tcBorders>
            <w:shd w:val="clear" w:color="auto" w:fill="D2D2D2"/>
          </w:tcPr>
          <w:p>
            <w:pPr/>
          </w:p>
        </w:tc>
      </w:tr>
      <w:tr>
        <w:trPr>
          <w:trHeight w:val="199" w:hRule="exact"/>
        </w:trPr>
        <w:tc>
          <w:tcPr>
            <w:tcW w:w="1418" w:type="dxa"/>
            <w:vMerge w:val="restart"/>
            <w:tcBorders>
              <w:top w:val="nil" w:sz="6" w:space="0" w:color="auto"/>
              <w:left w:val="single" w:sz="4" w:space="0" w:color="000000"/>
              <w:right w:val="single" w:sz="4" w:space="0" w:color="000000"/>
            </w:tcBorders>
            <w:shd w:val="clear" w:color="auto" w:fill="D2D2D2"/>
          </w:tcPr>
          <w:p>
            <w:pPr/>
          </w:p>
        </w:tc>
        <w:tc>
          <w:tcPr>
            <w:tcW w:w="703" w:type="dxa"/>
            <w:vMerge/>
            <w:tcBorders>
              <w:left w:val="single" w:sz="4" w:space="0" w:color="000000"/>
              <w:bottom w:val="nil" w:sz="6" w:space="0" w:color="auto"/>
              <w:right w:val="single" w:sz="4" w:space="0" w:color="000000"/>
            </w:tcBorders>
            <w:shd w:val="clear" w:color="auto" w:fill="D2D2D2"/>
          </w:tcPr>
          <w:p>
            <w:pP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left="56"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left="56"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left="14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7" w:type="dxa"/>
            <w:vMerge/>
            <w:tcBorders>
              <w:left w:val="single" w:sz="4" w:space="0" w:color="000000"/>
              <w:bottom w:val="nil" w:sz="6" w:space="0" w:color="auto"/>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bottom w:val="nil" w:sz="6" w:space="0" w:color="auto"/>
              <w:right w:val="single" w:sz="4" w:space="0" w:color="000000"/>
            </w:tcBorders>
            <w:shd w:val="clear" w:color="auto" w:fill="D2D2D2"/>
          </w:tcPr>
          <w:p>
            <w:pPr/>
          </w:p>
        </w:tc>
        <w:tc>
          <w:tcPr>
            <w:tcW w:w="797" w:type="dxa"/>
            <w:vMerge/>
            <w:tcBorders>
              <w:left w:val="single" w:sz="4" w:space="0" w:color="000000"/>
              <w:bottom w:val="nil" w:sz="6" w:space="0" w:color="auto"/>
              <w:right w:val="single" w:sz="4" w:space="0" w:color="000000"/>
            </w:tcBorders>
            <w:shd w:val="clear" w:color="auto" w:fill="D2D2D2"/>
          </w:tcPr>
          <w:p>
            <w:pPr/>
          </w:p>
        </w:tc>
        <w:tc>
          <w:tcPr>
            <w:tcW w:w="676" w:type="dxa"/>
            <w:vMerge/>
            <w:tcBorders>
              <w:left w:val="single" w:sz="4" w:space="0" w:color="000000"/>
              <w:right w:val="single" w:sz="4" w:space="0" w:color="000000"/>
            </w:tcBorders>
            <w:shd w:val="clear" w:color="auto" w:fill="D2D2D2"/>
          </w:tcPr>
          <w:p>
            <w:pPr/>
          </w:p>
        </w:tc>
        <w:tc>
          <w:tcPr>
            <w:tcW w:w="781" w:type="dxa"/>
            <w:vMerge/>
            <w:tcBorders>
              <w:left w:val="single" w:sz="4" w:space="0" w:color="000000"/>
              <w:right w:val="single" w:sz="4" w:space="0" w:color="000000"/>
            </w:tcBorders>
            <w:shd w:val="clear" w:color="auto" w:fill="D2D2D2"/>
          </w:tcPr>
          <w:p>
            <w:pPr/>
          </w:p>
        </w:tc>
      </w:tr>
      <w:tr>
        <w:trPr>
          <w:trHeight w:val="205" w:hRule="exact"/>
        </w:trPr>
        <w:tc>
          <w:tcPr>
            <w:tcW w:w="1418" w:type="dxa"/>
            <w:vMerge/>
            <w:tcBorders>
              <w:left w:val="single" w:sz="4" w:space="0" w:color="000000"/>
              <w:bottom w:val="single" w:sz="4" w:space="0" w:color="000000"/>
              <w:right w:val="single" w:sz="4" w:space="0" w:color="000000"/>
            </w:tcBorders>
            <w:shd w:val="clear" w:color="auto" w:fill="D2D2D2"/>
          </w:tcPr>
          <w:p>
            <w:pPr/>
          </w:p>
        </w:tc>
        <w:tc>
          <w:tcPr>
            <w:tcW w:w="703"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676" w:type="dxa"/>
            <w:vMerge/>
            <w:tcBorders>
              <w:left w:val="single" w:sz="4" w:space="0" w:color="000000"/>
              <w:bottom w:val="single" w:sz="4" w:space="0" w:color="000000"/>
              <w:right w:val="single" w:sz="4" w:space="0" w:color="000000"/>
            </w:tcBorders>
            <w:shd w:val="clear" w:color="auto" w:fill="D2D2D2"/>
          </w:tcPr>
          <w:p>
            <w:pPr/>
          </w:p>
        </w:tc>
        <w:tc>
          <w:tcPr>
            <w:tcW w:w="781" w:type="dxa"/>
            <w:vMerge/>
            <w:tcBorders>
              <w:left w:val="single" w:sz="4" w:space="0" w:color="000000"/>
              <w:bottom w:val="single" w:sz="4" w:space="0" w:color="000000"/>
              <w:right w:val="single" w:sz="4" w:space="0" w:color="000000"/>
            </w:tcBorders>
            <w:shd w:val="clear" w:color="auto" w:fill="D2D2D2"/>
          </w:tcPr>
          <w:p>
            <w:pPr/>
          </w:p>
        </w:tc>
      </w:tr>
      <w:tr>
        <w:trPr>
          <w:trHeight w:val="162" w:hRule="exact"/>
        </w:trPr>
        <w:tc>
          <w:tcPr>
            <w:tcW w:w="1418" w:type="dxa"/>
            <w:tcBorders>
              <w:top w:val="single" w:sz="4" w:space="0" w:color="000000"/>
              <w:left w:val="single" w:sz="4" w:space="0" w:color="000000"/>
              <w:bottom w:val="nil" w:sz="6" w:space="0" w:color="auto"/>
              <w:right w:val="single" w:sz="4" w:space="0" w:color="000000"/>
            </w:tcBorders>
            <w:shd w:val="clear" w:color="auto" w:fill="D2D2D2"/>
          </w:tcPr>
          <w:p>
            <w:pPr/>
          </w:p>
        </w:tc>
        <w:tc>
          <w:tcPr>
            <w:tcW w:w="703" w:type="dxa"/>
            <w:vMerge w:val="restart"/>
            <w:tcBorders>
              <w:top w:val="single" w:sz="4" w:space="0" w:color="000000"/>
              <w:left w:val="single" w:sz="10" w:space="0" w:color="D2D2D2"/>
              <w:right w:val="single" w:sz="4" w:space="0" w:color="000000"/>
            </w:tcBorders>
          </w:tcPr>
          <w:p>
            <w:pPr>
              <w:pStyle w:val="TableParagraph"/>
              <w:spacing w:line="240" w:lineRule="auto" w:before="92"/>
              <w:ind w:left="8" w:right="0"/>
              <w:jc w:val="center"/>
              <w:rPr>
                <w:rFonts w:ascii="Times New Roman" w:hAnsi="Times New Roman" w:cs="Times New Roman" w:eastAsia="Times New Roman" w:hint="default"/>
                <w:sz w:val="18"/>
                <w:szCs w:val="18"/>
              </w:rPr>
            </w:pPr>
            <w:r>
              <w:rPr>
                <w:rFonts w:ascii="Times New Roman"/>
                <w:sz w:val="18"/>
              </w:rPr>
              <w:t>344,395,</w:t>
            </w:r>
          </w:p>
          <w:p>
            <w:pPr>
              <w:pStyle w:val="TableParagraph"/>
              <w:spacing w:line="240" w:lineRule="auto" w:before="105"/>
              <w:ind w:left="144" w:right="0"/>
              <w:jc w:val="center"/>
              <w:rPr>
                <w:rFonts w:ascii="Times New Roman" w:hAnsi="Times New Roman" w:cs="Times New Roman" w:eastAsia="Times New Roman" w:hint="default"/>
                <w:sz w:val="18"/>
                <w:szCs w:val="18"/>
              </w:rPr>
            </w:pPr>
            <w:r>
              <w:rPr>
                <w:rFonts w:ascii="Times New Roman"/>
                <w:sz w:val="18"/>
              </w:rPr>
              <w:t>344.00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2"/>
              <w:ind w:left="44" w:right="0"/>
              <w:jc w:val="left"/>
              <w:rPr>
                <w:rFonts w:ascii="Times New Roman" w:hAnsi="Times New Roman" w:cs="Times New Roman" w:eastAsia="Times New Roman" w:hint="default"/>
                <w:sz w:val="18"/>
                <w:szCs w:val="18"/>
              </w:rPr>
            </w:pPr>
            <w:r>
              <w:rPr>
                <w:rFonts w:ascii="Times New Roman"/>
                <w:sz w:val="18"/>
              </w:rPr>
              <w:t>677,770,0</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58.81</w:t>
            </w:r>
          </w:p>
        </w:tc>
        <w:tc>
          <w:tcPr>
            <w:tcW w:w="798" w:type="dxa"/>
            <w:vMerge w:val="restart"/>
            <w:tcBorders>
              <w:top w:val="single" w:sz="18" w:space="0" w:color="D2D2D2"/>
              <w:left w:val="single" w:sz="4" w:space="0" w:color="000000"/>
              <w:right w:val="single" w:sz="4" w:space="0" w:color="000000"/>
            </w:tcBorders>
          </w:tcPr>
          <w:p>
            <w:pPr/>
          </w:p>
        </w:tc>
        <w:tc>
          <w:tcPr>
            <w:tcW w:w="798" w:type="dxa"/>
            <w:vMerge w:val="restart"/>
            <w:tcBorders>
              <w:top w:val="single" w:sz="18" w:space="0" w:color="D2D2D2"/>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2"/>
              <w:ind w:left="44" w:right="0"/>
              <w:jc w:val="left"/>
              <w:rPr>
                <w:rFonts w:ascii="Times New Roman" w:hAnsi="Times New Roman" w:cs="Times New Roman" w:eastAsia="Times New Roman" w:hint="default"/>
                <w:sz w:val="18"/>
                <w:szCs w:val="18"/>
              </w:rPr>
            </w:pPr>
            <w:r>
              <w:rPr>
                <w:rFonts w:ascii="Times New Roman"/>
                <w:sz w:val="18"/>
              </w:rPr>
              <w:t>35,501,88</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2.88</w:t>
            </w:r>
          </w:p>
        </w:tc>
        <w:tc>
          <w:tcPr>
            <w:tcW w:w="676" w:type="dxa"/>
            <w:vMerge w:val="restart"/>
            <w:tcBorders>
              <w:top w:val="single" w:sz="18" w:space="0" w:color="D2D2D2"/>
              <w:left w:val="single" w:sz="4" w:space="0" w:color="000000"/>
              <w:right w:val="single" w:sz="4" w:space="0" w:color="000000"/>
            </w:tcBorders>
          </w:tcPr>
          <w:p>
            <w:pPr>
              <w:pStyle w:val="TableParagraph"/>
              <w:spacing w:line="240" w:lineRule="auto" w:before="75"/>
              <w:ind w:left="58" w:right="0"/>
              <w:jc w:val="left"/>
              <w:rPr>
                <w:rFonts w:ascii="Times New Roman" w:hAnsi="Times New Roman" w:cs="Times New Roman" w:eastAsia="Times New Roman" w:hint="default"/>
                <w:sz w:val="18"/>
                <w:szCs w:val="18"/>
              </w:rPr>
            </w:pPr>
            <w:r>
              <w:rPr>
                <w:rFonts w:ascii="Times New Roman"/>
                <w:sz w:val="18"/>
              </w:rPr>
              <w:t>296,220</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,738.67</w:t>
            </w:r>
          </w:p>
        </w:tc>
        <w:tc>
          <w:tcPr>
            <w:tcW w:w="781" w:type="dxa"/>
            <w:vMerge w:val="restart"/>
            <w:tcBorders>
              <w:top w:val="single" w:sz="18" w:space="0" w:color="D2D2D2"/>
              <w:left w:val="single" w:sz="4" w:space="0" w:color="000000"/>
              <w:right w:val="single" w:sz="4" w:space="0" w:color="000000"/>
            </w:tcBorders>
          </w:tcPr>
          <w:p>
            <w:pPr>
              <w:pStyle w:val="TableParagraph"/>
              <w:spacing w:line="240" w:lineRule="auto" w:before="75"/>
              <w:ind w:left="4" w:right="0"/>
              <w:jc w:val="center"/>
              <w:rPr>
                <w:rFonts w:ascii="Times New Roman" w:hAnsi="Times New Roman" w:cs="Times New Roman" w:eastAsia="Times New Roman" w:hint="default"/>
                <w:sz w:val="18"/>
                <w:szCs w:val="18"/>
              </w:rPr>
            </w:pPr>
            <w:r>
              <w:rPr>
                <w:rFonts w:ascii="Times New Roman"/>
                <w:sz w:val="18"/>
              </w:rPr>
              <w:t>1,353,888</w:t>
            </w:r>
          </w:p>
          <w:p>
            <w:pPr>
              <w:pStyle w:val="TableParagraph"/>
              <w:spacing w:line="240" w:lineRule="auto" w:before="105"/>
              <w:ind w:left="184" w:right="0"/>
              <w:jc w:val="center"/>
              <w:rPr>
                <w:rFonts w:ascii="Times New Roman" w:hAnsi="Times New Roman" w:cs="Times New Roman" w:eastAsia="Times New Roman" w:hint="default"/>
                <w:sz w:val="18"/>
                <w:szCs w:val="18"/>
              </w:rPr>
            </w:pPr>
            <w:r>
              <w:rPr>
                <w:rFonts w:ascii="Times New Roman"/>
                <w:sz w:val="18"/>
              </w:rPr>
              <w:t>,024.36</w:t>
            </w:r>
          </w:p>
        </w:tc>
      </w:tr>
      <w:tr>
        <w:trPr>
          <w:trHeight w:val="391" w:hRule="exact"/>
        </w:trPr>
        <w:tc>
          <w:tcPr>
            <w:tcW w:w="141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10"/>
              <w:jc w:val="right"/>
              <w:rPr>
                <w:rFonts w:ascii="宋体" w:hAnsi="宋体" w:cs="宋体" w:eastAsia="宋体" w:hint="default"/>
                <w:sz w:val="18"/>
                <w:szCs w:val="18"/>
              </w:rPr>
            </w:pPr>
            <w:r>
              <w:rPr>
                <w:rFonts w:ascii="宋体" w:hAnsi="宋体" w:cs="宋体" w:eastAsia="宋体" w:hint="default"/>
                <w:spacing w:val="-7"/>
                <w:w w:val="95"/>
                <w:sz w:val="18"/>
                <w:szCs w:val="18"/>
              </w:rPr>
              <w:t>一、上年期末余额</w:t>
            </w:r>
          </w:p>
        </w:tc>
        <w:tc>
          <w:tcPr>
            <w:tcW w:w="703"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161" w:hRule="exact"/>
        </w:trPr>
        <w:tc>
          <w:tcPr>
            <w:tcW w:w="1418" w:type="dxa"/>
            <w:tcBorders>
              <w:top w:val="nil" w:sz="6" w:space="0" w:color="auto"/>
              <w:left w:val="single" w:sz="4" w:space="0" w:color="000000"/>
              <w:bottom w:val="single" w:sz="4" w:space="0" w:color="000000"/>
              <w:right w:val="single" w:sz="4" w:space="0" w:color="000000"/>
            </w:tcBorders>
            <w:shd w:val="clear" w:color="auto" w:fill="D2D2D2"/>
          </w:tcPr>
          <w:p>
            <w:pPr/>
          </w:p>
        </w:tc>
        <w:tc>
          <w:tcPr>
            <w:tcW w:w="703"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714"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10"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31"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3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62" w:hRule="exact"/>
        </w:trPr>
        <w:tc>
          <w:tcPr>
            <w:tcW w:w="1418" w:type="dxa"/>
            <w:tcBorders>
              <w:top w:val="single" w:sz="4" w:space="0" w:color="000000"/>
              <w:left w:val="single" w:sz="4" w:space="0" w:color="000000"/>
              <w:bottom w:val="nil" w:sz="6" w:space="0" w:color="auto"/>
              <w:right w:val="single" w:sz="4" w:space="0" w:color="000000"/>
            </w:tcBorders>
            <w:shd w:val="clear" w:color="auto" w:fill="D2D2D2"/>
          </w:tcPr>
          <w:p>
            <w:pPr/>
          </w:p>
        </w:tc>
        <w:tc>
          <w:tcPr>
            <w:tcW w:w="703" w:type="dxa"/>
            <w:vMerge w:val="restart"/>
            <w:tcBorders>
              <w:top w:val="single" w:sz="4" w:space="0" w:color="000000"/>
              <w:left w:val="single" w:sz="10" w:space="0" w:color="D2D2D2"/>
              <w:right w:val="single" w:sz="4" w:space="0" w:color="000000"/>
            </w:tcBorders>
          </w:tcPr>
          <w:p>
            <w:pPr>
              <w:pStyle w:val="TableParagraph"/>
              <w:spacing w:line="240" w:lineRule="auto" w:before="92"/>
              <w:ind w:left="8" w:right="0"/>
              <w:jc w:val="center"/>
              <w:rPr>
                <w:rFonts w:ascii="Times New Roman" w:hAnsi="Times New Roman" w:cs="Times New Roman" w:eastAsia="Times New Roman" w:hint="default"/>
                <w:sz w:val="18"/>
                <w:szCs w:val="18"/>
              </w:rPr>
            </w:pPr>
            <w:r>
              <w:rPr>
                <w:rFonts w:ascii="Times New Roman"/>
                <w:sz w:val="18"/>
              </w:rPr>
              <w:t>344,395,</w:t>
            </w:r>
          </w:p>
          <w:p>
            <w:pPr>
              <w:pStyle w:val="TableParagraph"/>
              <w:spacing w:line="240" w:lineRule="auto" w:before="105"/>
              <w:ind w:left="144" w:right="0"/>
              <w:jc w:val="center"/>
              <w:rPr>
                <w:rFonts w:ascii="Times New Roman" w:hAnsi="Times New Roman" w:cs="Times New Roman" w:eastAsia="Times New Roman" w:hint="default"/>
                <w:sz w:val="18"/>
                <w:szCs w:val="18"/>
              </w:rPr>
            </w:pPr>
            <w:r>
              <w:rPr>
                <w:rFonts w:ascii="Times New Roman"/>
                <w:sz w:val="18"/>
              </w:rPr>
              <w:t>344.00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2"/>
              <w:ind w:left="44" w:right="0"/>
              <w:jc w:val="left"/>
              <w:rPr>
                <w:rFonts w:ascii="Times New Roman" w:hAnsi="Times New Roman" w:cs="Times New Roman" w:eastAsia="Times New Roman" w:hint="default"/>
                <w:sz w:val="18"/>
                <w:szCs w:val="18"/>
              </w:rPr>
            </w:pPr>
            <w:r>
              <w:rPr>
                <w:rFonts w:ascii="Times New Roman"/>
                <w:sz w:val="18"/>
              </w:rPr>
              <w:t>677,770,0</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58.81</w:t>
            </w: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2"/>
              <w:ind w:left="44" w:right="0"/>
              <w:jc w:val="left"/>
              <w:rPr>
                <w:rFonts w:ascii="Times New Roman" w:hAnsi="Times New Roman" w:cs="Times New Roman" w:eastAsia="Times New Roman" w:hint="default"/>
                <w:sz w:val="18"/>
                <w:szCs w:val="18"/>
              </w:rPr>
            </w:pPr>
            <w:r>
              <w:rPr>
                <w:rFonts w:ascii="Times New Roman"/>
                <w:sz w:val="18"/>
              </w:rPr>
              <w:t>35,501,88</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2.88</w:t>
            </w:r>
          </w:p>
        </w:tc>
        <w:tc>
          <w:tcPr>
            <w:tcW w:w="676" w:type="dxa"/>
            <w:vMerge w:val="restart"/>
            <w:tcBorders>
              <w:top w:val="single" w:sz="4" w:space="0" w:color="000000"/>
              <w:left w:val="single" w:sz="4" w:space="0" w:color="000000"/>
              <w:right w:val="single" w:sz="4" w:space="0" w:color="000000"/>
            </w:tcBorders>
          </w:tcPr>
          <w:p>
            <w:pPr>
              <w:pStyle w:val="TableParagraph"/>
              <w:spacing w:line="240" w:lineRule="auto" w:before="92"/>
              <w:ind w:left="58" w:right="0"/>
              <w:jc w:val="left"/>
              <w:rPr>
                <w:rFonts w:ascii="Times New Roman" w:hAnsi="Times New Roman" w:cs="Times New Roman" w:eastAsia="Times New Roman" w:hint="default"/>
                <w:sz w:val="18"/>
                <w:szCs w:val="18"/>
              </w:rPr>
            </w:pPr>
            <w:r>
              <w:rPr>
                <w:rFonts w:ascii="Times New Roman"/>
                <w:sz w:val="18"/>
              </w:rPr>
              <w:t>296,220</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,738.67</w:t>
            </w:r>
          </w:p>
        </w:tc>
        <w:tc>
          <w:tcPr>
            <w:tcW w:w="781" w:type="dxa"/>
            <w:vMerge w:val="restart"/>
            <w:tcBorders>
              <w:top w:val="single" w:sz="4" w:space="0" w:color="000000"/>
              <w:left w:val="single" w:sz="4" w:space="0" w:color="000000"/>
              <w:right w:val="single" w:sz="4" w:space="0" w:color="000000"/>
            </w:tcBorders>
          </w:tcPr>
          <w:p>
            <w:pPr>
              <w:pStyle w:val="TableParagraph"/>
              <w:spacing w:line="240" w:lineRule="auto" w:before="92"/>
              <w:ind w:left="4" w:right="0"/>
              <w:jc w:val="center"/>
              <w:rPr>
                <w:rFonts w:ascii="Times New Roman" w:hAnsi="Times New Roman" w:cs="Times New Roman" w:eastAsia="Times New Roman" w:hint="default"/>
                <w:sz w:val="18"/>
                <w:szCs w:val="18"/>
              </w:rPr>
            </w:pPr>
            <w:r>
              <w:rPr>
                <w:rFonts w:ascii="Times New Roman"/>
                <w:sz w:val="18"/>
              </w:rPr>
              <w:t>1,353,888</w:t>
            </w:r>
          </w:p>
          <w:p>
            <w:pPr>
              <w:pStyle w:val="TableParagraph"/>
              <w:spacing w:line="240" w:lineRule="auto" w:before="105"/>
              <w:ind w:left="184" w:right="0"/>
              <w:jc w:val="center"/>
              <w:rPr>
                <w:rFonts w:ascii="Times New Roman" w:hAnsi="Times New Roman" w:cs="Times New Roman" w:eastAsia="Times New Roman" w:hint="default"/>
                <w:sz w:val="18"/>
                <w:szCs w:val="18"/>
              </w:rPr>
            </w:pPr>
            <w:r>
              <w:rPr>
                <w:rFonts w:ascii="Times New Roman"/>
                <w:sz w:val="18"/>
              </w:rPr>
              <w:t>,024.36</w:t>
            </w:r>
          </w:p>
        </w:tc>
      </w:tr>
      <w:tr>
        <w:trPr>
          <w:trHeight w:val="391" w:hRule="exact"/>
        </w:trPr>
        <w:tc>
          <w:tcPr>
            <w:tcW w:w="141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10"/>
              <w:jc w:val="right"/>
              <w:rPr>
                <w:rFonts w:ascii="宋体" w:hAnsi="宋体" w:cs="宋体" w:eastAsia="宋体" w:hint="default"/>
                <w:sz w:val="18"/>
                <w:szCs w:val="18"/>
              </w:rPr>
            </w:pPr>
            <w:r>
              <w:rPr>
                <w:rFonts w:ascii="宋体" w:hAnsi="宋体" w:cs="宋体" w:eastAsia="宋体" w:hint="default"/>
                <w:spacing w:val="-7"/>
                <w:w w:val="95"/>
                <w:sz w:val="18"/>
                <w:szCs w:val="18"/>
              </w:rPr>
              <w:t>二、本年期初余额</w:t>
            </w:r>
          </w:p>
        </w:tc>
        <w:tc>
          <w:tcPr>
            <w:tcW w:w="703"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162" w:hRule="exact"/>
        </w:trPr>
        <w:tc>
          <w:tcPr>
            <w:tcW w:w="1418" w:type="dxa"/>
            <w:tcBorders>
              <w:top w:val="nil" w:sz="6" w:space="0" w:color="auto"/>
              <w:left w:val="single" w:sz="4" w:space="0" w:color="000000"/>
              <w:bottom w:val="single" w:sz="4" w:space="0" w:color="000000"/>
              <w:right w:val="single" w:sz="4" w:space="0" w:color="000000"/>
            </w:tcBorders>
            <w:shd w:val="clear" w:color="auto" w:fill="D2D2D2"/>
          </w:tcPr>
          <w:p>
            <w:pPr/>
          </w:p>
        </w:tc>
        <w:tc>
          <w:tcPr>
            <w:tcW w:w="703"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1442"/>
        <w:gridCol w:w="691"/>
        <w:gridCol w:w="665"/>
        <w:gridCol w:w="665"/>
        <w:gridCol w:w="665"/>
        <w:gridCol w:w="797"/>
        <w:gridCol w:w="798"/>
        <w:gridCol w:w="798"/>
        <w:gridCol w:w="798"/>
        <w:gridCol w:w="797"/>
        <w:gridCol w:w="676"/>
        <w:gridCol w:w="781"/>
      </w:tblGrid>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21"/>
              <w:jc w:val="both"/>
              <w:rPr>
                <w:rFonts w:ascii="宋体" w:hAnsi="宋体" w:cs="宋体" w:eastAsia="宋体" w:hint="default"/>
                <w:sz w:val="18"/>
                <w:szCs w:val="18"/>
              </w:rPr>
            </w:pPr>
            <w:r>
              <w:rPr>
                <w:rFonts w:ascii="宋体" w:hAnsi="宋体" w:cs="宋体" w:eastAsia="宋体" w:hint="default"/>
                <w:spacing w:val="-7"/>
                <w:sz w:val="18"/>
                <w:szCs w:val="18"/>
              </w:rPr>
              <w:t>三、本期增减变动</w:t>
            </w:r>
            <w:r>
              <w:rPr>
                <w:rFonts w:ascii="宋体" w:hAnsi="宋体" w:cs="宋体" w:eastAsia="宋体" w:hint="default"/>
                <w:sz w:val="18"/>
                <w:szCs w:val="18"/>
              </w:rPr>
              <w:t> </w:t>
            </w:r>
            <w:r>
              <w:rPr>
                <w:rFonts w:ascii="宋体" w:hAnsi="宋体" w:cs="宋体" w:eastAsia="宋体" w:hint="default"/>
                <w:spacing w:val="-4"/>
                <w:sz w:val="18"/>
                <w:szCs w:val="18"/>
              </w:rPr>
              <w:t>金额（减少以</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w:t>
            </w:r>
            <w:r>
              <w:rPr>
                <w:rFonts w:ascii="Times New Roman" w:hAnsi="Times New Roman" w:cs="Times New Roman" w:eastAsia="Times New Roman" w:hint="default"/>
                <w:w w:val="100"/>
                <w:sz w:val="18"/>
                <w:szCs w:val="18"/>
              </w:rPr>
              <w:t> </w:t>
            </w:r>
            <w:r>
              <w:rPr>
                <w:rFonts w:ascii="宋体" w:hAnsi="宋体" w:cs="宋体" w:eastAsia="宋体" w:hint="default"/>
                <w:sz w:val="18"/>
                <w:szCs w:val="18"/>
              </w:rPr>
              <w:t>号填列）</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8,746,951</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.52</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61,502,</w:t>
            </w:r>
          </w:p>
          <w:p>
            <w:pPr>
              <w:pStyle w:val="TableParagraph"/>
              <w:spacing w:line="240" w:lineRule="auto" w:before="106"/>
              <w:ind w:left="148" w:right="0"/>
              <w:jc w:val="left"/>
              <w:rPr>
                <w:rFonts w:ascii="Times New Roman" w:hAnsi="Times New Roman" w:cs="Times New Roman" w:eastAsia="Times New Roman" w:hint="default"/>
                <w:sz w:val="18"/>
                <w:szCs w:val="18"/>
              </w:rPr>
            </w:pPr>
            <w:r>
              <w:rPr>
                <w:rFonts w:ascii="Times New Roman"/>
                <w:sz w:val="18"/>
              </w:rPr>
              <w:t>796.45</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7" w:right="0"/>
              <w:jc w:val="left"/>
              <w:rPr>
                <w:rFonts w:ascii="Times New Roman" w:hAnsi="Times New Roman" w:cs="Times New Roman" w:eastAsia="Times New Roman" w:hint="default"/>
                <w:sz w:val="18"/>
                <w:szCs w:val="18"/>
              </w:rPr>
            </w:pPr>
            <w:r>
              <w:rPr>
                <w:rFonts w:ascii="Times New Roman"/>
                <w:sz w:val="18"/>
              </w:rPr>
              <w:t>70,249,74</w:t>
            </w:r>
          </w:p>
          <w:p>
            <w:pPr>
              <w:pStyle w:val="TableParagraph"/>
              <w:spacing w:line="240" w:lineRule="auto" w:before="106"/>
              <w:ind w:left="433" w:right="0"/>
              <w:jc w:val="left"/>
              <w:rPr>
                <w:rFonts w:ascii="Times New Roman" w:hAnsi="Times New Roman" w:cs="Times New Roman" w:eastAsia="Times New Roman" w:hint="default"/>
                <w:sz w:val="18"/>
                <w:szCs w:val="18"/>
              </w:rPr>
            </w:pPr>
            <w:r>
              <w:rPr>
                <w:rFonts w:ascii="Times New Roman"/>
                <w:sz w:val="18"/>
              </w:rPr>
              <w:t>7.97</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pacing w:val="-7"/>
                <w:sz w:val="18"/>
                <w:szCs w:val="18"/>
              </w:rPr>
              <w:t>（一）综合收益总</w:t>
            </w:r>
            <w:r>
              <w:rPr>
                <w:rFonts w:ascii="宋体" w:hAnsi="宋体" w:cs="宋体" w:eastAsia="宋体" w:hint="default"/>
                <w:sz w:val="18"/>
                <w:szCs w:val="18"/>
              </w:rPr>
              <w:t> 额</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87,469,</w:t>
            </w:r>
          </w:p>
          <w:p>
            <w:pPr>
              <w:pStyle w:val="TableParagraph"/>
              <w:spacing w:line="240" w:lineRule="auto" w:before="106"/>
              <w:ind w:left="148" w:right="0"/>
              <w:jc w:val="left"/>
              <w:rPr>
                <w:rFonts w:ascii="Times New Roman" w:hAnsi="Times New Roman" w:cs="Times New Roman" w:eastAsia="Times New Roman" w:hint="default"/>
                <w:sz w:val="18"/>
                <w:szCs w:val="18"/>
              </w:rPr>
            </w:pPr>
            <w:r>
              <w:rPr>
                <w:rFonts w:ascii="Times New Roman"/>
                <w:sz w:val="18"/>
              </w:rPr>
              <w:t>515.17</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87,469,51</w:t>
            </w:r>
          </w:p>
          <w:p>
            <w:pPr>
              <w:pStyle w:val="TableParagraph"/>
              <w:spacing w:line="240" w:lineRule="auto" w:before="106"/>
              <w:ind w:left="433" w:right="0"/>
              <w:jc w:val="left"/>
              <w:rPr>
                <w:rFonts w:ascii="Times New Roman" w:hAnsi="Times New Roman" w:cs="Times New Roman" w:eastAsia="Times New Roman" w:hint="default"/>
                <w:sz w:val="18"/>
                <w:szCs w:val="18"/>
              </w:rPr>
            </w:pPr>
            <w:r>
              <w:rPr>
                <w:rFonts w:ascii="Times New Roman"/>
                <w:sz w:val="18"/>
              </w:rPr>
              <w:t>5.17</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pacing w:val="-7"/>
                <w:sz w:val="18"/>
                <w:szCs w:val="18"/>
              </w:rPr>
              <w:t>（二）所有者投入</w:t>
            </w:r>
            <w:r>
              <w:rPr>
                <w:rFonts w:ascii="宋体" w:hAnsi="宋体" w:cs="宋体" w:eastAsia="宋体" w:hint="default"/>
                <w:sz w:val="18"/>
                <w:szCs w:val="18"/>
              </w:rPr>
              <w:t> 和减少资本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8,746,951</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.52</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-25,966,</w:t>
            </w:r>
          </w:p>
          <w:p>
            <w:pPr>
              <w:pStyle w:val="TableParagraph"/>
              <w:spacing w:line="240" w:lineRule="auto" w:before="106"/>
              <w:ind w:left="126" w:right="0"/>
              <w:jc w:val="center"/>
              <w:rPr>
                <w:rFonts w:ascii="Times New Roman" w:hAnsi="Times New Roman" w:cs="Times New Roman" w:eastAsia="Times New Roman" w:hint="default"/>
                <w:sz w:val="18"/>
                <w:szCs w:val="18"/>
              </w:rPr>
            </w:pPr>
            <w:r>
              <w:rPr>
                <w:rFonts w:ascii="Times New Roman"/>
                <w:sz w:val="18"/>
              </w:rPr>
              <w:t>718.72</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-17,219,7</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67.20</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8,746,951</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.52</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 w:right="0"/>
              <w:jc w:val="center"/>
              <w:rPr>
                <w:rFonts w:ascii="Times New Roman" w:hAnsi="Times New Roman" w:cs="Times New Roman" w:eastAsia="Times New Roman" w:hint="default"/>
                <w:sz w:val="18"/>
                <w:szCs w:val="18"/>
              </w:rPr>
            </w:pPr>
            <w:r>
              <w:rPr>
                <w:rFonts w:ascii="Times New Roman"/>
                <w:sz w:val="18"/>
              </w:rPr>
              <w:t>-8,746,9</w:t>
            </w:r>
          </w:p>
          <w:p>
            <w:pPr>
              <w:pStyle w:val="TableParagraph"/>
              <w:spacing w:line="240" w:lineRule="auto" w:before="106"/>
              <w:ind w:left="216" w:right="0"/>
              <w:jc w:val="center"/>
              <w:rPr>
                <w:rFonts w:ascii="Times New Roman" w:hAnsi="Times New Roman" w:cs="Times New Roman" w:eastAsia="Times New Roman" w:hint="default"/>
                <w:sz w:val="18"/>
                <w:szCs w:val="18"/>
              </w:rPr>
            </w:pPr>
            <w:r>
              <w:rPr>
                <w:rFonts w:ascii="Times New Roman"/>
                <w:sz w:val="18"/>
              </w:rPr>
              <w:t>51.52</w:t>
            </w: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．对所有者（或 股东）的分配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-17,219,</w:t>
            </w:r>
          </w:p>
          <w:p>
            <w:pPr>
              <w:pStyle w:val="TableParagraph"/>
              <w:spacing w:line="240" w:lineRule="auto" w:before="106"/>
              <w:ind w:left="126" w:right="0"/>
              <w:jc w:val="center"/>
              <w:rPr>
                <w:rFonts w:ascii="Times New Roman" w:hAnsi="Times New Roman" w:cs="Times New Roman" w:eastAsia="Times New Roman" w:hint="default"/>
                <w:sz w:val="18"/>
                <w:szCs w:val="18"/>
              </w:rPr>
            </w:pPr>
            <w:r>
              <w:rPr>
                <w:rFonts w:ascii="Times New Roman"/>
                <w:sz w:val="18"/>
              </w:rPr>
              <w:t>767.20</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-17,219,7</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67.20</w:t>
            </w: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pacing w:val="-7"/>
                <w:sz w:val="18"/>
                <w:szCs w:val="18"/>
              </w:rPr>
              <w:t>（四）所有者权益</w:t>
            </w:r>
            <w:r>
              <w:rPr>
                <w:rFonts w:ascii="宋体" w:hAnsi="宋体" w:cs="宋体" w:eastAsia="宋体" w:hint="default"/>
                <w:sz w:val="18"/>
                <w:szCs w:val="18"/>
              </w:rPr>
              <w:t> 内部结转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7"/>
                <w:sz w:val="18"/>
                <w:szCs w:val="18"/>
              </w:rPr>
              <w:t>四、本期期末余额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344,395,</w:t>
            </w:r>
          </w:p>
          <w:p>
            <w:pPr>
              <w:pStyle w:val="TableParagraph"/>
              <w:spacing w:line="240" w:lineRule="auto" w:before="106"/>
              <w:ind w:left="140" w:right="0"/>
              <w:jc w:val="center"/>
              <w:rPr>
                <w:rFonts w:ascii="Times New Roman" w:hAnsi="Times New Roman" w:cs="Times New Roman" w:eastAsia="Times New Roman" w:hint="default"/>
                <w:sz w:val="18"/>
                <w:szCs w:val="18"/>
              </w:rPr>
            </w:pPr>
            <w:r>
              <w:rPr>
                <w:rFonts w:ascii="Times New Roman"/>
                <w:sz w:val="18"/>
              </w:rPr>
              <w:t>344.00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677,770,0</w:t>
            </w:r>
          </w:p>
          <w:p>
            <w:pPr>
              <w:pStyle w:val="TableParagraph"/>
              <w:spacing w:line="240" w:lineRule="auto" w:before="106"/>
              <w:ind w:left="360" w:right="0"/>
              <w:jc w:val="left"/>
              <w:rPr>
                <w:rFonts w:ascii="Times New Roman" w:hAnsi="Times New Roman" w:cs="Times New Roman" w:eastAsia="Times New Roman" w:hint="default"/>
                <w:sz w:val="18"/>
                <w:szCs w:val="18"/>
              </w:rPr>
            </w:pPr>
            <w:r>
              <w:rPr>
                <w:rFonts w:ascii="Times New Roman"/>
                <w:sz w:val="18"/>
              </w:rPr>
              <w:t>58.81</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44,248,83</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4.40</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8" w:right="0"/>
              <w:jc w:val="left"/>
              <w:rPr>
                <w:rFonts w:ascii="Times New Roman" w:hAnsi="Times New Roman" w:cs="Times New Roman" w:eastAsia="Times New Roman" w:hint="default"/>
                <w:sz w:val="18"/>
                <w:szCs w:val="18"/>
              </w:rPr>
            </w:pPr>
            <w:r>
              <w:rPr>
                <w:rFonts w:ascii="Times New Roman"/>
                <w:sz w:val="18"/>
              </w:rPr>
              <w:t>357,723</w:t>
            </w:r>
          </w:p>
          <w:p>
            <w:pPr>
              <w:pStyle w:val="TableParagraph"/>
              <w:spacing w:line="240" w:lineRule="auto" w:before="106"/>
              <w:ind w:left="103" w:right="0"/>
              <w:jc w:val="left"/>
              <w:rPr>
                <w:rFonts w:ascii="Times New Roman" w:hAnsi="Times New Roman" w:cs="Times New Roman" w:eastAsia="Times New Roman" w:hint="default"/>
                <w:sz w:val="18"/>
                <w:szCs w:val="18"/>
              </w:rPr>
            </w:pPr>
            <w:r>
              <w:rPr>
                <w:rFonts w:ascii="Times New Roman"/>
                <w:sz w:val="18"/>
              </w:rPr>
              <w:t>,535.12</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1,424,137</w:t>
            </w:r>
          </w:p>
          <w:p>
            <w:pPr>
              <w:pStyle w:val="TableParagraph"/>
              <w:spacing w:line="240" w:lineRule="auto" w:before="106"/>
              <w:ind w:left="184" w:right="0"/>
              <w:jc w:val="center"/>
              <w:rPr>
                <w:rFonts w:ascii="Times New Roman" w:hAnsi="Times New Roman" w:cs="Times New Roman" w:eastAsia="Times New Roman" w:hint="default"/>
                <w:sz w:val="18"/>
                <w:szCs w:val="18"/>
              </w:rPr>
            </w:pPr>
            <w:r>
              <w:rPr>
                <w:rFonts w:ascii="Times New Roman"/>
                <w:sz w:val="18"/>
              </w:rPr>
              <w:t>,772.33</w:t>
            </w:r>
          </w:p>
        </w:tc>
      </w:tr>
    </w:tbl>
    <w:p>
      <w:pPr>
        <w:spacing w:after="0" w:line="240" w:lineRule="auto"/>
        <w:jc w:val="center"/>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11"/>
        <w:rPr>
          <w:rFonts w:ascii="Times New Roman" w:hAnsi="Times New Roman" w:cs="Times New Roman" w:eastAsia="Times New Roman" w:hint="default"/>
          <w:sz w:val="26"/>
          <w:szCs w:val="26"/>
        </w:rPr>
      </w:pPr>
    </w:p>
    <w:p>
      <w:pPr>
        <w:pStyle w:val="Heading2"/>
        <w:spacing w:line="240" w:lineRule="auto" w:before="26"/>
        <w:ind w:right="0"/>
        <w:jc w:val="both"/>
        <w:rPr>
          <w:b w:val="0"/>
          <w:bCs w:val="0"/>
        </w:rPr>
      </w:pPr>
      <w:bookmarkStart w:name="三、公司基本情况" w:id="165"/>
      <w:bookmarkEnd w:id="165"/>
      <w:r>
        <w:rPr>
          <w:b w:val="0"/>
          <w:bCs w:val="0"/>
        </w:rPr>
      </w:r>
      <w:r>
        <w:rPr/>
        <w:t>三、公司基本情况</w:t>
      </w:r>
      <w:r>
        <w:rPr>
          <w:b w:val="0"/>
          <w:bCs w:val="0"/>
        </w:rPr>
      </w:r>
    </w:p>
    <w:p>
      <w:pPr>
        <w:spacing w:line="240" w:lineRule="auto" w:before="6"/>
        <w:rPr>
          <w:rFonts w:ascii="宋体" w:hAnsi="宋体" w:cs="宋体" w:eastAsia="宋体" w:hint="default"/>
          <w:b/>
          <w:bCs/>
          <w:sz w:val="26"/>
          <w:szCs w:val="26"/>
        </w:rPr>
      </w:pPr>
    </w:p>
    <w:p>
      <w:pPr>
        <w:pStyle w:val="Heading5"/>
        <w:spacing w:line="240" w:lineRule="auto"/>
        <w:ind w:right="0"/>
        <w:jc w:val="left"/>
        <w:rPr>
          <w:b w:val="0"/>
          <w:bCs w:val="0"/>
        </w:rPr>
      </w:pPr>
      <w:r>
        <w:rPr>
          <w:rFonts w:ascii="Times New Roman" w:hAnsi="Times New Roman" w:cs="Times New Roman" w:eastAsia="Times New Roman" w:hint="default"/>
        </w:rPr>
        <w:t>1</w:t>
      </w:r>
      <w:r>
        <w:rPr/>
        <w:t>、历史沿革</w:t>
      </w:r>
      <w:r>
        <w:rPr>
          <w:b w:val="0"/>
          <w:bCs w:val="0"/>
        </w:rPr>
      </w:r>
    </w:p>
    <w:p>
      <w:pPr>
        <w:pStyle w:val="BodyText"/>
        <w:spacing w:line="309" w:lineRule="auto" w:before="123"/>
        <w:ind w:right="1134" w:firstLine="420"/>
        <w:jc w:val="both"/>
      </w:pPr>
      <w:r>
        <w:rPr/>
        <w:t>河北先河环保科技股份有限公司（以下简称</w:t>
      </w:r>
      <w:r>
        <w:rPr>
          <w:rFonts w:ascii="Times New Roman" w:hAnsi="Times New Roman" w:cs="Times New Roman" w:eastAsia="Times New Roman" w:hint="default"/>
        </w:rPr>
        <w:t>“</w:t>
      </w:r>
      <w:r>
        <w:rPr/>
        <w:t>公司或本公司</w:t>
      </w:r>
      <w:r>
        <w:rPr>
          <w:rFonts w:ascii="Times New Roman" w:hAnsi="Times New Roman" w:cs="Times New Roman" w:eastAsia="Times New Roman" w:hint="default"/>
        </w:rPr>
        <w:t>”</w:t>
      </w:r>
      <w:r>
        <w:rPr/>
        <w:t>），</w:t>
      </w:r>
      <w:r>
        <w:rPr>
          <w:spacing w:val="37"/>
        </w:rPr>
        <w:t> </w:t>
      </w:r>
      <w:r>
        <w:rPr>
          <w:rFonts w:ascii="Times New Roman" w:hAnsi="Times New Roman" w:cs="Times New Roman" w:eastAsia="Times New Roman" w:hint="default"/>
        </w:rPr>
        <w:t>2009</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22</w:t>
      </w:r>
      <w:r>
        <w:rPr/>
        <w:t>日在原河北先河科技发展有限公司的基 </w:t>
      </w:r>
      <w:r>
        <w:rPr>
          <w:spacing w:val="4"/>
        </w:rPr>
        <w:t>础上，经河北省工商行政管理局批准，整体变更为河北先河环保科技股份有限公司，公司营业执照统一社会信用代码为</w:t>
      </w:r>
      <w:r>
        <w:rPr>
          <w:spacing w:val="-66"/>
        </w:rPr>
        <w:t> </w:t>
      </w:r>
      <w:r>
        <w:rPr>
          <w:spacing w:val="-66"/>
        </w:rPr>
      </w:r>
      <w:r>
        <w:rPr>
          <w:rFonts w:ascii="Times New Roman" w:hAnsi="Times New Roman" w:cs="Times New Roman" w:eastAsia="Times New Roman" w:hint="default"/>
        </w:rPr>
        <w:t>91130100104363113U</w:t>
      </w:r>
      <w:r>
        <w:rPr/>
        <w:t>，公司法定代表人为李玉国；注册地：石家庄市湘江道</w:t>
      </w:r>
      <w:r>
        <w:rPr>
          <w:rFonts w:ascii="Times New Roman" w:hAnsi="Times New Roman" w:cs="Times New Roman" w:eastAsia="Times New Roman" w:hint="default"/>
        </w:rPr>
        <w:t>251</w:t>
      </w:r>
      <w:r>
        <w:rPr/>
        <w:t>号。</w:t>
      </w:r>
    </w:p>
    <w:p>
      <w:pPr>
        <w:pStyle w:val="BodyText"/>
        <w:spacing w:line="300" w:lineRule="auto" w:before="65"/>
        <w:ind w:left="1134" w:right="1128" w:firstLine="420"/>
        <w:jc w:val="both"/>
      </w:pPr>
      <w:r>
        <w:rPr/>
        <w:t>公司前身河北先河科技发展有限公司（以下简称</w:t>
      </w:r>
      <w:r>
        <w:rPr>
          <w:rFonts w:ascii="Times New Roman" w:hAnsi="Times New Roman" w:cs="Times New Roman" w:eastAsia="Times New Roman" w:hint="default"/>
        </w:rPr>
        <w:t>“</w:t>
      </w:r>
      <w:r>
        <w:rPr/>
        <w:t>先河有限</w:t>
      </w:r>
      <w:r>
        <w:rPr>
          <w:rFonts w:ascii="Times New Roman" w:hAnsi="Times New Roman" w:cs="Times New Roman" w:eastAsia="Times New Roman" w:hint="default"/>
        </w:rPr>
        <w:t>”</w:t>
      </w:r>
      <w:r>
        <w:rPr/>
        <w:t>）成立于</w:t>
      </w:r>
      <w:r>
        <w:rPr>
          <w:rFonts w:ascii="Times New Roman" w:hAnsi="Times New Roman" w:cs="Times New Roman" w:eastAsia="Times New Roman" w:hint="default"/>
        </w:rPr>
        <w:t>1996</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6</w:t>
      </w:r>
      <w:r>
        <w:rPr/>
        <w:t>日，注册资本人民币</w:t>
      </w:r>
      <w:r>
        <w:rPr>
          <w:rFonts w:ascii="Times New Roman" w:hAnsi="Times New Roman" w:cs="Times New Roman" w:eastAsia="Times New Roman" w:hint="default"/>
        </w:rPr>
        <w:t>50</w:t>
      </w:r>
      <w:r>
        <w:rPr/>
        <w:t>万元，公司于</w:t>
      </w:r>
      <w:r>
        <w:rPr>
          <w:spacing w:val="1"/>
        </w:rPr>
        <w:t> </w:t>
      </w:r>
      <w:r>
        <w:rPr>
          <w:rFonts w:ascii="Times New Roman" w:hAnsi="Times New Roman" w:cs="Times New Roman" w:eastAsia="Times New Roman" w:hint="default"/>
          <w:spacing w:val="-2"/>
        </w:rPr>
        <w:t>1999</w:t>
      </w:r>
      <w:r>
        <w:rPr>
          <w:spacing w:val="-2"/>
        </w:rPr>
        <w:t>年</w:t>
      </w:r>
      <w:r>
        <w:rPr>
          <w:rFonts w:ascii="Times New Roman" w:hAnsi="Times New Roman" w:cs="Times New Roman" w:eastAsia="Times New Roman" w:hint="default"/>
          <w:spacing w:val="-2"/>
        </w:rPr>
        <w:t>4</w:t>
      </w:r>
      <w:r>
        <w:rPr>
          <w:spacing w:val="-2"/>
        </w:rPr>
        <w:t>月进行了增资，增资后注册资本变更为人民币</w:t>
      </w:r>
      <w:r>
        <w:rPr>
          <w:rFonts w:ascii="Times New Roman" w:hAnsi="Times New Roman" w:cs="Times New Roman" w:eastAsia="Times New Roman" w:hint="default"/>
          <w:spacing w:val="-2"/>
        </w:rPr>
        <w:t>130</w:t>
      </w:r>
      <w:r>
        <w:rPr>
          <w:spacing w:val="-2"/>
        </w:rPr>
        <w:t>万元；公司于</w:t>
      </w:r>
      <w:r>
        <w:rPr>
          <w:rFonts w:ascii="Times New Roman" w:hAnsi="Times New Roman" w:cs="Times New Roman" w:eastAsia="Times New Roman" w:hint="default"/>
          <w:spacing w:val="-2"/>
        </w:rPr>
        <w:t>1999</w:t>
      </w:r>
      <w:r>
        <w:rPr>
          <w:spacing w:val="-2"/>
        </w:rPr>
        <w:t>年</w:t>
      </w:r>
      <w:r>
        <w:rPr>
          <w:rFonts w:ascii="Times New Roman" w:hAnsi="Times New Roman" w:cs="Times New Roman" w:eastAsia="Times New Roman" w:hint="default"/>
          <w:spacing w:val="-2"/>
        </w:rPr>
        <w:t>12</w:t>
      </w:r>
      <w:r>
        <w:rPr>
          <w:spacing w:val="-2"/>
        </w:rPr>
        <w:t>月进行了增资，增资后注册资本变更为人民</w:t>
      </w:r>
      <w:r>
        <w:rPr>
          <w:spacing w:val="-53"/>
        </w:rPr>
        <w:t> </w:t>
      </w:r>
      <w:r>
        <w:rPr>
          <w:spacing w:val="-53"/>
        </w:rPr>
      </w:r>
      <w:r>
        <w:rPr/>
        <w:t>币</w:t>
      </w:r>
      <w:r>
        <w:rPr>
          <w:rFonts w:ascii="Times New Roman" w:hAnsi="Times New Roman" w:cs="Times New Roman" w:eastAsia="Times New Roman" w:hint="default"/>
        </w:rPr>
        <w:t>1,743</w:t>
      </w:r>
      <w:r>
        <w:rPr/>
        <w:t>万元；公司于</w:t>
      </w:r>
      <w:r>
        <w:rPr>
          <w:rFonts w:ascii="Times New Roman" w:hAnsi="Times New Roman" w:cs="Times New Roman" w:eastAsia="Times New Roman" w:hint="default"/>
        </w:rPr>
        <w:t>2007</w:t>
      </w:r>
      <w:r>
        <w:rPr/>
        <w:t>年</w:t>
      </w:r>
      <w:r>
        <w:rPr>
          <w:rFonts w:ascii="Times New Roman" w:hAnsi="Times New Roman" w:cs="Times New Roman" w:eastAsia="Times New Roman" w:hint="default"/>
        </w:rPr>
        <w:t>12</w:t>
      </w:r>
      <w:r>
        <w:rPr/>
        <w:t>月进行了增资，增资后的注册资本为人民币</w:t>
      </w:r>
      <w:r>
        <w:rPr>
          <w:rFonts w:ascii="Times New Roman" w:hAnsi="Times New Roman" w:cs="Times New Roman" w:eastAsia="Times New Roman" w:hint="default"/>
        </w:rPr>
        <w:t>2,218.3636</w:t>
      </w:r>
      <w:r>
        <w:rPr/>
        <w:t>万元；公司于</w:t>
      </w:r>
      <w:r>
        <w:rPr>
          <w:rFonts w:ascii="Times New Roman" w:hAnsi="Times New Roman" w:cs="Times New Roman" w:eastAsia="Times New Roman" w:hint="default"/>
        </w:rPr>
        <w:t>2009</w:t>
      </w:r>
      <w:r>
        <w:rPr/>
        <w:t>年</w:t>
      </w:r>
      <w:r>
        <w:rPr>
          <w:rFonts w:ascii="Times New Roman" w:hAnsi="Times New Roman" w:cs="Times New Roman" w:eastAsia="Times New Roman" w:hint="default"/>
        </w:rPr>
        <w:t>4</w:t>
      </w:r>
      <w:r>
        <w:rPr/>
        <w:t>月进行了增资，</w:t>
      </w:r>
      <w:r>
        <w:rPr>
          <w:spacing w:val="-45"/>
        </w:rPr>
        <w:t> </w:t>
      </w:r>
      <w:r>
        <w:rPr/>
        <w:t>增资后的注册资本为人民币</w:t>
      </w:r>
      <w:r>
        <w:rPr>
          <w:rFonts w:ascii="Times New Roman" w:hAnsi="Times New Roman" w:cs="Times New Roman" w:eastAsia="Times New Roman" w:hint="default"/>
        </w:rPr>
        <w:t>2,838.1982</w:t>
      </w:r>
      <w:r>
        <w:rPr/>
        <w:t>万元。</w:t>
      </w:r>
    </w:p>
    <w:p>
      <w:pPr>
        <w:pStyle w:val="BodyText"/>
        <w:spacing w:line="300" w:lineRule="auto" w:before="73"/>
        <w:ind w:right="1132" w:firstLine="420"/>
        <w:jc w:val="both"/>
      </w:pPr>
      <w:r>
        <w:rPr>
          <w:rFonts w:ascii="Times New Roman" w:hAnsi="Times New Roman" w:cs="Times New Roman" w:eastAsia="Times New Roman" w:hint="default"/>
          <w:spacing w:val="-1"/>
        </w:rPr>
        <w:t>2009</w:t>
      </w:r>
      <w:r>
        <w:rPr>
          <w:spacing w:val="-1"/>
        </w:rPr>
        <w:t>年</w:t>
      </w:r>
      <w:r>
        <w:rPr>
          <w:rFonts w:ascii="Times New Roman" w:hAnsi="Times New Roman" w:cs="Times New Roman" w:eastAsia="Times New Roman" w:hint="default"/>
          <w:spacing w:val="-1"/>
        </w:rPr>
        <w:t>5</w:t>
      </w:r>
      <w:r>
        <w:rPr>
          <w:spacing w:val="-1"/>
        </w:rPr>
        <w:t>月，根据公司股东会决议、发起人协议和公司章程的规定，由李玉国、北京科桥投资顾问有限公司、红塔创新</w:t>
      </w:r>
      <w:r>
        <w:rPr/>
        <w:t> </w:t>
      </w:r>
      <w:r>
        <w:rPr>
          <w:spacing w:val="-2"/>
        </w:rPr>
        <w:t>投资股份有限公司、上海兴烨创业投资有限公司、上海正同创业投资有限公司及其他</w:t>
      </w:r>
      <w:r>
        <w:rPr>
          <w:rFonts w:ascii="Times New Roman" w:hAnsi="Times New Roman" w:cs="Times New Roman" w:eastAsia="Times New Roman" w:hint="default"/>
          <w:spacing w:val="-2"/>
        </w:rPr>
        <w:t>41</w:t>
      </w:r>
      <w:r>
        <w:rPr>
          <w:spacing w:val="-2"/>
        </w:rPr>
        <w:t>名自然人股东作为发起人，由公司前</w:t>
      </w:r>
      <w:r>
        <w:rPr>
          <w:spacing w:val="-65"/>
        </w:rPr>
        <w:t> </w:t>
      </w:r>
      <w:r>
        <w:rPr>
          <w:spacing w:val="-65"/>
        </w:rPr>
      </w:r>
      <w:r>
        <w:rPr/>
        <w:t>身先河有限截至</w:t>
      </w:r>
      <w:r>
        <w:rPr>
          <w:rFonts w:ascii="Times New Roman" w:hAnsi="Times New Roman" w:cs="Times New Roman" w:eastAsia="Times New Roman" w:hint="default"/>
        </w:rPr>
        <w:t>2009</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30</w:t>
      </w:r>
      <w:r>
        <w:rPr/>
        <w:t>日经审计后的净资产</w:t>
      </w:r>
      <w:r>
        <w:rPr>
          <w:rFonts w:ascii="Times New Roman" w:hAnsi="Times New Roman" w:cs="Times New Roman" w:eastAsia="Times New Roman" w:hint="default"/>
        </w:rPr>
        <w:t>13,000.21</w:t>
      </w:r>
      <w:r>
        <w:rPr/>
        <w:t>万元，按</w:t>
      </w:r>
      <w:r>
        <w:rPr>
          <w:rFonts w:ascii="Times New Roman" w:hAnsi="Times New Roman" w:cs="Times New Roman" w:eastAsia="Times New Roman" w:hint="default"/>
        </w:rPr>
        <w:t>1:0.6923</w:t>
      </w:r>
      <w:r>
        <w:rPr/>
        <w:t>的比例折为股本总额</w:t>
      </w:r>
      <w:r>
        <w:rPr>
          <w:rFonts w:ascii="Times New Roman" w:hAnsi="Times New Roman" w:cs="Times New Roman" w:eastAsia="Times New Roman" w:hint="default"/>
        </w:rPr>
        <w:t>9,000.00</w:t>
      </w:r>
      <w:r>
        <w:rPr/>
        <w:t>万元，整体变更为 股份有限公司。整体变更后公司注册资本变更为</w:t>
      </w:r>
      <w:r>
        <w:rPr>
          <w:rFonts w:ascii="Times New Roman" w:hAnsi="Times New Roman" w:cs="Times New Roman" w:eastAsia="Times New Roman" w:hint="default"/>
        </w:rPr>
        <w:t>9,000.00</w:t>
      </w:r>
      <w:r>
        <w:rPr/>
        <w:t>万元。</w:t>
      </w:r>
    </w:p>
    <w:p>
      <w:pPr>
        <w:pStyle w:val="BodyText"/>
        <w:spacing w:line="304" w:lineRule="auto" w:before="73"/>
        <w:ind w:right="0" w:firstLine="420"/>
        <w:jc w:val="left"/>
      </w:pPr>
      <w:r>
        <w:rPr>
          <w:spacing w:val="-3"/>
        </w:rPr>
        <w:t>经中国证券监督管理委员会《关于核准河北先河环保科技股份有限公司首次公开发行股票并在创业板上市的批复》（证</w:t>
      </w:r>
      <w:r>
        <w:rPr/>
        <w:t> 监许可</w:t>
      </w:r>
      <w:r>
        <w:rPr>
          <w:rFonts w:ascii="Times New Roman" w:hAnsi="Times New Roman" w:cs="Times New Roman" w:eastAsia="Times New Roman" w:hint="default"/>
        </w:rPr>
        <w:t>[2010]1402 </w:t>
      </w:r>
      <w:r>
        <w:rPr/>
        <w:t>号文）的批准，同意核准本公司公开发行不超过</w:t>
      </w:r>
      <w:r>
        <w:rPr>
          <w:rFonts w:ascii="Times New Roman" w:hAnsi="Times New Roman" w:cs="Times New Roman" w:eastAsia="Times New Roman" w:hint="default"/>
        </w:rPr>
        <w:t>3,000</w:t>
      </w:r>
      <w:r>
        <w:rPr/>
        <w:t>万股新股。公司于</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25</w:t>
      </w:r>
      <w:r>
        <w:rPr/>
        <w:t>日通过深圳证券交</w:t>
      </w:r>
      <w:r>
        <w:rPr>
          <w:spacing w:val="-74"/>
        </w:rPr>
        <w:t> </w:t>
      </w:r>
      <w:r>
        <w:rPr>
          <w:spacing w:val="-74"/>
        </w:rPr>
      </w:r>
      <w:r>
        <w:rPr>
          <w:spacing w:val="-2"/>
        </w:rPr>
        <w:t>易所，采用网下向配售对象询价配售和网上向社会公众投资者定价发行相结合的方式，公开发行人民币普通股（</w:t>
      </w:r>
      <w:r>
        <w:rPr>
          <w:rFonts w:ascii="Times New Roman" w:hAnsi="Times New Roman" w:cs="Times New Roman" w:eastAsia="Times New Roman" w:hint="default"/>
          <w:spacing w:val="-2"/>
        </w:rPr>
        <w:t>A</w:t>
      </w:r>
      <w:r>
        <w:rPr>
          <w:spacing w:val="-2"/>
        </w:rPr>
        <w:t>股）</w:t>
      </w:r>
      <w:r>
        <w:rPr>
          <w:rFonts w:ascii="Times New Roman" w:hAnsi="Times New Roman" w:cs="Times New Roman" w:eastAsia="Times New Roman" w:hint="default"/>
          <w:spacing w:val="-2"/>
        </w:rPr>
        <w:t>3,000</w:t>
      </w:r>
      <w:r>
        <w:rPr>
          <w:rFonts w:ascii="Times New Roman" w:hAnsi="Times New Roman" w:cs="Times New Roman" w:eastAsia="Times New Roman" w:hint="default"/>
          <w:spacing w:val="-13"/>
        </w:rPr>
        <w:t> </w:t>
      </w:r>
      <w:r>
        <w:rPr>
          <w:spacing w:val="-2"/>
        </w:rPr>
        <w:t>万股，共募集资金人民币</w:t>
      </w:r>
      <w:r>
        <w:rPr>
          <w:rFonts w:ascii="Times New Roman" w:hAnsi="Times New Roman" w:cs="Times New Roman" w:eastAsia="Times New Roman" w:hint="default"/>
          <w:spacing w:val="-2"/>
        </w:rPr>
        <w:t>62,650.33</w:t>
      </w:r>
      <w:r>
        <w:rPr>
          <w:spacing w:val="-2"/>
        </w:rPr>
        <w:t>万元（已扣除发行费用），其中新增注册资本（股本）</w:t>
      </w:r>
      <w:r>
        <w:rPr>
          <w:rFonts w:ascii="Times New Roman" w:hAnsi="Times New Roman" w:cs="Times New Roman" w:eastAsia="Times New Roman" w:hint="default"/>
          <w:spacing w:val="-2"/>
        </w:rPr>
        <w:t>3,000.00</w:t>
      </w:r>
      <w:r>
        <w:rPr>
          <w:spacing w:val="-2"/>
        </w:rPr>
        <w:t>万元，其余计入资本公积，</w:t>
      </w:r>
      <w:r>
        <w:rPr>
          <w:spacing w:val="-55"/>
        </w:rPr>
        <w:t> </w:t>
      </w:r>
      <w:r>
        <w:rPr>
          <w:spacing w:val="-55"/>
        </w:rPr>
      </w:r>
      <w:r>
        <w:rPr/>
        <w:t>首次公开发行后注册资本变更为</w:t>
      </w:r>
      <w:r>
        <w:rPr>
          <w:rFonts w:ascii="Times New Roman" w:hAnsi="Times New Roman" w:cs="Times New Roman" w:eastAsia="Times New Roman" w:hint="default"/>
        </w:rPr>
        <w:t>12,000.00</w:t>
      </w:r>
      <w:r>
        <w:rPr/>
        <w:t>万元。经深圳证券交易所深证上</w:t>
      </w:r>
      <w:r>
        <w:rPr>
          <w:rFonts w:ascii="Times New Roman" w:hAnsi="Times New Roman" w:cs="Times New Roman" w:eastAsia="Times New Roman" w:hint="default"/>
        </w:rPr>
        <w:t>[2010]353</w:t>
      </w:r>
      <w:r>
        <w:rPr/>
        <w:t>号文批准，公司股票于</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5</w:t>
      </w:r>
      <w:r>
        <w:rPr/>
        <w:t>日在 深圳证券交易所创业板挂牌交易，股票代码为</w:t>
      </w:r>
      <w:r>
        <w:rPr>
          <w:rFonts w:ascii="Times New Roman" w:hAnsi="Times New Roman" w:cs="Times New Roman" w:eastAsia="Times New Roman" w:hint="default"/>
        </w:rPr>
        <w:t>300137</w:t>
      </w:r>
      <w:r>
        <w:rPr/>
        <w:t>。</w:t>
      </w:r>
    </w:p>
    <w:p>
      <w:pPr>
        <w:pStyle w:val="BodyText"/>
        <w:spacing w:line="300" w:lineRule="auto" w:before="69"/>
        <w:ind w:right="1128" w:firstLine="420"/>
        <w:jc w:val="both"/>
      </w:pPr>
      <w:r>
        <w:rPr>
          <w:rFonts w:ascii="Times New Roman" w:hAnsi="Times New Roman" w:cs="Times New Roman" w:eastAsia="Times New Roman" w:hint="default"/>
        </w:rPr>
        <w:t>2011</w:t>
      </w:r>
      <w:r>
        <w:rPr/>
        <w:t>年</w:t>
      </w:r>
      <w:r>
        <w:rPr>
          <w:rFonts w:ascii="Times New Roman" w:hAnsi="Times New Roman" w:cs="Times New Roman" w:eastAsia="Times New Roman" w:hint="default"/>
        </w:rPr>
        <w:t>5</w:t>
      </w:r>
      <w:r>
        <w:rPr/>
        <w:t>月根据</w:t>
      </w:r>
      <w:r>
        <w:rPr>
          <w:rFonts w:ascii="Times New Roman" w:hAnsi="Times New Roman" w:cs="Times New Roman" w:eastAsia="Times New Roman" w:hint="default"/>
        </w:rPr>
        <w:t>2010</w:t>
      </w:r>
      <w:r>
        <w:rPr/>
        <w:t>年度股东大会决议，公司以总股本</w:t>
      </w:r>
      <w:r>
        <w:rPr>
          <w:rFonts w:ascii="Times New Roman" w:hAnsi="Times New Roman" w:cs="Times New Roman" w:eastAsia="Times New Roman" w:hint="default"/>
        </w:rPr>
        <w:t>12,000</w:t>
      </w:r>
      <w:r>
        <w:rPr/>
        <w:t>万股为基数，以资本公积金向全体股东每</w:t>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3</w:t>
      </w:r>
      <w:r>
        <w:rPr/>
        <w:t>股，</w:t>
      </w:r>
      <w:r>
        <w:rPr>
          <w:spacing w:val="2"/>
        </w:rPr>
        <w:t> </w:t>
      </w:r>
      <w:r>
        <w:rPr/>
        <w:t>注册资本由</w:t>
      </w:r>
      <w:r>
        <w:rPr>
          <w:rFonts w:ascii="Times New Roman" w:hAnsi="Times New Roman" w:cs="Times New Roman" w:eastAsia="Times New Roman" w:hint="default"/>
        </w:rPr>
        <w:t>12,000</w:t>
      </w:r>
      <w:r>
        <w:rPr/>
        <w:t>万元变更为</w:t>
      </w:r>
      <w:r>
        <w:rPr>
          <w:rFonts w:ascii="Times New Roman" w:hAnsi="Times New Roman" w:cs="Times New Roman" w:eastAsia="Times New Roman" w:hint="default"/>
        </w:rPr>
        <w:t>15,600</w:t>
      </w:r>
      <w:r>
        <w:rPr/>
        <w:t>万元。</w:t>
      </w:r>
    </w:p>
    <w:p>
      <w:pPr>
        <w:pStyle w:val="BodyText"/>
        <w:spacing w:line="300" w:lineRule="auto" w:before="73"/>
        <w:ind w:right="1131" w:firstLine="420"/>
        <w:jc w:val="both"/>
      </w:pPr>
      <w:r>
        <w:rPr>
          <w:rFonts w:ascii="Times New Roman" w:hAnsi="Times New Roman" w:cs="Times New Roman" w:eastAsia="Times New Roman" w:hint="default"/>
        </w:rPr>
        <w:t>2013</w:t>
      </w:r>
      <w:r>
        <w:rPr/>
        <w:t>年</w:t>
      </w:r>
      <w:r>
        <w:rPr>
          <w:rFonts w:ascii="Times New Roman" w:hAnsi="Times New Roman" w:cs="Times New Roman" w:eastAsia="Times New Roman" w:hint="default"/>
        </w:rPr>
        <w:t>7</w:t>
      </w:r>
      <w:r>
        <w:rPr/>
        <w:t>月根据</w:t>
      </w:r>
      <w:r>
        <w:rPr>
          <w:rFonts w:ascii="Times New Roman" w:hAnsi="Times New Roman" w:cs="Times New Roman" w:eastAsia="Times New Roman" w:hint="default"/>
        </w:rPr>
        <w:t>2012</w:t>
      </w:r>
      <w:r>
        <w:rPr/>
        <w:t>年度股东大会决议，公司以总股数</w:t>
      </w:r>
      <w:r>
        <w:rPr>
          <w:rFonts w:ascii="Times New Roman" w:hAnsi="Times New Roman" w:cs="Times New Roman" w:eastAsia="Times New Roman" w:hint="default"/>
        </w:rPr>
        <w:t>15,600</w:t>
      </w:r>
      <w:r>
        <w:rPr/>
        <w:t>万股为基数，以资本公积向全体股东每</w:t>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3</w:t>
      </w:r>
      <w:r>
        <w:rPr/>
        <w:t>股共计 转增</w:t>
      </w:r>
      <w:r>
        <w:rPr>
          <w:rFonts w:ascii="Times New Roman" w:hAnsi="Times New Roman" w:cs="Times New Roman" w:eastAsia="Times New Roman" w:hint="default"/>
        </w:rPr>
        <w:t>46,800,000</w:t>
      </w:r>
      <w:r>
        <w:rPr/>
        <w:t>股，注册资本由</w:t>
      </w:r>
      <w:r>
        <w:rPr>
          <w:rFonts w:ascii="Times New Roman" w:hAnsi="Times New Roman" w:cs="Times New Roman" w:eastAsia="Times New Roman" w:hint="default"/>
        </w:rPr>
        <w:t>15,600</w:t>
      </w:r>
      <w:r>
        <w:rPr/>
        <w:t>万元变更为人民币</w:t>
      </w:r>
      <w:r>
        <w:rPr>
          <w:rFonts w:ascii="Times New Roman" w:hAnsi="Times New Roman" w:cs="Times New Roman" w:eastAsia="Times New Roman" w:hint="default"/>
        </w:rPr>
        <w:t>20,280</w:t>
      </w:r>
      <w:r>
        <w:rPr/>
        <w:t>万元。</w:t>
      </w:r>
    </w:p>
    <w:p>
      <w:pPr>
        <w:pStyle w:val="BodyText"/>
        <w:spacing w:line="300" w:lineRule="auto" w:before="73"/>
        <w:ind w:right="1131" w:firstLine="420"/>
        <w:jc w:val="both"/>
      </w:pPr>
      <w:r>
        <w:rPr>
          <w:rFonts w:ascii="Times New Roman" w:hAnsi="Times New Roman" w:cs="Times New Roman" w:eastAsia="Times New Roman" w:hint="default"/>
        </w:rPr>
        <w:t>2014</w:t>
      </w:r>
      <w:r>
        <w:rPr/>
        <w:t>年</w:t>
      </w:r>
      <w:r>
        <w:rPr>
          <w:rFonts w:ascii="Times New Roman" w:hAnsi="Times New Roman" w:cs="Times New Roman" w:eastAsia="Times New Roman" w:hint="default"/>
        </w:rPr>
        <w:t>7</w:t>
      </w:r>
      <w:r>
        <w:rPr/>
        <w:t>月根据</w:t>
      </w:r>
      <w:r>
        <w:rPr>
          <w:rFonts w:ascii="Times New Roman" w:hAnsi="Times New Roman" w:cs="Times New Roman" w:eastAsia="Times New Roman" w:hint="default"/>
        </w:rPr>
        <w:t>2013</w:t>
      </w:r>
      <w:r>
        <w:rPr/>
        <w:t>年度股东大会决议，公司以总股本</w:t>
      </w:r>
      <w:r>
        <w:rPr>
          <w:rFonts w:ascii="Times New Roman" w:hAnsi="Times New Roman" w:cs="Times New Roman" w:eastAsia="Times New Roman" w:hint="default"/>
        </w:rPr>
        <w:t>20,280</w:t>
      </w:r>
      <w:r>
        <w:rPr/>
        <w:t>万股为基数，以资本公积向全体股东每</w:t>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6</w:t>
      </w:r>
      <w:r>
        <w:rPr/>
        <w:t>股共计 转增</w:t>
      </w:r>
      <w:r>
        <w:rPr>
          <w:rFonts w:ascii="Times New Roman" w:hAnsi="Times New Roman" w:cs="Times New Roman" w:eastAsia="Times New Roman" w:hint="default"/>
        </w:rPr>
        <w:t>121,680,000  </w:t>
      </w:r>
      <w:r>
        <w:rPr/>
        <w:t>股，注册资本由</w:t>
      </w:r>
      <w:r>
        <w:rPr>
          <w:rFonts w:ascii="Times New Roman" w:hAnsi="Times New Roman" w:cs="Times New Roman" w:eastAsia="Times New Roman" w:hint="default"/>
        </w:rPr>
        <w:t>20,280</w:t>
      </w:r>
      <w:r>
        <w:rPr/>
        <w:t>万元变更为人民币</w:t>
      </w:r>
      <w:r>
        <w:rPr>
          <w:rFonts w:ascii="Times New Roman" w:hAnsi="Times New Roman" w:cs="Times New Roman" w:eastAsia="Times New Roman" w:hint="default"/>
        </w:rPr>
        <w:t>32,448</w:t>
      </w:r>
      <w:r>
        <w:rPr>
          <w:rFonts w:ascii="Times New Roman" w:hAnsi="Times New Roman" w:cs="Times New Roman" w:eastAsia="Times New Roman" w:hint="default"/>
          <w:spacing w:val="6"/>
        </w:rPr>
        <w:t> </w:t>
      </w:r>
      <w:r>
        <w:rPr/>
        <w:t>万元。</w:t>
      </w:r>
    </w:p>
    <w:p>
      <w:pPr>
        <w:pStyle w:val="BodyText"/>
        <w:spacing w:line="300" w:lineRule="auto" w:before="73"/>
        <w:ind w:right="1131" w:firstLine="420"/>
        <w:jc w:val="both"/>
      </w:pPr>
      <w:r>
        <w:rPr/>
        <w:t>根据本公司</w:t>
      </w:r>
      <w:r>
        <w:rPr>
          <w:rFonts w:ascii="Times New Roman" w:hAnsi="Times New Roman" w:cs="Times New Roman" w:eastAsia="Times New Roman" w:hint="default"/>
        </w:rPr>
        <w:t>2014</w:t>
      </w:r>
      <w:r>
        <w:rPr/>
        <w:t>年第二次临时股东大会决议并经中国证券监督管理委员会《关于核准河北先河环保科技股份有限公司 </w:t>
      </w:r>
      <w:r>
        <w:rPr>
          <w:spacing w:val="-4"/>
        </w:rPr>
        <w:t>向梁常清等发行股份购买资产并募集配套资金的批复》（证监许可</w:t>
      </w:r>
      <w:r>
        <w:rPr>
          <w:rFonts w:ascii="Times New Roman" w:hAnsi="Times New Roman" w:cs="Times New Roman" w:eastAsia="Times New Roman" w:hint="default"/>
          <w:spacing w:val="-4"/>
        </w:rPr>
        <w:t>[2014]</w:t>
      </w:r>
      <w:r>
        <w:rPr>
          <w:rFonts w:ascii="Times New Roman" w:hAnsi="Times New Roman" w:cs="Times New Roman" w:eastAsia="Times New Roman" w:hint="default"/>
          <w:spacing w:val="5"/>
        </w:rPr>
        <w:t> </w:t>
      </w:r>
      <w:r>
        <w:rPr>
          <w:rFonts w:ascii="Times New Roman" w:hAnsi="Times New Roman" w:cs="Times New Roman" w:eastAsia="Times New Roman" w:hint="default"/>
        </w:rPr>
        <w:t>1396</w:t>
      </w:r>
      <w:r>
        <w:rPr>
          <w:rFonts w:ascii="Times New Roman" w:hAnsi="Times New Roman" w:cs="Times New Roman" w:eastAsia="Times New Roman" w:hint="default"/>
          <w:spacing w:val="7"/>
        </w:rPr>
        <w:t> </w:t>
      </w:r>
      <w:r>
        <w:rPr>
          <w:spacing w:val="-5"/>
        </w:rPr>
        <w:t>号）核准，本公司向梁常清发行股份</w:t>
      </w:r>
      <w:r>
        <w:rPr>
          <w:rFonts w:ascii="Times New Roman" w:hAnsi="Times New Roman" w:cs="Times New Roman" w:eastAsia="Times New Roman" w:hint="default"/>
          <w:spacing w:val="-5"/>
        </w:rPr>
        <w:t>12,761,019</w:t>
      </w:r>
      <w:r>
        <w:rPr>
          <w:rFonts w:ascii="Times New Roman" w:hAnsi="Times New Roman" w:cs="Times New Roman" w:eastAsia="Times New Roman" w:hint="default"/>
          <w:spacing w:val="-41"/>
        </w:rPr>
        <w:t> </w:t>
      </w:r>
      <w:r>
        <w:rPr>
          <w:rFonts w:ascii="Times New Roman" w:hAnsi="Times New Roman" w:cs="Times New Roman" w:eastAsia="Times New Roman" w:hint="default"/>
          <w:spacing w:val="-41"/>
        </w:rPr>
      </w:r>
      <w:r>
        <w:rPr>
          <w:spacing w:val="6"/>
        </w:rPr>
        <w:t>股购买其持有的广东先河科迪隆科技有限公司</w:t>
      </w:r>
      <w:r>
        <w:rPr>
          <w:rFonts w:ascii="Times New Roman" w:hAnsi="Times New Roman" w:cs="Times New Roman" w:eastAsia="Times New Roman" w:hint="default"/>
          <w:spacing w:val="6"/>
        </w:rPr>
        <w:t>50%</w:t>
      </w:r>
      <w:r>
        <w:rPr>
          <w:spacing w:val="6"/>
        </w:rPr>
        <w:t>的股权和广西先得环保科技有限公司</w:t>
      </w:r>
      <w:r>
        <w:rPr>
          <w:rFonts w:ascii="Times New Roman" w:hAnsi="Times New Roman" w:cs="Times New Roman" w:eastAsia="Times New Roman" w:hint="default"/>
          <w:spacing w:val="6"/>
        </w:rPr>
        <w:t>50%</w:t>
      </w:r>
      <w:r>
        <w:rPr>
          <w:spacing w:val="6"/>
        </w:rPr>
        <w:t>的股权，向梁宝欣发行股份</w:t>
      </w:r>
      <w:r>
        <w:rPr/>
        <w:t> </w:t>
      </w:r>
      <w:r>
        <w:rPr>
          <w:rFonts w:ascii="Times New Roman" w:hAnsi="Times New Roman" w:cs="Times New Roman" w:eastAsia="Times New Roman" w:hint="default"/>
        </w:rPr>
        <w:t>1,531,322</w:t>
      </w:r>
      <w:r>
        <w:rPr/>
        <w:t>股及支付现金</w:t>
      </w:r>
      <w:r>
        <w:rPr>
          <w:rFonts w:ascii="Times New Roman" w:hAnsi="Times New Roman" w:cs="Times New Roman" w:eastAsia="Times New Roman" w:hint="default"/>
        </w:rPr>
        <w:t>7,920</w:t>
      </w:r>
      <w:r>
        <w:rPr/>
        <w:t>万元购买其持有的广东先河科迪隆科技有限公司</w:t>
      </w:r>
      <w:r>
        <w:rPr>
          <w:rFonts w:ascii="Times New Roman" w:hAnsi="Times New Roman" w:cs="Times New Roman" w:eastAsia="Times New Roman" w:hint="default"/>
        </w:rPr>
        <w:t>30%</w:t>
      </w:r>
      <w:r>
        <w:rPr/>
        <w:t>的股权和广西先得环保科技有限公司</w:t>
      </w:r>
      <w:r>
        <w:rPr>
          <w:rFonts w:ascii="Times New Roman" w:hAnsi="Times New Roman" w:cs="Times New Roman" w:eastAsia="Times New Roman" w:hint="default"/>
        </w:rPr>
        <w:t>30%</w:t>
      </w:r>
      <w:r>
        <w:rPr>
          <w:rFonts w:ascii="Times New Roman" w:hAnsi="Times New Roman" w:cs="Times New Roman" w:eastAsia="Times New Roman" w:hint="default"/>
          <w:spacing w:val="3"/>
        </w:rPr>
        <w:t> </w:t>
      </w:r>
      <w:r>
        <w:rPr>
          <w:rFonts w:ascii="Times New Roman" w:hAnsi="Times New Roman" w:cs="Times New Roman" w:eastAsia="Times New Roman" w:hint="default"/>
          <w:spacing w:val="3"/>
        </w:rPr>
      </w:r>
      <w:r>
        <w:rPr/>
        <w:t>的股权。本次交易同时向其他不超过 </w:t>
      </w:r>
      <w:r>
        <w:rPr>
          <w:rFonts w:ascii="Times New Roman" w:hAnsi="Times New Roman" w:cs="Times New Roman" w:eastAsia="Times New Roman" w:hint="default"/>
        </w:rPr>
        <w:t>5 </w:t>
      </w:r>
      <w:r>
        <w:rPr/>
        <w:t>名特定投资者发行股份募集配套资金不超过 </w:t>
      </w:r>
      <w:r>
        <w:rPr>
          <w:rFonts w:ascii="Times New Roman" w:hAnsi="Times New Roman" w:cs="Times New Roman" w:eastAsia="Times New Roman" w:hint="default"/>
        </w:rPr>
        <w:t>8,800 </w:t>
      </w:r>
      <w:r>
        <w:rPr/>
        <w:t>万元，</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5</w:t>
      </w:r>
      <w:r>
        <w:rPr/>
        <w:t>日止公司非公 开发行股票</w:t>
      </w:r>
      <w:r>
        <w:rPr>
          <w:rFonts w:ascii="Times New Roman" w:hAnsi="Times New Roman" w:cs="Times New Roman" w:eastAsia="Times New Roman" w:hint="default"/>
        </w:rPr>
        <w:t>5,623,003</w:t>
      </w:r>
      <w:r>
        <w:rPr/>
        <w:t>股新股用于募集本次发行股票购买资产的配套资金，</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10</w:t>
      </w:r>
      <w:r>
        <w:rPr/>
        <w:t>日增发完成，增发后本公司总股本变</w:t>
      </w:r>
      <w:r>
        <w:rPr>
          <w:spacing w:val="-85"/>
        </w:rPr>
        <w:t> </w:t>
      </w:r>
      <w:r>
        <w:rPr>
          <w:spacing w:val="-85"/>
        </w:rPr>
      </w:r>
      <w:r>
        <w:rPr/>
        <w:t>更为</w:t>
      </w:r>
      <w:r>
        <w:rPr>
          <w:rFonts w:ascii="Times New Roman" w:hAnsi="Times New Roman" w:cs="Times New Roman" w:eastAsia="Times New Roman" w:hint="default"/>
        </w:rPr>
        <w:t>344,395,344</w:t>
      </w:r>
      <w:r>
        <w:rPr>
          <w:rFonts w:ascii="Times New Roman" w:hAnsi="Times New Roman" w:cs="Times New Roman" w:eastAsia="Times New Roman" w:hint="default"/>
          <w:spacing w:val="23"/>
        </w:rPr>
        <w:t> </w:t>
      </w:r>
      <w:r>
        <w:rPr/>
        <w:t>股，注册资本由</w:t>
      </w:r>
      <w:r>
        <w:rPr>
          <w:rFonts w:ascii="Times New Roman" w:hAnsi="Times New Roman" w:cs="Times New Roman" w:eastAsia="Times New Roman" w:hint="default"/>
        </w:rPr>
        <w:t>32,448</w:t>
      </w:r>
      <w:r>
        <w:rPr/>
        <w:t>万元变更为人民币</w:t>
      </w:r>
      <w:r>
        <w:rPr>
          <w:rFonts w:ascii="Times New Roman" w:hAnsi="Times New Roman" w:cs="Times New Roman" w:eastAsia="Times New Roman" w:hint="default"/>
        </w:rPr>
        <w:t>34,439</w:t>
      </w:r>
      <w:r>
        <w:rPr/>
        <w:t>万元。</w:t>
      </w:r>
    </w:p>
    <w:p>
      <w:pPr>
        <w:pStyle w:val="BodyText"/>
        <w:spacing w:line="240" w:lineRule="auto" w:before="13"/>
        <w:ind w:left="1134" w:right="0"/>
        <w:jc w:val="both"/>
      </w:pPr>
      <w:r>
        <w:rPr/>
        <w:t>截止</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日，李玉国先生持有该公司股份 </w:t>
      </w:r>
      <w:r>
        <w:rPr>
          <w:rFonts w:ascii="Times New Roman" w:hAnsi="Times New Roman" w:cs="Times New Roman" w:eastAsia="Times New Roman" w:hint="default"/>
        </w:rPr>
        <w:t>47,732,893 </w:t>
      </w:r>
      <w:r>
        <w:rPr>
          <w:spacing w:val="-5"/>
        </w:rPr>
        <w:t>股，占本公司总股本的</w:t>
      </w:r>
      <w:r>
        <w:rPr>
          <w:spacing w:val="-37"/>
        </w:rPr>
        <w:t> </w:t>
      </w:r>
      <w:r>
        <w:rPr>
          <w:rFonts w:ascii="Times New Roman" w:hAnsi="Times New Roman" w:cs="Times New Roman" w:eastAsia="Times New Roman" w:hint="default"/>
          <w:spacing w:val="-3"/>
        </w:rPr>
        <w:t>13.86%</w:t>
      </w:r>
      <w:r>
        <w:rPr>
          <w:spacing w:val="-3"/>
        </w:rPr>
        <w:t>；为第一大股东和实际控制人。</w:t>
      </w:r>
    </w:p>
    <w:p>
      <w:pPr>
        <w:spacing w:line="369" w:lineRule="auto" w:before="123"/>
        <w:ind w:left="1553" w:right="6373" w:firstLine="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w:t>
      </w:r>
      <w:r>
        <w:rPr>
          <w:rFonts w:ascii="宋体" w:hAnsi="宋体" w:cs="宋体" w:eastAsia="宋体" w:hint="default"/>
          <w:b/>
          <w:bCs/>
          <w:sz w:val="18"/>
          <w:szCs w:val="18"/>
        </w:rPr>
        <w:t>、所处行业</w:t>
      </w:r>
      <w:r>
        <w:rPr>
          <w:rFonts w:ascii="宋体" w:hAnsi="宋体" w:cs="宋体" w:eastAsia="宋体" w:hint="default"/>
          <w:b/>
          <w:bCs/>
          <w:w w:val="99"/>
          <w:sz w:val="18"/>
          <w:szCs w:val="18"/>
        </w:rPr>
        <w:t> </w:t>
      </w:r>
      <w:r>
        <w:rPr>
          <w:rFonts w:ascii="宋体" w:hAnsi="宋体" w:cs="宋体" w:eastAsia="宋体" w:hint="default"/>
          <w:sz w:val="18"/>
          <w:szCs w:val="18"/>
        </w:rPr>
        <w:t>公司所属行业为环境监测专用仪器仪表制造行业。 </w:t>
      </w:r>
      <w:r>
        <w:rPr>
          <w:rFonts w:ascii="Times New Roman" w:hAnsi="Times New Roman" w:cs="Times New Roman" w:eastAsia="Times New Roman" w:hint="default"/>
          <w:b/>
          <w:bCs/>
          <w:sz w:val="18"/>
          <w:szCs w:val="18"/>
        </w:rPr>
        <w:t>3</w:t>
      </w:r>
      <w:r>
        <w:rPr>
          <w:rFonts w:ascii="宋体" w:hAnsi="宋体" w:cs="宋体" w:eastAsia="宋体" w:hint="default"/>
          <w:b/>
          <w:bCs/>
          <w:sz w:val="18"/>
          <w:szCs w:val="18"/>
        </w:rPr>
        <w:t>、经营范围</w:t>
      </w:r>
      <w:r>
        <w:rPr>
          <w:rFonts w:ascii="宋体" w:hAnsi="宋体" w:cs="宋体" w:eastAsia="宋体" w:hint="default"/>
          <w:sz w:val="18"/>
          <w:szCs w:val="18"/>
        </w:rPr>
      </w:r>
    </w:p>
    <w:p>
      <w:pPr>
        <w:pStyle w:val="BodyText"/>
        <w:spacing w:line="191" w:lineRule="exact"/>
        <w:ind w:right="0"/>
        <w:jc w:val="both"/>
      </w:pPr>
      <w:r>
        <w:rPr/>
        <w:t>本公司经批准的经营范围：从事仪器、仪表、环境治理设备及相关产品的研制开发、生产、安装、销售、技术推广、技术转</w:t>
      </w:r>
    </w:p>
    <w:p>
      <w:pPr>
        <w:pStyle w:val="BodyText"/>
        <w:spacing w:line="316" w:lineRule="auto" w:before="77"/>
        <w:ind w:right="1131"/>
        <w:jc w:val="both"/>
      </w:pPr>
      <w:r>
        <w:rPr>
          <w:spacing w:val="-2"/>
        </w:rPr>
        <w:t>让、技术咨询、技术服务；化工产品（不含化学危险品）、电子产品、五金交电、仪器、仪表、针纺织品、塑料制品、橡胶</w:t>
      </w:r>
      <w:r>
        <w:rPr>
          <w:spacing w:val="-71"/>
        </w:rPr>
        <w:t> </w:t>
      </w:r>
      <w:r>
        <w:rPr>
          <w:spacing w:val="-71"/>
        </w:rPr>
      </w:r>
      <w:r>
        <w:rPr>
          <w:spacing w:val="-2"/>
        </w:rPr>
        <w:t>制品、通讯器材（不含无线电移动电话、地面卫星接收设备）的批发、零售；软件产品的开发、生产和销售；环境监测仪器</w:t>
      </w:r>
      <w:r>
        <w:rPr>
          <w:spacing w:val="-67"/>
        </w:rPr>
        <w:t> </w:t>
      </w:r>
      <w:r>
        <w:rPr>
          <w:spacing w:val="-67"/>
        </w:rPr>
      </w:r>
      <w:r>
        <w:rPr>
          <w:spacing w:val="-2"/>
        </w:rPr>
        <w:t>的研制、生产、销售；数字信息技术服务；数据处理、数据服务；计算机信息系统集成服务，环境监测仪器的维修、运营服</w:t>
      </w:r>
      <w:r>
        <w:rPr>
          <w:spacing w:val="-67"/>
        </w:rPr>
        <w:t> </w:t>
      </w:r>
      <w:r>
        <w:rPr>
          <w:spacing w:val="-67"/>
        </w:rPr>
      </w:r>
      <w:r>
        <w:rPr>
          <w:spacing w:val="-2"/>
        </w:rPr>
        <w:t>务；环保工程；环境检测；房屋租赁；环境监测设备的销售；自营和代理各类商品及技术的进出口业务。（依法须经批准的</w:t>
      </w:r>
    </w:p>
    <w:p>
      <w:pPr>
        <w:spacing w:after="0" w:line="316" w:lineRule="auto"/>
        <w:jc w:val="both"/>
        <w:sectPr>
          <w:pgSz w:w="11910" w:h="16840"/>
          <w:pgMar w:header="747" w:footer="979" w:top="1060" w:bottom="1160" w:left="0" w:right="0"/>
        </w:sectPr>
      </w:pPr>
    </w:p>
    <w:p>
      <w:pPr>
        <w:spacing w:line="240" w:lineRule="auto" w:before="12"/>
        <w:rPr>
          <w:rFonts w:ascii="宋体" w:hAnsi="宋体" w:cs="宋体" w:eastAsia="宋体" w:hint="default"/>
          <w:sz w:val="25"/>
          <w:szCs w:val="25"/>
        </w:rPr>
      </w:pPr>
    </w:p>
    <w:p>
      <w:pPr>
        <w:pStyle w:val="BodyText"/>
        <w:spacing w:line="240" w:lineRule="auto" w:before="44"/>
        <w:ind w:right="0"/>
        <w:jc w:val="both"/>
      </w:pPr>
      <w:r>
        <w:rPr/>
        <w:t>项目，经相关部门批准后方可开展经营活动）</w:t>
      </w:r>
    </w:p>
    <w:p>
      <w:pPr>
        <w:spacing w:line="300" w:lineRule="auto" w:before="136"/>
        <w:ind w:left="1493" w:right="5443" w:firstLine="6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4</w:t>
      </w:r>
      <w:r>
        <w:rPr>
          <w:rFonts w:ascii="宋体" w:hAnsi="宋体" w:cs="宋体" w:eastAsia="宋体" w:hint="default"/>
          <w:b/>
          <w:bCs/>
          <w:sz w:val="18"/>
          <w:szCs w:val="18"/>
        </w:rPr>
        <w:t>、财务报告批准报出日</w:t>
      </w:r>
      <w:r>
        <w:rPr>
          <w:rFonts w:ascii="宋体" w:hAnsi="宋体" w:cs="宋体" w:eastAsia="宋体" w:hint="default"/>
          <w:b/>
          <w:bCs/>
          <w:w w:val="99"/>
          <w:sz w:val="18"/>
          <w:szCs w:val="18"/>
        </w:rPr>
        <w:t> </w:t>
      </w:r>
      <w:r>
        <w:rPr>
          <w:rFonts w:ascii="宋体" w:hAnsi="宋体" w:cs="宋体" w:eastAsia="宋体" w:hint="default"/>
          <w:sz w:val="18"/>
          <w:szCs w:val="18"/>
        </w:rPr>
        <w:t>本财务报表业经本公司董事会于</w:t>
      </w: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4</w:t>
      </w:r>
      <w:r>
        <w:rPr>
          <w:rFonts w:ascii="宋体" w:hAnsi="宋体" w:cs="宋体" w:eastAsia="宋体" w:hint="default"/>
          <w:sz w:val="18"/>
          <w:szCs w:val="18"/>
        </w:rPr>
        <w:t>月</w:t>
      </w:r>
      <w:r>
        <w:rPr>
          <w:rFonts w:ascii="Times New Roman" w:hAnsi="Times New Roman" w:cs="Times New Roman" w:eastAsia="Times New Roman" w:hint="default"/>
          <w:sz w:val="18"/>
          <w:szCs w:val="18"/>
        </w:rPr>
        <w:t>23</w:t>
      </w:r>
      <w:r>
        <w:rPr>
          <w:rFonts w:ascii="宋体" w:hAnsi="宋体" w:cs="宋体" w:eastAsia="宋体" w:hint="default"/>
          <w:sz w:val="18"/>
          <w:szCs w:val="18"/>
        </w:rPr>
        <w:t>日决议批准报出。</w:t>
      </w:r>
    </w:p>
    <w:p>
      <w:pPr>
        <w:pStyle w:val="BodyText"/>
        <w:spacing w:line="300" w:lineRule="auto" w:before="73"/>
        <w:ind w:right="1132" w:firstLine="360"/>
        <w:jc w:val="both"/>
      </w:pPr>
      <w:r>
        <w:rPr>
          <w:spacing w:val="-2"/>
        </w:rPr>
        <w:t>本公司</w:t>
      </w:r>
      <w:r>
        <w:rPr>
          <w:rFonts w:ascii="Times New Roman" w:hAnsi="Times New Roman" w:cs="Times New Roman" w:eastAsia="Times New Roman" w:hint="default"/>
          <w:spacing w:val="-2"/>
        </w:rPr>
        <w:t>2017</w:t>
      </w:r>
      <w:r>
        <w:rPr>
          <w:spacing w:val="-2"/>
        </w:rPr>
        <w:t>年度纳入合并范围内子公司共计</w:t>
      </w:r>
      <w:r>
        <w:rPr>
          <w:rFonts w:ascii="Times New Roman" w:hAnsi="Times New Roman" w:cs="Times New Roman" w:eastAsia="Times New Roman" w:hint="default"/>
          <w:spacing w:val="-2"/>
        </w:rPr>
        <w:t>23</w:t>
      </w:r>
      <w:r>
        <w:rPr>
          <w:spacing w:val="-2"/>
        </w:rPr>
        <w:t>家，详见本</w:t>
      </w:r>
      <w:r>
        <w:rPr>
          <w:rFonts w:ascii="Times New Roman" w:hAnsi="Times New Roman" w:cs="Times New Roman" w:eastAsia="Times New Roman" w:hint="default"/>
          <w:spacing w:val="-2"/>
        </w:rPr>
        <w:t>“</w:t>
      </w:r>
      <w:r>
        <w:rPr>
          <w:spacing w:val="-2"/>
        </w:rPr>
        <w:t>附注九、在其他主体中的权益</w:t>
      </w:r>
      <w:r>
        <w:rPr>
          <w:rFonts w:ascii="Times New Roman" w:hAnsi="Times New Roman" w:cs="Times New Roman" w:eastAsia="Times New Roman" w:hint="default"/>
          <w:spacing w:val="-2"/>
        </w:rPr>
        <w:t>”</w:t>
      </w:r>
      <w:r>
        <w:rPr>
          <w:spacing w:val="-2"/>
        </w:rPr>
        <w:t>。本公司本年度合并范围比上</w:t>
      </w:r>
      <w:r>
        <w:rPr/>
        <w:t> 年度增加</w:t>
      </w:r>
      <w:r>
        <w:rPr>
          <w:rFonts w:ascii="Times New Roman" w:hAnsi="Times New Roman" w:cs="Times New Roman" w:eastAsia="Times New Roman" w:hint="default"/>
        </w:rPr>
        <w:t>5</w:t>
      </w:r>
      <w:r>
        <w:rPr/>
        <w:t>家，详见</w:t>
      </w:r>
      <w:r>
        <w:rPr>
          <w:rFonts w:ascii="Times New Roman" w:hAnsi="Times New Roman" w:cs="Times New Roman" w:eastAsia="Times New Roman" w:hint="default"/>
        </w:rPr>
        <w:t>“</w:t>
      </w:r>
      <w:r>
        <w:rPr/>
        <w:t>本附注八、合并范围的变化</w:t>
      </w:r>
      <w:r>
        <w:rPr>
          <w:rFonts w:ascii="Times New Roman" w:hAnsi="Times New Roman" w:cs="Times New Roman" w:eastAsia="Times New Roman" w:hint="default"/>
        </w:rPr>
        <w:t>”</w:t>
      </w:r>
      <w:r>
        <w:rPr/>
        <w:t>。</w:t>
      </w:r>
    </w:p>
    <w:p>
      <w:pPr>
        <w:spacing w:line="240" w:lineRule="auto" w:before="4"/>
        <w:rPr>
          <w:rFonts w:ascii="宋体" w:hAnsi="宋体" w:cs="宋体" w:eastAsia="宋体" w:hint="default"/>
          <w:sz w:val="20"/>
          <w:szCs w:val="20"/>
        </w:rPr>
      </w:pPr>
    </w:p>
    <w:p>
      <w:pPr>
        <w:pStyle w:val="Heading2"/>
        <w:spacing w:line="240" w:lineRule="auto"/>
        <w:ind w:right="0"/>
        <w:jc w:val="both"/>
        <w:rPr>
          <w:b w:val="0"/>
          <w:bCs w:val="0"/>
        </w:rPr>
      </w:pPr>
      <w:bookmarkStart w:name="四、财务报表的编制基础" w:id="166"/>
      <w:bookmarkEnd w:id="166"/>
      <w:r>
        <w:rPr>
          <w:b w:val="0"/>
          <w:bCs w:val="0"/>
        </w:rPr>
      </w:r>
      <w:r>
        <w:rPr/>
        <w:t>四、财务报表的编制基础</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both"/>
        <w:rPr>
          <w:b w:val="0"/>
          <w:bCs w:val="0"/>
        </w:rPr>
      </w:pPr>
      <w:bookmarkStart w:name="1、编制基础" w:id="167"/>
      <w:bookmarkEnd w:id="167"/>
      <w:r>
        <w:rPr>
          <w:b w:val="0"/>
          <w:bCs w:val="0"/>
        </w:rPr>
      </w:r>
      <w:r>
        <w:rPr>
          <w:rFonts w:ascii="Times New Roman" w:hAnsi="Times New Roman" w:cs="Times New Roman" w:eastAsia="Times New Roman" w:hint="default"/>
        </w:rPr>
        <w:t>1</w:t>
      </w:r>
      <w:r>
        <w:rPr/>
        <w:t>、编制基础</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493" w:right="0"/>
        <w:jc w:val="left"/>
      </w:pPr>
      <w:r>
        <w:rPr>
          <w:spacing w:val="-4"/>
        </w:rPr>
        <w:t>本公司财务报表以持续经营假设为基础，根据实际发生的交易和事项，按照财政部发布的《企业会计准则——基本准则》</w:t>
      </w:r>
    </w:p>
    <w:p>
      <w:pPr>
        <w:pStyle w:val="BodyText"/>
        <w:spacing w:line="316" w:lineRule="auto" w:before="76"/>
        <w:ind w:right="1129"/>
        <w:jc w:val="both"/>
      </w:pPr>
      <w:r>
        <w:rPr/>
        <w:t>（财政部令第</w:t>
      </w:r>
      <w:r>
        <w:rPr>
          <w:rFonts w:ascii="宋体" w:hAnsi="宋体" w:cs="宋体" w:eastAsia="宋体" w:hint="default"/>
        </w:rPr>
        <w:t>33</w:t>
      </w:r>
      <w:r>
        <w:rPr/>
        <w:t>号发布、财政部令第</w:t>
      </w:r>
      <w:r>
        <w:rPr>
          <w:rFonts w:ascii="宋体" w:hAnsi="宋体" w:cs="宋体" w:eastAsia="宋体" w:hint="default"/>
        </w:rPr>
        <w:t>76</w:t>
      </w:r>
      <w:r>
        <w:rPr/>
        <w:t>号修订）、于</w:t>
      </w:r>
      <w:r>
        <w:rPr>
          <w:rFonts w:ascii="宋体" w:hAnsi="宋体" w:cs="宋体" w:eastAsia="宋体" w:hint="default"/>
        </w:rPr>
        <w:t>2006</w:t>
      </w:r>
      <w:r>
        <w:rPr/>
        <w:t>年</w:t>
      </w:r>
      <w:r>
        <w:rPr>
          <w:rFonts w:ascii="宋体" w:hAnsi="宋体" w:cs="宋体" w:eastAsia="宋体" w:hint="default"/>
        </w:rPr>
        <w:t>2</w:t>
      </w:r>
      <w:r>
        <w:rPr/>
        <w:t>月</w:t>
      </w:r>
      <w:r>
        <w:rPr>
          <w:rFonts w:ascii="宋体" w:hAnsi="宋体" w:cs="宋体" w:eastAsia="宋体" w:hint="default"/>
        </w:rPr>
        <w:t>15</w:t>
      </w:r>
      <w:r>
        <w:rPr/>
        <w:t>日及其后颁布和修订的</w:t>
      </w:r>
      <w:r>
        <w:rPr>
          <w:rFonts w:ascii="宋体" w:hAnsi="宋体" w:cs="宋体" w:eastAsia="宋体" w:hint="default"/>
        </w:rPr>
        <w:t>42</w:t>
      </w:r>
      <w:r>
        <w:rPr/>
        <w:t>项具体会计准则、企业会计准则</w:t>
      </w:r>
      <w:r>
        <w:rPr>
          <w:spacing w:val="-83"/>
        </w:rPr>
        <w:t> </w:t>
      </w:r>
      <w:r>
        <w:rPr>
          <w:spacing w:val="-83"/>
        </w:rPr>
      </w:r>
      <w:r>
        <w:rPr>
          <w:spacing w:val="-2"/>
        </w:rPr>
        <w:t>应用指南、企业会计准则解释及其他相关规定（以下合称“企业会计准则”），以及中国证券监督管理委员会《公开发行证</w:t>
      </w:r>
      <w:r>
        <w:rPr>
          <w:spacing w:val="-71"/>
        </w:rPr>
        <w:t> </w:t>
      </w:r>
      <w:r>
        <w:rPr>
          <w:spacing w:val="-71"/>
        </w:rPr>
      </w:r>
      <w:r>
        <w:rPr/>
        <w:t>券的公司信息披露编报规则第</w:t>
      </w:r>
      <w:r>
        <w:rPr>
          <w:rFonts w:ascii="宋体" w:hAnsi="宋体" w:cs="宋体" w:eastAsia="宋体" w:hint="default"/>
        </w:rPr>
        <w:t>15</w:t>
      </w:r>
      <w:r>
        <w:rPr/>
        <w:t>号——财务报告的一般规定》（</w:t>
      </w:r>
      <w:r>
        <w:rPr>
          <w:rFonts w:ascii="宋体" w:hAnsi="宋体" w:cs="宋体" w:eastAsia="宋体" w:hint="default"/>
        </w:rPr>
        <w:t>2014</w:t>
      </w:r>
      <w:r>
        <w:rPr/>
        <w:t>年修订）的披露规定编制。</w:t>
      </w:r>
    </w:p>
    <w:p>
      <w:pPr>
        <w:pStyle w:val="BodyText"/>
        <w:spacing w:line="316" w:lineRule="auto" w:before="19"/>
        <w:ind w:right="1133" w:firstLine="360"/>
        <w:jc w:val="both"/>
      </w:pPr>
      <w:r>
        <w:rPr>
          <w:spacing w:val="-2"/>
        </w:rPr>
        <w:t>根据企业会计准则的相关规定，本公司会计核算以权责发生制为基础。本财务报表均以历史成本为计量基础。资产如果</w:t>
      </w:r>
      <w:r>
        <w:rPr/>
        <w:t> 发生减值，则按照相关规定计提相应的减值准备。</w:t>
      </w:r>
    </w:p>
    <w:p>
      <w:pPr>
        <w:spacing w:line="240" w:lineRule="auto" w:before="7"/>
        <w:rPr>
          <w:rFonts w:ascii="宋体" w:hAnsi="宋体" w:cs="宋体" w:eastAsia="宋体" w:hint="default"/>
          <w:sz w:val="22"/>
          <w:szCs w:val="22"/>
        </w:rPr>
      </w:pPr>
    </w:p>
    <w:p>
      <w:pPr>
        <w:pStyle w:val="Heading3"/>
        <w:spacing w:line="240" w:lineRule="auto"/>
        <w:ind w:right="0"/>
        <w:jc w:val="both"/>
        <w:rPr>
          <w:b w:val="0"/>
          <w:bCs w:val="0"/>
        </w:rPr>
      </w:pPr>
      <w:bookmarkStart w:name="2、持续经营" w:id="168"/>
      <w:bookmarkEnd w:id="168"/>
      <w:r>
        <w:rPr>
          <w:b w:val="0"/>
          <w:bCs w:val="0"/>
        </w:rPr>
      </w:r>
      <w:r>
        <w:rPr>
          <w:rFonts w:ascii="Times New Roman" w:hAnsi="Times New Roman" w:cs="Times New Roman" w:eastAsia="Times New Roman" w:hint="default"/>
        </w:rPr>
        <w:t>2</w:t>
      </w:r>
      <w:r>
        <w:rPr/>
        <w:t>、持续经营</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135" w:firstLine="360"/>
        <w:jc w:val="both"/>
      </w:pPr>
      <w:r>
        <w:rPr/>
        <w:t>本公司管理层对公司自报告期末起至少</w:t>
      </w:r>
      <w:r>
        <w:rPr>
          <w:rFonts w:ascii="宋体" w:hAnsi="宋体" w:cs="宋体" w:eastAsia="宋体" w:hint="default"/>
        </w:rPr>
        <w:t>12</w:t>
      </w:r>
      <w:r>
        <w:rPr/>
        <w:t>个月的持续经营能力评估后认为公司不存在可能导致持续经营产生重大疑虑 的事项或情况，本公司财务报表是按照持续经营假设为基础编制的。</w:t>
      </w:r>
    </w:p>
    <w:p>
      <w:pPr>
        <w:spacing w:line="240" w:lineRule="auto" w:before="10"/>
        <w:rPr>
          <w:rFonts w:ascii="宋体" w:hAnsi="宋体" w:cs="宋体" w:eastAsia="宋体" w:hint="default"/>
          <w:sz w:val="20"/>
          <w:szCs w:val="20"/>
        </w:rPr>
      </w:pPr>
    </w:p>
    <w:p>
      <w:pPr>
        <w:pStyle w:val="Heading2"/>
        <w:spacing w:line="240" w:lineRule="auto"/>
        <w:ind w:right="0"/>
        <w:jc w:val="both"/>
        <w:rPr>
          <w:b w:val="0"/>
          <w:bCs w:val="0"/>
        </w:rPr>
      </w:pPr>
      <w:bookmarkStart w:name="五、重要会计政策及会计估计" w:id="169"/>
      <w:bookmarkEnd w:id="169"/>
      <w:r>
        <w:rPr>
          <w:b w:val="0"/>
          <w:bCs w:val="0"/>
        </w:rPr>
      </w:r>
      <w:r>
        <w:rPr/>
        <w:t>五、重要会计政策及会计估计</w:t>
      </w:r>
      <w:r>
        <w:rPr>
          <w:b w:val="0"/>
          <w:bCs w:val="0"/>
        </w:rPr>
      </w:r>
    </w:p>
    <w:p>
      <w:pPr>
        <w:spacing w:line="240" w:lineRule="auto" w:before="7"/>
        <w:rPr>
          <w:rFonts w:ascii="宋体" w:hAnsi="宋体" w:cs="宋体" w:eastAsia="宋体" w:hint="default"/>
          <w:b/>
          <w:bCs/>
          <w:sz w:val="26"/>
          <w:szCs w:val="26"/>
        </w:rPr>
      </w:pPr>
    </w:p>
    <w:p>
      <w:pPr>
        <w:pStyle w:val="BodyText"/>
        <w:spacing w:line="360" w:lineRule="auto"/>
        <w:ind w:right="7693"/>
        <w:jc w:val="left"/>
      </w:pPr>
      <w:r>
        <w:rPr/>
        <w:t>公司是否需要遵守特殊行业的披露要求 否</w:t>
      </w:r>
    </w:p>
    <w:p>
      <w:pPr>
        <w:pStyle w:val="BodyText"/>
        <w:spacing w:line="316" w:lineRule="auto" w:before="25"/>
        <w:ind w:left="1494" w:right="0" w:hanging="360"/>
        <w:jc w:val="left"/>
      </w:pPr>
      <w:r>
        <w:rPr/>
        <w:t>具体会计政策和会计估计提示： </w:t>
      </w:r>
      <w:r>
        <w:rPr>
          <w:spacing w:val="-2"/>
        </w:rPr>
        <w:t>本公司根据实际生产经营特点，依据相关企业会计准则的规定，对收入确认等交易和事项制定了若干项具体会计政策和</w:t>
      </w:r>
    </w:p>
    <w:p>
      <w:pPr>
        <w:pStyle w:val="BodyText"/>
        <w:spacing w:line="240" w:lineRule="auto" w:before="19"/>
        <w:ind w:left="1134" w:right="0"/>
        <w:jc w:val="both"/>
      </w:pPr>
      <w:r>
        <w:rPr/>
        <w:t>会计估计。</w:t>
      </w:r>
    </w:p>
    <w:p>
      <w:pPr>
        <w:spacing w:line="240" w:lineRule="auto" w:before="12"/>
        <w:rPr>
          <w:rFonts w:ascii="宋体" w:hAnsi="宋体" w:cs="宋体" w:eastAsia="宋体" w:hint="default"/>
          <w:sz w:val="26"/>
          <w:szCs w:val="26"/>
        </w:rPr>
      </w:pPr>
    </w:p>
    <w:p>
      <w:pPr>
        <w:pStyle w:val="Heading3"/>
        <w:spacing w:line="240" w:lineRule="auto"/>
        <w:ind w:right="0"/>
        <w:jc w:val="both"/>
        <w:rPr>
          <w:b w:val="0"/>
          <w:bCs w:val="0"/>
        </w:rPr>
      </w:pPr>
      <w:bookmarkStart w:name="1、遵循企业会计准则的声明" w:id="170"/>
      <w:bookmarkEnd w:id="170"/>
      <w:r>
        <w:rPr>
          <w:b w:val="0"/>
          <w:bCs w:val="0"/>
        </w:rPr>
      </w:r>
      <w:r>
        <w:rPr>
          <w:rFonts w:ascii="Times New Roman" w:hAnsi="Times New Roman" w:cs="Times New Roman" w:eastAsia="Times New Roman" w:hint="default"/>
        </w:rPr>
        <w:t>1</w:t>
      </w:r>
      <w:r>
        <w:rPr/>
        <w:t>、遵循企业会计准则的声明</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130" w:firstLine="360"/>
        <w:jc w:val="both"/>
      </w:pPr>
      <w:r>
        <w:rPr>
          <w:spacing w:val="-2"/>
        </w:rPr>
        <w:t>本公司编制的财务报表符合企业会计准则的要求，真实、完整地反映了本公司</w:t>
      </w:r>
      <w:r>
        <w:rPr>
          <w:rFonts w:ascii="宋体" w:hAnsi="宋体" w:cs="宋体" w:eastAsia="宋体" w:hint="default"/>
          <w:spacing w:val="-2"/>
        </w:rPr>
        <w:t>2017</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31</w:t>
      </w:r>
      <w:r>
        <w:rPr>
          <w:spacing w:val="-2"/>
        </w:rPr>
        <w:t>日的财务状况及</w:t>
      </w:r>
      <w:r>
        <w:rPr>
          <w:rFonts w:ascii="宋体" w:hAnsi="宋体" w:cs="宋体" w:eastAsia="宋体" w:hint="default"/>
          <w:spacing w:val="-2"/>
        </w:rPr>
        <w:t>2017</w:t>
      </w:r>
      <w:r>
        <w:rPr>
          <w:spacing w:val="-2"/>
        </w:rPr>
        <w:t>年度的</w:t>
      </w:r>
      <w:r>
        <w:rPr/>
        <w:t> </w:t>
      </w:r>
      <w:r>
        <w:rPr>
          <w:spacing w:val="-2"/>
        </w:rPr>
        <w:t>经营成果和现金流量等有关信息。此外，本公司的财务报表在所有重大方面符合中国证券监督管理委员会</w:t>
      </w:r>
      <w:r>
        <w:rPr>
          <w:rFonts w:ascii="宋体" w:hAnsi="宋体" w:cs="宋体" w:eastAsia="宋体" w:hint="default"/>
          <w:spacing w:val="-2"/>
        </w:rPr>
        <w:t>2014</w:t>
      </w:r>
      <w:r>
        <w:rPr>
          <w:spacing w:val="-2"/>
        </w:rPr>
        <w:t>年修订的《公</w:t>
      </w:r>
      <w:r>
        <w:rPr>
          <w:spacing w:val="-61"/>
        </w:rPr>
        <w:t> </w:t>
      </w:r>
      <w:r>
        <w:rPr>
          <w:spacing w:val="-61"/>
        </w:rPr>
      </w:r>
      <w:r>
        <w:rPr/>
        <w:t>开发行证券的公司信息披露编报规则第</w:t>
      </w:r>
      <w:r>
        <w:rPr>
          <w:rFonts w:ascii="宋体" w:hAnsi="宋体" w:cs="宋体" w:eastAsia="宋体" w:hint="default"/>
        </w:rPr>
        <w:t>15</w:t>
      </w:r>
      <w:r>
        <w:rPr/>
        <w:t>号－财务报告的一般规定》有关财务报表及其附注的披露要求。</w:t>
      </w:r>
    </w:p>
    <w:p>
      <w:pPr>
        <w:spacing w:line="240" w:lineRule="auto" w:before="7"/>
        <w:rPr>
          <w:rFonts w:ascii="宋体" w:hAnsi="宋体" w:cs="宋体" w:eastAsia="宋体" w:hint="default"/>
          <w:sz w:val="22"/>
          <w:szCs w:val="22"/>
        </w:rPr>
      </w:pPr>
    </w:p>
    <w:p>
      <w:pPr>
        <w:pStyle w:val="Heading3"/>
        <w:spacing w:line="240" w:lineRule="auto"/>
        <w:ind w:right="0"/>
        <w:jc w:val="both"/>
        <w:rPr>
          <w:b w:val="0"/>
          <w:bCs w:val="0"/>
        </w:rPr>
      </w:pPr>
      <w:bookmarkStart w:name="2、会计期间" w:id="171"/>
      <w:bookmarkEnd w:id="171"/>
      <w:r>
        <w:rPr>
          <w:b w:val="0"/>
          <w:bCs w:val="0"/>
        </w:rPr>
      </w:r>
      <w:r>
        <w:rPr>
          <w:rFonts w:ascii="Times New Roman" w:hAnsi="Times New Roman" w:cs="Times New Roman" w:eastAsia="Times New Roman" w:hint="default"/>
        </w:rPr>
        <w:t>2</w:t>
      </w:r>
      <w:r>
        <w:rPr/>
        <w:t>、会计期间</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043" w:firstLine="360"/>
        <w:jc w:val="both"/>
      </w:pPr>
      <w:r>
        <w:rPr>
          <w:spacing w:val="-4"/>
        </w:rPr>
        <w:t>本公司会计期间分为年度和中期。中期包括半年度、季度和月度。年度、半年度、季度、月度起止日期按公历日期确定。</w:t>
      </w:r>
      <w:r>
        <w:rPr/>
        <w:t> 公司会计年度为每年</w:t>
      </w:r>
      <w:r>
        <w:rPr>
          <w:rFonts w:ascii="宋体" w:hAnsi="宋体" w:cs="宋体" w:eastAsia="宋体" w:hint="default"/>
        </w:rPr>
        <w:t>1</w:t>
      </w:r>
      <w:r>
        <w:rPr/>
        <w:t>月</w:t>
      </w:r>
      <w:r>
        <w:rPr>
          <w:rFonts w:ascii="宋体" w:hAnsi="宋体" w:cs="宋体" w:eastAsia="宋体" w:hint="default"/>
        </w:rPr>
        <w:t>1</w:t>
      </w:r>
      <w:r>
        <w:rPr/>
        <w:t>日起至</w:t>
      </w:r>
      <w:r>
        <w:rPr>
          <w:rFonts w:ascii="宋体" w:hAnsi="宋体" w:cs="宋体" w:eastAsia="宋体" w:hint="default"/>
        </w:rPr>
        <w:t>12</w:t>
      </w:r>
      <w:r>
        <w:rPr/>
        <w:t>月</w:t>
      </w:r>
      <w:r>
        <w:rPr>
          <w:rFonts w:ascii="宋体" w:hAnsi="宋体" w:cs="宋体" w:eastAsia="宋体" w:hint="default"/>
        </w:rPr>
        <w:t>31</w:t>
      </w:r>
      <w:r>
        <w:rPr/>
        <w:t>日止。</w:t>
      </w:r>
    </w:p>
    <w:p>
      <w:pPr>
        <w:spacing w:line="240" w:lineRule="auto" w:before="7"/>
        <w:rPr>
          <w:rFonts w:ascii="宋体" w:hAnsi="宋体" w:cs="宋体" w:eastAsia="宋体" w:hint="default"/>
          <w:sz w:val="22"/>
          <w:szCs w:val="22"/>
        </w:rPr>
      </w:pPr>
    </w:p>
    <w:p>
      <w:pPr>
        <w:pStyle w:val="Heading3"/>
        <w:spacing w:line="240" w:lineRule="auto"/>
        <w:ind w:right="0"/>
        <w:jc w:val="both"/>
        <w:rPr>
          <w:b w:val="0"/>
          <w:bCs w:val="0"/>
        </w:rPr>
      </w:pPr>
      <w:bookmarkStart w:name="3、营业周期" w:id="172"/>
      <w:bookmarkEnd w:id="172"/>
      <w:r>
        <w:rPr>
          <w:b w:val="0"/>
          <w:bCs w:val="0"/>
        </w:rPr>
      </w:r>
      <w:r>
        <w:rPr>
          <w:rFonts w:ascii="Times New Roman" w:hAnsi="Times New Roman" w:cs="Times New Roman" w:eastAsia="Times New Roman" w:hint="default"/>
        </w:rPr>
        <w:t>3</w:t>
      </w:r>
      <w:r>
        <w:rPr/>
        <w:t>、营业周期</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493" w:right="0"/>
        <w:jc w:val="left"/>
      </w:pPr>
      <w:r>
        <w:rPr/>
        <w:t>本公司以 </w:t>
      </w:r>
      <w:r>
        <w:rPr>
          <w:rFonts w:ascii="宋体" w:hAnsi="宋体" w:cs="宋体" w:eastAsia="宋体" w:hint="default"/>
        </w:rPr>
        <w:t>12 </w:t>
      </w:r>
      <w:r>
        <w:rPr/>
        <w:t>个月作为一个营业周期，并以其作为资产和负债的流动性划分标准。</w:t>
      </w:r>
    </w:p>
    <w:p>
      <w:pPr>
        <w:spacing w:after="0" w:line="240" w:lineRule="auto"/>
        <w:jc w:val="left"/>
        <w:sectPr>
          <w:pgSz w:w="11910" w:h="16840"/>
          <w:pgMar w:header="747" w:footer="979" w:top="1060" w:bottom="1160" w:left="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3"/>
        <w:spacing w:line="240" w:lineRule="auto" w:before="186"/>
        <w:ind w:right="0"/>
        <w:jc w:val="left"/>
        <w:rPr>
          <w:b w:val="0"/>
          <w:bCs w:val="0"/>
        </w:rPr>
      </w:pPr>
      <w:bookmarkStart w:name="4、记账本位币" w:id="173"/>
      <w:bookmarkEnd w:id="173"/>
      <w:r>
        <w:rPr>
          <w:b w:val="0"/>
          <w:bCs w:val="0"/>
        </w:rPr>
      </w:r>
      <w:r>
        <w:rPr>
          <w:rFonts w:ascii="Times New Roman" w:hAnsi="Times New Roman" w:cs="Times New Roman" w:eastAsia="Times New Roman" w:hint="default"/>
        </w:rPr>
        <w:t>4</w:t>
      </w:r>
      <w:r>
        <w:rPr/>
        <w:t>、记账本位币</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493" w:right="0"/>
        <w:jc w:val="left"/>
      </w:pPr>
      <w:r>
        <w:rPr/>
        <w:t>本公司以人民币为记账本位币。</w:t>
      </w:r>
    </w:p>
    <w:p>
      <w:pPr>
        <w:spacing w:line="240" w:lineRule="auto" w:before="12"/>
        <w:rPr>
          <w:rFonts w:ascii="宋体" w:hAnsi="宋体" w:cs="宋体" w:eastAsia="宋体" w:hint="default"/>
          <w:sz w:val="26"/>
          <w:szCs w:val="26"/>
        </w:rPr>
      </w:pPr>
    </w:p>
    <w:p>
      <w:pPr>
        <w:pStyle w:val="Heading3"/>
        <w:spacing w:line="240" w:lineRule="auto"/>
        <w:ind w:right="0"/>
        <w:jc w:val="left"/>
        <w:rPr>
          <w:b w:val="0"/>
          <w:bCs w:val="0"/>
        </w:rPr>
      </w:pPr>
      <w:bookmarkStart w:name="5、同一控制下和非同一控制下企业合并的会计处理方法" w:id="174"/>
      <w:bookmarkEnd w:id="174"/>
      <w:r>
        <w:rPr>
          <w:b w:val="0"/>
          <w:bCs w:val="0"/>
        </w:rPr>
      </w:r>
      <w:r>
        <w:rPr>
          <w:rFonts w:ascii="Times New Roman" w:hAnsi="Times New Roman" w:cs="Times New Roman" w:eastAsia="Times New Roman" w:hint="default"/>
        </w:rPr>
        <w:t>5</w:t>
      </w:r>
      <w:r>
        <w:rPr/>
        <w:t>、同一控制下和非同一控制下企业合并的会计处理方法</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131" w:firstLine="360"/>
        <w:jc w:val="both"/>
      </w:pPr>
      <w:r>
        <w:rPr>
          <w:spacing w:val="-2"/>
        </w:rPr>
        <w:t>企业合并，是指将两个或两个以上单独的企业合并形成一个报告主体的交易或事项。企业合并分为同一控制下企业合并</w:t>
      </w:r>
      <w:r>
        <w:rPr/>
        <w:t> 和非同一控制下企业合并。</w:t>
      </w:r>
    </w:p>
    <w:p>
      <w:pPr>
        <w:pStyle w:val="BodyText"/>
        <w:spacing w:line="316" w:lineRule="auto" w:before="19"/>
        <w:ind w:left="1494" w:right="0"/>
        <w:jc w:val="left"/>
      </w:pPr>
      <w:r>
        <w:rPr/>
        <w:t>（</w:t>
      </w:r>
      <w:r>
        <w:rPr>
          <w:rFonts w:ascii="宋体" w:hAnsi="宋体" w:cs="宋体" w:eastAsia="宋体" w:hint="default"/>
        </w:rPr>
        <w:t>1</w:t>
      </w:r>
      <w:r>
        <w:rPr/>
        <w:t>）同一控制下企业合并 </w:t>
      </w:r>
      <w:r>
        <w:rPr>
          <w:spacing w:val="-2"/>
        </w:rPr>
        <w:t>参与合并的企业在合并前后均受同一方或相同的多方最终控制，且该控制并非暂时性的，为同一控制下的企业合并。同</w:t>
      </w:r>
    </w:p>
    <w:p>
      <w:pPr>
        <w:pStyle w:val="BodyText"/>
        <w:spacing w:line="316" w:lineRule="auto" w:before="19"/>
        <w:ind w:left="1134" w:right="0"/>
        <w:jc w:val="left"/>
      </w:pPr>
      <w:r>
        <w:rPr>
          <w:spacing w:val="-4"/>
        </w:rPr>
        <w:t>一控制下的企业合并，在合并日取得对其他参与合并企业控制权的一方为合并方，参与合并的其他企业为被合并方。合并日，</w:t>
      </w:r>
      <w:r>
        <w:rPr>
          <w:spacing w:val="-44"/>
        </w:rPr>
        <w:t> </w:t>
      </w:r>
      <w:r>
        <w:rPr>
          <w:spacing w:val="-44"/>
        </w:rPr>
      </w:r>
      <w:r>
        <w:rPr/>
        <w:t>是指合并方实际取得对被合并方控制权的日期。</w:t>
      </w:r>
    </w:p>
    <w:p>
      <w:pPr>
        <w:pStyle w:val="BodyText"/>
        <w:spacing w:line="316" w:lineRule="auto" w:before="19"/>
        <w:ind w:left="1134" w:right="1050" w:firstLine="360"/>
        <w:jc w:val="both"/>
      </w:pPr>
      <w:r>
        <w:rPr>
          <w:spacing w:val="-2"/>
        </w:rPr>
        <w:t>合并方取得的资产和负债均按合并日在被合并方的账面价值计量。合并方取得的净资产账面价值与支付的合并对价账面</w:t>
      </w:r>
      <w:r>
        <w:rPr/>
        <w:t> 价值（或发行股份面值总额）的差额，调整资本公积（股本溢价）；资本公积（股本溢价）不足以冲减的，调整留存收益。</w:t>
      </w:r>
    </w:p>
    <w:p>
      <w:pPr>
        <w:pStyle w:val="BodyText"/>
        <w:spacing w:line="240" w:lineRule="auto" w:before="19"/>
        <w:ind w:left="1494" w:right="0"/>
        <w:jc w:val="left"/>
      </w:pPr>
      <w:r>
        <w:rPr/>
        <w:t>合并方为进行企业合并发生的各项直接费用，于发生时计入当期损益。</w:t>
      </w:r>
    </w:p>
    <w:p>
      <w:pPr>
        <w:pStyle w:val="BodyText"/>
        <w:spacing w:line="316" w:lineRule="auto" w:before="76"/>
        <w:ind w:left="1494" w:right="0"/>
        <w:jc w:val="left"/>
      </w:pPr>
      <w:r>
        <w:rPr/>
        <w:t>（</w:t>
      </w:r>
      <w:r>
        <w:rPr>
          <w:rFonts w:ascii="宋体" w:hAnsi="宋体" w:cs="宋体" w:eastAsia="宋体" w:hint="default"/>
        </w:rPr>
        <w:t>2</w:t>
      </w:r>
      <w:r>
        <w:rPr/>
        <w:t>）非同一控制下企业合并 </w:t>
      </w:r>
      <w:r>
        <w:rPr>
          <w:spacing w:val="-2"/>
        </w:rPr>
        <w:t>参与合并的企业在合并前后不受同一方或相同的多方最终控制的，为非同一控制下的企业合并。非同一控制下的企业合</w:t>
      </w:r>
    </w:p>
    <w:p>
      <w:pPr>
        <w:pStyle w:val="BodyText"/>
        <w:spacing w:line="316" w:lineRule="auto" w:before="19"/>
        <w:ind w:left="1134" w:right="0"/>
        <w:jc w:val="left"/>
      </w:pPr>
      <w:r>
        <w:rPr>
          <w:spacing w:val="-2"/>
        </w:rPr>
        <w:t>并，在购买日取得对其他参与合并企业控制权的一方为购买方，参与合并的其他企业为被购买方。购买日，是指为购买方实</w:t>
      </w:r>
      <w:r>
        <w:rPr>
          <w:spacing w:val="-66"/>
        </w:rPr>
        <w:t> </w:t>
      </w:r>
      <w:r>
        <w:rPr>
          <w:spacing w:val="-66"/>
        </w:rPr>
      </w:r>
      <w:r>
        <w:rPr/>
        <w:t>际取得对被购买方控制权的日期。</w:t>
      </w:r>
    </w:p>
    <w:p>
      <w:pPr>
        <w:pStyle w:val="BodyText"/>
        <w:spacing w:line="316" w:lineRule="auto" w:before="19"/>
        <w:ind w:left="1134" w:right="1130" w:firstLine="360"/>
        <w:jc w:val="both"/>
      </w:pPr>
      <w:r>
        <w:rPr>
          <w:spacing w:val="-2"/>
        </w:rPr>
        <w:t>对于非同一控制下的企业合并，合并成本包含购买日购买方为取得对被购买方的控制权而付出的资产、发生或承担的负</w:t>
      </w:r>
      <w:r>
        <w:rPr/>
        <w:t> </w:t>
      </w:r>
      <w:r>
        <w:rPr>
          <w:spacing w:val="-2"/>
        </w:rPr>
        <w:t>债以及发行的权益性证券的公允价值，为企业合并发生的审计、法律服务、评估咨询等中介费用以及其他管理费用于发生时</w:t>
      </w:r>
      <w:r>
        <w:rPr>
          <w:spacing w:val="-66"/>
        </w:rPr>
        <w:t> </w:t>
      </w:r>
      <w:r>
        <w:rPr>
          <w:spacing w:val="-66"/>
        </w:rPr>
      </w:r>
      <w:r>
        <w:rPr>
          <w:spacing w:val="-2"/>
        </w:rPr>
        <w:t>计入当期损益。购买方作为合并对价发行的权益性证券或债务性证券的交易费用，计入权益性证券或债务性证券的初始确认</w:t>
      </w:r>
      <w:r>
        <w:rPr>
          <w:spacing w:val="-64"/>
        </w:rPr>
        <w:t> </w:t>
      </w:r>
      <w:r>
        <w:rPr>
          <w:spacing w:val="-64"/>
        </w:rPr>
      </w:r>
      <w:r>
        <w:rPr>
          <w:spacing w:val="-2"/>
        </w:rPr>
        <w:t>金额。所涉及的或有对价按其在购买日的公允价值计入合并成本，购买日后</w:t>
      </w:r>
      <w:r>
        <w:rPr>
          <w:rFonts w:ascii="宋体" w:hAnsi="宋体" w:cs="宋体" w:eastAsia="宋体" w:hint="default"/>
          <w:spacing w:val="-2"/>
        </w:rPr>
        <w:t>12</w:t>
      </w:r>
      <w:r>
        <w:rPr>
          <w:spacing w:val="-2"/>
        </w:rPr>
        <w:t>个月内出现对购买日已存在情况的新的或进一</w:t>
      </w:r>
      <w:r>
        <w:rPr>
          <w:spacing w:val="-62"/>
        </w:rPr>
        <w:t> </w:t>
      </w:r>
      <w:r>
        <w:rPr>
          <w:spacing w:val="-2"/>
        </w:rPr>
        <w:t>步证据而需要调整或有对价的，相应调整合并商誉。购买方发生的合并成本及在合并中取得的可辨认净资产按购买日的公允</w:t>
      </w:r>
      <w:r>
        <w:rPr>
          <w:spacing w:val="-64"/>
        </w:rPr>
        <w:t> </w:t>
      </w:r>
      <w:r>
        <w:rPr>
          <w:spacing w:val="-64"/>
        </w:rPr>
      </w:r>
      <w:r>
        <w:rPr>
          <w:spacing w:val="-2"/>
        </w:rPr>
        <w:t>价值计量。合并成本大于合并中取得的被购买方于购买日可辨认净资产公允价值份额的差额，确认为商誉。合并成本小于合</w:t>
      </w:r>
      <w:r>
        <w:rPr>
          <w:spacing w:val="-66"/>
        </w:rPr>
        <w:t> </w:t>
      </w:r>
      <w:r>
        <w:rPr>
          <w:spacing w:val="-66"/>
        </w:rPr>
      </w:r>
      <w:r>
        <w:rPr>
          <w:spacing w:val="-2"/>
        </w:rPr>
        <w:t>并中取得的被购买方可辨认净资产公允价值份额的，首先对取得的被购买方各项可辨认资产、负债及或有负债的公允价值以</w:t>
      </w:r>
      <w:r>
        <w:rPr>
          <w:spacing w:val="-64"/>
        </w:rPr>
        <w:t> </w:t>
      </w:r>
      <w:r>
        <w:rPr>
          <w:spacing w:val="-64"/>
        </w:rPr>
      </w:r>
      <w:r>
        <w:rPr>
          <w:spacing w:val="-2"/>
        </w:rPr>
        <w:t>及合并成本的计量进行复核，复核后合并成本仍小于合并中取得的被购买方可辨认净资产公允价值份额的，其差额计入当期</w:t>
      </w:r>
      <w:r>
        <w:rPr>
          <w:spacing w:val="-64"/>
        </w:rPr>
        <w:t> </w:t>
      </w:r>
      <w:r>
        <w:rPr>
          <w:spacing w:val="-64"/>
        </w:rPr>
      </w:r>
      <w:r>
        <w:rPr/>
        <w:t>损益。</w:t>
      </w:r>
    </w:p>
    <w:p>
      <w:pPr>
        <w:pStyle w:val="BodyText"/>
        <w:spacing w:line="316" w:lineRule="auto" w:before="19"/>
        <w:ind w:left="1134" w:right="1128" w:firstLine="360"/>
        <w:jc w:val="both"/>
      </w:pPr>
      <w:r>
        <w:rPr/>
        <w:t>购买方取得被购买方的可抵扣暂时性差异，在购买日因不符合递延所得税资产确认条件而未予确认的，在购买日后</w:t>
      </w:r>
      <w:r>
        <w:rPr>
          <w:rFonts w:ascii="宋体" w:hAnsi="宋体" w:cs="宋体" w:eastAsia="宋体" w:hint="default"/>
        </w:rPr>
        <w:t>12 </w:t>
      </w:r>
      <w:r>
        <w:rPr>
          <w:spacing w:val="-2"/>
        </w:rPr>
        <w:t>个月内，如取得新的或进一步的信息表明购买日的相关情况已经存在，预期被购买方在购买日可抵扣暂时性差异带来的经济</w:t>
      </w:r>
      <w:r>
        <w:rPr>
          <w:spacing w:val="-64"/>
        </w:rPr>
        <w:t> </w:t>
      </w:r>
      <w:r>
        <w:rPr>
          <w:spacing w:val="-64"/>
        </w:rPr>
      </w:r>
      <w:r>
        <w:rPr>
          <w:spacing w:val="-2"/>
        </w:rPr>
        <w:t>利益能够实现的，则确认相关的递延所得税资产，同时减少商誉，商誉不足冲减的，差额部分确认为当期损益；除上述情况</w:t>
      </w:r>
      <w:r>
        <w:rPr>
          <w:spacing w:val="-66"/>
        </w:rPr>
        <w:t> </w:t>
      </w:r>
      <w:r>
        <w:rPr>
          <w:spacing w:val="-66"/>
        </w:rPr>
      </w:r>
      <w:r>
        <w:rPr/>
        <w:t>以外，确认与企业合并相关的递延所得税资产的，计入当期损益。</w:t>
      </w:r>
    </w:p>
    <w:p>
      <w:pPr>
        <w:pStyle w:val="BodyText"/>
        <w:spacing w:line="316" w:lineRule="auto" w:before="19"/>
        <w:ind w:right="0" w:firstLine="360"/>
        <w:jc w:val="left"/>
      </w:pPr>
      <w:r>
        <w:rPr>
          <w:spacing w:val="-5"/>
        </w:rPr>
        <w:t>通过多次交易分步实现的非同一控制下企业合并，根据《财政部关于印发企业会计准则解释第</w:t>
      </w:r>
      <w:r>
        <w:rPr>
          <w:rFonts w:ascii="宋体" w:hAnsi="宋体" w:cs="宋体" w:eastAsia="宋体" w:hint="default"/>
          <w:spacing w:val="-5"/>
        </w:rPr>
        <w:t>5</w:t>
      </w:r>
      <w:r>
        <w:rPr>
          <w:spacing w:val="-5"/>
        </w:rPr>
        <w:t>号的通知》（财会〔</w:t>
      </w:r>
      <w:r>
        <w:rPr>
          <w:rFonts w:ascii="宋体" w:hAnsi="宋体" w:cs="宋体" w:eastAsia="宋体" w:hint="default"/>
          <w:spacing w:val="-5"/>
        </w:rPr>
        <w:t>2012</w:t>
      </w:r>
      <w:r>
        <w:rPr>
          <w:spacing w:val="-5"/>
        </w:rPr>
        <w:t>〕</w:t>
      </w:r>
      <w:r>
        <w:rPr/>
        <w:t> </w:t>
      </w:r>
      <w:r>
        <w:rPr>
          <w:rFonts w:ascii="宋体" w:hAnsi="宋体" w:cs="宋体" w:eastAsia="宋体" w:hint="default"/>
          <w:spacing w:val="-4"/>
        </w:rPr>
        <w:t>19</w:t>
      </w:r>
      <w:r>
        <w:rPr>
          <w:spacing w:val="-4"/>
        </w:rPr>
        <w:t>号）和《企业会计准则第</w:t>
      </w:r>
      <w:r>
        <w:rPr>
          <w:rFonts w:ascii="宋体" w:hAnsi="宋体" w:cs="宋体" w:eastAsia="宋体" w:hint="default"/>
          <w:spacing w:val="-4"/>
        </w:rPr>
        <w:t>33</w:t>
      </w:r>
      <w:r>
        <w:rPr>
          <w:spacing w:val="-4"/>
        </w:rPr>
        <w:t>号——合并财务报表》第五十一条关于“一揽子交易”的判断标准（参见本附注五、</w:t>
      </w:r>
      <w:r>
        <w:rPr>
          <w:rFonts w:ascii="宋体" w:hAnsi="宋体" w:cs="宋体" w:eastAsia="宋体" w:hint="default"/>
          <w:spacing w:val="-4"/>
        </w:rPr>
        <w:t>6</w:t>
      </w:r>
      <w:r>
        <w:rPr>
          <w:spacing w:val="-4"/>
        </w:rPr>
        <w:t>（</w:t>
      </w:r>
      <w:r>
        <w:rPr>
          <w:rFonts w:ascii="宋体" w:hAnsi="宋体" w:cs="宋体" w:eastAsia="宋体" w:hint="default"/>
          <w:spacing w:val="-4"/>
        </w:rPr>
        <w:t>2</w:t>
      </w:r>
      <w:r>
        <w:rPr>
          <w:spacing w:val="-4"/>
        </w:rPr>
        <w:t>）），</w:t>
      </w:r>
      <w:r>
        <w:rPr>
          <w:spacing w:val="-48"/>
        </w:rPr>
        <w:t> </w:t>
      </w:r>
      <w:r>
        <w:rPr>
          <w:spacing w:val="-2"/>
        </w:rPr>
        <w:t>判断该多次交易是否属于“一揽子交易”。属于“一揽子交易”的，参考本部分前面各段描述及本附注五、</w:t>
      </w:r>
      <w:r>
        <w:rPr>
          <w:rFonts w:ascii="宋体" w:hAnsi="宋体" w:cs="宋体" w:eastAsia="宋体" w:hint="default"/>
          <w:spacing w:val="-2"/>
        </w:rPr>
        <w:t>14</w:t>
      </w:r>
      <w:r>
        <w:rPr>
          <w:spacing w:val="-2"/>
        </w:rPr>
        <w:t>“长期股权投</w:t>
      </w:r>
      <w:r>
        <w:rPr>
          <w:spacing w:val="-65"/>
        </w:rPr>
        <w:t> </w:t>
      </w:r>
      <w:r>
        <w:rPr>
          <w:spacing w:val="-65"/>
        </w:rPr>
      </w:r>
      <w:r>
        <w:rPr/>
        <w:t>资”进行会计处理；不属于“一揽子交易”的，区分个别财务报表和合并财务报表进行相关会计处理：</w:t>
      </w:r>
    </w:p>
    <w:p>
      <w:pPr>
        <w:pStyle w:val="BodyText"/>
        <w:spacing w:line="319" w:lineRule="auto" w:before="19"/>
        <w:ind w:right="1132" w:firstLine="360"/>
        <w:jc w:val="both"/>
      </w:pPr>
      <w:r>
        <w:rPr>
          <w:spacing w:val="-2"/>
        </w:rPr>
        <w:t>在个别财务报表中，以购买日之前所持被购买方的股权投资的账面价值与购买日新增投资成本之和，作为该项投资的初</w:t>
      </w:r>
      <w:r>
        <w:rPr/>
        <w:t> </w:t>
      </w:r>
      <w:r>
        <w:rPr>
          <w:spacing w:val="-2"/>
        </w:rPr>
        <w:t>始投资成本；购买日之前持有的被购买方的股权涉及其他综合收益的，在处置该项投资时将与其相关的其他综合收益采用与</w:t>
      </w:r>
      <w:r>
        <w:rPr>
          <w:spacing w:val="-64"/>
        </w:rPr>
        <w:t> </w:t>
      </w:r>
      <w:r>
        <w:rPr>
          <w:spacing w:val="-64"/>
        </w:rPr>
      </w:r>
      <w:r>
        <w:rPr>
          <w:spacing w:val="-2"/>
        </w:rPr>
        <w:t>被购买方直接处置相关资产或负债相同的基础进行会计处理（即，除了按照权益法核算的在被购买方重新计量设定受益计划</w:t>
      </w:r>
      <w:r>
        <w:rPr>
          <w:spacing w:val="-64"/>
        </w:rPr>
        <w:t> </w:t>
      </w:r>
      <w:r>
        <w:rPr>
          <w:spacing w:val="-64"/>
        </w:rPr>
      </w:r>
      <w:r>
        <w:rPr/>
        <w:t>净负债或净资产导致的变动中的相应份额以外，其余转入当期投资收益）。</w:t>
      </w:r>
    </w:p>
    <w:p>
      <w:pPr>
        <w:pStyle w:val="BodyText"/>
        <w:spacing w:line="316" w:lineRule="auto" w:before="17"/>
        <w:ind w:right="1131" w:firstLine="360"/>
        <w:jc w:val="both"/>
      </w:pPr>
      <w:r>
        <w:rPr>
          <w:spacing w:val="-2"/>
        </w:rPr>
        <w:t>在合并财务报表中，对于购买日之前持有的被购买方的股权，按照该股权在购买日的公允价值进行重新计量，公允价值</w:t>
      </w:r>
      <w:r>
        <w:rPr/>
        <w:t> </w:t>
      </w:r>
      <w:r>
        <w:rPr>
          <w:spacing w:val="-2"/>
        </w:rPr>
        <w:t>与其账面价值的差额计入当期投资收益；购买日之前持有的被购买方的股权涉及其他综合收益的，与其相关的其他综合收益</w:t>
      </w:r>
    </w:p>
    <w:p>
      <w:pPr>
        <w:spacing w:after="0" w:line="316" w:lineRule="auto"/>
        <w:jc w:val="both"/>
        <w:sectPr>
          <w:footerReference w:type="default" r:id="rId12"/>
          <w:pgSz w:w="11910" w:h="16840"/>
          <w:pgMar w:footer="1449" w:header="747" w:top="1060" w:bottom="1640" w:left="0" w:right="0"/>
          <w:pgNumType w:start="93"/>
        </w:sectPr>
      </w:pPr>
    </w:p>
    <w:p>
      <w:pPr>
        <w:spacing w:line="240" w:lineRule="auto" w:before="12"/>
        <w:rPr>
          <w:rFonts w:ascii="宋体" w:hAnsi="宋体" w:cs="宋体" w:eastAsia="宋体" w:hint="default"/>
          <w:sz w:val="25"/>
          <w:szCs w:val="25"/>
        </w:rPr>
      </w:pPr>
    </w:p>
    <w:p>
      <w:pPr>
        <w:pStyle w:val="BodyText"/>
        <w:spacing w:line="240" w:lineRule="auto" w:before="44"/>
        <w:ind w:right="0"/>
        <w:jc w:val="left"/>
      </w:pPr>
      <w:r>
        <w:rPr/>
        <w:t>定受益计划净负债或净资产导致的变动中的相应份额以外，其余转为购买日所属当期投资收益）。</w:t>
      </w:r>
    </w:p>
    <w:p>
      <w:pPr>
        <w:spacing w:line="240" w:lineRule="auto" w:before="12"/>
        <w:rPr>
          <w:rFonts w:ascii="宋体" w:hAnsi="宋体" w:cs="宋体" w:eastAsia="宋体" w:hint="default"/>
          <w:sz w:val="26"/>
          <w:szCs w:val="26"/>
        </w:rPr>
      </w:pPr>
    </w:p>
    <w:p>
      <w:pPr>
        <w:pStyle w:val="Heading3"/>
        <w:spacing w:line="240" w:lineRule="auto"/>
        <w:ind w:right="0"/>
        <w:jc w:val="left"/>
        <w:rPr>
          <w:b w:val="0"/>
          <w:bCs w:val="0"/>
        </w:rPr>
      </w:pPr>
      <w:bookmarkStart w:name="6、合并财务报表的编制方法" w:id="175"/>
      <w:bookmarkEnd w:id="175"/>
      <w:r>
        <w:rPr>
          <w:b w:val="0"/>
          <w:bCs w:val="0"/>
        </w:rPr>
      </w:r>
      <w:r>
        <w:rPr>
          <w:rFonts w:ascii="Times New Roman" w:hAnsi="Times New Roman" w:cs="Times New Roman" w:eastAsia="Times New Roman" w:hint="default"/>
        </w:rPr>
        <w:t>6</w:t>
      </w:r>
      <w:r>
        <w:rPr/>
        <w:t>、合并财务报表的编制方法</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1493" w:right="0"/>
        <w:jc w:val="left"/>
      </w:pPr>
      <w:r>
        <w:rPr/>
        <w:t>（</w:t>
      </w:r>
      <w:r>
        <w:rPr>
          <w:rFonts w:ascii="宋体" w:hAnsi="宋体" w:cs="宋体" w:eastAsia="宋体" w:hint="default"/>
        </w:rPr>
        <w:t>1</w:t>
      </w:r>
      <w:r>
        <w:rPr/>
        <w:t>）合并财务报表范围的确定原则 </w:t>
      </w:r>
      <w:r>
        <w:rPr>
          <w:spacing w:val="-2"/>
        </w:rPr>
        <w:t>合并财务报表的合并范围以控制为基础予以确定。控制是指本公司拥有对被投资方的权力，通过参与被投资方的相关活</w:t>
      </w:r>
    </w:p>
    <w:p>
      <w:pPr>
        <w:pStyle w:val="BodyText"/>
        <w:spacing w:line="316" w:lineRule="auto" w:before="19"/>
        <w:ind w:right="0"/>
        <w:jc w:val="left"/>
      </w:pPr>
      <w:r>
        <w:rPr>
          <w:spacing w:val="-2"/>
        </w:rPr>
        <w:t>动而享有可变回报，并且有能力运用对被投资方的权力影响该回报金额。合并范围包括本公司及全部子公司。子公司，是指</w:t>
      </w:r>
      <w:r>
        <w:rPr>
          <w:spacing w:val="-66"/>
        </w:rPr>
        <w:t> </w:t>
      </w:r>
      <w:r>
        <w:rPr>
          <w:spacing w:val="-66"/>
        </w:rPr>
      </w:r>
      <w:r>
        <w:rPr/>
        <w:t>被本公司控制的主体。</w:t>
      </w:r>
    </w:p>
    <w:p>
      <w:pPr>
        <w:pStyle w:val="BodyText"/>
        <w:spacing w:line="240" w:lineRule="auto" w:before="19"/>
        <w:ind w:left="1493" w:right="0"/>
        <w:jc w:val="left"/>
      </w:pPr>
      <w:r>
        <w:rPr/>
        <w:t>一旦相关事实和情况的变化导致上述控制定义涉及的相关要素发生了变化，本公司将进行重新评估。</w:t>
      </w:r>
    </w:p>
    <w:p>
      <w:pPr>
        <w:pStyle w:val="BodyText"/>
        <w:spacing w:line="316" w:lineRule="auto" w:before="76"/>
        <w:ind w:left="1494" w:right="0"/>
        <w:jc w:val="left"/>
      </w:pPr>
      <w:r>
        <w:rPr/>
        <w:t>（</w:t>
      </w:r>
      <w:r>
        <w:rPr>
          <w:rFonts w:ascii="宋体" w:hAnsi="宋体" w:cs="宋体" w:eastAsia="宋体" w:hint="default"/>
        </w:rPr>
        <w:t>2</w:t>
      </w:r>
      <w:r>
        <w:rPr/>
        <w:t>）合并财务报表编制的方法 </w:t>
      </w:r>
      <w:r>
        <w:rPr>
          <w:spacing w:val="-2"/>
        </w:rPr>
        <w:t>从取得子公司的净资产和生产经营决策的实际控制权之日起，本公司开始将其纳入合并范围；从丧失实际控制权之日起</w:t>
      </w:r>
    </w:p>
    <w:p>
      <w:pPr>
        <w:pStyle w:val="BodyText"/>
        <w:spacing w:line="316" w:lineRule="auto" w:before="19"/>
        <w:ind w:left="1134" w:right="0"/>
        <w:jc w:val="left"/>
      </w:pPr>
      <w:r>
        <w:rPr>
          <w:spacing w:val="-4"/>
        </w:rPr>
        <w:t>停止纳入合并范围。对于处置的子公司，处置日前的经营成果和现金流量已经适当地包括在合并利润表和合并现金流量表中；</w:t>
      </w:r>
      <w:r>
        <w:rPr>
          <w:spacing w:val="-44"/>
        </w:rPr>
        <w:t> </w:t>
      </w:r>
      <w:r>
        <w:rPr>
          <w:spacing w:val="-44"/>
        </w:rPr>
      </w:r>
      <w:r>
        <w:rPr>
          <w:spacing w:val="-2"/>
        </w:rPr>
        <w:t>当期处置的子公司，不调整合并资产负债表的期初数。非同一控制下企业合并增加的子公司，其购买日后的经营成果及现金</w:t>
      </w:r>
      <w:r>
        <w:rPr>
          <w:spacing w:val="-66"/>
        </w:rPr>
        <w:t> </w:t>
      </w:r>
      <w:r>
        <w:rPr>
          <w:spacing w:val="-66"/>
        </w:rPr>
      </w:r>
      <w:r>
        <w:rPr>
          <w:spacing w:val="-2"/>
        </w:rPr>
        <w:t>流量已经适当地包括在合并利润表和合并现金流量表中，且不调整合并财务报表的期初数和对比数。同一控制下企业合并增</w:t>
      </w:r>
      <w:r>
        <w:rPr>
          <w:spacing w:val="-64"/>
        </w:rPr>
        <w:t> </w:t>
      </w:r>
      <w:r>
        <w:rPr>
          <w:spacing w:val="-64"/>
        </w:rPr>
      </w:r>
      <w:r>
        <w:rPr>
          <w:spacing w:val="-2"/>
        </w:rPr>
        <w:t>加的子公司，其自合并当期期初至合并日的经营成果和现金流量已经适当地包括在合并利润表和合并现金流量表中，并且同</w:t>
      </w:r>
      <w:r>
        <w:rPr>
          <w:spacing w:val="-64"/>
        </w:rPr>
        <w:t> </w:t>
      </w:r>
      <w:r>
        <w:rPr>
          <w:spacing w:val="-64"/>
        </w:rPr>
      </w:r>
      <w:r>
        <w:rPr/>
        <w:t>时调整合并财务报表的对比数。</w:t>
      </w:r>
    </w:p>
    <w:p>
      <w:pPr>
        <w:pStyle w:val="BodyText"/>
        <w:spacing w:line="316" w:lineRule="auto" w:before="19"/>
        <w:ind w:left="1134" w:right="1132" w:firstLine="360"/>
        <w:jc w:val="both"/>
      </w:pPr>
      <w:r>
        <w:rPr>
          <w:spacing w:val="-2"/>
        </w:rPr>
        <w:t>在编制合并财务报表时，子公司与本公司采用的会计政策或会计期间不一致的，按照本公司的会计政策和会计期间对子</w:t>
      </w:r>
      <w:r>
        <w:rPr/>
        <w:t> </w:t>
      </w:r>
      <w:r>
        <w:rPr>
          <w:spacing w:val="-2"/>
        </w:rPr>
        <w:t>公司财务报表进行必要的调整。对于非同一控制下企业合并取得的子公司，以购买日可辨认净资产公允价值为基础对其财务</w:t>
      </w:r>
      <w:r>
        <w:rPr>
          <w:spacing w:val="-64"/>
        </w:rPr>
        <w:t> </w:t>
      </w:r>
      <w:r>
        <w:rPr>
          <w:spacing w:val="-64"/>
        </w:rPr>
      </w:r>
      <w:r>
        <w:rPr/>
        <w:t>报表进行调整。</w:t>
      </w:r>
    </w:p>
    <w:p>
      <w:pPr>
        <w:pStyle w:val="BodyText"/>
        <w:spacing w:line="316" w:lineRule="auto" w:before="19"/>
        <w:ind w:left="1493" w:right="0"/>
        <w:jc w:val="left"/>
      </w:pPr>
      <w:r>
        <w:rPr/>
        <w:t>公司内所有重大往来余额、交易及未实现利润在合并财务报表编制时予以抵销。 子公司的股东权益及当期净损益中不属于本公司所拥有的部分分别作为少数股东权益及少数股东损益在合并财务报表</w:t>
      </w:r>
    </w:p>
    <w:p>
      <w:pPr>
        <w:pStyle w:val="BodyText"/>
        <w:spacing w:line="319" w:lineRule="auto" w:before="19"/>
        <w:ind w:right="1132"/>
        <w:jc w:val="both"/>
      </w:pPr>
      <w:r>
        <w:rPr>
          <w:spacing w:val="-2"/>
        </w:rPr>
        <w:t>中股东权益及净利润项下单独列示。子公司当期净损益中属于少数股东权益的份额，在合并利润表中净利润项目下以“少数</w:t>
      </w:r>
      <w:r>
        <w:rPr>
          <w:spacing w:val="-66"/>
        </w:rPr>
        <w:t> </w:t>
      </w:r>
      <w:r>
        <w:rPr>
          <w:spacing w:val="-66"/>
        </w:rPr>
      </w:r>
      <w:r>
        <w:rPr>
          <w:spacing w:val="-2"/>
        </w:rPr>
        <w:t>股东损益”项目列示。少数股东分担的子公司的亏损超过了少数股东在该子公司期初股东权益中所享有的份额，仍冲减少数</w:t>
      </w:r>
      <w:r>
        <w:rPr>
          <w:spacing w:val="-66"/>
        </w:rPr>
        <w:t> </w:t>
      </w:r>
      <w:r>
        <w:rPr>
          <w:spacing w:val="-66"/>
        </w:rPr>
      </w:r>
      <w:r>
        <w:rPr/>
        <w:t>股东权益。</w:t>
      </w:r>
    </w:p>
    <w:p>
      <w:pPr>
        <w:pStyle w:val="BodyText"/>
        <w:spacing w:line="316" w:lineRule="auto" w:before="17"/>
        <w:ind w:right="1129" w:firstLine="360"/>
        <w:jc w:val="both"/>
      </w:pPr>
      <w:r>
        <w:rPr>
          <w:spacing w:val="-2"/>
        </w:rPr>
        <w:t>当因处置部分股权投资或其他原因丧失了对原有子公司的控制权时，对于剩余股权，按照其在丧失控制权日的公允价值</w:t>
      </w:r>
      <w:r>
        <w:rPr/>
        <w:t> </w:t>
      </w:r>
      <w:r>
        <w:rPr>
          <w:spacing w:val="-2"/>
        </w:rPr>
        <w:t>进行重新计量。处置股权取得的对价与剩余股权公允价值之和，减去按原持股比例计算应享有原有子公司自购买日开始持续</w:t>
      </w:r>
      <w:r>
        <w:rPr>
          <w:spacing w:val="-64"/>
        </w:rPr>
        <w:t> </w:t>
      </w:r>
      <w:r>
        <w:rPr>
          <w:spacing w:val="-64"/>
        </w:rPr>
      </w:r>
      <w:r>
        <w:rPr>
          <w:spacing w:val="-2"/>
        </w:rPr>
        <w:t>计算的净资产的份额之间的差额，计入丧失控制权当期的投资收益。与原有子公司股权投资相关的其他综合收益，在丧失控</w:t>
      </w:r>
      <w:r>
        <w:rPr>
          <w:spacing w:val="-66"/>
        </w:rPr>
        <w:t> </w:t>
      </w:r>
      <w:r>
        <w:rPr>
          <w:spacing w:val="-66"/>
        </w:rPr>
      </w:r>
      <w:r>
        <w:rPr>
          <w:spacing w:val="-2"/>
        </w:rPr>
        <w:t>制权时采用与被购买方直接处置相关资产或负债相同的基础进行会计处理（即，除了在该原有子公司重新计量设定受益计划</w:t>
      </w:r>
      <w:r>
        <w:rPr>
          <w:spacing w:val="-64"/>
        </w:rPr>
        <w:t> </w:t>
      </w:r>
      <w:r>
        <w:rPr>
          <w:spacing w:val="-64"/>
        </w:rPr>
      </w:r>
      <w:r>
        <w:rPr/>
        <w:t>净负债或净资产导致的变动以外，其余一并转为当期投资收益）。其后，对该部分剩余股权按照《企业会计准则第</w:t>
      </w:r>
      <w:r>
        <w:rPr>
          <w:rFonts w:ascii="宋体" w:hAnsi="宋体" w:cs="宋体" w:eastAsia="宋体" w:hint="default"/>
        </w:rPr>
        <w:t>2</w:t>
      </w:r>
      <w:r>
        <w:rPr/>
        <w:t>号——</w:t>
      </w:r>
      <w:r>
        <w:rPr>
          <w:spacing w:val="-81"/>
        </w:rPr>
        <w:t> </w:t>
      </w:r>
      <w:r>
        <w:rPr>
          <w:spacing w:val="-2"/>
        </w:rPr>
        <w:t>长期股权投资》或《企业会计准则第</w:t>
      </w:r>
      <w:r>
        <w:rPr>
          <w:rFonts w:ascii="宋体" w:hAnsi="宋体" w:cs="宋体" w:eastAsia="宋体" w:hint="default"/>
          <w:spacing w:val="-2"/>
        </w:rPr>
        <w:t>22</w:t>
      </w:r>
      <w:r>
        <w:rPr>
          <w:spacing w:val="-2"/>
        </w:rPr>
        <w:t>号——金融工具确认和计量》等相关规定进行后续计量，详见本附注五、</w:t>
      </w:r>
      <w:r>
        <w:rPr>
          <w:rFonts w:ascii="宋体" w:hAnsi="宋体" w:cs="宋体" w:eastAsia="宋体" w:hint="default"/>
          <w:spacing w:val="-2"/>
        </w:rPr>
        <w:t>14</w:t>
      </w:r>
      <w:r>
        <w:rPr>
          <w:spacing w:val="-2"/>
        </w:rPr>
        <w:t>“长期股</w:t>
      </w:r>
      <w:r>
        <w:rPr>
          <w:spacing w:val="-63"/>
        </w:rPr>
        <w:t> </w:t>
      </w:r>
      <w:r>
        <w:rPr/>
        <w:t>权投资”或本附注五、</w:t>
      </w:r>
      <w:r>
        <w:rPr>
          <w:rFonts w:ascii="宋体" w:hAnsi="宋体" w:cs="宋体" w:eastAsia="宋体" w:hint="default"/>
        </w:rPr>
        <w:t>10</w:t>
      </w:r>
      <w:r>
        <w:rPr/>
        <w:t>“金融工具”。</w:t>
      </w:r>
    </w:p>
    <w:p>
      <w:pPr>
        <w:pStyle w:val="BodyText"/>
        <w:spacing w:line="316" w:lineRule="auto" w:before="19"/>
        <w:ind w:right="1033" w:firstLine="360"/>
        <w:jc w:val="left"/>
      </w:pPr>
      <w:r>
        <w:rPr>
          <w:spacing w:val="-2"/>
        </w:rPr>
        <w:t>本公司通过多次交易分步处置对子公司股权投资直至丧失控制权的，需区分处置对子公司股权投资直至丧失控制权的各</w:t>
      </w:r>
      <w:r>
        <w:rPr/>
        <w:t> </w:t>
      </w:r>
      <w:r>
        <w:rPr>
          <w:spacing w:val="-2"/>
        </w:rPr>
        <w:t>项交易是否属于一揽子交易。处置对子公司股权投资的各项交易的条款、条件以及经济影响符合以下一种或多种情况，通常</w:t>
      </w:r>
      <w:r>
        <w:rPr>
          <w:spacing w:val="-66"/>
        </w:rPr>
        <w:t> </w:t>
      </w:r>
      <w:r>
        <w:rPr>
          <w:spacing w:val="-66"/>
        </w:rPr>
      </w:r>
      <w:r>
        <w:rPr>
          <w:spacing w:val="-2"/>
        </w:rPr>
        <w:t>表明应将多次交易事项作为一揽子交易进行会计处理：①这些交易是同时或者在考虑了彼此影响的情况下订立的；②这些交</w:t>
      </w:r>
      <w:r>
        <w:rPr>
          <w:spacing w:val="-64"/>
        </w:rPr>
        <w:t> </w:t>
      </w:r>
      <w:r>
        <w:rPr>
          <w:spacing w:val="-64"/>
        </w:rPr>
      </w:r>
      <w:r>
        <w:rPr/>
        <w:t>易整体才能达成一项完整的商业结果；③一项交易的发生取决于其他至少一项交易的发生；④一项交易单独看是不经济的， </w:t>
      </w:r>
      <w:r>
        <w:rPr>
          <w:spacing w:val="-2"/>
        </w:rPr>
        <w:t>但是和其他交易一并考虑时是经济的。不属于一揽子交易的，对其中的每一项交易视情况分别按照“不丧失控制权的情况下</w:t>
      </w:r>
      <w:r>
        <w:rPr>
          <w:spacing w:val="-65"/>
        </w:rPr>
        <w:t> </w:t>
      </w:r>
      <w:r>
        <w:rPr>
          <w:spacing w:val="-65"/>
        </w:rPr>
      </w:r>
      <w:r>
        <w:rPr/>
        <w:t>部分处置对子公司的长期股权投资”（详见本附注五、</w:t>
      </w:r>
      <w:r>
        <w:rPr>
          <w:rFonts w:ascii="宋体" w:hAnsi="宋体" w:cs="宋体" w:eastAsia="宋体" w:hint="default"/>
        </w:rPr>
        <w:t>14</w:t>
      </w:r>
      <w:r>
        <w:rPr/>
        <w:t>、（</w:t>
      </w:r>
      <w:r>
        <w:rPr>
          <w:rFonts w:ascii="宋体" w:hAnsi="宋体" w:cs="宋体" w:eastAsia="宋体" w:hint="default"/>
        </w:rPr>
        <w:t>2</w:t>
      </w:r>
      <w:r>
        <w:rPr/>
        <w:t>）④）和“因处置部分股权投资或其他原因丧失了对原有子</w:t>
      </w:r>
      <w:r>
        <w:rPr>
          <w:spacing w:val="-85"/>
        </w:rPr>
        <w:t> </w:t>
      </w:r>
      <w:r>
        <w:rPr>
          <w:spacing w:val="-85"/>
        </w:rPr>
      </w:r>
      <w:r>
        <w:rPr>
          <w:spacing w:val="-2"/>
        </w:rPr>
        <w:t>公司的控制权”（详见前段）适用的原则进行会计处理。处置对子公司股权投资直至丧失控制权的各项交易属于一揽子交易</w:t>
      </w:r>
      <w:r>
        <w:rPr>
          <w:spacing w:val="-65"/>
        </w:rPr>
        <w:t> </w:t>
      </w:r>
      <w:r>
        <w:rPr>
          <w:spacing w:val="-65"/>
        </w:rPr>
      </w:r>
      <w:r>
        <w:rPr>
          <w:spacing w:val="-2"/>
        </w:rPr>
        <w:t>的，将各项交易作为一项处置子公司并丧失控制权的交易进行会计处理；但是，在丧失控制权之前每一次处置价款与处置投</w:t>
      </w:r>
      <w:r>
        <w:rPr>
          <w:spacing w:val="-66"/>
        </w:rPr>
        <w:t> </w:t>
      </w:r>
      <w:r>
        <w:rPr>
          <w:spacing w:val="-66"/>
        </w:rPr>
      </w:r>
      <w:r>
        <w:rPr>
          <w:spacing w:val="-2"/>
        </w:rPr>
        <w:t>资对应的享有该子公司净资产份额的差额，在合并财务报表中确认为其他综合收益，在丧失控制权时一并转入丧失控制权当</w:t>
      </w:r>
      <w:r>
        <w:rPr>
          <w:spacing w:val="-63"/>
        </w:rPr>
        <w:t> </w:t>
      </w:r>
      <w:r>
        <w:rPr>
          <w:spacing w:val="-63"/>
        </w:rPr>
      </w:r>
      <w:r>
        <w:rPr/>
        <w:t>期的损益。</w:t>
      </w:r>
    </w:p>
    <w:p>
      <w:pPr>
        <w:spacing w:line="240" w:lineRule="auto" w:before="7"/>
        <w:rPr>
          <w:rFonts w:ascii="宋体" w:hAnsi="宋体" w:cs="宋体" w:eastAsia="宋体" w:hint="default"/>
          <w:sz w:val="22"/>
          <w:szCs w:val="22"/>
        </w:rPr>
      </w:pPr>
    </w:p>
    <w:p>
      <w:pPr>
        <w:pStyle w:val="Heading3"/>
        <w:spacing w:line="240" w:lineRule="auto"/>
        <w:ind w:left="1134" w:right="0"/>
        <w:jc w:val="left"/>
        <w:rPr>
          <w:b w:val="0"/>
          <w:bCs w:val="0"/>
        </w:rPr>
      </w:pPr>
      <w:bookmarkStart w:name="7、合营安排分类及共同经营会计处理方法" w:id="176"/>
      <w:bookmarkEnd w:id="176"/>
      <w:r>
        <w:rPr>
          <w:b w:val="0"/>
          <w:bCs w:val="0"/>
        </w:rPr>
      </w:r>
      <w:r>
        <w:rPr>
          <w:rFonts w:ascii="Times New Roman" w:hAnsi="Times New Roman" w:cs="Times New Roman" w:eastAsia="Times New Roman" w:hint="default"/>
        </w:rPr>
        <w:t>7</w:t>
      </w:r>
      <w:r>
        <w:rPr/>
        <w:t>、合营安排分类及共同经营会计处理方法</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494" w:right="0"/>
        <w:jc w:val="left"/>
      </w:pPr>
      <w:r>
        <w:rPr/>
        <w:t>合营安排，是指一项由两个或两个以上的参与方共同控制的安排。本公司根据在合营安排中享有的权利和承担的义务，</w:t>
      </w:r>
    </w:p>
    <w:p>
      <w:pPr>
        <w:spacing w:after="0" w:line="240" w:lineRule="auto"/>
        <w:jc w:val="left"/>
        <w:sectPr>
          <w:footerReference w:type="default" r:id="rId13"/>
          <w:pgSz w:w="11910" w:h="16840"/>
          <w:pgMar w:footer="979" w:header="747" w:top="1060" w:bottom="1160" w:left="0" w:right="0"/>
          <w:pgNumType w:start="94"/>
        </w:sectPr>
      </w:pPr>
    </w:p>
    <w:p>
      <w:pPr>
        <w:spacing w:line="240" w:lineRule="auto" w:before="12"/>
        <w:rPr>
          <w:rFonts w:ascii="宋体" w:hAnsi="宋体" w:cs="宋体" w:eastAsia="宋体" w:hint="default"/>
          <w:sz w:val="25"/>
          <w:szCs w:val="25"/>
        </w:rPr>
      </w:pPr>
    </w:p>
    <w:p>
      <w:pPr>
        <w:pStyle w:val="BodyText"/>
        <w:spacing w:line="316" w:lineRule="auto" w:before="44"/>
        <w:ind w:right="0"/>
        <w:jc w:val="left"/>
      </w:pPr>
      <w:r>
        <w:rPr>
          <w:spacing w:val="-2"/>
        </w:rPr>
        <w:t>将合营安排分为共同经营和合营企业。共同经营，是指本公司享有该安排相关资产且承担该安排相关负债的合营安排。合营</w:t>
      </w:r>
      <w:r>
        <w:rPr>
          <w:spacing w:val="-66"/>
        </w:rPr>
        <w:t> </w:t>
      </w:r>
      <w:r>
        <w:rPr>
          <w:spacing w:val="-66"/>
        </w:rPr>
      </w:r>
      <w:r>
        <w:rPr/>
        <w:t>企业，是指本公司仅对该安排的净资产享有权利的合营安排。</w:t>
      </w:r>
    </w:p>
    <w:p>
      <w:pPr>
        <w:pStyle w:val="BodyText"/>
        <w:spacing w:line="316" w:lineRule="auto" w:before="19"/>
        <w:ind w:right="1129" w:firstLine="360"/>
        <w:jc w:val="both"/>
      </w:pPr>
      <w:r>
        <w:rPr/>
        <w:t>本公司对合营企业的投资采用权益法核算，按照本附注五、</w:t>
      </w:r>
      <w:r>
        <w:rPr>
          <w:rFonts w:ascii="宋体" w:hAnsi="宋体" w:cs="宋体" w:eastAsia="宋体" w:hint="default"/>
        </w:rPr>
        <w:t>14</w:t>
      </w:r>
      <w:r>
        <w:rPr/>
        <w:t>（</w:t>
      </w:r>
      <w:r>
        <w:rPr>
          <w:rFonts w:ascii="宋体" w:hAnsi="宋体" w:cs="宋体" w:eastAsia="宋体" w:hint="default"/>
        </w:rPr>
        <w:t>2</w:t>
      </w:r>
      <w:r>
        <w:rPr/>
        <w:t>）②“权益法核算的长期股权投资”中所述的会计政 策处理。</w:t>
      </w:r>
    </w:p>
    <w:p>
      <w:pPr>
        <w:pStyle w:val="BodyText"/>
        <w:spacing w:line="316" w:lineRule="auto" w:before="19"/>
        <w:ind w:left="1134" w:right="1132" w:firstLine="360"/>
        <w:jc w:val="both"/>
      </w:pPr>
      <w:r>
        <w:rPr>
          <w:spacing w:val="-2"/>
        </w:rPr>
        <w:t>本公司作为合营方对共同经营，确认本公司单独持有的资产、单独所承担的负债，以及按本公司份额确认共同持有的资</w:t>
      </w:r>
      <w:r>
        <w:rPr/>
        <w:t> </w:t>
      </w:r>
      <w:r>
        <w:rPr>
          <w:spacing w:val="-2"/>
        </w:rPr>
        <w:t>产和共同承担的负债；确认出售本公司享有的共同经营产出份额所产生的收入；按本公司份额确认共同经营因出售产出所产</w:t>
      </w:r>
      <w:r>
        <w:rPr>
          <w:spacing w:val="-64"/>
        </w:rPr>
        <w:t> </w:t>
      </w:r>
      <w:r>
        <w:rPr>
          <w:spacing w:val="-64"/>
        </w:rPr>
      </w:r>
      <w:r>
        <w:rPr/>
        <w:t>生的收入；确认本公司单独所发生的费用，以及按本公司份额确认共同经营发生的费用。</w:t>
      </w:r>
    </w:p>
    <w:p>
      <w:pPr>
        <w:pStyle w:val="BodyText"/>
        <w:spacing w:line="316" w:lineRule="auto" w:before="19"/>
        <w:ind w:right="1130" w:firstLine="360"/>
        <w:jc w:val="both"/>
      </w:pPr>
      <w:r>
        <w:rPr>
          <w:spacing w:val="-2"/>
        </w:rPr>
        <w:t>当本公司作为合营方向共同经营投出或出售资产（该资产不构成业务，下同）、或者自共同经营购买资产时，在该等资</w:t>
      </w:r>
      <w:r>
        <w:rPr/>
        <w:t> </w:t>
      </w:r>
      <w:r>
        <w:rPr>
          <w:spacing w:val="-2"/>
        </w:rPr>
        <w:t>产出售给第三方之前，本公司仅确认因该交易产生的损益中归属于共同经营其他参与方的部分。该等资产发生符合《企业会</w:t>
      </w:r>
      <w:r>
        <w:rPr>
          <w:spacing w:val="-66"/>
        </w:rPr>
        <w:t> </w:t>
      </w:r>
      <w:r>
        <w:rPr>
          <w:spacing w:val="-66"/>
        </w:rPr>
      </w:r>
      <w:r>
        <w:rPr/>
        <w:t>计准则第</w:t>
      </w:r>
      <w:r>
        <w:rPr>
          <w:rFonts w:ascii="宋体" w:hAnsi="宋体" w:cs="宋体" w:eastAsia="宋体" w:hint="default"/>
        </w:rPr>
        <w:t>8</w:t>
      </w:r>
      <w:r>
        <w:rPr/>
        <w:t>号——资产减值》等规定的资产减值损失的，对于由本公司向共同经营投出或出售资产的情况，本公司全额确认</w:t>
      </w:r>
      <w:r>
        <w:rPr>
          <w:spacing w:val="-83"/>
        </w:rPr>
        <w:t> </w:t>
      </w:r>
      <w:r>
        <w:rPr>
          <w:spacing w:val="-83"/>
        </w:rPr>
      </w:r>
      <w:r>
        <w:rPr/>
        <w:t>该损失；对于本公司自共同经营购买资产的情况，本公司按承担的份额确认该损失。</w:t>
      </w:r>
    </w:p>
    <w:p>
      <w:pPr>
        <w:spacing w:line="240" w:lineRule="auto" w:before="7"/>
        <w:rPr>
          <w:rFonts w:ascii="宋体" w:hAnsi="宋体" w:cs="宋体" w:eastAsia="宋体" w:hint="default"/>
          <w:sz w:val="22"/>
          <w:szCs w:val="22"/>
        </w:rPr>
      </w:pPr>
    </w:p>
    <w:p>
      <w:pPr>
        <w:pStyle w:val="Heading3"/>
        <w:spacing w:line="240" w:lineRule="auto"/>
        <w:ind w:right="0"/>
        <w:jc w:val="both"/>
        <w:rPr>
          <w:b w:val="0"/>
          <w:bCs w:val="0"/>
        </w:rPr>
      </w:pPr>
      <w:bookmarkStart w:name="8、现金及现金等价物的确定标准" w:id="177"/>
      <w:bookmarkEnd w:id="177"/>
      <w:r>
        <w:rPr>
          <w:b w:val="0"/>
          <w:bCs w:val="0"/>
        </w:rPr>
      </w:r>
      <w:r>
        <w:rPr>
          <w:rFonts w:ascii="Times New Roman" w:hAnsi="Times New Roman" w:cs="Times New Roman" w:eastAsia="Times New Roman" w:hint="default"/>
        </w:rPr>
        <w:t>8</w:t>
      </w:r>
      <w:r>
        <w:rPr/>
        <w:t>、现金及现金等价物的确定标准</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132" w:firstLine="360"/>
        <w:jc w:val="both"/>
      </w:pPr>
      <w:r>
        <w:rPr>
          <w:spacing w:val="-2"/>
        </w:rPr>
        <w:t>本公司现金及现金等价物包括库存现金、可以随时用于支付的存款以及本公司持有的期限短（一般为从购买日起三个月</w:t>
      </w:r>
      <w:r>
        <w:rPr/>
        <w:t> 内到期）、流动性强、易于转换为已知金额现金、价值变动风险很小的投资。</w:t>
      </w:r>
    </w:p>
    <w:p>
      <w:pPr>
        <w:spacing w:line="240" w:lineRule="auto" w:before="7"/>
        <w:rPr>
          <w:rFonts w:ascii="宋体" w:hAnsi="宋体" w:cs="宋体" w:eastAsia="宋体" w:hint="default"/>
          <w:sz w:val="22"/>
          <w:szCs w:val="22"/>
        </w:rPr>
      </w:pPr>
    </w:p>
    <w:p>
      <w:pPr>
        <w:pStyle w:val="Heading3"/>
        <w:spacing w:line="240" w:lineRule="auto"/>
        <w:ind w:right="0"/>
        <w:jc w:val="both"/>
        <w:rPr>
          <w:b w:val="0"/>
          <w:bCs w:val="0"/>
        </w:rPr>
      </w:pPr>
      <w:bookmarkStart w:name="9、外币业务和外币报表折算" w:id="178"/>
      <w:bookmarkEnd w:id="178"/>
      <w:r>
        <w:rPr>
          <w:b w:val="0"/>
          <w:bCs w:val="0"/>
        </w:rPr>
      </w:r>
      <w:r>
        <w:rPr>
          <w:rFonts w:ascii="Times New Roman" w:hAnsi="Times New Roman" w:cs="Times New Roman" w:eastAsia="Times New Roman" w:hint="default"/>
        </w:rPr>
        <w:t>9</w:t>
      </w:r>
      <w:r>
        <w:rPr/>
        <w:t>、外币业务和外币报表折算</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1493" w:right="0"/>
        <w:jc w:val="left"/>
      </w:pPr>
      <w:r>
        <w:rPr/>
        <w:t>（</w:t>
      </w:r>
      <w:r>
        <w:rPr>
          <w:rFonts w:ascii="宋体" w:hAnsi="宋体" w:cs="宋体" w:eastAsia="宋体" w:hint="default"/>
        </w:rPr>
        <w:t>1</w:t>
      </w:r>
      <w:r>
        <w:rPr/>
        <w:t>）发生外币交易时折算汇率的确定方法 </w:t>
      </w:r>
      <w:r>
        <w:rPr>
          <w:spacing w:val="-2"/>
        </w:rPr>
        <w:t>本公司发生的外币交易在初始确认时，按交易日的（通常指中国人民银行公布的当日外汇牌价的中间价，下同）折算为</w:t>
      </w:r>
    </w:p>
    <w:p>
      <w:pPr>
        <w:pStyle w:val="BodyText"/>
        <w:spacing w:line="240" w:lineRule="auto" w:before="19"/>
        <w:ind w:right="0"/>
        <w:jc w:val="both"/>
      </w:pPr>
      <w:r>
        <w:rPr/>
        <w:t>记账本位币金额。</w:t>
      </w:r>
    </w:p>
    <w:p>
      <w:pPr>
        <w:pStyle w:val="BodyText"/>
        <w:spacing w:line="316" w:lineRule="auto" w:before="77"/>
        <w:ind w:left="1494" w:right="0"/>
        <w:jc w:val="left"/>
      </w:pPr>
      <w:r>
        <w:rPr/>
        <w:t>（</w:t>
      </w:r>
      <w:r>
        <w:rPr>
          <w:rFonts w:ascii="宋体" w:hAnsi="宋体" w:cs="宋体" w:eastAsia="宋体" w:hint="default"/>
        </w:rPr>
        <w:t>2</w:t>
      </w:r>
      <w:r>
        <w:rPr/>
        <w:t>）对于外币货币性项目和外币非货币性项目的折算方法 </w:t>
      </w:r>
      <w:r>
        <w:rPr>
          <w:spacing w:val="-2"/>
        </w:rPr>
        <w:t>外币货币性项目，采用资产负债表日即期汇率折算。因资产负债表日即期汇率与初始确认时或者前一资产负债表日即期</w:t>
      </w:r>
    </w:p>
    <w:p>
      <w:pPr>
        <w:pStyle w:val="BodyText"/>
        <w:spacing w:line="316" w:lineRule="auto" w:before="19"/>
        <w:ind w:right="1131"/>
        <w:jc w:val="both"/>
      </w:pPr>
      <w:r>
        <w:rPr>
          <w:spacing w:val="-2"/>
        </w:rPr>
        <w:t>汇率不同而产生的汇兑差额，除了按照《企业会计准则第</w:t>
      </w:r>
      <w:r>
        <w:rPr>
          <w:rFonts w:ascii="宋体" w:hAnsi="宋体" w:cs="宋体" w:eastAsia="宋体" w:hint="default"/>
          <w:spacing w:val="-2"/>
        </w:rPr>
        <w:t>17</w:t>
      </w:r>
      <w:r>
        <w:rPr>
          <w:spacing w:val="-2"/>
        </w:rPr>
        <w:t>号——借款费用》的规定，与购建或生产符合资本化条件的资产</w:t>
      </w:r>
      <w:r>
        <w:rPr>
          <w:spacing w:val="-64"/>
        </w:rPr>
        <w:t> </w:t>
      </w:r>
      <w:r>
        <w:rPr>
          <w:spacing w:val="-64"/>
        </w:rPr>
      </w:r>
      <w:r>
        <w:rPr>
          <w:spacing w:val="-2"/>
        </w:rPr>
        <w:t>相关的外币借款产生的汇兑差额予以资本化外，计入当期损益。以历史成本计量的外币非货币性项目，仍采用交易发生日的</w:t>
      </w:r>
      <w:r>
        <w:rPr>
          <w:spacing w:val="-66"/>
        </w:rPr>
        <w:t> </w:t>
      </w:r>
      <w:r>
        <w:rPr>
          <w:spacing w:val="-66"/>
        </w:rPr>
      </w:r>
      <w:r>
        <w:rPr>
          <w:spacing w:val="-2"/>
        </w:rPr>
        <w:t>即期汇率折算，不改变其记账本位币金额。以公允价值计量的股票、基金等外币非货币性项目，采用公允价值确定日的即期</w:t>
      </w:r>
      <w:r>
        <w:rPr>
          <w:spacing w:val="-66"/>
        </w:rPr>
        <w:t> </w:t>
      </w:r>
      <w:r>
        <w:rPr>
          <w:spacing w:val="-66"/>
        </w:rPr>
      </w:r>
      <w:r>
        <w:rPr/>
        <w:t>汇率折算，折算后记账本位币金额与原记账本位币金额的差额，作为公允价值变动（含汇率变动）处理，计入当期损益。</w:t>
      </w:r>
    </w:p>
    <w:p>
      <w:pPr>
        <w:pStyle w:val="BodyText"/>
        <w:spacing w:line="316" w:lineRule="auto" w:before="19"/>
        <w:ind w:left="1494" w:right="3732"/>
        <w:jc w:val="left"/>
      </w:pPr>
      <w:r>
        <w:rPr/>
        <w:t>（</w:t>
      </w:r>
      <w:r>
        <w:rPr>
          <w:rFonts w:ascii="宋体" w:hAnsi="宋体" w:cs="宋体" w:eastAsia="宋体" w:hint="default"/>
        </w:rPr>
        <w:t>3</w:t>
      </w:r>
      <w:r>
        <w:rPr/>
        <w:t>）外币财务报表的折算方法 本公司按照以下规定，将以外币表示的财务报表折算为人民币金额表示的财务报表。</w:t>
      </w:r>
    </w:p>
    <w:p>
      <w:pPr>
        <w:pStyle w:val="BodyText"/>
        <w:spacing w:line="316" w:lineRule="auto" w:before="19"/>
        <w:ind w:right="1131" w:firstLine="360"/>
        <w:jc w:val="both"/>
      </w:pPr>
      <w:r>
        <w:rPr>
          <w:spacing w:val="-2"/>
        </w:rPr>
        <w:t>资产负债表中的资产和负债项目，采用资产负债表日的即期汇率折算；所有者权益类项目除“未分配利润”项目外，其</w:t>
      </w:r>
      <w:r>
        <w:rPr/>
        <w:t> </w:t>
      </w:r>
      <w:r>
        <w:rPr>
          <w:spacing w:val="-2"/>
        </w:rPr>
        <w:t>他项目采用发生时的即期汇率折算。利润表中的收入和费用项目，采用交易发生日的即期汇率折算。按照上述方法折算产生</w:t>
      </w:r>
      <w:r>
        <w:rPr>
          <w:spacing w:val="-66"/>
        </w:rPr>
        <w:t> </w:t>
      </w:r>
      <w:r>
        <w:rPr>
          <w:spacing w:val="-66"/>
        </w:rPr>
      </w:r>
      <w:r>
        <w:rPr>
          <w:spacing w:val="-2"/>
        </w:rPr>
        <w:t>的外币财务报表折算差额，在资产负债表中所有者权益项目“其他综合收益”中单独列示。以外币表示的现金流量表采用现</w:t>
      </w:r>
      <w:r>
        <w:rPr>
          <w:spacing w:val="-66"/>
        </w:rPr>
        <w:t> </w:t>
      </w:r>
      <w:r>
        <w:rPr>
          <w:spacing w:val="-66"/>
        </w:rPr>
      </w:r>
      <w:r>
        <w:rPr/>
        <w:t>金流量发生日的即期汇率折算。汇率变动对现金的影响额作为调节项目，在现金流量表中单独列报。</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3"/>
        <w:spacing w:line="240" w:lineRule="auto" w:before="135"/>
        <w:ind w:right="0"/>
        <w:jc w:val="both"/>
        <w:rPr>
          <w:b w:val="0"/>
          <w:bCs w:val="0"/>
        </w:rPr>
      </w:pPr>
      <w:bookmarkStart w:name="10、金融工具" w:id="179"/>
      <w:bookmarkEnd w:id="179"/>
      <w:r>
        <w:rPr>
          <w:b w:val="0"/>
          <w:bCs w:val="0"/>
        </w:rPr>
      </w:r>
      <w:r>
        <w:rPr>
          <w:rFonts w:ascii="Times New Roman" w:hAnsi="Times New Roman" w:cs="Times New Roman" w:eastAsia="Times New Roman" w:hint="default"/>
        </w:rPr>
        <w:t>10</w:t>
      </w:r>
      <w:r>
        <w:rPr/>
        <w:t>、金融工具</w:t>
      </w:r>
      <w:r>
        <w:rPr>
          <w:b w:val="0"/>
          <w:bCs w:val="0"/>
        </w:rPr>
      </w:r>
    </w:p>
    <w:p>
      <w:pPr>
        <w:spacing w:line="240" w:lineRule="auto" w:before="7"/>
        <w:rPr>
          <w:rFonts w:ascii="宋体" w:hAnsi="宋体" w:cs="宋体" w:eastAsia="宋体" w:hint="default"/>
          <w:b/>
          <w:bCs/>
          <w:sz w:val="26"/>
          <w:szCs w:val="26"/>
        </w:rPr>
      </w:pPr>
    </w:p>
    <w:p>
      <w:pPr>
        <w:pStyle w:val="BodyText"/>
        <w:spacing w:line="319" w:lineRule="auto"/>
        <w:ind w:left="1134" w:right="1133" w:firstLine="360"/>
        <w:jc w:val="both"/>
      </w:pPr>
      <w:r>
        <w:rPr/>
        <w:t>在本公司成为金融工具合同的一方时确认一项金融资产或金融负债。金融资产和金融负债在初始确认时以公允价值计 </w:t>
      </w:r>
      <w:r>
        <w:rPr>
          <w:spacing w:val="-2"/>
        </w:rPr>
        <w:t>量。对于以公允价值计量且其变动计入当期损益的金融资产和金融负债，相关的交易费用直接计入损益；对于其他类别的金</w:t>
      </w:r>
      <w:r>
        <w:rPr>
          <w:spacing w:val="-66"/>
        </w:rPr>
        <w:t> </w:t>
      </w:r>
      <w:r>
        <w:rPr>
          <w:spacing w:val="-66"/>
        </w:rPr>
      </w:r>
      <w:r>
        <w:rPr/>
        <w:t>融资产和金融负债，相关交易费用计入初始确认金额。</w:t>
      </w:r>
    </w:p>
    <w:p>
      <w:pPr>
        <w:pStyle w:val="BodyText"/>
        <w:spacing w:line="316" w:lineRule="auto" w:before="17"/>
        <w:ind w:left="1494" w:right="0"/>
        <w:jc w:val="left"/>
      </w:pPr>
      <w:r>
        <w:rPr/>
        <w:t>（</w:t>
      </w:r>
      <w:r>
        <w:rPr>
          <w:rFonts w:ascii="宋体" w:hAnsi="宋体" w:cs="宋体" w:eastAsia="宋体" w:hint="default"/>
        </w:rPr>
        <w:t>1</w:t>
      </w:r>
      <w:r>
        <w:rPr/>
        <w:t>）金融资产和金融负债的公允价值确定方法 </w:t>
      </w:r>
      <w:r>
        <w:rPr>
          <w:spacing w:val="-2"/>
        </w:rPr>
        <w:t>公允价值，是指市场参与者在计量日发生的有序交易中，出售一项资产所能收到或者转移一项负债所需支付的价格。金</w:t>
      </w:r>
    </w:p>
    <w:p>
      <w:pPr>
        <w:pStyle w:val="BodyText"/>
        <w:spacing w:line="316" w:lineRule="auto" w:before="19"/>
        <w:ind w:left="1134" w:right="1032"/>
        <w:jc w:val="left"/>
      </w:pPr>
      <w:r>
        <w:rPr>
          <w:spacing w:val="-4"/>
        </w:rPr>
        <w:t>融工具存在活跃市场的，本公司采用活跃市场中的报价确定其公允价值。活跃市场中的报价是指易于定期从交易所、经纪商、</w:t>
      </w:r>
      <w:r>
        <w:rPr>
          <w:spacing w:val="-44"/>
        </w:rPr>
        <w:t> </w:t>
      </w:r>
      <w:r>
        <w:rPr>
          <w:spacing w:val="-44"/>
        </w:rPr>
      </w:r>
      <w:r>
        <w:rPr/>
        <w:t>行业协会、定价服务机构等获得的价格，且代表了在公平交易中实际发生的市场交易的价格。金融工具不存在活跃市场的，</w:t>
      </w:r>
    </w:p>
    <w:p>
      <w:pPr>
        <w:spacing w:after="0" w:line="316" w:lineRule="auto"/>
        <w:jc w:val="left"/>
        <w:sectPr>
          <w:pgSz w:w="11910" w:h="16840"/>
          <w:pgMar w:header="747" w:footer="979" w:top="1060" w:bottom="1160" w:left="0" w:right="0"/>
        </w:sectPr>
      </w:pPr>
    </w:p>
    <w:p>
      <w:pPr>
        <w:spacing w:line="240" w:lineRule="auto" w:before="12"/>
        <w:rPr>
          <w:rFonts w:ascii="宋体" w:hAnsi="宋体" w:cs="宋体" w:eastAsia="宋体" w:hint="default"/>
          <w:sz w:val="25"/>
          <w:szCs w:val="25"/>
        </w:rPr>
      </w:pPr>
    </w:p>
    <w:p>
      <w:pPr>
        <w:pStyle w:val="BodyText"/>
        <w:spacing w:line="316" w:lineRule="auto" w:before="44"/>
        <w:ind w:right="1132"/>
        <w:jc w:val="both"/>
      </w:pPr>
      <w:r>
        <w:rPr>
          <w:spacing w:val="-2"/>
        </w:rPr>
        <w:t>本公司采用估值技术确定其公允价值。估值技术包括参考熟悉情况并自愿交易的各方最近进行的市场交易中使用的价格、参</w:t>
      </w:r>
      <w:r>
        <w:rPr>
          <w:spacing w:val="-64"/>
        </w:rPr>
        <w:t> </w:t>
      </w:r>
      <w:r>
        <w:rPr>
          <w:spacing w:val="-64"/>
        </w:rPr>
      </w:r>
      <w:r>
        <w:rPr/>
        <w:t>照实质上相同的其他金融工具当前的公允价值、现金流量折现法和期权定价模型等。</w:t>
      </w:r>
    </w:p>
    <w:p>
      <w:pPr>
        <w:pStyle w:val="BodyText"/>
        <w:spacing w:line="316" w:lineRule="auto" w:before="19"/>
        <w:ind w:left="1493" w:right="0"/>
        <w:jc w:val="left"/>
      </w:pPr>
      <w:r>
        <w:rPr/>
        <w:t>（</w:t>
      </w:r>
      <w:r>
        <w:rPr>
          <w:rFonts w:ascii="宋体" w:hAnsi="宋体" w:cs="宋体" w:eastAsia="宋体" w:hint="default"/>
        </w:rPr>
        <w:t>2</w:t>
      </w:r>
      <w:r>
        <w:rPr/>
        <w:t>）金融资产的分类、确认和计量 </w:t>
      </w:r>
      <w:r>
        <w:rPr>
          <w:spacing w:val="-2"/>
        </w:rPr>
        <w:t>以常规方式买卖金融资产，按交易日进行会计确认和终止确认。金融资产在初始确认时划分为以公允价值计量且其变动</w:t>
      </w:r>
    </w:p>
    <w:p>
      <w:pPr>
        <w:pStyle w:val="BodyText"/>
        <w:spacing w:line="240" w:lineRule="auto" w:before="19"/>
        <w:ind w:right="0"/>
        <w:jc w:val="left"/>
      </w:pPr>
      <w:r>
        <w:rPr/>
        <w:t>计入当期损益的金融资产、持有至到期投资、贷款和应收款项以及可供出售金融资产。</w:t>
      </w:r>
    </w:p>
    <w:p>
      <w:pPr>
        <w:pStyle w:val="BodyText"/>
        <w:spacing w:line="316" w:lineRule="auto" w:before="76"/>
        <w:ind w:left="1493" w:right="0"/>
        <w:jc w:val="left"/>
      </w:pPr>
      <w:r>
        <w:rPr/>
        <w:t>①以公允价值计量且其变动计入当期损益的金融资产 包括交易性金融资产和指定为以公允价值计量且其变动计入当期损益的金融资产。 </w:t>
      </w:r>
      <w:r>
        <w:rPr>
          <w:spacing w:val="-2"/>
        </w:rPr>
        <w:t>交易性金融资产是指满足下列条件之一的金融资产：</w:t>
      </w:r>
      <w:r>
        <w:rPr>
          <w:rFonts w:ascii="宋体" w:hAnsi="宋体" w:cs="宋体" w:eastAsia="宋体" w:hint="default"/>
          <w:spacing w:val="-2"/>
        </w:rPr>
        <w:t>A.</w:t>
      </w:r>
      <w:r>
        <w:rPr>
          <w:spacing w:val="-2"/>
        </w:rPr>
        <w:t>取得该金融资产的目的，主要是为了近期内出售；</w:t>
      </w:r>
      <w:r>
        <w:rPr>
          <w:rFonts w:ascii="宋体" w:hAnsi="宋体" w:cs="宋体" w:eastAsia="宋体" w:hint="default"/>
          <w:spacing w:val="-2"/>
        </w:rPr>
        <w:t>B.</w:t>
      </w:r>
      <w:r>
        <w:rPr>
          <w:spacing w:val="-2"/>
        </w:rPr>
        <w:t>属于进行集</w:t>
      </w:r>
    </w:p>
    <w:p>
      <w:pPr>
        <w:pStyle w:val="BodyText"/>
        <w:spacing w:line="316" w:lineRule="auto" w:before="19"/>
        <w:ind w:right="1130"/>
        <w:jc w:val="both"/>
      </w:pPr>
      <w:r>
        <w:rPr>
          <w:spacing w:val="-2"/>
        </w:rPr>
        <w:t>中管理的可辨认金融工具组合的一部分，且有客观证据表明本公司近期采用短期获利方式对该组合进行管理；</w:t>
      </w:r>
      <w:r>
        <w:rPr>
          <w:rFonts w:ascii="宋体" w:hAnsi="宋体" w:cs="宋体" w:eastAsia="宋体" w:hint="default"/>
          <w:spacing w:val="-2"/>
        </w:rPr>
        <w:t>C.</w:t>
      </w:r>
      <w:r>
        <w:rPr>
          <w:spacing w:val="-2"/>
        </w:rPr>
        <w:t>属于衍生工</w:t>
      </w:r>
      <w:r>
        <w:rPr>
          <w:spacing w:val="-61"/>
        </w:rPr>
        <w:t> </w:t>
      </w:r>
      <w:r>
        <w:rPr>
          <w:spacing w:val="-2"/>
        </w:rPr>
        <w:t>具，但是，被指定且为有效套期工具的衍生工具、属于财务担保合同的衍生工具、与在活跃市场中没有报价且其公允价值不</w:t>
      </w:r>
      <w:r>
        <w:rPr>
          <w:spacing w:val="-66"/>
        </w:rPr>
        <w:t> </w:t>
      </w:r>
      <w:r>
        <w:rPr>
          <w:spacing w:val="-66"/>
        </w:rPr>
      </w:r>
      <w:r>
        <w:rPr/>
        <w:t>能可靠计量的权益工具投资挂钩并须通过交付该权益工具结算的衍生工具除外。</w:t>
      </w:r>
    </w:p>
    <w:p>
      <w:pPr>
        <w:pStyle w:val="BodyText"/>
        <w:spacing w:line="316" w:lineRule="auto" w:before="19"/>
        <w:ind w:right="1130" w:firstLine="360"/>
        <w:jc w:val="both"/>
      </w:pPr>
      <w:r>
        <w:rPr>
          <w:spacing w:val="-2"/>
        </w:rPr>
        <w:t>符合下述条件之一的金融资产，在初始确认时可指定为以公允价值计量且其变动计入当期损益的金融资产：</w:t>
      </w:r>
      <w:r>
        <w:rPr>
          <w:rFonts w:ascii="宋体" w:hAnsi="宋体" w:cs="宋体" w:eastAsia="宋体" w:hint="default"/>
          <w:spacing w:val="-2"/>
        </w:rPr>
        <w:t>A.</w:t>
      </w:r>
      <w:r>
        <w:rPr>
          <w:spacing w:val="-2"/>
        </w:rPr>
        <w:t>该指定可</w:t>
      </w:r>
      <w:r>
        <w:rPr/>
        <w:t> </w:t>
      </w:r>
      <w:r>
        <w:rPr>
          <w:spacing w:val="-2"/>
        </w:rPr>
        <w:t>以消除或明显减少由于该金融资产的计量基础不同所导致的相关利得或损失在确认或计量方面不一致的情况；</w:t>
      </w:r>
      <w:r>
        <w:rPr>
          <w:rFonts w:ascii="宋体" w:hAnsi="宋体" w:cs="宋体" w:eastAsia="宋体" w:hint="default"/>
          <w:spacing w:val="-2"/>
        </w:rPr>
        <w:t>B.</w:t>
      </w:r>
      <w:r>
        <w:rPr>
          <w:spacing w:val="-2"/>
        </w:rPr>
        <w:t>本公司风险</w:t>
      </w:r>
      <w:r>
        <w:rPr>
          <w:spacing w:val="-61"/>
        </w:rPr>
        <w:t> </w:t>
      </w:r>
      <w:r>
        <w:rPr>
          <w:spacing w:val="-2"/>
        </w:rPr>
        <w:t>管理或投资策略的正式书面文件已载明，对该金融资产所在的金融资产组合或金融资产和金融负债组合以公允价值为基础进</w:t>
      </w:r>
      <w:r>
        <w:rPr>
          <w:spacing w:val="-64"/>
        </w:rPr>
        <w:t> </w:t>
      </w:r>
      <w:r>
        <w:rPr>
          <w:spacing w:val="-64"/>
        </w:rPr>
      </w:r>
      <w:r>
        <w:rPr/>
        <w:t>行管理、评价并向关键管理人员报告。</w:t>
      </w:r>
    </w:p>
    <w:p>
      <w:pPr>
        <w:pStyle w:val="BodyText"/>
        <w:spacing w:line="316" w:lineRule="auto" w:before="19"/>
        <w:ind w:right="1131" w:firstLine="360"/>
        <w:jc w:val="both"/>
      </w:pPr>
      <w:r>
        <w:rPr>
          <w:spacing w:val="-2"/>
        </w:rPr>
        <w:t>以公允价值计量且其变动计入当期损益的金融资产采用公允价值进行后续计量，公允价值变动形成的利得或损失以及与</w:t>
      </w:r>
      <w:r>
        <w:rPr/>
        <w:t> 该等金融资产相关的股利和利息收入计入当期损益。</w:t>
      </w:r>
    </w:p>
    <w:p>
      <w:pPr>
        <w:pStyle w:val="BodyText"/>
        <w:spacing w:line="316" w:lineRule="auto" w:before="19"/>
        <w:ind w:left="1494" w:right="1118"/>
        <w:jc w:val="left"/>
      </w:pPr>
      <w:r>
        <w:rPr/>
        <w:t>②持有至到期投资 是指到期日固定、回收金额固定或可确定，且本公司有明确意图和能力持有至到期的非衍生金融资产。 </w:t>
      </w:r>
      <w:r>
        <w:rPr>
          <w:spacing w:val="-2"/>
        </w:rPr>
        <w:t>持有至到期投资采用实际利率法，按摊余成本进行后续计量，在终止确认、发生减值或摊销时产生的利得或损失，计入</w:t>
      </w:r>
    </w:p>
    <w:p>
      <w:pPr>
        <w:pStyle w:val="BodyText"/>
        <w:spacing w:line="240" w:lineRule="auto" w:before="19"/>
        <w:ind w:left="1134" w:right="0"/>
        <w:jc w:val="left"/>
      </w:pPr>
      <w:r>
        <w:rPr/>
        <w:t>当期损益。</w:t>
      </w:r>
    </w:p>
    <w:p>
      <w:pPr>
        <w:pStyle w:val="BodyText"/>
        <w:spacing w:line="319" w:lineRule="auto" w:before="76"/>
        <w:ind w:left="1134" w:right="1131" w:firstLine="360"/>
        <w:jc w:val="both"/>
      </w:pPr>
      <w:r>
        <w:rPr>
          <w:spacing w:val="-2"/>
        </w:rPr>
        <w:t>实际利率法是指按照金融资产或金融负债（含一组金融资产或金融负债）的实际利率计算其摊余成本及各期利息收入或</w:t>
      </w:r>
      <w:r>
        <w:rPr/>
        <w:t> </w:t>
      </w:r>
      <w:r>
        <w:rPr>
          <w:spacing w:val="-2"/>
        </w:rPr>
        <w:t>支出的方法。实际利率是指将金融资产或金融负债在预期存续期间或适用的更短期间内的未来现金流量，折现为该金融资产</w:t>
      </w:r>
      <w:r>
        <w:rPr>
          <w:spacing w:val="-64"/>
        </w:rPr>
        <w:t> </w:t>
      </w:r>
      <w:r>
        <w:rPr>
          <w:spacing w:val="-64"/>
        </w:rPr>
      </w:r>
      <w:r>
        <w:rPr/>
        <w:t>或金融负债当前账面价值所使用的利率。</w:t>
      </w:r>
    </w:p>
    <w:p>
      <w:pPr>
        <w:pStyle w:val="BodyText"/>
        <w:spacing w:line="316" w:lineRule="auto" w:before="17"/>
        <w:ind w:left="1134" w:right="1131" w:firstLine="360"/>
        <w:jc w:val="both"/>
      </w:pPr>
      <w:r>
        <w:rPr>
          <w:spacing w:val="-2"/>
        </w:rPr>
        <w:t>在计算实际利率时，本公司将在考虑金融资产或金融负债所有合同条款的基础上预计未来现金流量（不考虑未来的信用</w:t>
      </w:r>
      <w:r>
        <w:rPr/>
        <w:t> </w:t>
      </w:r>
      <w:r>
        <w:rPr>
          <w:spacing w:val="-2"/>
        </w:rPr>
        <w:t>损失），同时还将考虑金融资产或金融负债合同各方之间支付或收取的、属于实际利率组成部分的各项收费、交易费用及折</w:t>
      </w:r>
      <w:r>
        <w:rPr>
          <w:spacing w:val="-66"/>
        </w:rPr>
        <w:t> </w:t>
      </w:r>
      <w:r>
        <w:rPr>
          <w:spacing w:val="-66"/>
        </w:rPr>
      </w:r>
      <w:r>
        <w:rPr/>
        <w:t>价或溢价等。</w:t>
      </w:r>
    </w:p>
    <w:p>
      <w:pPr>
        <w:pStyle w:val="BodyText"/>
        <w:spacing w:line="316" w:lineRule="auto" w:before="19"/>
        <w:ind w:left="1494" w:right="0"/>
        <w:jc w:val="left"/>
      </w:pPr>
      <w:r>
        <w:rPr/>
        <w:t>③贷款和应收款项 </w:t>
      </w:r>
      <w:r>
        <w:rPr>
          <w:spacing w:val="-2"/>
        </w:rPr>
        <w:t>是指在活跃市场中没有报价、回收金额固定或可确定的非衍生金融资产。本公司划分为贷款和应收款的金融资产包括应</w:t>
      </w:r>
    </w:p>
    <w:p>
      <w:pPr>
        <w:pStyle w:val="BodyText"/>
        <w:spacing w:line="316" w:lineRule="auto" w:before="19"/>
        <w:ind w:left="1494" w:right="0" w:hanging="360"/>
        <w:jc w:val="left"/>
      </w:pPr>
      <w:r>
        <w:rPr/>
        <w:t>收票据、应收账款、应收利息、应收股利及其他应收款等。 </w:t>
      </w:r>
      <w:r>
        <w:rPr>
          <w:spacing w:val="-2"/>
        </w:rPr>
        <w:t>贷款和应收款项采用实际利率法，按摊余成本进行后续计量，在终止确认、发生减值或摊销时产生的利得或损失，计入</w:t>
      </w:r>
    </w:p>
    <w:p>
      <w:pPr>
        <w:pStyle w:val="BodyText"/>
        <w:spacing w:line="240" w:lineRule="auto" w:before="19"/>
        <w:ind w:left="1134" w:right="0"/>
        <w:jc w:val="left"/>
      </w:pPr>
      <w:r>
        <w:rPr/>
        <w:t>当期损益。</w:t>
      </w:r>
    </w:p>
    <w:p>
      <w:pPr>
        <w:pStyle w:val="BodyText"/>
        <w:spacing w:line="316" w:lineRule="auto" w:before="76"/>
        <w:ind w:left="1494" w:right="1032"/>
        <w:jc w:val="left"/>
      </w:pPr>
      <w:r>
        <w:rPr/>
        <w:t>④可供出售金融资产 包括初始确认时即被指定为可供出售的非衍生金融资产，以及除了以公允价值计量且其变动计入当期损益的金融资产、</w:t>
      </w:r>
    </w:p>
    <w:p>
      <w:pPr>
        <w:pStyle w:val="BodyText"/>
        <w:spacing w:line="316" w:lineRule="auto" w:before="19"/>
        <w:ind w:left="1494" w:right="0" w:hanging="360"/>
        <w:jc w:val="left"/>
      </w:pPr>
      <w:r>
        <w:rPr/>
        <w:t>贷款和应收款项、持有至到期投资以外的金融资产。 </w:t>
      </w:r>
      <w:r>
        <w:rPr>
          <w:spacing w:val="-2"/>
        </w:rPr>
        <w:t>可供出售债务工具投资的期末成本按照摊余成本法确定，即初始确认金额扣除已偿还的本金，加上或减去采用实际利率</w:t>
      </w:r>
    </w:p>
    <w:p>
      <w:pPr>
        <w:pStyle w:val="BodyText"/>
        <w:spacing w:line="316" w:lineRule="auto" w:before="19"/>
        <w:ind w:left="1134" w:right="1132"/>
        <w:jc w:val="both"/>
      </w:pPr>
      <w:r>
        <w:rPr>
          <w:spacing w:val="-2"/>
        </w:rPr>
        <w:t>法将该初始确认金额与到期日金额之间的差额进行摊销形成的累计摊销额，并扣除已发生的减值损失后的金额。可供出售权</w:t>
      </w:r>
      <w:r>
        <w:rPr>
          <w:spacing w:val="-64"/>
        </w:rPr>
        <w:t> </w:t>
      </w:r>
      <w:r>
        <w:rPr>
          <w:spacing w:val="-64"/>
        </w:rPr>
      </w:r>
      <w:r>
        <w:rPr/>
        <w:t>益工具投资的期末成本为其初始取得成本。</w:t>
      </w:r>
    </w:p>
    <w:p>
      <w:pPr>
        <w:pStyle w:val="BodyText"/>
        <w:spacing w:line="319" w:lineRule="auto" w:before="19"/>
        <w:ind w:left="1134" w:right="1131" w:firstLine="360"/>
        <w:jc w:val="both"/>
      </w:pPr>
      <w:r>
        <w:rPr>
          <w:spacing w:val="-2"/>
        </w:rPr>
        <w:t>可供出售金融资产采用公允价值进行后续计量，公允价值变动形成的利得或损失，除减值损失和外币货币性金融资产与</w:t>
      </w:r>
      <w:r>
        <w:rPr/>
        <w:t> </w:t>
      </w:r>
      <w:r>
        <w:rPr>
          <w:spacing w:val="-2"/>
        </w:rPr>
        <w:t>摊余成本相关的汇兑差额计入当期损益外，确认为其他综合收益，在该金融资产终止确认时转出，计入当期损益。但是，在</w:t>
      </w:r>
      <w:r>
        <w:rPr>
          <w:spacing w:val="-67"/>
        </w:rPr>
        <w:t> </w:t>
      </w:r>
      <w:r>
        <w:rPr>
          <w:spacing w:val="-67"/>
        </w:rPr>
      </w:r>
      <w:r>
        <w:rPr>
          <w:spacing w:val="-2"/>
        </w:rPr>
        <w:t>活跃市场中没有报价且其公允价值不能可靠计量的权益工具投资，以及与该权益工具挂钩并须通过交付该权益工具结算的衍</w:t>
      </w:r>
      <w:r>
        <w:rPr>
          <w:spacing w:val="-64"/>
        </w:rPr>
        <w:t> </w:t>
      </w:r>
      <w:r>
        <w:rPr>
          <w:spacing w:val="-64"/>
        </w:rPr>
      </w:r>
      <w:r>
        <w:rPr/>
        <w:t>生金融资产，按照成本进行后续计量。</w:t>
      </w:r>
    </w:p>
    <w:p>
      <w:pPr>
        <w:pStyle w:val="BodyText"/>
        <w:spacing w:line="240" w:lineRule="auto" w:before="17"/>
        <w:ind w:left="1494" w:right="0"/>
        <w:jc w:val="left"/>
      </w:pPr>
      <w:r>
        <w:rPr/>
        <w:t>可供出售金融资产持有期间取得的利息及被投资单位宣告发放的现金股利，计入投资收益。</w:t>
      </w:r>
    </w:p>
    <w:p>
      <w:pPr>
        <w:pStyle w:val="BodyText"/>
        <w:spacing w:line="240" w:lineRule="auto" w:before="76"/>
        <w:ind w:left="1494" w:right="0"/>
        <w:jc w:val="left"/>
      </w:pPr>
      <w:r>
        <w:rPr/>
        <w:t>（</w:t>
      </w:r>
      <w:r>
        <w:rPr>
          <w:rFonts w:ascii="宋体" w:hAnsi="宋体" w:cs="宋体" w:eastAsia="宋体" w:hint="default"/>
        </w:rPr>
        <w:t>3</w:t>
      </w:r>
      <w:r>
        <w:rPr/>
        <w:t>）金融资产减值</w:t>
      </w:r>
    </w:p>
    <w:p>
      <w:pPr>
        <w:spacing w:after="0" w:line="240" w:lineRule="auto"/>
        <w:jc w:val="left"/>
        <w:sectPr>
          <w:pgSz w:w="11910" w:h="16840"/>
          <w:pgMar w:header="747" w:footer="979" w:top="1060" w:bottom="1160" w:left="0" w:right="0"/>
        </w:sectPr>
      </w:pPr>
    </w:p>
    <w:p>
      <w:pPr>
        <w:spacing w:line="240" w:lineRule="auto" w:before="12"/>
        <w:rPr>
          <w:rFonts w:ascii="宋体" w:hAnsi="宋体" w:cs="宋体" w:eastAsia="宋体" w:hint="default"/>
          <w:sz w:val="25"/>
          <w:szCs w:val="25"/>
        </w:rPr>
      </w:pPr>
    </w:p>
    <w:p>
      <w:pPr>
        <w:pStyle w:val="BodyText"/>
        <w:spacing w:line="316" w:lineRule="auto" w:before="44"/>
        <w:ind w:right="1131" w:firstLine="360"/>
        <w:jc w:val="both"/>
      </w:pPr>
      <w:r>
        <w:rPr>
          <w:spacing w:val="-2"/>
        </w:rPr>
        <w:t>除了以公允价值计量且其变动计入当期损益的金融资产外，本公司在每个资产负债表日对其他金融资产的账面价值进行</w:t>
      </w:r>
      <w:r>
        <w:rPr/>
        <w:t> 检查，有客观证据表明金融资产发生减值的，计提减值准备。</w:t>
      </w:r>
    </w:p>
    <w:p>
      <w:pPr>
        <w:pStyle w:val="BodyText"/>
        <w:spacing w:line="319" w:lineRule="auto" w:before="19"/>
        <w:ind w:right="1131" w:firstLine="360"/>
        <w:jc w:val="both"/>
      </w:pPr>
      <w:r>
        <w:rPr>
          <w:spacing w:val="-2"/>
        </w:rPr>
        <w:t>本公司对单项金额重大的金融资产单独进行减值测试；对单项金额不重大的金融资产，单独进行减值测试或包括在具有</w:t>
      </w:r>
      <w:r>
        <w:rPr/>
        <w:t> </w:t>
      </w:r>
      <w:r>
        <w:rPr>
          <w:spacing w:val="-2"/>
        </w:rPr>
        <w:t>类似信用风险特征的金融资产组合中进行减值测试。单独测试未发生减值的金融资产（包括单项金额重大和不重大的金融资</w:t>
      </w:r>
      <w:r>
        <w:rPr>
          <w:spacing w:val="-64"/>
        </w:rPr>
        <w:t> </w:t>
      </w:r>
      <w:r>
        <w:rPr>
          <w:spacing w:val="-64"/>
        </w:rPr>
      </w:r>
      <w:r>
        <w:rPr>
          <w:spacing w:val="-2"/>
        </w:rPr>
        <w:t>产），包括在具有类似信用风险特征的金融资产组合中再进行减值测试。已单项确认减值损失的金融资产，不包括在具有类</w:t>
      </w:r>
      <w:r>
        <w:rPr>
          <w:spacing w:val="-66"/>
        </w:rPr>
        <w:t> </w:t>
      </w:r>
      <w:r>
        <w:rPr>
          <w:spacing w:val="-66"/>
        </w:rPr>
      </w:r>
      <w:r>
        <w:rPr/>
        <w:t>似信用风险特征的金融资产组合中进行减值测试。</w:t>
      </w:r>
    </w:p>
    <w:p>
      <w:pPr>
        <w:pStyle w:val="BodyText"/>
        <w:spacing w:line="316" w:lineRule="auto" w:before="17"/>
        <w:ind w:left="1493" w:right="0"/>
        <w:jc w:val="left"/>
      </w:pPr>
      <w:r>
        <w:rPr/>
        <w:t>①持有至到期投资、贷款和应收款项减值 </w:t>
      </w:r>
      <w:r>
        <w:rPr>
          <w:spacing w:val="-2"/>
        </w:rPr>
        <w:t>以成本或摊余成本计量的金融资产将其账面价值减记至预计未来现金流量现值，减记金额确认为减值损失，计入当期损</w:t>
      </w:r>
    </w:p>
    <w:p>
      <w:pPr>
        <w:pStyle w:val="BodyText"/>
        <w:spacing w:line="316" w:lineRule="auto" w:before="19"/>
        <w:ind w:right="1131"/>
        <w:jc w:val="both"/>
      </w:pPr>
      <w:r>
        <w:rPr>
          <w:spacing w:val="-2"/>
        </w:rPr>
        <w:t>益。金融资产在确认减值损失后，如有客观证据表明该金融资产价值已恢复，且客观上与确认该损失后发生的事项有关，原</w:t>
      </w:r>
      <w:r>
        <w:rPr>
          <w:spacing w:val="-66"/>
        </w:rPr>
        <w:t> </w:t>
      </w:r>
      <w:r>
        <w:rPr>
          <w:spacing w:val="-66"/>
        </w:rPr>
      </w:r>
      <w:r>
        <w:rPr>
          <w:spacing w:val="-2"/>
        </w:rPr>
        <w:t>确认的减值损失予以转回，金融资产转回减值损失后的账面价值不超过假定不计提减值准备情况下该金融资产在转回日的摊</w:t>
      </w:r>
      <w:r>
        <w:rPr>
          <w:spacing w:val="-64"/>
        </w:rPr>
        <w:t> </w:t>
      </w:r>
      <w:r>
        <w:rPr>
          <w:spacing w:val="-64"/>
        </w:rPr>
      </w:r>
      <w:r>
        <w:rPr/>
        <w:t>余成本。</w:t>
      </w:r>
    </w:p>
    <w:p>
      <w:pPr>
        <w:pStyle w:val="BodyText"/>
        <w:spacing w:line="316" w:lineRule="auto" w:before="19"/>
        <w:ind w:left="1493" w:right="0"/>
        <w:jc w:val="left"/>
      </w:pPr>
      <w:r>
        <w:rPr/>
        <w:t>②可供出售金融资产减值 </w:t>
      </w:r>
      <w:r>
        <w:rPr>
          <w:spacing w:val="-2"/>
        </w:rPr>
        <w:t>当综合相关因素判断可供出售权益工具投资公允价值下跌是严重或非暂时性下跌时，表明该可供出售权益工具投资发生</w:t>
      </w:r>
    </w:p>
    <w:p>
      <w:pPr>
        <w:pStyle w:val="BodyText"/>
        <w:spacing w:line="316" w:lineRule="auto" w:before="19"/>
        <w:ind w:right="1129"/>
        <w:jc w:val="both"/>
      </w:pPr>
      <w:r>
        <w:rPr/>
        <w:t>减值。其中“严重下跌”是指公允价值下跌幅度累计超过</w:t>
      </w:r>
      <w:r>
        <w:rPr>
          <w:rFonts w:ascii="宋体" w:hAnsi="宋体" w:cs="宋体" w:eastAsia="宋体" w:hint="default"/>
        </w:rPr>
        <w:t>20%</w:t>
      </w:r>
      <w:r>
        <w:rPr/>
        <w:t>；“非暂时性下跌”是指公允价值连续下跌时间超过</w:t>
      </w:r>
      <w:r>
        <w:rPr>
          <w:rFonts w:ascii="宋体" w:hAnsi="宋体" w:cs="宋体" w:eastAsia="宋体" w:hint="default"/>
        </w:rPr>
        <w:t>12</w:t>
      </w:r>
      <w:r>
        <w:rPr/>
        <w:t>个月，</w:t>
      </w:r>
      <w:r>
        <w:rPr>
          <w:spacing w:val="-85"/>
        </w:rPr>
        <w:t> </w:t>
      </w:r>
      <w:r>
        <w:rPr>
          <w:spacing w:val="-2"/>
        </w:rPr>
        <w:t>持续下跌期间的确定依据为连续下跌或在下跌趋势持续期间反弹上扬幅度低于</w:t>
      </w:r>
      <w:r>
        <w:rPr>
          <w:rFonts w:ascii="宋体" w:hAnsi="宋体" w:cs="宋体" w:eastAsia="宋体" w:hint="default"/>
          <w:spacing w:val="-2"/>
        </w:rPr>
        <w:t>20%</w:t>
      </w:r>
      <w:r>
        <w:rPr>
          <w:spacing w:val="-2"/>
        </w:rPr>
        <w:t>，反弹持续时间未超过</w:t>
      </w:r>
      <w:r>
        <w:rPr>
          <w:rFonts w:ascii="宋体" w:hAnsi="宋体" w:cs="宋体" w:eastAsia="宋体" w:hint="default"/>
          <w:spacing w:val="-2"/>
        </w:rPr>
        <w:t>6</w:t>
      </w:r>
      <w:r>
        <w:rPr>
          <w:spacing w:val="-2"/>
        </w:rPr>
        <w:t>个月的均作为持续</w:t>
      </w:r>
      <w:r>
        <w:rPr>
          <w:spacing w:val="-60"/>
        </w:rPr>
        <w:t> </w:t>
      </w:r>
      <w:r>
        <w:rPr/>
        <w:t>下跌期间。</w:t>
      </w:r>
    </w:p>
    <w:p>
      <w:pPr>
        <w:pStyle w:val="BodyText"/>
        <w:spacing w:line="316" w:lineRule="auto" w:before="19"/>
        <w:ind w:left="1134" w:right="1050" w:firstLine="360"/>
        <w:jc w:val="both"/>
      </w:pPr>
      <w:r>
        <w:rPr>
          <w:spacing w:val="-2"/>
        </w:rPr>
        <w:t>可供出售金融资产发生减值时，将原计入其他综合收益的因公允价值下降形成的累计损失予以转出并计入当期损益，该</w:t>
      </w:r>
      <w:r>
        <w:rPr/>
        <w:t> 转出的累计损失为该资产初始取得成本扣除已收回本金和已摊销金额、当前公允价值和原已计入损益的减值损失后的余额。</w:t>
      </w:r>
    </w:p>
    <w:p>
      <w:pPr>
        <w:pStyle w:val="BodyText"/>
        <w:spacing w:line="316" w:lineRule="auto" w:before="19"/>
        <w:ind w:left="1134" w:right="1131" w:firstLine="360"/>
        <w:jc w:val="both"/>
      </w:pPr>
      <w:r>
        <w:rPr>
          <w:spacing w:val="-2"/>
        </w:rPr>
        <w:t>在确认减值损失后，期后如有客观证据表明该金融资产价值已恢复，且客观上与确认该损失后发生的事项有关，原确认</w:t>
      </w:r>
      <w:r>
        <w:rPr/>
        <w:t> </w:t>
      </w:r>
      <w:r>
        <w:rPr>
          <w:spacing w:val="-2"/>
        </w:rPr>
        <w:t>的减值损失予以转回，可供出售权益工具投资的减值损失转回确认为其他综合收益，可供出售债务工具的减值损失转回计入</w:t>
      </w:r>
      <w:r>
        <w:rPr>
          <w:spacing w:val="-64"/>
        </w:rPr>
        <w:t> </w:t>
      </w:r>
      <w:r>
        <w:rPr>
          <w:spacing w:val="-64"/>
        </w:rPr>
      </w:r>
      <w:r>
        <w:rPr/>
        <w:t>当期损益。</w:t>
      </w:r>
    </w:p>
    <w:p>
      <w:pPr>
        <w:pStyle w:val="BodyText"/>
        <w:spacing w:line="319" w:lineRule="auto" w:before="19"/>
        <w:ind w:left="1134" w:right="1131" w:firstLine="360"/>
        <w:jc w:val="both"/>
      </w:pPr>
      <w:r>
        <w:rPr>
          <w:spacing w:val="-2"/>
        </w:rPr>
        <w:t>在活跃市场中没有报价且其公允价值不能可靠计量的权益工具投资，或与该权益工具挂钩并须通过交付该权益工具结算</w:t>
      </w:r>
      <w:r>
        <w:rPr/>
        <w:t> 的衍生金融资产的减值损失，不予转回。</w:t>
      </w:r>
    </w:p>
    <w:p>
      <w:pPr>
        <w:pStyle w:val="BodyText"/>
        <w:spacing w:line="316" w:lineRule="auto" w:before="17"/>
        <w:ind w:left="1493" w:right="0"/>
        <w:jc w:val="left"/>
      </w:pPr>
      <w:r>
        <w:rPr/>
        <w:t>（</w:t>
      </w:r>
      <w:r>
        <w:rPr>
          <w:rFonts w:ascii="宋体" w:hAnsi="宋体" w:cs="宋体" w:eastAsia="宋体" w:hint="default"/>
        </w:rPr>
        <w:t>4</w:t>
      </w:r>
      <w:r>
        <w:rPr/>
        <w:t>）金融资产转移的确认依据和计量方法 </w:t>
      </w:r>
      <w:r>
        <w:rPr>
          <w:spacing w:val="-2"/>
        </w:rPr>
        <w:t>满足下列条件之一的金融资产，予以终止确认：①收取该金融资产现金流量的合同权利终止；②该金融资产已转移，且</w:t>
      </w:r>
    </w:p>
    <w:p>
      <w:pPr>
        <w:pStyle w:val="BodyText"/>
        <w:spacing w:line="316" w:lineRule="auto" w:before="19"/>
        <w:ind w:right="1132"/>
        <w:jc w:val="both"/>
      </w:pPr>
      <w:r>
        <w:rPr>
          <w:spacing w:val="-2"/>
        </w:rPr>
        <w:t>将金融资产所有权上几乎所有的风险和报酬转移给转入方；③该金融资产已转移，虽然企业既没有转移也没有保留金融资产</w:t>
      </w:r>
      <w:r>
        <w:rPr>
          <w:spacing w:val="-64"/>
        </w:rPr>
        <w:t> </w:t>
      </w:r>
      <w:r>
        <w:rPr>
          <w:spacing w:val="-64"/>
        </w:rPr>
      </w:r>
      <w:r>
        <w:rPr/>
        <w:t>所有权上几乎所有的风险和报酬，但是放弃了对该金融资产的控制。</w:t>
      </w:r>
    </w:p>
    <w:p>
      <w:pPr>
        <w:pStyle w:val="BodyText"/>
        <w:spacing w:line="316" w:lineRule="auto" w:before="19"/>
        <w:ind w:left="1134" w:right="1132" w:firstLine="360"/>
        <w:jc w:val="both"/>
      </w:pPr>
      <w:r>
        <w:rPr>
          <w:spacing w:val="-2"/>
        </w:rPr>
        <w:t>若企业既没有转移也没有保留金融资产所有权上几乎所有的风险和报酬，且未放弃对该金融资产的控制的，则按照继续</w:t>
      </w:r>
      <w:r>
        <w:rPr/>
        <w:t> </w:t>
      </w:r>
      <w:r>
        <w:rPr>
          <w:spacing w:val="-2"/>
        </w:rPr>
        <w:t>涉入所转移金融资产的程度确认有关金融资产，并相应确认有关负债。继续涉入所转移金融资产的程度，是指该金融资产价</w:t>
      </w:r>
      <w:r>
        <w:rPr>
          <w:spacing w:val="-66"/>
        </w:rPr>
        <w:t> </w:t>
      </w:r>
      <w:r>
        <w:rPr>
          <w:spacing w:val="-66"/>
        </w:rPr>
      </w:r>
      <w:r>
        <w:rPr/>
        <w:t>值变动使企业面临的风险水平。</w:t>
      </w:r>
    </w:p>
    <w:p>
      <w:pPr>
        <w:pStyle w:val="BodyText"/>
        <w:spacing w:line="316" w:lineRule="auto" w:before="19"/>
        <w:ind w:left="1134" w:right="1131" w:firstLine="360"/>
        <w:jc w:val="both"/>
      </w:pPr>
      <w:r>
        <w:rPr>
          <w:spacing w:val="-2"/>
        </w:rPr>
        <w:t>金融资产整体转移满足终止确认条件的，将所转移金融资产的账面价值及因转移而收到的对价与原计入其他综合收益的</w:t>
      </w:r>
      <w:r>
        <w:rPr/>
        <w:t> 公允价值变动累计额之和的差额计入当期损益。</w:t>
      </w:r>
    </w:p>
    <w:p>
      <w:pPr>
        <w:pStyle w:val="BodyText"/>
        <w:spacing w:line="316" w:lineRule="auto" w:before="19"/>
        <w:ind w:left="1134" w:right="1131" w:firstLine="360"/>
        <w:jc w:val="both"/>
      </w:pPr>
      <w:r>
        <w:rPr>
          <w:spacing w:val="-2"/>
        </w:rPr>
        <w:t>金融资产部分转移满足终止确认条件的，将所转移金融资产的账面价值在终止确认及未终止确认部分之间按其相对的公</w:t>
      </w:r>
      <w:r>
        <w:rPr/>
        <w:t> </w:t>
      </w:r>
      <w:r>
        <w:rPr>
          <w:spacing w:val="-2"/>
        </w:rPr>
        <w:t>允价值进行分摊，并将因转移而收到的对价与应分摊至终止确认部分的原计入其他综合收益的公允价值变动累计额之和与分</w:t>
      </w:r>
      <w:r>
        <w:rPr>
          <w:spacing w:val="-64"/>
        </w:rPr>
        <w:t> </w:t>
      </w:r>
      <w:r>
        <w:rPr>
          <w:spacing w:val="-64"/>
        </w:rPr>
      </w:r>
      <w:r>
        <w:rPr/>
        <w:t>摊的前述账面金额之差额计入当期损益。</w:t>
      </w:r>
    </w:p>
    <w:p>
      <w:pPr>
        <w:pStyle w:val="BodyText"/>
        <w:spacing w:line="316" w:lineRule="auto" w:before="19"/>
        <w:ind w:left="1134" w:right="1132" w:firstLine="360"/>
        <w:jc w:val="both"/>
      </w:pPr>
      <w:r>
        <w:rPr>
          <w:spacing w:val="-2"/>
        </w:rPr>
        <w:t>本公司对采用附追索权方式出售的金融资产，或将持有的金融资产背书转让，需确定该金融资产所有权上几乎所有的风</w:t>
      </w:r>
      <w:r>
        <w:rPr/>
        <w:t> </w:t>
      </w:r>
      <w:r>
        <w:rPr>
          <w:spacing w:val="-2"/>
        </w:rPr>
        <w:t>险和报酬是否已经转移。已将该金融资产所有权上几乎所有的风险和报酬转移给转入方的，终止确认该金融资产；保留了金</w:t>
      </w:r>
      <w:r>
        <w:rPr>
          <w:spacing w:val="-66"/>
        </w:rPr>
        <w:t> </w:t>
      </w:r>
      <w:r>
        <w:rPr>
          <w:spacing w:val="-66"/>
        </w:rPr>
      </w:r>
      <w:r>
        <w:rPr>
          <w:spacing w:val="-2"/>
        </w:rPr>
        <w:t>融资产所有权上几乎所有的风险和报酬的，不终止确认该金融资产；既没有转移也没有保留金融资产所有权上几乎所有的风</w:t>
      </w:r>
      <w:r>
        <w:rPr>
          <w:spacing w:val="-64"/>
        </w:rPr>
        <w:t> </w:t>
      </w:r>
      <w:r>
        <w:rPr>
          <w:spacing w:val="-64"/>
        </w:rPr>
      </w:r>
      <w:r>
        <w:rPr/>
        <w:t>险和报酬的，则继续判断企业是否对该资产保留了控制，并根据前面各段所述的原则进行会计处理。</w:t>
      </w:r>
    </w:p>
    <w:p>
      <w:pPr>
        <w:pStyle w:val="BodyText"/>
        <w:spacing w:line="319" w:lineRule="auto" w:before="19"/>
        <w:ind w:left="1494" w:right="1032"/>
        <w:jc w:val="left"/>
      </w:pPr>
      <w:r>
        <w:rPr/>
        <w:t>（</w:t>
      </w:r>
      <w:r>
        <w:rPr>
          <w:rFonts w:ascii="宋体" w:hAnsi="宋体" w:cs="宋体" w:eastAsia="宋体" w:hint="default"/>
        </w:rPr>
        <w:t>5</w:t>
      </w:r>
      <w:r>
        <w:rPr/>
        <w:t>）金融负债的分类和计量 金融负债在初始确认时划分为以公允价值计量且其变动计入当期损益的金融负债和其他金融负债。初始确认金融负债，</w:t>
      </w:r>
    </w:p>
    <w:p>
      <w:pPr>
        <w:pStyle w:val="BodyText"/>
        <w:spacing w:line="316" w:lineRule="auto" w:before="17"/>
        <w:ind w:left="1134" w:right="1133"/>
        <w:jc w:val="both"/>
      </w:pPr>
      <w:r>
        <w:rPr>
          <w:spacing w:val="-2"/>
        </w:rPr>
        <w:t>以公允价值计量。对于以公允价值计量且其变动计入当期损益的金融负债，相关的交易费用直接计入当期损益；对于其他金</w:t>
      </w:r>
      <w:r>
        <w:rPr>
          <w:spacing w:val="-66"/>
        </w:rPr>
        <w:t> </w:t>
      </w:r>
      <w:r>
        <w:rPr>
          <w:spacing w:val="-66"/>
        </w:rPr>
      </w:r>
      <w:r>
        <w:rPr/>
        <w:t>融负债，相关交易费用计入初始确认金额。</w:t>
      </w:r>
    </w:p>
    <w:p>
      <w:pPr>
        <w:pStyle w:val="BodyText"/>
        <w:spacing w:line="240" w:lineRule="auto" w:before="19"/>
        <w:ind w:left="1494" w:right="0"/>
        <w:jc w:val="left"/>
      </w:pPr>
      <w:r>
        <w:rPr/>
        <w:t>①以公允价值计量且其变动计入当期损益的金融负债</w:t>
      </w:r>
    </w:p>
    <w:p>
      <w:pPr>
        <w:spacing w:after="0" w:line="240" w:lineRule="auto"/>
        <w:jc w:val="left"/>
        <w:sectPr>
          <w:pgSz w:w="11910" w:h="16840"/>
          <w:pgMar w:header="747" w:footer="979" w:top="1060" w:bottom="1160" w:left="0" w:right="0"/>
        </w:sectPr>
      </w:pPr>
    </w:p>
    <w:p>
      <w:pPr>
        <w:spacing w:line="240" w:lineRule="auto" w:before="12"/>
        <w:rPr>
          <w:rFonts w:ascii="宋体" w:hAnsi="宋体" w:cs="宋体" w:eastAsia="宋体" w:hint="default"/>
          <w:sz w:val="25"/>
          <w:szCs w:val="25"/>
        </w:rPr>
      </w:pPr>
    </w:p>
    <w:p>
      <w:pPr>
        <w:pStyle w:val="BodyText"/>
        <w:spacing w:line="316" w:lineRule="auto" w:before="44"/>
        <w:ind w:right="0" w:firstLine="360"/>
        <w:jc w:val="left"/>
      </w:pPr>
      <w:r>
        <w:rPr/>
        <w:t>分类为交易性金融负债和在初始确认时指定为以公允价值计量且其变动计入当期损益的金融负债的条件与分类为交易 性金融资产和在初始确认时指定为以公允价值计量且其变动计入当期损益的金融资产的条件一致。</w:t>
      </w:r>
    </w:p>
    <w:p>
      <w:pPr>
        <w:pStyle w:val="BodyText"/>
        <w:spacing w:line="316" w:lineRule="auto" w:before="19"/>
        <w:ind w:right="0" w:firstLine="360"/>
        <w:jc w:val="left"/>
      </w:pPr>
      <w:r>
        <w:rPr>
          <w:spacing w:val="-2"/>
        </w:rPr>
        <w:t>以公允价值计量且其变动计入当期损益的金融负债采用公允价值进行后续计量，公允价值的变动形成的利得或损失以及</w:t>
      </w:r>
      <w:r>
        <w:rPr/>
        <w:t> 与该等金融负债相关的股利和利息支出计入当期损益。</w:t>
      </w:r>
    </w:p>
    <w:p>
      <w:pPr>
        <w:pStyle w:val="BodyText"/>
        <w:spacing w:line="316" w:lineRule="auto" w:before="19"/>
        <w:ind w:left="1493" w:right="0"/>
        <w:jc w:val="left"/>
      </w:pPr>
      <w:r>
        <w:rPr/>
        <w:t>②其他金融负债 </w:t>
      </w:r>
      <w:r>
        <w:rPr>
          <w:spacing w:val="-2"/>
        </w:rPr>
        <w:t>与在活跃市场中没有报价、公允价值不能可靠计量的权益工具挂钩并须通过交付该权益工具结算的衍生金融负债，按照</w:t>
      </w:r>
    </w:p>
    <w:p>
      <w:pPr>
        <w:pStyle w:val="BodyText"/>
        <w:spacing w:line="316" w:lineRule="auto" w:before="19"/>
        <w:ind w:right="1118"/>
        <w:jc w:val="left"/>
      </w:pPr>
      <w:r>
        <w:rPr>
          <w:spacing w:val="-2"/>
        </w:rPr>
        <w:t>成本进行后续计量。其他金融负债采用实际利率法，按摊余成本进行后续计量，终止确认或摊销产生的利得或损失计入当期</w:t>
      </w:r>
      <w:r>
        <w:rPr>
          <w:spacing w:val="-66"/>
        </w:rPr>
        <w:t> </w:t>
      </w:r>
      <w:r>
        <w:rPr>
          <w:spacing w:val="-66"/>
        </w:rPr>
      </w:r>
      <w:r>
        <w:rPr/>
        <w:t>损益。</w:t>
      </w:r>
    </w:p>
    <w:p>
      <w:pPr>
        <w:pStyle w:val="BodyText"/>
        <w:spacing w:line="316" w:lineRule="auto" w:before="19"/>
        <w:ind w:left="1493" w:right="0"/>
        <w:jc w:val="left"/>
      </w:pPr>
      <w:r>
        <w:rPr/>
        <w:t>③财务担保合同 </w:t>
      </w:r>
      <w:r>
        <w:rPr>
          <w:spacing w:val="-2"/>
        </w:rPr>
        <w:t>不属于指定为以公允价值计量且其变动计入当期损益的金融负债的财务担保合同，以公允价值进行初始确认，在初始确</w:t>
      </w:r>
    </w:p>
    <w:p>
      <w:pPr>
        <w:pStyle w:val="BodyText"/>
        <w:spacing w:line="316" w:lineRule="auto" w:before="19"/>
        <w:ind w:right="0"/>
        <w:jc w:val="left"/>
      </w:pPr>
      <w:r>
        <w:rPr>
          <w:spacing w:val="-2"/>
        </w:rPr>
        <w:t>认后按照《企业会计准则第</w:t>
      </w:r>
      <w:r>
        <w:rPr>
          <w:rFonts w:ascii="宋体" w:hAnsi="宋体" w:cs="宋体" w:eastAsia="宋体" w:hint="default"/>
          <w:spacing w:val="-2"/>
        </w:rPr>
        <w:t>13</w:t>
      </w:r>
      <w:r>
        <w:rPr>
          <w:spacing w:val="-2"/>
        </w:rPr>
        <w:t>号—或有事项》确定的金额和初始确认金额扣除按照《企业会计准则第</w:t>
      </w:r>
      <w:r>
        <w:rPr>
          <w:rFonts w:ascii="宋体" w:hAnsi="宋体" w:cs="宋体" w:eastAsia="宋体" w:hint="default"/>
          <w:spacing w:val="-2"/>
        </w:rPr>
        <w:t>14</w:t>
      </w:r>
      <w:r>
        <w:rPr>
          <w:spacing w:val="-2"/>
        </w:rPr>
        <w:t>号—收入》的原则确</w:t>
      </w:r>
      <w:r>
        <w:rPr>
          <w:spacing w:val="-62"/>
        </w:rPr>
        <w:t> </w:t>
      </w:r>
      <w:r>
        <w:rPr>
          <w:spacing w:val="-62"/>
        </w:rPr>
      </w:r>
      <w:r>
        <w:rPr/>
        <w:t>定的累计摊销额后的余额之中的较高者进行后续计量。</w:t>
      </w:r>
    </w:p>
    <w:p>
      <w:pPr>
        <w:pStyle w:val="BodyText"/>
        <w:spacing w:line="316" w:lineRule="auto" w:before="19"/>
        <w:ind w:left="1494" w:right="0"/>
        <w:jc w:val="left"/>
      </w:pPr>
      <w:r>
        <w:rPr/>
        <w:t>（</w:t>
      </w:r>
      <w:r>
        <w:rPr>
          <w:rFonts w:ascii="宋体" w:hAnsi="宋体" w:cs="宋体" w:eastAsia="宋体" w:hint="default"/>
        </w:rPr>
        <w:t>6</w:t>
      </w:r>
      <w:r>
        <w:rPr/>
        <w:t>）金融负债的终止确认 </w:t>
      </w:r>
      <w:r>
        <w:rPr>
          <w:spacing w:val="-2"/>
        </w:rPr>
        <w:t>金融负债的现时义务全部或部分已经解除的，才能终止确认该金融负债或其一部分。本公司（债务人）与债权人之间签</w:t>
      </w:r>
    </w:p>
    <w:p>
      <w:pPr>
        <w:pStyle w:val="BodyText"/>
        <w:spacing w:line="316" w:lineRule="auto" w:before="19"/>
        <w:ind w:left="1134" w:right="0"/>
        <w:jc w:val="left"/>
      </w:pPr>
      <w:r>
        <w:rPr>
          <w:spacing w:val="-2"/>
        </w:rPr>
        <w:t>订协议，以承担新金融负债方式替换现存金融负债，且新金融负债与现存金融负债的合同条款实质上不同的，终止确认现存</w:t>
      </w:r>
      <w:r>
        <w:rPr>
          <w:spacing w:val="-66"/>
        </w:rPr>
        <w:t> </w:t>
      </w:r>
      <w:r>
        <w:rPr>
          <w:spacing w:val="-66"/>
        </w:rPr>
      </w:r>
      <w:r>
        <w:rPr/>
        <w:t>金融负债，并同时确认新金融负债。</w:t>
      </w:r>
    </w:p>
    <w:p>
      <w:pPr>
        <w:pStyle w:val="BodyText"/>
        <w:spacing w:line="316" w:lineRule="auto" w:before="19"/>
        <w:ind w:left="1134" w:right="0" w:firstLine="360"/>
        <w:jc w:val="left"/>
      </w:pPr>
      <w:r>
        <w:rPr>
          <w:spacing w:val="-2"/>
        </w:rPr>
        <w:t>金融负债全部或部分终止确认的，将终止确认部分的账面价值与支付的对价（包括转出的非现金资产或承担的新金融负</w:t>
      </w:r>
      <w:r>
        <w:rPr/>
        <w:t> 债）之间的差额，计入当期损益。</w:t>
      </w:r>
    </w:p>
    <w:p>
      <w:pPr>
        <w:pStyle w:val="BodyText"/>
        <w:spacing w:line="316" w:lineRule="auto" w:before="19"/>
        <w:ind w:left="1494" w:right="0"/>
        <w:jc w:val="left"/>
      </w:pPr>
      <w:r>
        <w:rPr/>
        <w:t>（</w:t>
      </w:r>
      <w:r>
        <w:rPr>
          <w:rFonts w:ascii="宋体" w:hAnsi="宋体" w:cs="宋体" w:eastAsia="宋体" w:hint="default"/>
        </w:rPr>
        <w:t>7</w:t>
      </w:r>
      <w:r>
        <w:rPr/>
        <w:t>）衍生工具及嵌入衍生工具 </w:t>
      </w:r>
      <w:r>
        <w:rPr>
          <w:spacing w:val="-2"/>
        </w:rPr>
        <w:t>衍生工具于相关合同签署日以公允价值进行初始计量，并以公允价值进行后续计量。除指定为套期工具且套期高度有效</w:t>
      </w:r>
    </w:p>
    <w:p>
      <w:pPr>
        <w:pStyle w:val="BodyText"/>
        <w:spacing w:line="316" w:lineRule="auto" w:before="19"/>
        <w:ind w:left="1134" w:right="0"/>
        <w:jc w:val="left"/>
      </w:pPr>
      <w:r>
        <w:rPr>
          <w:spacing w:val="-2"/>
        </w:rPr>
        <w:t>的衍生工具，其公允价值变动形成的利得或损失将根据套期关系的性质按照套期会计的要求确定计入损益的期间外，其余衍</w:t>
      </w:r>
      <w:r>
        <w:rPr>
          <w:spacing w:val="-64"/>
        </w:rPr>
        <w:t> </w:t>
      </w:r>
      <w:r>
        <w:rPr>
          <w:spacing w:val="-64"/>
        </w:rPr>
      </w:r>
      <w:r>
        <w:rPr/>
        <w:t>生工具的公允价值变动计入当期损益。</w:t>
      </w:r>
    </w:p>
    <w:p>
      <w:pPr>
        <w:pStyle w:val="BodyText"/>
        <w:spacing w:line="316" w:lineRule="auto" w:before="19"/>
        <w:ind w:left="1134" w:right="0" w:firstLine="360"/>
        <w:jc w:val="left"/>
      </w:pPr>
      <w:r>
        <w:rPr>
          <w:spacing w:val="-2"/>
        </w:rPr>
        <w:t>对包含嵌入衍生工具的混合工具，如未指定为以公允价值计量且其变动计入当期损益的金融资产或金融负债，嵌入衍生</w:t>
      </w:r>
      <w:r>
        <w:rPr/>
        <w:t> </w:t>
      </w:r>
      <w:r>
        <w:rPr>
          <w:spacing w:val="-4"/>
        </w:rPr>
        <w:t>工具与该主合同在经济特征及风险方面不存在紧密关系，且与嵌入衍生工具条件相同，单独存在的工具符合衍生工具定义的，</w:t>
      </w:r>
      <w:r>
        <w:rPr>
          <w:spacing w:val="-44"/>
        </w:rPr>
        <w:t> </w:t>
      </w:r>
      <w:r>
        <w:rPr>
          <w:spacing w:val="-44"/>
        </w:rPr>
      </w:r>
      <w:r>
        <w:rPr>
          <w:spacing w:val="-2"/>
        </w:rPr>
        <w:t>嵌入衍生工具从混合工具中分拆，作为单独的衍生金融工具处理。如果无法在取得时或后续的资产负债表日对嵌入衍生工具</w:t>
      </w:r>
      <w:r>
        <w:rPr>
          <w:spacing w:val="-64"/>
        </w:rPr>
        <w:t> </w:t>
      </w:r>
      <w:r>
        <w:rPr>
          <w:spacing w:val="-64"/>
        </w:rPr>
      </w:r>
      <w:r>
        <w:rPr/>
        <w:t>进行单独计量，则将混合工具整体指定为以公允价值计量且其变动计入当期损益的金融资产或金融负债。</w:t>
      </w:r>
    </w:p>
    <w:p>
      <w:pPr>
        <w:pStyle w:val="BodyText"/>
        <w:spacing w:line="316" w:lineRule="auto" w:before="19"/>
        <w:ind w:left="1493" w:right="0"/>
        <w:jc w:val="left"/>
      </w:pPr>
      <w:r>
        <w:rPr/>
        <w:t>（</w:t>
      </w:r>
      <w:r>
        <w:rPr>
          <w:rFonts w:ascii="宋体" w:hAnsi="宋体" w:cs="宋体" w:eastAsia="宋体" w:hint="default"/>
        </w:rPr>
        <w:t>8</w:t>
      </w:r>
      <w:r>
        <w:rPr/>
        <w:t>）金融资产和金融负债的抵销 </w:t>
      </w:r>
      <w:r>
        <w:rPr>
          <w:spacing w:val="-2"/>
        </w:rPr>
        <w:t>当本公司具有抵销已确认金融资产和金融负债的法定权利，且目前可执行该种法定权利，同时本公司计划以净额结算或</w:t>
      </w:r>
    </w:p>
    <w:p>
      <w:pPr>
        <w:pStyle w:val="BodyText"/>
        <w:spacing w:line="316" w:lineRule="auto" w:before="19"/>
        <w:ind w:right="0"/>
        <w:jc w:val="left"/>
      </w:pPr>
      <w:r>
        <w:rPr>
          <w:spacing w:val="-2"/>
        </w:rPr>
        <w:t>同时变现该金融资产和清偿该金融负债时，金融资产和金融负债以相互抵销后的金额在资产负债表内列示。除此以外，金融</w:t>
      </w:r>
      <w:r>
        <w:rPr>
          <w:spacing w:val="-66"/>
        </w:rPr>
        <w:t> </w:t>
      </w:r>
      <w:r>
        <w:rPr>
          <w:spacing w:val="-66"/>
        </w:rPr>
      </w:r>
      <w:r>
        <w:rPr/>
        <w:t>资产和金融负债在资产负债表内分别列示，不予相互抵销。</w:t>
      </w:r>
    </w:p>
    <w:p>
      <w:pPr>
        <w:pStyle w:val="BodyText"/>
        <w:spacing w:line="316" w:lineRule="auto" w:before="19"/>
        <w:ind w:left="1493" w:right="1118"/>
        <w:jc w:val="left"/>
      </w:pPr>
      <w:r>
        <w:rPr/>
        <w:t>（</w:t>
      </w:r>
      <w:r>
        <w:rPr>
          <w:rFonts w:ascii="宋体" w:hAnsi="宋体" w:cs="宋体" w:eastAsia="宋体" w:hint="default"/>
        </w:rPr>
        <w:t>9</w:t>
      </w:r>
      <w:r>
        <w:rPr/>
        <w:t>）权益工具 </w:t>
      </w:r>
      <w:r>
        <w:rPr>
          <w:spacing w:val="-2"/>
        </w:rPr>
        <w:t>权益工具是指能证明拥有本公司在扣除所有负债后的资产中的剩余权益的合同。本公司发行（含再融资）、回购、出售</w:t>
      </w:r>
    </w:p>
    <w:p>
      <w:pPr>
        <w:pStyle w:val="BodyText"/>
        <w:spacing w:line="316" w:lineRule="auto" w:before="19"/>
        <w:ind w:left="1494" w:right="1032" w:hanging="360"/>
        <w:jc w:val="left"/>
      </w:pPr>
      <w:r>
        <w:rPr>
          <w:spacing w:val="-4"/>
        </w:rPr>
        <w:t>或注销权益工具作为权益的变动处理。本公司不确认权益工具的公允价值变动。与权益性交易相关的交易费用从权益中扣减。</w:t>
      </w:r>
      <w:r>
        <w:rPr>
          <w:spacing w:val="-44"/>
        </w:rPr>
        <w:t> </w:t>
      </w:r>
      <w:r>
        <w:rPr>
          <w:spacing w:val="-44"/>
        </w:rPr>
      </w:r>
      <w:r>
        <w:rPr/>
        <w:t>本公司对权益工具持有方的各种分配（不包括股票股利），减少股东权益。本公司不确认权益工具的公允价值变动额。</w:t>
      </w:r>
    </w:p>
    <w:p>
      <w:pPr>
        <w:spacing w:line="240" w:lineRule="auto" w:before="7"/>
        <w:rPr>
          <w:rFonts w:ascii="宋体" w:hAnsi="宋体" w:cs="宋体" w:eastAsia="宋体" w:hint="default"/>
          <w:sz w:val="22"/>
          <w:szCs w:val="22"/>
        </w:rPr>
      </w:pPr>
    </w:p>
    <w:p>
      <w:pPr>
        <w:pStyle w:val="Heading3"/>
        <w:spacing w:line="240" w:lineRule="auto"/>
        <w:ind w:left="1134" w:right="0"/>
        <w:jc w:val="left"/>
        <w:rPr>
          <w:b w:val="0"/>
          <w:bCs w:val="0"/>
        </w:rPr>
      </w:pPr>
      <w:bookmarkStart w:name="11、应收款项" w:id="180"/>
      <w:bookmarkEnd w:id="180"/>
      <w:r>
        <w:rPr>
          <w:b w:val="0"/>
          <w:bCs w:val="0"/>
        </w:rPr>
      </w:r>
      <w:r>
        <w:rPr>
          <w:rFonts w:ascii="Times New Roman" w:hAnsi="Times New Roman" w:cs="Times New Roman" w:eastAsia="Times New Roman" w:hint="default"/>
        </w:rPr>
        <w:t>11</w:t>
      </w:r>
      <w:r>
        <w:rPr/>
        <w:t>、应收款项</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34" w:right="0"/>
        <w:jc w:val="left"/>
        <w:rPr>
          <w:b w:val="0"/>
          <w:bCs w:val="0"/>
        </w:rPr>
      </w:pPr>
      <w:bookmarkStart w:name="（1）单项金额重大并单独计提坏账准备的应收款项" w:id="181"/>
      <w:bookmarkEnd w:id="181"/>
      <w:r>
        <w:rPr>
          <w:b w:val="0"/>
          <w:bCs w:val="0"/>
        </w:rPr>
      </w:r>
      <w:r>
        <w:rPr/>
        <w:t>（</w:t>
      </w:r>
      <w:r>
        <w:rPr>
          <w:rFonts w:ascii="Times New Roman" w:hAnsi="Times New Roman" w:cs="Times New Roman" w:eastAsia="Times New Roman" w:hint="default"/>
        </w:rPr>
        <w:t>1</w:t>
      </w:r>
      <w:r>
        <w:rPr/>
        <w:t>）单项金额重大并单独计提坏账准备的应收款项</w:t>
      </w:r>
      <w:r>
        <w:rPr>
          <w:b w:val="0"/>
          <w:bCs w:val="0"/>
        </w:rPr>
      </w:r>
    </w:p>
    <w:p>
      <w:pPr>
        <w:spacing w:line="240" w:lineRule="auto" w:before="9"/>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4785"/>
        <w:gridCol w:w="4784"/>
      </w:tblGrid>
      <w:tr>
        <w:trPr>
          <w:trHeight w:val="714"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单项金额重大的判断依据或金额标准</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3" w:right="23"/>
              <w:jc w:val="left"/>
              <w:rPr>
                <w:rFonts w:ascii="宋体" w:hAnsi="宋体" w:cs="宋体" w:eastAsia="宋体" w:hint="default"/>
                <w:sz w:val="18"/>
                <w:szCs w:val="18"/>
              </w:rPr>
            </w:pPr>
            <w:r>
              <w:rPr>
                <w:rFonts w:ascii="宋体" w:hAnsi="宋体" w:cs="宋体" w:eastAsia="宋体" w:hint="default"/>
                <w:sz w:val="18"/>
                <w:szCs w:val="18"/>
              </w:rPr>
              <w:t>本公司将金额为人民币 </w:t>
            </w:r>
            <w:r>
              <w:rPr>
                <w:rFonts w:ascii="Times New Roman" w:hAnsi="Times New Roman" w:cs="Times New Roman" w:eastAsia="Times New Roman" w:hint="default"/>
                <w:sz w:val="18"/>
                <w:szCs w:val="18"/>
              </w:rPr>
              <w:t>100 </w:t>
            </w:r>
            <w:r>
              <w:rPr>
                <w:rFonts w:ascii="宋体" w:hAnsi="宋体" w:cs="宋体" w:eastAsia="宋体" w:hint="default"/>
                <w:spacing w:val="-4"/>
                <w:sz w:val="18"/>
                <w:szCs w:val="18"/>
              </w:rPr>
              <w:t>万元以上（含 </w:t>
            </w:r>
            <w:r>
              <w:rPr>
                <w:rFonts w:ascii="Times New Roman" w:hAnsi="Times New Roman" w:cs="Times New Roman" w:eastAsia="Times New Roman" w:hint="default"/>
                <w:sz w:val="18"/>
                <w:szCs w:val="18"/>
              </w:rPr>
              <w:t>100</w:t>
            </w:r>
            <w:r>
              <w:rPr>
                <w:rFonts w:ascii="Times New Roman" w:hAnsi="Times New Roman" w:cs="Times New Roman" w:eastAsia="Times New Roman" w:hint="default"/>
                <w:spacing w:val="6"/>
                <w:sz w:val="18"/>
                <w:szCs w:val="18"/>
              </w:rPr>
              <w:t> </w:t>
            </w:r>
            <w:r>
              <w:rPr>
                <w:rFonts w:ascii="宋体" w:hAnsi="宋体" w:cs="宋体" w:eastAsia="宋体" w:hint="default"/>
                <w:spacing w:val="-4"/>
                <w:sz w:val="18"/>
                <w:szCs w:val="18"/>
              </w:rPr>
              <w:t>万元）的应收</w:t>
            </w:r>
            <w:r>
              <w:rPr>
                <w:rFonts w:ascii="宋体" w:hAnsi="宋体" w:cs="宋体" w:eastAsia="宋体" w:hint="default"/>
                <w:sz w:val="18"/>
                <w:szCs w:val="18"/>
              </w:rPr>
              <w:t> 款项确认为单项金额重大的应收款项</w:t>
            </w:r>
          </w:p>
        </w:tc>
      </w:tr>
      <w:tr>
        <w:trPr>
          <w:trHeight w:val="986"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26"/>
                <w:szCs w:val="2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单项金额重大并单项计提坏账准备的计提方法</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69"/>
              <w:jc w:val="both"/>
              <w:rPr>
                <w:rFonts w:ascii="宋体" w:hAnsi="宋体" w:cs="宋体" w:eastAsia="宋体" w:hint="default"/>
                <w:sz w:val="18"/>
                <w:szCs w:val="18"/>
              </w:rPr>
            </w:pPr>
            <w:r>
              <w:rPr>
                <w:rFonts w:ascii="宋体" w:hAnsi="宋体" w:cs="宋体" w:eastAsia="宋体" w:hint="default"/>
                <w:sz w:val="18"/>
                <w:szCs w:val="18"/>
              </w:rPr>
              <w:t>单项金额重大应收款项坏账准备的计提方法：本公司对单项 金额重大的应收款项单独进行减值测试，坏账准备根据其未 来现金流量现值低于其账面价值的差额计提；单独测试未发</w:t>
            </w:r>
          </w:p>
        </w:tc>
      </w:tr>
    </w:tbl>
    <w:p>
      <w:pPr>
        <w:spacing w:after="0" w:line="316" w:lineRule="auto"/>
        <w:jc w:val="both"/>
        <w:rPr>
          <w:rFonts w:ascii="宋体" w:hAnsi="宋体" w:cs="宋体" w:eastAsia="宋体" w:hint="default"/>
          <w:sz w:val="18"/>
          <w:szCs w:val="18"/>
        </w:rPr>
        <w:sectPr>
          <w:pgSz w:w="11910" w:h="16840"/>
          <w:pgMar w:header="747" w:footer="979" w:top="1060" w:bottom="1160" w:left="0" w:right="0"/>
        </w:sectPr>
      </w:pPr>
    </w:p>
    <w:p>
      <w:pPr>
        <w:spacing w:line="240" w:lineRule="auto" w:before="2"/>
        <w:rPr>
          <w:rFonts w:ascii="宋体" w:hAnsi="宋体" w:cs="宋体" w:eastAsia="宋体" w:hint="default"/>
          <w:b/>
          <w:bCs/>
          <w:sz w:val="28"/>
          <w:szCs w:val="28"/>
        </w:rPr>
      </w:pPr>
    </w:p>
    <w:p>
      <w:pPr>
        <w:spacing w:line="1317" w:lineRule="exact"/>
        <w:ind w:left="1129" w:right="0" w:firstLine="0"/>
        <w:rPr>
          <w:rFonts w:ascii="宋体" w:hAnsi="宋体" w:cs="宋体" w:eastAsia="宋体" w:hint="default"/>
          <w:sz w:val="20"/>
          <w:szCs w:val="20"/>
        </w:rPr>
      </w:pPr>
      <w:r>
        <w:rPr>
          <w:rFonts w:ascii="宋体" w:hAnsi="宋体" w:cs="宋体" w:eastAsia="宋体" w:hint="default"/>
          <w:position w:val="-25"/>
          <w:sz w:val="20"/>
          <w:szCs w:val="20"/>
        </w:rPr>
        <w:pict>
          <v:group style="width:478.95pt;height:65.9pt;mso-position-horizontal-relative:char;mso-position-vertical-relative:line" coordorigin="0,0" coordsize="9579,1318">
            <v:group style="position:absolute;left:10;top:14;width:4775;height:1289" coordorigin="10,14" coordsize="4775,1289">
              <v:shape style="position:absolute;left:10;top:14;width:4775;height:1289" coordorigin="10,14" coordsize="4775,1289" path="m10,1303l4784,1303,4784,14,10,14,10,1303xe" filled="true" fillcolor="#d2d2d2" stroked="false">
                <v:path arrowok="t"/>
                <v:fill type="solid"/>
              </v:shape>
            </v:group>
            <v:group style="position:absolute;left:10;top:10;width:4776;height:2" coordorigin="10,10" coordsize="4776,2">
              <v:shape style="position:absolute;left:10;top:10;width:4776;height:2" coordorigin="10,10" coordsize="4776,0" path="m10,10l4785,10e" filled="false" stroked="true" strokeweight=".48pt" strokecolor="#000000">
                <v:path arrowok="t"/>
              </v:shape>
            </v:group>
            <v:group style="position:absolute;left:4795;top:10;width:4774;height:2" coordorigin="4795,10" coordsize="4774,2">
              <v:shape style="position:absolute;left:4795;top:10;width:4774;height:2" coordorigin="4795,10" coordsize="4774,0" path="m4795,10l9569,10e" filled="false" stroked="true" strokeweight=".48pt" strokecolor="#000000">
                <v:path arrowok="t"/>
              </v:shape>
            </v:group>
            <v:group style="position:absolute;left:5;top:5;width:2;height:1308" coordorigin="5,5" coordsize="2,1308">
              <v:shape style="position:absolute;left:5;top:5;width:2;height:1308" coordorigin="5,5" coordsize="0,1308" path="m5,5l5,1313e" filled="false" stroked="true" strokeweight=".48pt" strokecolor="#000000">
                <v:path arrowok="t"/>
              </v:shape>
            </v:group>
            <v:group style="position:absolute;left:10;top:1308;width:4776;height:2" coordorigin="10,1308" coordsize="4776,2">
              <v:shape style="position:absolute;left:10;top:1308;width:4776;height:2" coordorigin="10,1308" coordsize="4776,0" path="m10,1308l4785,1308e" filled="false" stroked="true" strokeweight=".48pt" strokecolor="#000000">
                <v:path arrowok="t"/>
              </v:shape>
            </v:group>
            <v:group style="position:absolute;left:4790;top:5;width:2;height:1308" coordorigin="4790,5" coordsize="2,1308">
              <v:shape style="position:absolute;left:4790;top:5;width:2;height:1308" coordorigin="4790,5" coordsize="0,1308" path="m4790,5l4790,1313e" filled="false" stroked="true" strokeweight=".48pt" strokecolor="#000000">
                <v:path arrowok="t"/>
              </v:shape>
            </v:group>
            <v:group style="position:absolute;left:4795;top:1308;width:4774;height:2" coordorigin="4795,1308" coordsize="4774,2">
              <v:shape style="position:absolute;left:4795;top:1308;width:4774;height:2" coordorigin="4795,1308" coordsize="4774,0" path="m4795,1308l9569,1308e" filled="false" stroked="true" strokeweight=".48pt" strokecolor="#000000">
                <v:path arrowok="t"/>
              </v:shape>
            </v:group>
            <v:group style="position:absolute;left:9574;top:5;width:2;height:1308" coordorigin="9574,5" coordsize="2,1308">
              <v:shape style="position:absolute;left:9574;top:5;width:2;height:1308" coordorigin="9574,5" coordsize="0,1308" path="m9574,5l9574,1313e" filled="false" stroked="true" strokeweight=".48pt" strokecolor="#000000">
                <v:path arrowok="t"/>
              </v:shape>
              <v:shape style="position:absolute;left:4789;top:10;width:4785;height:1299" type="#_x0000_t202" filled="false" stroked="false">
                <v:textbox inset="0,0,0,0">
                  <w:txbxContent>
                    <w:p>
                      <w:pPr>
                        <w:spacing w:line="319" w:lineRule="auto" w:before="15"/>
                        <w:ind w:left="28" w:right="75" w:firstLine="0"/>
                        <w:jc w:val="both"/>
                        <w:rPr>
                          <w:rFonts w:ascii="宋体" w:hAnsi="宋体" w:cs="宋体" w:eastAsia="宋体" w:hint="default"/>
                          <w:sz w:val="18"/>
                          <w:szCs w:val="18"/>
                        </w:rPr>
                      </w:pPr>
                      <w:r>
                        <w:rPr>
                          <w:rFonts w:ascii="宋体" w:hAnsi="宋体" w:cs="宋体" w:eastAsia="宋体" w:hint="default"/>
                          <w:sz w:val="18"/>
                          <w:szCs w:val="18"/>
                        </w:rPr>
                        <w:t>生减值的应收款项，包括在具有类似信用风险特征的应收款 项组合中进行减值测试。单项测试已确认减值损失的应收款 项，不再包括在具有类似信用风险特征的应收款项组合中进 行减值测试</w:t>
                      </w:r>
                    </w:p>
                  </w:txbxContent>
                </v:textbox>
                <w10:wrap type="none"/>
              </v:shape>
            </v:group>
          </v:group>
        </w:pict>
      </w:r>
      <w:r>
        <w:rPr>
          <w:rFonts w:ascii="宋体" w:hAnsi="宋体" w:cs="宋体" w:eastAsia="宋体" w:hint="default"/>
          <w:position w:val="-25"/>
          <w:sz w:val="20"/>
          <w:szCs w:val="20"/>
        </w:rPr>
      </w:r>
    </w:p>
    <w:p>
      <w:pPr>
        <w:spacing w:line="240" w:lineRule="auto" w:before="12"/>
        <w:rPr>
          <w:rFonts w:ascii="宋体" w:hAnsi="宋体" w:cs="宋体" w:eastAsia="宋体" w:hint="default"/>
          <w:b/>
          <w:bCs/>
          <w:sz w:val="18"/>
          <w:szCs w:val="18"/>
        </w:rPr>
      </w:pPr>
    </w:p>
    <w:p>
      <w:pPr>
        <w:pStyle w:val="Heading3"/>
        <w:spacing w:line="240" w:lineRule="auto" w:before="35"/>
        <w:ind w:left="1134" w:right="0"/>
        <w:jc w:val="left"/>
        <w:rPr>
          <w:b w:val="0"/>
          <w:bCs w:val="0"/>
        </w:rPr>
      </w:pPr>
      <w:bookmarkStart w:name="（2）按信用风险特征组合计提坏账准备的应收款项" w:id="182"/>
      <w:bookmarkEnd w:id="182"/>
      <w:r>
        <w:rPr>
          <w:b w:val="0"/>
          <w:bCs w:val="0"/>
        </w:rPr>
      </w:r>
      <w:r>
        <w:rPr/>
        <w:t>（</w:t>
      </w:r>
      <w:r>
        <w:rPr>
          <w:rFonts w:ascii="Times New Roman" w:hAnsi="Times New Roman" w:cs="Times New Roman" w:eastAsia="Times New Roman" w:hint="default"/>
        </w:rPr>
        <w:t>2</w:t>
      </w:r>
      <w:r>
        <w:rPr/>
        <w:t>）按信用风险特征组合计提坏账准备的应收款项</w:t>
      </w:r>
      <w:r>
        <w:rPr>
          <w:b w:val="0"/>
          <w:bCs w:val="0"/>
        </w:rPr>
      </w:r>
    </w:p>
    <w:p>
      <w:pPr>
        <w:spacing w:line="240" w:lineRule="auto" w:before="9"/>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4785"/>
        <w:gridCol w:w="4784"/>
      </w:tblGrid>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坏账准备计提方法</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账龄组合</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账龄分析法</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关联方组合</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其他方法</w:t>
            </w:r>
          </w:p>
        </w:tc>
      </w:tr>
    </w:tbl>
    <w:p>
      <w:pPr>
        <w:pStyle w:val="BodyText"/>
        <w:spacing w:line="240" w:lineRule="auto" w:before="51"/>
        <w:ind w:left="1134" w:right="0"/>
        <w:jc w:val="left"/>
      </w:pPr>
      <w:r>
        <w:rPr/>
        <w:t>组合中，采用账龄分析法计提坏账准备的：</w:t>
      </w:r>
    </w:p>
    <w:p>
      <w:pPr>
        <w:pStyle w:val="BodyText"/>
        <w:spacing w:line="240" w:lineRule="auto" w:before="117"/>
        <w:ind w:left="113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6"/>
          <w:szCs w:val="6"/>
        </w:rPr>
      </w:pPr>
    </w:p>
    <w:tbl>
      <w:tblPr>
        <w:tblW w:w="0" w:type="auto"/>
        <w:jc w:val="left"/>
        <w:tblInd w:w="114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882" w:right="0"/>
              <w:jc w:val="left"/>
              <w:rPr>
                <w:rFonts w:ascii="宋体" w:hAnsi="宋体" w:cs="宋体" w:eastAsia="宋体" w:hint="default"/>
                <w:sz w:val="18"/>
                <w:szCs w:val="18"/>
              </w:rPr>
            </w:pPr>
            <w:r>
              <w:rPr>
                <w:rFonts w:ascii="宋体" w:hAnsi="宋体" w:cs="宋体" w:eastAsia="宋体" w:hint="default"/>
                <w:sz w:val="18"/>
                <w:szCs w:val="18"/>
              </w:rPr>
              <w:t>应收账款计提比例</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80" w:right="0"/>
              <w:jc w:val="left"/>
              <w:rPr>
                <w:rFonts w:ascii="宋体" w:hAnsi="宋体" w:cs="宋体" w:eastAsia="宋体" w:hint="default"/>
                <w:sz w:val="18"/>
                <w:szCs w:val="18"/>
              </w:rPr>
            </w:pPr>
            <w:r>
              <w:rPr>
                <w:rFonts w:ascii="宋体" w:hAnsi="宋体" w:cs="宋体" w:eastAsia="宋体" w:hint="default"/>
                <w:sz w:val="18"/>
                <w:szCs w:val="18"/>
              </w:rPr>
              <w:t>其他应收款计提比例</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年以内（含</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年）</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30.00%</w:t>
            </w:r>
          </w:p>
        </w:tc>
      </w:tr>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100.00%</w:t>
            </w:r>
          </w:p>
        </w:tc>
      </w:tr>
    </w:tbl>
    <w:p>
      <w:pPr>
        <w:pStyle w:val="BodyText"/>
        <w:spacing w:line="240" w:lineRule="auto" w:before="51"/>
        <w:ind w:left="1134" w:right="0"/>
        <w:jc w:val="left"/>
      </w:pPr>
      <w:r>
        <w:rPr/>
        <w:t>组合中，采用余额百分比法计提坏账准备的：</w:t>
      </w:r>
    </w:p>
    <w:p>
      <w:pPr>
        <w:pStyle w:val="BodyText"/>
        <w:spacing w:line="340" w:lineRule="auto" w:before="116"/>
        <w:ind w:right="75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组合中，采用其他方法计提坏账准备的：</w:t>
      </w:r>
    </w:p>
    <w:p>
      <w:pPr>
        <w:pStyle w:val="BodyText"/>
        <w:spacing w:line="240" w:lineRule="auto" w:before="4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6"/>
          <w:szCs w:val="6"/>
        </w:rPr>
      </w:pPr>
    </w:p>
    <w:tbl>
      <w:tblPr>
        <w:tblW w:w="0" w:type="auto"/>
        <w:jc w:val="left"/>
        <w:tblInd w:w="1129" w:type="dxa"/>
        <w:tblLayout w:type="fixed"/>
        <w:tblCellMar>
          <w:top w:w="0" w:type="dxa"/>
          <w:left w:w="0" w:type="dxa"/>
          <w:bottom w:w="0" w:type="dxa"/>
          <w:right w:w="0" w:type="dxa"/>
        </w:tblCellMar>
        <w:tblLook w:val="01E0"/>
      </w:tblPr>
      <w:tblGrid>
        <w:gridCol w:w="3190"/>
        <w:gridCol w:w="3190"/>
        <w:gridCol w:w="3190"/>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870" w:right="0"/>
              <w:jc w:val="left"/>
              <w:rPr>
                <w:rFonts w:ascii="宋体" w:hAnsi="宋体" w:cs="宋体" w:eastAsia="宋体" w:hint="default"/>
                <w:sz w:val="18"/>
                <w:szCs w:val="18"/>
              </w:rPr>
            </w:pPr>
            <w:r>
              <w:rPr>
                <w:rFonts w:ascii="宋体" w:hAnsi="宋体" w:cs="宋体" w:eastAsia="宋体" w:hint="default"/>
                <w:sz w:val="18"/>
                <w:szCs w:val="18"/>
              </w:rPr>
              <w:t>应收账款计提比例</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80" w:right="0"/>
              <w:jc w:val="left"/>
              <w:rPr>
                <w:rFonts w:ascii="宋体" w:hAnsi="宋体" w:cs="宋体" w:eastAsia="宋体" w:hint="default"/>
                <w:sz w:val="18"/>
                <w:szCs w:val="18"/>
              </w:rPr>
            </w:pPr>
            <w:r>
              <w:rPr>
                <w:rFonts w:ascii="宋体" w:hAnsi="宋体" w:cs="宋体" w:eastAsia="宋体" w:hint="default"/>
                <w:sz w:val="18"/>
                <w:szCs w:val="18"/>
              </w:rPr>
              <w:t>其他应收款计提比例</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关联方组合</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r>
    </w:tbl>
    <w:p>
      <w:pPr>
        <w:spacing w:line="240" w:lineRule="auto" w:before="2"/>
        <w:rPr>
          <w:rFonts w:ascii="宋体" w:hAnsi="宋体" w:cs="宋体" w:eastAsia="宋体" w:hint="default"/>
          <w:sz w:val="19"/>
          <w:szCs w:val="19"/>
        </w:rPr>
      </w:pPr>
    </w:p>
    <w:p>
      <w:pPr>
        <w:pStyle w:val="Heading3"/>
        <w:spacing w:line="240" w:lineRule="auto" w:before="35"/>
        <w:ind w:left="1134" w:right="0"/>
        <w:jc w:val="left"/>
        <w:rPr>
          <w:b w:val="0"/>
          <w:bCs w:val="0"/>
        </w:rPr>
      </w:pPr>
      <w:bookmarkStart w:name="（3）单项金额不重大但单独计提坏账准备的应收款项" w:id="183"/>
      <w:bookmarkEnd w:id="183"/>
      <w:r>
        <w:rPr>
          <w:b w:val="0"/>
          <w:bCs w:val="0"/>
        </w:rPr>
      </w:r>
      <w:r>
        <w:rPr/>
        <w:t>（</w:t>
      </w:r>
      <w:r>
        <w:rPr>
          <w:rFonts w:ascii="Times New Roman" w:hAnsi="Times New Roman" w:cs="Times New Roman" w:eastAsia="Times New Roman" w:hint="default"/>
        </w:rPr>
        <w:t>3</w:t>
      </w:r>
      <w:r>
        <w:rPr/>
        <w:t>）单项金额不重大但单独计提坏账准备的应收款项</w:t>
      </w:r>
      <w:r>
        <w:rPr>
          <w:b w:val="0"/>
          <w:bCs w:val="0"/>
        </w:rPr>
      </w:r>
    </w:p>
    <w:p>
      <w:pPr>
        <w:spacing w:line="240" w:lineRule="auto" w:before="9"/>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4785"/>
        <w:gridCol w:w="4784"/>
      </w:tblGrid>
      <w:tr>
        <w:trPr>
          <w:trHeight w:val="1026"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单项计提坏账准备的理由</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69"/>
              <w:jc w:val="both"/>
              <w:rPr>
                <w:rFonts w:ascii="宋体" w:hAnsi="宋体" w:cs="宋体" w:eastAsia="宋体" w:hint="default"/>
                <w:sz w:val="18"/>
                <w:szCs w:val="18"/>
              </w:rPr>
            </w:pPr>
            <w:r>
              <w:rPr>
                <w:rFonts w:ascii="宋体" w:hAnsi="宋体" w:cs="宋体" w:eastAsia="宋体" w:hint="default"/>
                <w:sz w:val="18"/>
                <w:szCs w:val="18"/>
              </w:rPr>
              <w:t>本公司对于单项金额虽不重大但具备以下特征的应收款项， 单独进行减值测试，有客观证据表明其发生了减值的，根据 其未来现金流量现值低于其账面价值的差额，确认减值损失</w:t>
            </w:r>
          </w:p>
        </w:tc>
      </w:tr>
      <w:tr>
        <w:trPr>
          <w:trHeight w:val="1026"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坏账准备的计提方法</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69"/>
              <w:jc w:val="both"/>
              <w:rPr>
                <w:rFonts w:ascii="宋体" w:hAnsi="宋体" w:cs="宋体" w:eastAsia="宋体" w:hint="default"/>
                <w:sz w:val="18"/>
                <w:szCs w:val="18"/>
              </w:rPr>
            </w:pPr>
            <w:r>
              <w:rPr>
                <w:rFonts w:ascii="宋体" w:hAnsi="宋体" w:cs="宋体" w:eastAsia="宋体" w:hint="default"/>
                <w:sz w:val="18"/>
                <w:szCs w:val="18"/>
              </w:rPr>
              <w:t>应收关联方款项；与对方存在争议或涉及诉讼、仲裁的应收 款项；已有明显迹象表明债务人很可能无法履行还款义务的 应收款项等</w:t>
            </w:r>
          </w:p>
        </w:tc>
      </w:tr>
    </w:tbl>
    <w:p>
      <w:pPr>
        <w:spacing w:line="240" w:lineRule="auto" w:before="2"/>
        <w:rPr>
          <w:rFonts w:ascii="宋体" w:hAnsi="宋体" w:cs="宋体" w:eastAsia="宋体" w:hint="default"/>
          <w:b/>
          <w:bCs/>
          <w:sz w:val="19"/>
          <w:szCs w:val="19"/>
        </w:rPr>
      </w:pPr>
    </w:p>
    <w:p>
      <w:pPr>
        <w:pStyle w:val="Heading3"/>
        <w:spacing w:line="240" w:lineRule="auto" w:before="35"/>
        <w:ind w:left="1134" w:right="0"/>
        <w:jc w:val="left"/>
        <w:rPr>
          <w:b w:val="0"/>
          <w:bCs w:val="0"/>
        </w:rPr>
      </w:pPr>
      <w:bookmarkStart w:name="12、存货" w:id="184"/>
      <w:bookmarkEnd w:id="184"/>
      <w:r>
        <w:rPr>
          <w:b w:val="0"/>
          <w:bCs w:val="0"/>
        </w:rPr>
      </w:r>
      <w:r>
        <w:rPr>
          <w:rFonts w:ascii="Times New Roman" w:hAnsi="Times New Roman" w:cs="Times New Roman" w:eastAsia="Times New Roman" w:hint="default"/>
        </w:rPr>
        <w:t>12</w:t>
      </w:r>
      <w:r>
        <w:rPr/>
        <w:t>、存货</w:t>
      </w:r>
      <w:r>
        <w:rPr>
          <w:b w:val="0"/>
          <w:bCs w:val="0"/>
        </w:rPr>
      </w:r>
    </w:p>
    <w:p>
      <w:pPr>
        <w:spacing w:line="240" w:lineRule="auto" w:before="8"/>
        <w:rPr>
          <w:rFonts w:ascii="宋体" w:hAnsi="宋体" w:cs="宋体" w:eastAsia="宋体" w:hint="default"/>
          <w:b/>
          <w:bCs/>
          <w:sz w:val="26"/>
          <w:szCs w:val="26"/>
        </w:rPr>
      </w:pPr>
    </w:p>
    <w:p>
      <w:pPr>
        <w:pStyle w:val="BodyText"/>
        <w:spacing w:line="360" w:lineRule="auto"/>
        <w:ind w:left="1134" w:right="7692"/>
        <w:jc w:val="left"/>
      </w:pPr>
      <w:r>
        <w:rPr/>
        <w:t>公司是否需要遵守特殊行业的披露要求 否</w:t>
      </w:r>
    </w:p>
    <w:p>
      <w:pPr>
        <w:pStyle w:val="BodyText"/>
        <w:spacing w:line="316" w:lineRule="auto" w:before="25"/>
        <w:ind w:left="1494" w:right="2832"/>
        <w:jc w:val="left"/>
      </w:pPr>
      <w:r>
        <w:rPr/>
        <w:t>（</w:t>
      </w:r>
      <w:r>
        <w:rPr>
          <w:rFonts w:ascii="宋体" w:hAnsi="宋体" w:cs="宋体" w:eastAsia="宋体" w:hint="default"/>
        </w:rPr>
        <w:t>1</w:t>
      </w:r>
      <w:r>
        <w:rPr/>
        <w:t>）存货的分类 本公司存货主要包括包括在途物资、原材料、低值易耗品、在产品、自制半成品、库存商品等。</w:t>
      </w:r>
    </w:p>
    <w:p>
      <w:pPr>
        <w:pStyle w:val="BodyText"/>
        <w:spacing w:line="240" w:lineRule="auto" w:before="19"/>
        <w:ind w:left="1493" w:right="0"/>
        <w:jc w:val="left"/>
      </w:pPr>
      <w:r>
        <w:rPr/>
        <w:t>（</w:t>
      </w:r>
      <w:r>
        <w:rPr>
          <w:rFonts w:ascii="宋体" w:hAnsi="宋体" w:cs="宋体" w:eastAsia="宋体" w:hint="default"/>
        </w:rPr>
        <w:t>2</w:t>
      </w:r>
      <w:r>
        <w:rPr/>
        <w:t>）存货取得和发出的计价方法</w:t>
      </w:r>
    </w:p>
    <w:p>
      <w:pPr>
        <w:spacing w:after="0" w:line="240" w:lineRule="auto"/>
        <w:jc w:val="left"/>
        <w:sectPr>
          <w:pgSz w:w="11910" w:h="16840"/>
          <w:pgMar w:header="747" w:footer="979" w:top="1060" w:bottom="1160" w:left="0" w:right="0"/>
        </w:sectPr>
      </w:pPr>
    </w:p>
    <w:p>
      <w:pPr>
        <w:spacing w:line="240" w:lineRule="auto" w:before="12"/>
        <w:rPr>
          <w:rFonts w:ascii="宋体" w:hAnsi="宋体" w:cs="宋体" w:eastAsia="宋体" w:hint="default"/>
          <w:sz w:val="25"/>
          <w:szCs w:val="25"/>
        </w:rPr>
      </w:pPr>
    </w:p>
    <w:p>
      <w:pPr>
        <w:pStyle w:val="BodyText"/>
        <w:spacing w:line="240" w:lineRule="auto" w:before="44"/>
        <w:ind w:left="1493" w:right="0"/>
        <w:jc w:val="left"/>
      </w:pPr>
      <w:r>
        <w:rPr/>
        <w:t>存货日常核算以实际成本计价，存货发出采用加权平均法核算。</w:t>
      </w:r>
    </w:p>
    <w:p>
      <w:pPr>
        <w:pStyle w:val="BodyText"/>
        <w:spacing w:line="316" w:lineRule="auto" w:before="76"/>
        <w:ind w:left="1494" w:right="0"/>
        <w:jc w:val="left"/>
      </w:pPr>
      <w:r>
        <w:rPr/>
        <w:t>（</w:t>
      </w:r>
      <w:r>
        <w:rPr>
          <w:rFonts w:ascii="宋体" w:hAnsi="宋体" w:cs="宋体" w:eastAsia="宋体" w:hint="default"/>
        </w:rPr>
        <w:t>3</w:t>
      </w:r>
      <w:r>
        <w:rPr/>
        <w:t>）存货可变现净值的确认和跌价准备的计提方法 </w:t>
      </w:r>
      <w:r>
        <w:rPr>
          <w:spacing w:val="-2"/>
        </w:rPr>
        <w:t>可变现净值是指在日常活动中，存货的估计售价减去至完工时估计将要发生的成本、估计的销售费用以及相关税费后的</w:t>
      </w:r>
    </w:p>
    <w:p>
      <w:pPr>
        <w:pStyle w:val="BodyText"/>
        <w:spacing w:line="319" w:lineRule="auto" w:before="19"/>
        <w:ind w:left="1494" w:right="1032" w:hanging="360"/>
        <w:jc w:val="left"/>
      </w:pPr>
      <w:r>
        <w:rPr/>
        <w:t>金额。在确定存货的可变现净值时，以取得的确凿证据为基础，同时考虑持有存货的目的以及资产负债表日后事项的影响。 </w:t>
      </w:r>
      <w:r>
        <w:rPr>
          <w:spacing w:val="-2"/>
        </w:rPr>
        <w:t>在资产负债表日，存货按照成本与可变现净值孰低计量。当其可变现净值低于成本时，提取存货跌价准备。本公司按单</w:t>
      </w:r>
    </w:p>
    <w:p>
      <w:pPr>
        <w:pStyle w:val="BodyText"/>
        <w:spacing w:line="316" w:lineRule="auto" w:before="17"/>
        <w:ind w:left="1134" w:right="1131"/>
        <w:jc w:val="both"/>
      </w:pPr>
      <w:r>
        <w:rPr>
          <w:spacing w:val="-2"/>
        </w:rPr>
        <w:t>个存货项目的成本高于其可变现净值的差额提取。对于数量繁多、单价较低的存货，按存货类别计提存货跌价准备；对在同</w:t>
      </w:r>
      <w:r>
        <w:rPr>
          <w:spacing w:val="-66"/>
        </w:rPr>
        <w:t> </w:t>
      </w:r>
      <w:r>
        <w:rPr>
          <w:spacing w:val="-66"/>
        </w:rPr>
      </w:r>
      <w:r>
        <w:rPr>
          <w:spacing w:val="-2"/>
        </w:rPr>
        <w:t>一地区生产和销售的产品系列相关、具有相同或类似最终用途或目的，且难以与其他项目分开计量的存货，可合并计提存货</w:t>
      </w:r>
      <w:r>
        <w:rPr>
          <w:spacing w:val="-66"/>
        </w:rPr>
        <w:t> </w:t>
      </w:r>
      <w:r>
        <w:rPr>
          <w:spacing w:val="-66"/>
        </w:rPr>
      </w:r>
      <w:r>
        <w:rPr/>
        <w:t>跌价准备。</w:t>
      </w:r>
    </w:p>
    <w:p>
      <w:pPr>
        <w:pStyle w:val="BodyText"/>
        <w:spacing w:line="316" w:lineRule="auto" w:before="19"/>
        <w:ind w:left="1134" w:right="1133" w:firstLine="360"/>
        <w:jc w:val="both"/>
      </w:pPr>
      <w:r>
        <w:rPr>
          <w:spacing w:val="-2"/>
        </w:rPr>
        <w:t>计提存货跌价准备后，如果以前减记存货价值的影响因素已经消失，导致存货的可变现净值高于其账面价值的，在原已</w:t>
      </w:r>
      <w:r>
        <w:rPr/>
        <w:t> 计提的存货跌价准备金额内予以转回，转回的金额计入当期损益。</w:t>
      </w:r>
    </w:p>
    <w:p>
      <w:pPr>
        <w:pStyle w:val="BodyText"/>
        <w:spacing w:line="240" w:lineRule="auto" w:before="19"/>
        <w:ind w:left="1494" w:right="0"/>
        <w:jc w:val="left"/>
      </w:pPr>
      <w:r>
        <w:rPr/>
        <w:t>（</w:t>
      </w:r>
      <w:r>
        <w:rPr>
          <w:rFonts w:ascii="宋体" w:hAnsi="宋体" w:cs="宋体" w:eastAsia="宋体" w:hint="default"/>
        </w:rPr>
        <w:t>4</w:t>
      </w:r>
      <w:r>
        <w:rPr/>
        <w:t>）存货的盘存制度为永续盘存制。</w:t>
      </w:r>
    </w:p>
    <w:p>
      <w:pPr>
        <w:pStyle w:val="BodyText"/>
        <w:spacing w:line="316" w:lineRule="auto" w:before="76"/>
        <w:ind w:left="1493" w:right="6613"/>
        <w:jc w:val="left"/>
      </w:pPr>
      <w:r>
        <w:rPr/>
        <w:t>（</w:t>
      </w:r>
      <w:r>
        <w:rPr>
          <w:rFonts w:ascii="宋体" w:hAnsi="宋体" w:cs="宋体" w:eastAsia="宋体" w:hint="default"/>
        </w:rPr>
        <w:t>5</w:t>
      </w:r>
      <w:r>
        <w:rPr/>
        <w:t>）低值易耗品和包装物的摊销方法 低值易耗品和包装物于领用时一次摊销法摊销。</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3"/>
        <w:spacing w:line="240" w:lineRule="auto" w:before="135"/>
        <w:ind w:left="1134" w:right="0"/>
        <w:jc w:val="both"/>
        <w:rPr>
          <w:b w:val="0"/>
          <w:bCs w:val="0"/>
        </w:rPr>
      </w:pPr>
      <w:bookmarkStart w:name="13、持有待售资产" w:id="185"/>
      <w:bookmarkEnd w:id="185"/>
      <w:r>
        <w:rPr>
          <w:b w:val="0"/>
          <w:bCs w:val="0"/>
        </w:rPr>
      </w:r>
      <w:r>
        <w:rPr>
          <w:rFonts w:ascii="Times New Roman" w:hAnsi="Times New Roman" w:cs="Times New Roman" w:eastAsia="Times New Roman" w:hint="default"/>
        </w:rPr>
        <w:t>13</w:t>
      </w:r>
      <w:r>
        <w:rPr/>
        <w:t>、持有待售资产</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129" w:firstLine="360"/>
        <w:jc w:val="both"/>
      </w:pPr>
      <w:r>
        <w:rPr>
          <w:spacing w:val="-2"/>
        </w:rPr>
        <w:t>本公司若主要通过出售（包括具有商业实质的非货币性资产交换，下同）而非持续使用一项非流动资产或处置组收回其</w:t>
      </w:r>
      <w:r>
        <w:rPr/>
        <w:t> </w:t>
      </w:r>
      <w:r>
        <w:rPr>
          <w:spacing w:val="-2"/>
        </w:rPr>
        <w:t>账面价值的，则将其划分为持有待售类别。具体标准为同时满足以下条件：某项非流动资产或处置组根据类似交易中出售此</w:t>
      </w:r>
      <w:r>
        <w:rPr>
          <w:spacing w:val="-66"/>
        </w:rPr>
        <w:t> </w:t>
      </w:r>
      <w:r>
        <w:rPr>
          <w:spacing w:val="-66"/>
        </w:rPr>
      </w:r>
      <w:r>
        <w:rPr>
          <w:spacing w:val="-2"/>
        </w:rPr>
        <w:t>类资产或处置组的惯例，在当前状况下即可立即出售；本公司已经就出售计划作出决议且获得确定的购买承诺；预计出售将</w:t>
      </w:r>
      <w:r>
        <w:rPr>
          <w:spacing w:val="-66"/>
        </w:rPr>
        <w:t> </w:t>
      </w:r>
      <w:r>
        <w:rPr>
          <w:spacing w:val="-66"/>
        </w:rPr>
      </w:r>
      <w:r>
        <w:rPr>
          <w:spacing w:val="-2"/>
        </w:rPr>
        <w:t>在一年内完成。其中，处置组是指在一项交易中作为整体通过出售或其他方式一并处置的一组资产，以及在该交易中转让的</w:t>
      </w:r>
      <w:r>
        <w:rPr>
          <w:spacing w:val="-66"/>
        </w:rPr>
        <w:t> </w:t>
      </w:r>
      <w:r>
        <w:rPr>
          <w:spacing w:val="-66"/>
        </w:rPr>
      </w:r>
      <w:r>
        <w:rPr/>
        <w:t>与这些资产直接相关的负债。处置组所属的资产组或资产组组合按照《企业会计准则第 </w:t>
      </w:r>
      <w:r>
        <w:rPr>
          <w:rFonts w:ascii="宋体" w:hAnsi="宋体" w:cs="宋体" w:eastAsia="宋体" w:hint="default"/>
        </w:rPr>
        <w:t>8</w:t>
      </w:r>
      <w:r>
        <w:rPr>
          <w:rFonts w:ascii="宋体" w:hAnsi="宋体" w:cs="宋体" w:eastAsia="宋体" w:hint="default"/>
          <w:spacing w:val="7"/>
        </w:rPr>
        <w:t> </w:t>
      </w:r>
      <w:r>
        <w:rPr/>
        <w:t>号——资产减值》分摊了企业合 并中取得的商誉的，该处置组应当包含分摊至处置组的商誉。</w:t>
      </w:r>
    </w:p>
    <w:p>
      <w:pPr>
        <w:pStyle w:val="BodyText"/>
        <w:spacing w:line="316" w:lineRule="auto" w:before="19"/>
        <w:ind w:right="1033" w:firstLine="360"/>
        <w:jc w:val="left"/>
      </w:pPr>
      <w:r>
        <w:rPr>
          <w:spacing w:val="-2"/>
        </w:rPr>
        <w:t>本公司初始计量或在资产负债表日重新计量划分为持有待售的非流动资产和处置组时，其账面价值高于公允价值减去出</w:t>
      </w:r>
      <w:r>
        <w:rPr/>
        <w:t> 售费用后的净额的，将账面价值减记至公允价值减去出售费用后的净额，减记的金额确认为资产减值损失，计入当期损益， </w:t>
      </w:r>
      <w:r>
        <w:rPr>
          <w:spacing w:val="-2"/>
        </w:rPr>
        <w:t>同时计提持有待售资产减值准备。对于处置组，所确认的资产减值损失先抵减处置组中商誉的账面价值，再按比例抵减该处</w:t>
      </w:r>
      <w:r>
        <w:rPr>
          <w:spacing w:val="-66"/>
        </w:rPr>
        <w:t> </w:t>
      </w:r>
      <w:r>
        <w:rPr>
          <w:spacing w:val="-66"/>
        </w:rPr>
      </w:r>
      <w:r>
        <w:rPr>
          <w:spacing w:val="-2"/>
        </w:rPr>
        <w:t>置组内适用《企业会计准则第</w:t>
      </w:r>
      <w:r>
        <w:rPr>
          <w:rFonts w:ascii="宋体" w:hAnsi="宋体" w:cs="宋体" w:eastAsia="宋体" w:hint="default"/>
          <w:spacing w:val="-2"/>
        </w:rPr>
        <w:t>42</w:t>
      </w:r>
      <w:r>
        <w:rPr>
          <w:spacing w:val="-2"/>
        </w:rPr>
        <w:t>号——持有待售的非流动资产、处置组和终止经营》（以下简称“持有待售准则”）的计量</w:t>
      </w:r>
      <w:r>
        <w:rPr>
          <w:spacing w:val="-68"/>
        </w:rPr>
        <w:t> </w:t>
      </w:r>
      <w:r>
        <w:rPr>
          <w:spacing w:val="-68"/>
        </w:rPr>
      </w:r>
      <w:r>
        <w:rPr>
          <w:spacing w:val="-2"/>
        </w:rPr>
        <w:t>规定的各项非流动资产的账面价值。后续资产负债表日持有待售的处置组公允价值减去出售费用后的净额增加的，以前减记</w:t>
      </w:r>
      <w:r>
        <w:rPr>
          <w:spacing w:val="-64"/>
        </w:rPr>
        <w:t> </w:t>
      </w:r>
      <w:r>
        <w:rPr>
          <w:spacing w:val="-64"/>
        </w:rPr>
      </w:r>
      <w:r>
        <w:rPr/>
        <w:t>的金额应当予以恢复，并在划分为持有待售类别后适用持有待售准则计量规定的非流动资产确认的资产减值损失金额内转</w:t>
      </w:r>
      <w:r>
        <w:rPr>
          <w:spacing w:val="-9"/>
        </w:rPr>
        <w:t> </w:t>
      </w:r>
      <w:r>
        <w:rPr>
          <w:spacing w:val="-9"/>
        </w:rPr>
      </w:r>
      <w:r>
        <w:rPr>
          <w:spacing w:val="-2"/>
        </w:rPr>
        <w:t>回，转回金额计入当期损益，并根据处置组中除商誉外适用持有待售准则计量规定的各项非流动资产账面价值所占比重按比</w:t>
      </w:r>
      <w:r>
        <w:rPr>
          <w:spacing w:val="-64"/>
        </w:rPr>
        <w:t> </w:t>
      </w:r>
      <w:r>
        <w:rPr>
          <w:spacing w:val="-64"/>
        </w:rPr>
      </w:r>
      <w:r>
        <w:rPr>
          <w:spacing w:val="-2"/>
        </w:rPr>
        <w:t>例增加其账面价值；已抵减的商誉账面价值，以及适用持有待售准则计量规定的非流动资产在划分为持有待售类别前确认的</w:t>
      </w:r>
      <w:r>
        <w:rPr>
          <w:spacing w:val="-64"/>
        </w:rPr>
        <w:t> </w:t>
      </w:r>
      <w:r>
        <w:rPr>
          <w:spacing w:val="-64"/>
        </w:rPr>
      </w:r>
      <w:r>
        <w:rPr/>
        <w:t>资产减值损失不得转回。</w:t>
      </w:r>
    </w:p>
    <w:p>
      <w:pPr>
        <w:pStyle w:val="BodyText"/>
        <w:spacing w:line="316" w:lineRule="auto" w:before="19"/>
        <w:ind w:left="1134" w:right="1131" w:firstLine="360"/>
        <w:jc w:val="both"/>
      </w:pPr>
      <w:r>
        <w:rPr>
          <w:spacing w:val="-2"/>
        </w:rPr>
        <w:t>持有待售的非流动资产或处置组中的非流动资产不计提折旧或摊销，持有待售的处置组中负债的利息和其他费用继续予</w:t>
      </w:r>
      <w:r>
        <w:rPr/>
        <w:t> 以确认。</w:t>
      </w:r>
    </w:p>
    <w:p>
      <w:pPr>
        <w:pStyle w:val="BodyText"/>
        <w:spacing w:line="316" w:lineRule="auto" w:before="19"/>
        <w:ind w:left="1134" w:right="1130" w:firstLine="360"/>
        <w:jc w:val="both"/>
      </w:pPr>
      <w:r>
        <w:rPr>
          <w:spacing w:val="-2"/>
        </w:rPr>
        <w:t>非流动资产或处置组不再满足持有待售类别的划分条件时，本公司不再将其继续划分为持有待售类别或将非流动资产从</w:t>
      </w:r>
      <w:r>
        <w:rPr/>
        <w:t> 持有待售的处置组中移除，并按照以下两者孰低计量：（</w:t>
      </w:r>
      <w:r>
        <w:rPr>
          <w:rFonts w:ascii="宋体" w:hAnsi="宋体" w:cs="宋体" w:eastAsia="宋体" w:hint="default"/>
        </w:rPr>
        <w:t>1</w:t>
      </w:r>
      <w:r>
        <w:rPr/>
        <w:t>）划分为持有待售类别前的账面价值，按照假定不划分为持有待</w:t>
      </w:r>
      <w:r>
        <w:rPr>
          <w:spacing w:val="-82"/>
        </w:rPr>
        <w:t> </w:t>
      </w:r>
      <w:r>
        <w:rPr>
          <w:spacing w:val="-82"/>
        </w:rPr>
      </w:r>
      <w:r>
        <w:rPr/>
        <w:t>售类别情况下本应确认的折旧、摊销或减值等进行调整后的金额；（</w:t>
      </w:r>
      <w:r>
        <w:rPr>
          <w:rFonts w:ascii="宋体" w:hAnsi="宋体" w:cs="宋体" w:eastAsia="宋体" w:hint="default"/>
        </w:rPr>
        <w:t>2</w:t>
      </w:r>
      <w:r>
        <w:rPr/>
        <w:t>）可收回金额。</w:t>
      </w:r>
    </w:p>
    <w:p>
      <w:pPr>
        <w:spacing w:line="240" w:lineRule="auto" w:before="7"/>
        <w:rPr>
          <w:rFonts w:ascii="宋体" w:hAnsi="宋体" w:cs="宋体" w:eastAsia="宋体" w:hint="default"/>
          <w:sz w:val="22"/>
          <w:szCs w:val="22"/>
        </w:rPr>
      </w:pPr>
    </w:p>
    <w:p>
      <w:pPr>
        <w:pStyle w:val="Heading3"/>
        <w:spacing w:line="240" w:lineRule="auto"/>
        <w:ind w:right="0"/>
        <w:jc w:val="both"/>
        <w:rPr>
          <w:b w:val="0"/>
          <w:bCs w:val="0"/>
        </w:rPr>
      </w:pPr>
      <w:bookmarkStart w:name="14、长期股权投资" w:id="186"/>
      <w:bookmarkEnd w:id="186"/>
      <w:r>
        <w:rPr>
          <w:b w:val="0"/>
          <w:bCs w:val="0"/>
        </w:rPr>
      </w:r>
      <w:r>
        <w:rPr>
          <w:rFonts w:ascii="Times New Roman" w:hAnsi="Times New Roman" w:cs="Times New Roman" w:eastAsia="Times New Roman" w:hint="default"/>
        </w:rPr>
        <w:t>14</w:t>
      </w:r>
      <w:r>
        <w:rPr/>
        <w:t>、长期股权投资</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1134" w:right="1130" w:firstLine="360"/>
        <w:jc w:val="both"/>
      </w:pPr>
      <w:r>
        <w:rPr>
          <w:spacing w:val="-2"/>
        </w:rPr>
        <w:t>本部分所指的长期股权投资是指本公司对被投资单位具有控制、共同控制或重大影响的长期股权投资。本公司对被投资</w:t>
      </w:r>
      <w:r>
        <w:rPr/>
        <w:t> </w:t>
      </w:r>
      <w:r>
        <w:rPr>
          <w:spacing w:val="-2"/>
        </w:rPr>
        <w:t>单位不具有控制、共同控制或重大影响的长期股权投资，作为可供出售金融资产或以公允价值计量且其变动计入当期损益的</w:t>
      </w:r>
      <w:r>
        <w:rPr>
          <w:spacing w:val="-64"/>
        </w:rPr>
        <w:t> </w:t>
      </w:r>
      <w:r>
        <w:rPr>
          <w:spacing w:val="-64"/>
        </w:rPr>
      </w:r>
      <w:r>
        <w:rPr/>
        <w:t>金融资产核算，其会计政策详见附注五、</w:t>
      </w:r>
      <w:r>
        <w:rPr>
          <w:rFonts w:ascii="宋体" w:hAnsi="宋体" w:cs="宋体" w:eastAsia="宋体" w:hint="default"/>
        </w:rPr>
        <w:t>10</w:t>
      </w:r>
      <w:r>
        <w:rPr/>
        <w:t>“金融工具”。</w:t>
      </w:r>
    </w:p>
    <w:p>
      <w:pPr>
        <w:pStyle w:val="BodyText"/>
        <w:spacing w:line="316" w:lineRule="auto" w:before="19"/>
        <w:ind w:left="1134" w:right="1132" w:firstLine="360"/>
        <w:jc w:val="both"/>
      </w:pPr>
      <w:r>
        <w:rPr>
          <w:spacing w:val="-2"/>
        </w:rPr>
        <w:t>共同控制，是指本公司按照相关约定对某项安排所共有的控制，并且该安排的相关活动必须经过分享控制权的参与方一</w:t>
      </w:r>
      <w:r>
        <w:rPr/>
        <w:t> </w:t>
      </w:r>
      <w:r>
        <w:rPr>
          <w:spacing w:val="-2"/>
        </w:rPr>
        <w:t>致同意后才能决策。重大影响，是指本公司对被投资单位的财务和经营政策有参与决策的权力，但并不能够控制或者与其他</w:t>
      </w:r>
    </w:p>
    <w:p>
      <w:pPr>
        <w:spacing w:after="0" w:line="316" w:lineRule="auto"/>
        <w:jc w:val="both"/>
        <w:sectPr>
          <w:footerReference w:type="default" r:id="rId14"/>
          <w:pgSz w:w="11910" w:h="16840"/>
          <w:pgMar w:footer="979" w:header="747" w:top="1060" w:bottom="1160" w:left="0" w:right="0"/>
        </w:sectPr>
      </w:pPr>
    </w:p>
    <w:p>
      <w:pPr>
        <w:spacing w:line="240" w:lineRule="auto" w:before="12"/>
        <w:rPr>
          <w:rFonts w:ascii="宋体" w:hAnsi="宋体" w:cs="宋体" w:eastAsia="宋体" w:hint="default"/>
          <w:sz w:val="25"/>
          <w:szCs w:val="25"/>
        </w:rPr>
      </w:pPr>
    </w:p>
    <w:p>
      <w:pPr>
        <w:pStyle w:val="BodyText"/>
        <w:spacing w:line="240" w:lineRule="auto" w:before="44"/>
        <w:ind w:right="0"/>
        <w:jc w:val="left"/>
      </w:pPr>
      <w:r>
        <w:rPr/>
        <w:t>方一起共同控制这些政策的制定。</w:t>
      </w:r>
    </w:p>
    <w:p>
      <w:pPr>
        <w:pStyle w:val="BodyText"/>
        <w:spacing w:line="316" w:lineRule="auto" w:before="76"/>
        <w:ind w:left="1494" w:right="0"/>
        <w:jc w:val="left"/>
      </w:pPr>
      <w:r>
        <w:rPr/>
        <w:t>（</w:t>
      </w:r>
      <w:r>
        <w:rPr>
          <w:rFonts w:ascii="宋体" w:hAnsi="宋体" w:cs="宋体" w:eastAsia="宋体" w:hint="default"/>
        </w:rPr>
        <w:t>1</w:t>
      </w:r>
      <w:r>
        <w:rPr/>
        <w:t>）投资成本的确定 </w:t>
      </w:r>
      <w:r>
        <w:rPr>
          <w:spacing w:val="-2"/>
        </w:rPr>
        <w:t>对于同一控制下的企业合并取得的长期股权投资，在合并日按照被合并方股东权益在最终控制方合并财务报表中的账面</w:t>
      </w:r>
    </w:p>
    <w:p>
      <w:pPr>
        <w:pStyle w:val="BodyText"/>
        <w:spacing w:line="316" w:lineRule="auto" w:before="19"/>
        <w:ind w:right="0"/>
        <w:jc w:val="left"/>
      </w:pPr>
      <w:r>
        <w:rPr>
          <w:spacing w:val="-2"/>
        </w:rPr>
        <w:t>价值的份额作为长期股权投资的初始投资成本。长期股权投资初始投资成本与支付的现金、转让的非现金资产以及所承担债</w:t>
      </w:r>
      <w:r>
        <w:rPr>
          <w:spacing w:val="-64"/>
        </w:rPr>
        <w:t> </w:t>
      </w:r>
      <w:r>
        <w:rPr>
          <w:spacing w:val="-64"/>
        </w:rPr>
      </w:r>
      <w:r>
        <w:rPr>
          <w:spacing w:val="-2"/>
        </w:rPr>
        <w:t>务账面价值之间的差额，调整资本公积；资本公积不足冲减的，调整留存收益。以发行权益性证券作为合并对价的，在合并</w:t>
      </w:r>
      <w:r>
        <w:rPr>
          <w:spacing w:val="-66"/>
        </w:rPr>
        <w:t> </w:t>
      </w:r>
      <w:r>
        <w:rPr>
          <w:spacing w:val="-66"/>
        </w:rPr>
      </w:r>
      <w:r>
        <w:rPr>
          <w:spacing w:val="-2"/>
        </w:rPr>
        <w:t>日按照被合并方股东权益在最终控制方合并财务报表中的账面价值的份额作为长期股权投资的初始投资成本，按照发行股份</w:t>
      </w:r>
      <w:r>
        <w:rPr>
          <w:spacing w:val="-64"/>
        </w:rPr>
        <w:t> </w:t>
      </w:r>
      <w:r>
        <w:rPr>
          <w:spacing w:val="-64"/>
        </w:rPr>
      </w:r>
      <w:r>
        <w:rPr>
          <w:spacing w:val="-4"/>
        </w:rPr>
        <w:t>的面值总额作为股本，长期股权投资初始投资成本与所发行股份面值总额之间的差额，调整资本公积；资本公积不足冲减的，</w:t>
      </w:r>
      <w:r>
        <w:rPr>
          <w:spacing w:val="-44"/>
        </w:rPr>
        <w:t> </w:t>
      </w:r>
      <w:r>
        <w:rPr>
          <w:spacing w:val="-44"/>
        </w:rPr>
      </w:r>
      <w:r>
        <w:rPr>
          <w:spacing w:val="-2"/>
        </w:rPr>
        <w:t>调整留存收益。通过多次交易分步取得同一控制下被合并方的股权，最终形成同一控制下企业合并的，应分别是否属于“一</w:t>
      </w:r>
      <w:r>
        <w:rPr>
          <w:spacing w:val="-65"/>
        </w:rPr>
        <w:t> </w:t>
      </w:r>
      <w:r>
        <w:rPr>
          <w:spacing w:val="-65"/>
        </w:rPr>
      </w:r>
      <w:r>
        <w:rPr>
          <w:spacing w:val="-4"/>
        </w:rPr>
        <w:t>揽子交易”进行处理：属于“一揽子交易”的，将各项交易作为一项取得控制权的交易进行会计处理。不属于“一揽子交易”</w:t>
      </w:r>
      <w:r>
        <w:rPr>
          <w:spacing w:val="-49"/>
        </w:rPr>
        <w:t> </w:t>
      </w:r>
      <w:r>
        <w:rPr>
          <w:spacing w:val="-49"/>
        </w:rPr>
      </w:r>
      <w:r>
        <w:rPr>
          <w:spacing w:val="-2"/>
        </w:rPr>
        <w:t>的，在合并日按照应享有被合并方股东权益在最终控制方合并财务报表中的账面价值的份额作为长期股权投资的初始投资成</w:t>
      </w:r>
      <w:r>
        <w:rPr>
          <w:spacing w:val="-64"/>
        </w:rPr>
        <w:t> </w:t>
      </w:r>
      <w:r>
        <w:rPr>
          <w:spacing w:val="-64"/>
        </w:rPr>
      </w:r>
      <w:r>
        <w:rPr>
          <w:spacing w:val="-2"/>
        </w:rPr>
        <w:t>本，长期股权投资初始投资成本与达到合并前的长期股权投资账面价值加上合并日进一步取得股份新支付对价的账面价值之</w:t>
      </w:r>
      <w:r>
        <w:rPr>
          <w:spacing w:val="-64"/>
        </w:rPr>
        <w:t> </w:t>
      </w:r>
      <w:r>
        <w:rPr>
          <w:spacing w:val="-64"/>
        </w:rPr>
      </w:r>
      <w:r>
        <w:rPr>
          <w:spacing w:val="-2"/>
        </w:rPr>
        <w:t>和的差额，调整资本公积；资本公积不足冲减的，调整留存收益。合并日之前持有的股权投资因采用权益法核算或为可供出</w:t>
      </w:r>
      <w:r>
        <w:rPr>
          <w:spacing w:val="-66"/>
        </w:rPr>
        <w:t> </w:t>
      </w:r>
      <w:r>
        <w:rPr>
          <w:spacing w:val="-66"/>
        </w:rPr>
      </w:r>
      <w:r>
        <w:rPr/>
        <w:t>售金融资产而确认的其他综合收益，暂不进行会计处理。</w:t>
      </w:r>
    </w:p>
    <w:p>
      <w:pPr>
        <w:pStyle w:val="BodyText"/>
        <w:spacing w:line="316" w:lineRule="auto" w:before="19"/>
        <w:ind w:right="0" w:firstLine="360"/>
        <w:jc w:val="left"/>
      </w:pPr>
      <w:r>
        <w:rPr>
          <w:spacing w:val="-2"/>
        </w:rPr>
        <w:t>对于非同一控制下的企业合并取得的长期股权投资，在购买日按照合并成本作为长期股权投资的初始投资成本，合并成</w:t>
      </w:r>
      <w:r>
        <w:rPr/>
        <w:t> </w:t>
      </w:r>
      <w:r>
        <w:rPr>
          <w:spacing w:val="-4"/>
        </w:rPr>
        <w:t>本包括购买方付出的资产、发生或承担的负债、发行的权益性证券的公允价值之和。通过多次交易分步取得被购买方的股权，</w:t>
      </w:r>
      <w:r>
        <w:rPr>
          <w:spacing w:val="-44"/>
        </w:rPr>
        <w:t> </w:t>
      </w:r>
      <w:r>
        <w:rPr>
          <w:spacing w:val="-44"/>
        </w:rPr>
      </w:r>
      <w:r>
        <w:rPr>
          <w:spacing w:val="-2"/>
        </w:rPr>
        <w:t>最终形成非同一控制下的企业合并的，应分别是否属于“一揽子交易”进行处理：属于“一揽子交易”的，将各项交易作为</w:t>
      </w:r>
      <w:r>
        <w:rPr>
          <w:spacing w:val="-70"/>
        </w:rPr>
        <w:t> </w:t>
      </w:r>
      <w:r>
        <w:rPr>
          <w:spacing w:val="-70"/>
        </w:rPr>
      </w:r>
      <w:r>
        <w:rPr>
          <w:spacing w:val="-2"/>
        </w:rPr>
        <w:t>一项取得控制权的交易进行会计处理。不属于“一揽子交易”的，按照原持有被购买方的股权投资账面价值加上新增投资成</w:t>
      </w:r>
      <w:r>
        <w:rPr>
          <w:spacing w:val="-66"/>
        </w:rPr>
        <w:t> </w:t>
      </w:r>
      <w:r>
        <w:rPr>
          <w:spacing w:val="-66"/>
        </w:rPr>
      </w:r>
      <w:r>
        <w:rPr>
          <w:spacing w:val="-2"/>
        </w:rPr>
        <w:t>本之和，作为改按成本法核算的长期股权投资的初始投资成本。原持有的股权采用权益法核算的，相关其他综合收益暂不进</w:t>
      </w:r>
      <w:r>
        <w:rPr>
          <w:spacing w:val="-66"/>
        </w:rPr>
        <w:t> </w:t>
      </w:r>
      <w:r>
        <w:rPr>
          <w:spacing w:val="-66"/>
        </w:rPr>
      </w:r>
      <w:r>
        <w:rPr>
          <w:spacing w:val="-2"/>
        </w:rPr>
        <w:t>行会计处理。原持有股权投资为可供出售金融资产的，其公允价值与账面价值之间的差额，以及原计入其他综合收益的累计</w:t>
      </w:r>
      <w:r>
        <w:rPr>
          <w:spacing w:val="-66"/>
        </w:rPr>
        <w:t> </w:t>
      </w:r>
      <w:r>
        <w:rPr>
          <w:spacing w:val="-66"/>
        </w:rPr>
      </w:r>
      <w:r>
        <w:rPr/>
        <w:t>公允价值变动转入当期损益。</w:t>
      </w:r>
    </w:p>
    <w:p>
      <w:pPr>
        <w:pStyle w:val="BodyText"/>
        <w:spacing w:line="316" w:lineRule="auto" w:before="19"/>
        <w:ind w:right="1133" w:firstLine="360"/>
        <w:jc w:val="both"/>
      </w:pPr>
      <w:r>
        <w:rPr>
          <w:spacing w:val="-2"/>
        </w:rPr>
        <w:t>合并方或购买方为企业合并发生的审计、法律服务、评估咨询等中介费用以及其他相关管理费用，于发生时计入当期损</w:t>
      </w:r>
      <w:r>
        <w:rPr/>
        <w:t> 益。</w:t>
      </w:r>
    </w:p>
    <w:p>
      <w:pPr>
        <w:pStyle w:val="BodyText"/>
        <w:spacing w:line="316" w:lineRule="auto" w:before="19"/>
        <w:ind w:left="1134" w:right="1131" w:firstLine="360"/>
        <w:jc w:val="both"/>
      </w:pPr>
      <w:r>
        <w:rPr>
          <w:spacing w:val="-2"/>
        </w:rPr>
        <w:t>除企业合并形成的长期股权投资外的其他股权投资，按成本进行初始计量，该成本视长期股权投资取得方式的不同，分</w:t>
      </w:r>
      <w:r>
        <w:rPr/>
        <w:t> </w:t>
      </w:r>
      <w:r>
        <w:rPr>
          <w:spacing w:val="-2"/>
        </w:rPr>
        <w:t>别按照本公司实际支付的现金购买价款、本公司发行的权益性证券的公允价值、投资合同或协议约定的价值、非货币性资产</w:t>
      </w:r>
      <w:r>
        <w:rPr>
          <w:spacing w:val="-65"/>
        </w:rPr>
        <w:t> </w:t>
      </w:r>
      <w:r>
        <w:rPr>
          <w:spacing w:val="-65"/>
        </w:rPr>
      </w:r>
      <w:r>
        <w:rPr>
          <w:spacing w:val="-2"/>
        </w:rPr>
        <w:t>交换交易中换出资产的公允价值或原账面价值、该项长期股权投资自身的公允价值等方式确定。与取得长期股权投资直接相</w:t>
      </w:r>
      <w:r>
        <w:rPr>
          <w:spacing w:val="-64"/>
        </w:rPr>
        <w:t> </w:t>
      </w:r>
      <w:r>
        <w:rPr>
          <w:spacing w:val="-64"/>
        </w:rPr>
      </w:r>
      <w:r>
        <w:rPr>
          <w:spacing w:val="-2"/>
        </w:rPr>
        <w:t>关的费用、税金及其他必要支出也计入投资成本。对于因追加投资能够对被投资单位实施重大影响或实施共同控制但不构成</w:t>
      </w:r>
      <w:r>
        <w:rPr>
          <w:spacing w:val="-64"/>
        </w:rPr>
        <w:t> </w:t>
      </w:r>
      <w:r>
        <w:rPr>
          <w:spacing w:val="-64"/>
        </w:rPr>
      </w:r>
      <w:r>
        <w:rPr>
          <w:spacing w:val="-2"/>
        </w:rPr>
        <w:t>控制的，长期股权投资成本为按照《企业会计准则第</w:t>
      </w:r>
      <w:r>
        <w:rPr>
          <w:rFonts w:ascii="宋体" w:hAnsi="宋体" w:cs="宋体" w:eastAsia="宋体" w:hint="default"/>
          <w:spacing w:val="-2"/>
        </w:rPr>
        <w:t>22</w:t>
      </w:r>
      <w:r>
        <w:rPr>
          <w:spacing w:val="-2"/>
        </w:rPr>
        <w:t>号——金融工具确认和计量》确定的原持有股权投资的公允价值加上</w:t>
      </w:r>
      <w:r>
        <w:rPr>
          <w:spacing w:val="-64"/>
        </w:rPr>
        <w:t> </w:t>
      </w:r>
      <w:r>
        <w:rPr>
          <w:spacing w:val="-64"/>
        </w:rPr>
      </w:r>
      <w:r>
        <w:rPr/>
        <w:t>新增投资成本之和。</w:t>
      </w:r>
    </w:p>
    <w:p>
      <w:pPr>
        <w:pStyle w:val="BodyText"/>
        <w:spacing w:line="316" w:lineRule="auto" w:before="19"/>
        <w:ind w:left="1494" w:right="0"/>
        <w:jc w:val="left"/>
      </w:pPr>
      <w:r>
        <w:rPr/>
        <w:t>（</w:t>
      </w:r>
      <w:r>
        <w:rPr>
          <w:rFonts w:ascii="宋体" w:hAnsi="宋体" w:cs="宋体" w:eastAsia="宋体" w:hint="default"/>
        </w:rPr>
        <w:t>2</w:t>
      </w:r>
      <w:r>
        <w:rPr/>
        <w:t>）后续计量及损益确认方法 </w:t>
      </w:r>
      <w:r>
        <w:rPr>
          <w:spacing w:val="-2"/>
        </w:rPr>
        <w:t>对被投资单位具有共同控制（构成共同经营者除外）或重大影响的长期股权投资，采用权益法核算。此外，公司财务报</w:t>
      </w:r>
    </w:p>
    <w:p>
      <w:pPr>
        <w:pStyle w:val="BodyText"/>
        <w:spacing w:line="240" w:lineRule="auto" w:before="19"/>
        <w:ind w:left="1134" w:right="0"/>
        <w:jc w:val="left"/>
      </w:pPr>
      <w:r>
        <w:rPr/>
        <w:t>表采用成本法核算能够对被投资单位实施控制的长期股权投资。</w:t>
      </w:r>
    </w:p>
    <w:p>
      <w:pPr>
        <w:pStyle w:val="BodyText"/>
        <w:spacing w:line="316" w:lineRule="auto" w:before="76"/>
        <w:ind w:left="1494" w:right="0"/>
        <w:jc w:val="left"/>
      </w:pPr>
      <w:r>
        <w:rPr/>
        <w:t>①成本法核算的长期股权投资 </w:t>
      </w:r>
      <w:r>
        <w:rPr>
          <w:spacing w:val="-2"/>
        </w:rPr>
        <w:t>采用成本法核算时，长期股权投资按初始投资成本计价，追加或收回投资调整长期股权投资的成本。除取得投资时实际</w:t>
      </w:r>
    </w:p>
    <w:p>
      <w:pPr>
        <w:pStyle w:val="BodyText"/>
        <w:spacing w:line="316" w:lineRule="auto" w:before="19"/>
        <w:ind w:left="1134" w:right="0"/>
        <w:jc w:val="left"/>
      </w:pPr>
      <w:r>
        <w:rPr>
          <w:spacing w:val="-2"/>
        </w:rPr>
        <w:t>支付的价款或者对价中包含的已宣告但尚未发放的现金股利或者利润外，当期投资收益按照享有被投资单位宣告发放的现金</w:t>
      </w:r>
      <w:r>
        <w:rPr>
          <w:spacing w:val="-64"/>
        </w:rPr>
        <w:t> </w:t>
      </w:r>
      <w:r>
        <w:rPr>
          <w:spacing w:val="-64"/>
        </w:rPr>
      </w:r>
      <w:r>
        <w:rPr/>
        <w:t>股利或利润确认。</w:t>
      </w:r>
    </w:p>
    <w:p>
      <w:pPr>
        <w:pStyle w:val="BodyText"/>
        <w:spacing w:line="316" w:lineRule="auto" w:before="19"/>
        <w:ind w:left="1494" w:right="0"/>
        <w:jc w:val="left"/>
      </w:pPr>
      <w:r>
        <w:rPr/>
        <w:t>②权益法核算的长期股权投资 </w:t>
      </w:r>
      <w:r>
        <w:rPr>
          <w:spacing w:val="-2"/>
        </w:rPr>
        <w:t>采用权益法核算时，长期股权投资的初始投资成本大于投资时应享有被投资单位可辨认净资产公允价值份额的，不调整</w:t>
      </w:r>
    </w:p>
    <w:p>
      <w:pPr>
        <w:pStyle w:val="BodyText"/>
        <w:spacing w:line="316" w:lineRule="auto" w:before="19"/>
        <w:ind w:left="1134" w:right="0"/>
        <w:jc w:val="left"/>
      </w:pPr>
      <w:r>
        <w:rPr>
          <w:spacing w:val="-2"/>
        </w:rPr>
        <w:t>长期股权投资的初始投资成本；初始投资成本小于投资时应享有被投资单位可辨认净资产公允价值份额的，其差额计入当期</w:t>
      </w:r>
      <w:r>
        <w:rPr>
          <w:spacing w:val="-64"/>
        </w:rPr>
        <w:t> </w:t>
      </w:r>
      <w:r>
        <w:rPr>
          <w:spacing w:val="-64"/>
        </w:rPr>
      </w:r>
      <w:r>
        <w:rPr/>
        <w:t>损益，同时调整长期股权投资的成本。</w:t>
      </w:r>
    </w:p>
    <w:p>
      <w:pPr>
        <w:pStyle w:val="BodyText"/>
        <w:spacing w:line="319" w:lineRule="auto" w:before="19"/>
        <w:ind w:left="1134" w:right="1132" w:firstLine="360"/>
        <w:jc w:val="both"/>
      </w:pPr>
      <w:r>
        <w:rPr>
          <w:spacing w:val="-2"/>
        </w:rPr>
        <w:t>采用权益法核算时，按照应享有或应分担的被投资单位实现的净损益和其他综合收益的份额，分别确认投资收益和其他</w:t>
      </w:r>
      <w:r>
        <w:rPr/>
        <w:t> </w:t>
      </w:r>
      <w:r>
        <w:rPr>
          <w:spacing w:val="-2"/>
        </w:rPr>
        <w:t>综合收益，同时调整长期股权投资的账面价值；按照被投资单位宣告分派的利润或现金股利计算应享有的部分，相应减少长</w:t>
      </w:r>
      <w:r>
        <w:rPr>
          <w:spacing w:val="-66"/>
        </w:rPr>
        <w:t> </w:t>
      </w:r>
      <w:r>
        <w:rPr>
          <w:spacing w:val="-66"/>
        </w:rPr>
      </w:r>
      <w:r>
        <w:rPr>
          <w:spacing w:val="-2"/>
        </w:rPr>
        <w:t>期股权投资的账面价值；对于被投资单位除净损益、其他综合收益和利润分配以外所有者权益的其他变动，调整长期股权投</w:t>
      </w:r>
      <w:r>
        <w:rPr>
          <w:spacing w:val="-66"/>
        </w:rPr>
        <w:t> </w:t>
      </w:r>
      <w:r>
        <w:rPr>
          <w:spacing w:val="-66"/>
        </w:rPr>
      </w:r>
      <w:r>
        <w:rPr>
          <w:spacing w:val="-2"/>
        </w:rPr>
        <w:t>资的账面价值并计入资本公积。在确认应享有被投资单位净损益的份额时，以取得投资时被投资单位各项可辨认资产等的公</w:t>
      </w:r>
      <w:r>
        <w:rPr>
          <w:spacing w:val="-64"/>
        </w:rPr>
        <w:t> </w:t>
      </w:r>
      <w:r>
        <w:rPr>
          <w:spacing w:val="-64"/>
        </w:rPr>
      </w:r>
      <w:r>
        <w:rPr>
          <w:spacing w:val="-2"/>
        </w:rPr>
        <w:t>允价值为基础，对被投资单位的净利润进行调整后确认。被投资单位采用的会计政策及会计期间与本公司不一致的，按照本</w:t>
      </w:r>
    </w:p>
    <w:p>
      <w:pPr>
        <w:spacing w:after="0" w:line="319" w:lineRule="auto"/>
        <w:jc w:val="both"/>
        <w:sectPr>
          <w:footerReference w:type="default" r:id="rId15"/>
          <w:pgSz w:w="11910" w:h="16840"/>
          <w:pgMar w:footer="979" w:header="747" w:top="1060" w:bottom="1160" w:left="0" w:right="0"/>
          <w:pgNumType w:start="101"/>
        </w:sectPr>
      </w:pPr>
    </w:p>
    <w:p>
      <w:pPr>
        <w:spacing w:line="240" w:lineRule="auto" w:before="12"/>
        <w:rPr>
          <w:rFonts w:ascii="宋体" w:hAnsi="宋体" w:cs="宋体" w:eastAsia="宋体" w:hint="default"/>
          <w:sz w:val="25"/>
          <w:szCs w:val="25"/>
        </w:rPr>
      </w:pPr>
    </w:p>
    <w:p>
      <w:pPr>
        <w:pStyle w:val="BodyText"/>
        <w:spacing w:line="316" w:lineRule="auto" w:before="44"/>
        <w:ind w:right="1033"/>
        <w:jc w:val="left"/>
      </w:pPr>
      <w:r>
        <w:rPr>
          <w:spacing w:val="-2"/>
        </w:rPr>
        <w:t>公司的会计政策及会计期间对被投资单位的财务报表进行调整，并据以确认投资收益和其他综合收益。对于本公司与联营企</w:t>
      </w:r>
      <w:r>
        <w:rPr>
          <w:spacing w:val="-64"/>
        </w:rPr>
        <w:t> </w:t>
      </w:r>
      <w:r>
        <w:rPr>
          <w:spacing w:val="-64"/>
        </w:rPr>
      </w:r>
      <w:r>
        <w:rPr>
          <w:spacing w:val="-2"/>
        </w:rPr>
        <w:t>业及合营企业之间发生的交易，投出或出售的资产不构成业务的，未实现内部交易损益按照享有的比例计算归属于本公司的</w:t>
      </w:r>
      <w:r>
        <w:rPr>
          <w:spacing w:val="-64"/>
        </w:rPr>
        <w:t> </w:t>
      </w:r>
      <w:r>
        <w:rPr>
          <w:spacing w:val="-64"/>
        </w:rPr>
      </w:r>
      <w:r>
        <w:rPr>
          <w:spacing w:val="-4"/>
        </w:rPr>
        <w:t>部分予以抵销，在此基础上确认投资损益。但本公司与被投资单位发生的未实现内部交易损失，属于所转让资产减值损失的，</w:t>
      </w:r>
      <w:r>
        <w:rPr>
          <w:spacing w:val="-44"/>
        </w:rPr>
        <w:t> </w:t>
      </w:r>
      <w:r>
        <w:rPr>
          <w:spacing w:val="-44"/>
        </w:rPr>
      </w:r>
      <w:r>
        <w:rPr>
          <w:spacing w:val="-2"/>
        </w:rPr>
        <w:t>不予以抵销。本公司向合营企业或联营企业投出的资产构成业务的，投资方因此取得长期股权投资但未取得控制权的，以投</w:t>
      </w:r>
      <w:r>
        <w:rPr>
          <w:spacing w:val="-65"/>
        </w:rPr>
        <w:t> </w:t>
      </w:r>
      <w:r>
        <w:rPr>
          <w:spacing w:val="-65"/>
        </w:rPr>
      </w:r>
      <w:r>
        <w:rPr/>
        <w:t>出业务的公允价值作为新增长期股权投资的初始投资成本，初始投资成本与投出业务的账面价值之差，全额计入当期损益。 </w:t>
      </w:r>
      <w:r>
        <w:rPr>
          <w:spacing w:val="-2"/>
        </w:rPr>
        <w:t>本公司向合营企业或联营企业出售的资产构成业务的，取得的对价与业务的账面价值之差，全额计入当期损益。本公司自联</w:t>
      </w:r>
      <w:r>
        <w:rPr>
          <w:spacing w:val="-66"/>
        </w:rPr>
        <w:t> </w:t>
      </w:r>
      <w:r>
        <w:rPr>
          <w:spacing w:val="-66"/>
        </w:rPr>
      </w:r>
      <w:r>
        <w:rPr>
          <w:spacing w:val="-2"/>
        </w:rPr>
        <w:t>营企业及合营企业购入的资产构成业务的，按《企业会计准则第</w:t>
      </w:r>
      <w:r>
        <w:rPr>
          <w:rFonts w:ascii="宋体" w:hAnsi="宋体" w:cs="宋体" w:eastAsia="宋体" w:hint="default"/>
          <w:spacing w:val="-2"/>
        </w:rPr>
        <w:t>20</w:t>
      </w:r>
      <w:r>
        <w:rPr>
          <w:spacing w:val="-2"/>
        </w:rPr>
        <w:t>号——企业合并》的规定进行会计处理，全额确认与交易</w:t>
      </w:r>
      <w:r>
        <w:rPr>
          <w:spacing w:val="-64"/>
        </w:rPr>
        <w:t> </w:t>
      </w:r>
      <w:r>
        <w:rPr>
          <w:spacing w:val="-64"/>
        </w:rPr>
      </w:r>
      <w:r>
        <w:rPr/>
        <w:t>相关的利得或损失。</w:t>
      </w:r>
    </w:p>
    <w:p>
      <w:pPr>
        <w:pStyle w:val="BodyText"/>
        <w:spacing w:line="316" w:lineRule="auto" w:before="19"/>
        <w:ind w:right="1131" w:firstLine="360"/>
        <w:jc w:val="both"/>
      </w:pPr>
      <w:r>
        <w:rPr>
          <w:spacing w:val="-2"/>
        </w:rPr>
        <w:t>在确认应分担被投资单位发生的净亏损时，以长期股权投资的账面价值和其他实质上构成对被投资单位净投资的长期权</w:t>
      </w:r>
      <w:r>
        <w:rPr/>
        <w:t> </w:t>
      </w:r>
      <w:r>
        <w:rPr>
          <w:spacing w:val="-2"/>
        </w:rPr>
        <w:t>益减记至零为限。此外，如本公司对被投资单位负有承担额外损失的义务，则按预计承担的义务确认预计负债，计入当期投</w:t>
      </w:r>
      <w:r>
        <w:rPr>
          <w:spacing w:val="-66"/>
        </w:rPr>
        <w:t> </w:t>
      </w:r>
      <w:r>
        <w:rPr>
          <w:spacing w:val="-66"/>
        </w:rPr>
      </w:r>
      <w:r>
        <w:rPr/>
        <w:t>资损失。被投资单位以后期间实现净利润的，本公司在收益分享额弥补未确认的亏损分担额后，恢复确认收益分享额。</w:t>
      </w:r>
    </w:p>
    <w:p>
      <w:pPr>
        <w:pStyle w:val="BodyText"/>
        <w:spacing w:line="316" w:lineRule="auto" w:before="19"/>
        <w:ind w:right="1131" w:firstLine="360"/>
        <w:jc w:val="both"/>
      </w:pPr>
      <w:r>
        <w:rPr>
          <w:spacing w:val="-2"/>
        </w:rPr>
        <w:t>对于本公司首次执行新会计准则之前已经持有的对联营企业和合营企业的长期股权投资，如存在与该投资相关的股权投</w:t>
      </w:r>
      <w:r>
        <w:rPr/>
        <w:t> 资借方差额，按原剩余期限直线摊销的金额计入当期损益。</w:t>
      </w:r>
    </w:p>
    <w:p>
      <w:pPr>
        <w:pStyle w:val="BodyText"/>
        <w:spacing w:line="316" w:lineRule="auto" w:before="19"/>
        <w:ind w:left="1494" w:right="0"/>
        <w:jc w:val="left"/>
      </w:pPr>
      <w:r>
        <w:rPr/>
        <w:t>③收购少数股权 </w:t>
      </w:r>
      <w:r>
        <w:rPr>
          <w:spacing w:val="-2"/>
        </w:rPr>
        <w:t>在编制合并财务报表时，因购买少数股权新增的长期股权投资与按照新增持股比例计算应享有子公司自购买日（或合并</w:t>
      </w:r>
    </w:p>
    <w:p>
      <w:pPr>
        <w:pStyle w:val="BodyText"/>
        <w:spacing w:line="240" w:lineRule="auto" w:before="19"/>
        <w:ind w:left="1134" w:right="0"/>
        <w:jc w:val="left"/>
      </w:pPr>
      <w:r>
        <w:rPr/>
        <w:t>日）开始持续计算的净资产份额之间的差额，调整资本公积，资本公积不足冲减的，调整留存收益。</w:t>
      </w:r>
    </w:p>
    <w:p>
      <w:pPr>
        <w:pStyle w:val="BodyText"/>
        <w:spacing w:line="316" w:lineRule="auto" w:before="76"/>
        <w:ind w:left="1493" w:right="0"/>
        <w:jc w:val="left"/>
      </w:pPr>
      <w:r>
        <w:rPr/>
        <w:t>④处置长期股权投资 </w:t>
      </w:r>
      <w:r>
        <w:rPr>
          <w:spacing w:val="-2"/>
        </w:rPr>
        <w:t>在合并财务报表中，母公司在不丧失控制权的情况下部分处置对子公司的长期股权投资，处置价款与处置长期股权投资</w:t>
      </w:r>
    </w:p>
    <w:p>
      <w:pPr>
        <w:pStyle w:val="BodyText"/>
        <w:spacing w:line="316" w:lineRule="auto" w:before="19"/>
        <w:ind w:right="0"/>
        <w:jc w:val="left"/>
      </w:pPr>
      <w:r>
        <w:rPr>
          <w:spacing w:val="-2"/>
        </w:rPr>
        <w:t>相对应享有子公司净资产的差额计入股东权益；母公司部分处置对子公司的长期股权投资导致丧失对子公司控制权的，按本</w:t>
      </w:r>
      <w:r>
        <w:rPr>
          <w:spacing w:val="-64"/>
        </w:rPr>
        <w:t> </w:t>
      </w:r>
      <w:r>
        <w:rPr>
          <w:spacing w:val="-64"/>
        </w:rPr>
      </w:r>
      <w:r>
        <w:rPr/>
        <w:t>附注五、</w:t>
      </w:r>
      <w:r>
        <w:rPr>
          <w:rFonts w:ascii="宋体" w:hAnsi="宋体" w:cs="宋体" w:eastAsia="宋体" w:hint="default"/>
        </w:rPr>
        <w:t>6</w:t>
      </w:r>
      <w:r>
        <w:rPr/>
        <w:t>、（</w:t>
      </w:r>
      <w:r>
        <w:rPr>
          <w:rFonts w:ascii="宋体" w:hAnsi="宋体" w:cs="宋体" w:eastAsia="宋体" w:hint="default"/>
        </w:rPr>
        <w:t>2</w:t>
      </w:r>
      <w:r>
        <w:rPr/>
        <w:t>）“合并财务报表编制的方法”中所述的相关会计政策处理。</w:t>
      </w:r>
    </w:p>
    <w:p>
      <w:pPr>
        <w:pStyle w:val="BodyText"/>
        <w:spacing w:line="316" w:lineRule="auto" w:before="19"/>
        <w:ind w:left="1493" w:right="0"/>
        <w:jc w:val="left"/>
      </w:pPr>
      <w:r>
        <w:rPr/>
        <w:t>其他情形下的长期股权投资处置，对于处置的股权，其账面价值与实际取得价款的差额，计入当期损益。 </w:t>
      </w:r>
      <w:r>
        <w:rPr>
          <w:spacing w:val="-2"/>
        </w:rPr>
        <w:t>采用权益法核算的长期股权投资，处置后的剩余股权仍采用权益法核算的，在处置时将原计入股东权益的其他综合收益</w:t>
      </w:r>
    </w:p>
    <w:p>
      <w:pPr>
        <w:pStyle w:val="BodyText"/>
        <w:spacing w:line="316" w:lineRule="auto" w:before="19"/>
        <w:ind w:right="0"/>
        <w:jc w:val="left"/>
      </w:pPr>
      <w:r>
        <w:rPr>
          <w:spacing w:val="-2"/>
        </w:rPr>
        <w:t>部分按相应的比例采用与被投资单位直接处置相关资产或负债相同的基础进行会计处理。因被投资方除净损益、其他综合收</w:t>
      </w:r>
      <w:r>
        <w:rPr>
          <w:spacing w:val="-64"/>
        </w:rPr>
        <w:t> </w:t>
      </w:r>
      <w:r>
        <w:rPr>
          <w:spacing w:val="-64"/>
        </w:rPr>
      </w:r>
      <w:r>
        <w:rPr/>
        <w:t>益和利润分配以外的其他所有者权益变动而确认的所有者权益，按比例结转入当期损益。</w:t>
      </w:r>
    </w:p>
    <w:p>
      <w:pPr>
        <w:pStyle w:val="BodyText"/>
        <w:spacing w:line="316" w:lineRule="auto" w:before="19"/>
        <w:ind w:right="1131" w:firstLine="360"/>
        <w:jc w:val="both"/>
      </w:pPr>
      <w:r>
        <w:rPr>
          <w:spacing w:val="-2"/>
        </w:rPr>
        <w:t>采用成本法核算的长期股权投资，处置后剩余股权仍采用成本法核算的，其在取得对被投资单位的控制之前因采用权益</w:t>
      </w:r>
      <w:r>
        <w:rPr/>
        <w:t> </w:t>
      </w:r>
      <w:r>
        <w:rPr>
          <w:spacing w:val="-2"/>
        </w:rPr>
        <w:t>法核算或金融工具确认和计量准则核算而确认的其他综合收益，采用与被投资单位直接处置相关资产或负债相同的基础进行</w:t>
      </w:r>
      <w:r>
        <w:rPr>
          <w:spacing w:val="-64"/>
        </w:rPr>
        <w:t> </w:t>
      </w:r>
      <w:r>
        <w:rPr>
          <w:spacing w:val="-64"/>
        </w:rPr>
      </w:r>
      <w:r>
        <w:rPr>
          <w:spacing w:val="-2"/>
        </w:rPr>
        <w:t>会计处理，并按比例结转当期损益；因采用权益法核算而确认的被投资单位净资产中除净损益、其他综合收益和利润分配以</w:t>
      </w:r>
      <w:r>
        <w:rPr>
          <w:spacing w:val="-65"/>
        </w:rPr>
        <w:t> </w:t>
      </w:r>
      <w:r>
        <w:rPr>
          <w:spacing w:val="-65"/>
        </w:rPr>
      </w:r>
      <w:r>
        <w:rPr/>
        <w:t>外的其他所有者权益变动按比例结转当期损益。</w:t>
      </w:r>
    </w:p>
    <w:p>
      <w:pPr>
        <w:pStyle w:val="BodyText"/>
        <w:spacing w:line="316" w:lineRule="auto" w:before="19"/>
        <w:ind w:right="1131" w:firstLine="360"/>
        <w:jc w:val="both"/>
      </w:pPr>
      <w:r>
        <w:rPr>
          <w:spacing w:val="-2"/>
        </w:rPr>
        <w:t>本公司因处置部分股权投资丧失了对被投资单位的控制的，在编制个别财务报表时，处置后的剩余股权能够对被投资单</w:t>
      </w:r>
      <w:r>
        <w:rPr/>
        <w:t> </w:t>
      </w:r>
      <w:r>
        <w:rPr>
          <w:spacing w:val="-2"/>
        </w:rPr>
        <w:t>位实施共同控制或施加重大影响的，改按权益法核算，并对该剩余股权视同自取得时即采用权益法核算进行调整；处置后的</w:t>
      </w:r>
      <w:r>
        <w:rPr>
          <w:spacing w:val="-66"/>
        </w:rPr>
        <w:t> </w:t>
      </w:r>
      <w:r>
        <w:rPr>
          <w:spacing w:val="-66"/>
        </w:rPr>
      </w:r>
      <w:r>
        <w:rPr>
          <w:spacing w:val="-2"/>
        </w:rPr>
        <w:t>剩余股权不能对被投资单位实施共同控制或施加重大影响的，改按金融工具确认和计量准则的有关规定进行会计处理，其在</w:t>
      </w:r>
      <w:r>
        <w:rPr>
          <w:spacing w:val="-64"/>
        </w:rPr>
        <w:t> </w:t>
      </w:r>
      <w:r>
        <w:rPr>
          <w:spacing w:val="-64"/>
        </w:rPr>
      </w:r>
      <w:r>
        <w:rPr>
          <w:spacing w:val="-2"/>
        </w:rPr>
        <w:t>丧失控制之日的公允价值与账面价值之间的差额计入当期损益。对于本公司取得对被投资单位的控制之前，因采用权益法核</w:t>
      </w:r>
      <w:r>
        <w:rPr>
          <w:spacing w:val="-64"/>
        </w:rPr>
        <w:t> </w:t>
      </w:r>
      <w:r>
        <w:rPr>
          <w:spacing w:val="-64"/>
        </w:rPr>
      </w:r>
      <w:r>
        <w:rPr>
          <w:spacing w:val="-2"/>
        </w:rPr>
        <w:t>算或金融工具确认和计量准则核算而确认的其他综合收益，在丧失对被投资单位控制时采用与被投资单位直接处置相关资产</w:t>
      </w:r>
      <w:r>
        <w:rPr>
          <w:spacing w:val="-64"/>
        </w:rPr>
        <w:t> </w:t>
      </w:r>
      <w:r>
        <w:rPr>
          <w:spacing w:val="-64"/>
        </w:rPr>
      </w:r>
      <w:r>
        <w:rPr>
          <w:spacing w:val="-2"/>
        </w:rPr>
        <w:t>或负债相同的基础进行会计处理，因采用权益法核算而确认的被投资单位净资产中除净损益、其他综合收益和利润分配以外</w:t>
      </w:r>
      <w:r>
        <w:rPr>
          <w:spacing w:val="-64"/>
        </w:rPr>
        <w:t> </w:t>
      </w:r>
      <w:r>
        <w:rPr>
          <w:spacing w:val="-64"/>
        </w:rPr>
      </w:r>
      <w:r>
        <w:rPr>
          <w:spacing w:val="-2"/>
        </w:rPr>
        <w:t>的其他所有者权益变动在丧失对被投资单位控制时结转入当期损益。其中，处置后的剩余股权采用权益法核算的，其他综合</w:t>
      </w:r>
      <w:r>
        <w:rPr>
          <w:spacing w:val="-66"/>
        </w:rPr>
        <w:t> </w:t>
      </w:r>
      <w:r>
        <w:rPr>
          <w:spacing w:val="-66"/>
        </w:rPr>
      </w:r>
      <w:r>
        <w:rPr>
          <w:spacing w:val="-2"/>
        </w:rPr>
        <w:t>收益和其他所有者权益按比例结转；处置后的剩余股权改按金融工具确认和计量准则进行会计处理的，其他综合收益和其他</w:t>
      </w:r>
      <w:r>
        <w:rPr>
          <w:spacing w:val="-64"/>
        </w:rPr>
        <w:t> </w:t>
      </w:r>
      <w:r>
        <w:rPr>
          <w:spacing w:val="-64"/>
        </w:rPr>
      </w:r>
      <w:r>
        <w:rPr/>
        <w:t>所有者权益全部结转。</w:t>
      </w:r>
    </w:p>
    <w:p>
      <w:pPr>
        <w:pStyle w:val="BodyText"/>
        <w:spacing w:line="319" w:lineRule="auto" w:before="19"/>
        <w:ind w:right="1033" w:firstLine="360"/>
        <w:jc w:val="left"/>
      </w:pPr>
      <w:r>
        <w:rPr>
          <w:spacing w:val="-2"/>
        </w:rPr>
        <w:t>本公司因处置部分股权投资丧失了对被投资单位的共同控制或重大影响的，处置后的剩余股权改按金融工具确认和计量</w:t>
      </w:r>
      <w:r>
        <w:rPr/>
        <w:t> </w:t>
      </w:r>
      <w:r>
        <w:rPr>
          <w:spacing w:val="-2"/>
        </w:rPr>
        <w:t>准则核算，其在丧失共同控制或重大影响之日的公允价值与账面价值之间的差额计入当期损益。原股权投资因采用权益法核</w:t>
      </w:r>
      <w:r>
        <w:rPr>
          <w:spacing w:val="-64"/>
        </w:rPr>
        <w:t> </w:t>
      </w:r>
      <w:r>
        <w:rPr>
          <w:spacing w:val="-64"/>
        </w:rPr>
      </w:r>
      <w:r>
        <w:rPr/>
        <w:t>算而确认的其他综合收益，在终止采用权益法核算时采用与被投资单位直接处置相关资产或负债相同的基础进行会计处理， </w:t>
      </w:r>
      <w:r>
        <w:rPr>
          <w:spacing w:val="-2"/>
        </w:rPr>
        <w:t>因被投资方除净损益、其他综合收益和利润分配以外的其他所有者权益变动而确认的所有者权益，在终止采用权益法时全部</w:t>
      </w:r>
      <w:r>
        <w:rPr>
          <w:spacing w:val="-64"/>
        </w:rPr>
        <w:t> </w:t>
      </w:r>
      <w:r>
        <w:rPr>
          <w:spacing w:val="-64"/>
        </w:rPr>
      </w:r>
      <w:r>
        <w:rPr/>
        <w:t>转入当期投资收益。</w:t>
      </w:r>
    </w:p>
    <w:p>
      <w:pPr>
        <w:pStyle w:val="BodyText"/>
        <w:spacing w:line="316" w:lineRule="auto" w:before="17"/>
        <w:ind w:right="1131" w:firstLine="360"/>
        <w:jc w:val="both"/>
      </w:pPr>
      <w:r>
        <w:rPr>
          <w:spacing w:val="-2"/>
        </w:rPr>
        <w:t>本公司通过多次交易分步处置对子公司股权投资直至丧失控制权，如果上述交易属于一揽子交易的，将各项交易作为一</w:t>
      </w:r>
      <w:r>
        <w:rPr/>
        <w:t> </w:t>
      </w:r>
      <w:r>
        <w:rPr>
          <w:spacing w:val="-2"/>
        </w:rPr>
        <w:t>项处置子公司股权投资并丧失控制权的交易进行会计处理，在丧失控制权之前每一次处置价款与所处置的股权对应的长期股</w:t>
      </w:r>
    </w:p>
    <w:p>
      <w:pPr>
        <w:spacing w:after="0" w:line="316" w:lineRule="auto"/>
        <w:jc w:val="both"/>
        <w:sectPr>
          <w:pgSz w:w="11910" w:h="16840"/>
          <w:pgMar w:header="747" w:footer="979" w:top="1060" w:bottom="1160" w:left="0" w:right="0"/>
        </w:sectPr>
      </w:pPr>
    </w:p>
    <w:p>
      <w:pPr>
        <w:spacing w:line="240" w:lineRule="auto" w:before="12"/>
        <w:rPr>
          <w:rFonts w:ascii="宋体" w:hAnsi="宋体" w:cs="宋体" w:eastAsia="宋体" w:hint="default"/>
          <w:sz w:val="25"/>
          <w:szCs w:val="25"/>
        </w:rPr>
      </w:pPr>
    </w:p>
    <w:p>
      <w:pPr>
        <w:pStyle w:val="BodyText"/>
        <w:spacing w:line="240" w:lineRule="auto" w:before="44"/>
        <w:ind w:right="0"/>
        <w:jc w:val="left"/>
      </w:pPr>
      <w:r>
        <w:rPr/>
        <w:t>权投资账面价值之间的差额，先确认为其他综合收益，到丧失控制权时再一并转入丧失控制权的当期损益。</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0"/>
          <w:szCs w:val="20"/>
        </w:rPr>
      </w:pPr>
    </w:p>
    <w:p>
      <w:pPr>
        <w:pStyle w:val="Heading3"/>
        <w:spacing w:line="240" w:lineRule="auto"/>
        <w:ind w:right="0"/>
        <w:jc w:val="left"/>
        <w:rPr>
          <w:b w:val="0"/>
          <w:bCs w:val="0"/>
        </w:rPr>
      </w:pPr>
      <w:bookmarkStart w:name="15、固定资产" w:id="187"/>
      <w:bookmarkEnd w:id="187"/>
      <w:r>
        <w:rPr>
          <w:b w:val="0"/>
          <w:bCs w:val="0"/>
        </w:rPr>
      </w:r>
      <w:r>
        <w:rPr>
          <w:rFonts w:ascii="Times New Roman" w:hAnsi="Times New Roman" w:cs="Times New Roman" w:eastAsia="Times New Roman" w:hint="default"/>
        </w:rPr>
        <w:t>15</w:t>
      </w:r>
      <w:r>
        <w:rPr/>
        <w:t>、固定资产</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34" w:right="0"/>
        <w:jc w:val="left"/>
        <w:rPr>
          <w:b w:val="0"/>
          <w:bCs w:val="0"/>
        </w:rPr>
      </w:pPr>
      <w:bookmarkStart w:name="（1）确认条件" w:id="188"/>
      <w:bookmarkEnd w:id="188"/>
      <w:r>
        <w:rPr>
          <w:b w:val="0"/>
          <w:bCs w:val="0"/>
        </w:rPr>
      </w:r>
      <w:r>
        <w:rPr/>
        <w:t>（</w:t>
      </w:r>
      <w:r>
        <w:rPr>
          <w:rFonts w:ascii="Times New Roman" w:hAnsi="Times New Roman" w:cs="Times New Roman" w:eastAsia="Times New Roman" w:hint="default"/>
        </w:rPr>
        <w:t>1</w:t>
      </w:r>
      <w:r>
        <w:rPr/>
        <w:t>）确认条件</w:t>
      </w:r>
      <w:r>
        <w:rPr>
          <w:b w:val="0"/>
          <w:bCs w:val="0"/>
        </w:rPr>
      </w:r>
    </w:p>
    <w:p>
      <w:pPr>
        <w:spacing w:line="240" w:lineRule="auto" w:before="7"/>
        <w:rPr>
          <w:rFonts w:ascii="宋体" w:hAnsi="宋体" w:cs="宋体" w:eastAsia="宋体" w:hint="default"/>
          <w:b/>
          <w:bCs/>
          <w:sz w:val="26"/>
          <w:szCs w:val="26"/>
        </w:rPr>
      </w:pPr>
    </w:p>
    <w:p>
      <w:pPr>
        <w:pStyle w:val="BodyText"/>
        <w:spacing w:line="319" w:lineRule="auto"/>
        <w:ind w:left="1134" w:right="1131" w:firstLine="360"/>
        <w:jc w:val="both"/>
      </w:pPr>
      <w:r>
        <w:rPr>
          <w:spacing w:val="-2"/>
        </w:rPr>
        <w:t>固定资产是指为生产商品、提供劳务、出租或经营管理而持有的，使用寿命超过一个会计年度的有形资产。固定资产仅</w:t>
      </w:r>
      <w:r>
        <w:rPr/>
        <w:t> </w:t>
      </w:r>
      <w:r>
        <w:rPr>
          <w:spacing w:val="-2"/>
        </w:rPr>
        <w:t>在与其有关的经济利益很可能流入本公司，且其成本能够可靠地计量时才予以确认。固定资产按成本并考虑预计弃置费用因</w:t>
      </w:r>
      <w:r>
        <w:rPr>
          <w:spacing w:val="-64"/>
        </w:rPr>
        <w:t> </w:t>
      </w:r>
      <w:r>
        <w:rPr>
          <w:spacing w:val="-64"/>
        </w:rPr>
      </w:r>
      <w:r>
        <w:rPr/>
        <w:t>素的影响进行初始计量</w:t>
      </w:r>
    </w:p>
    <w:p>
      <w:pPr>
        <w:spacing w:line="240" w:lineRule="auto" w:before="3"/>
        <w:rPr>
          <w:rFonts w:ascii="宋体" w:hAnsi="宋体" w:cs="宋体" w:eastAsia="宋体" w:hint="default"/>
          <w:sz w:val="22"/>
          <w:szCs w:val="22"/>
        </w:rPr>
      </w:pPr>
    </w:p>
    <w:p>
      <w:pPr>
        <w:pStyle w:val="Heading3"/>
        <w:spacing w:line="240" w:lineRule="auto"/>
        <w:ind w:left="1134" w:right="0"/>
        <w:jc w:val="left"/>
        <w:rPr>
          <w:b w:val="0"/>
          <w:bCs w:val="0"/>
        </w:rPr>
      </w:pPr>
      <w:bookmarkStart w:name="（2）折旧方法" w:id="189"/>
      <w:bookmarkEnd w:id="189"/>
      <w:r>
        <w:rPr>
          <w:b w:val="0"/>
          <w:bCs w:val="0"/>
        </w:rPr>
      </w:r>
      <w:r>
        <w:rPr/>
        <w:t>（</w:t>
      </w:r>
      <w:r>
        <w:rPr>
          <w:rFonts w:ascii="Times New Roman" w:hAnsi="Times New Roman" w:cs="Times New Roman" w:eastAsia="Times New Roman" w:hint="default"/>
        </w:rPr>
        <w:t>2</w:t>
      </w:r>
      <w:r>
        <w:rPr/>
        <w:t>）折旧方法</w:t>
      </w:r>
      <w:r>
        <w:rPr>
          <w:b w:val="0"/>
          <w:bCs w:val="0"/>
        </w:rPr>
      </w:r>
    </w:p>
    <w:p>
      <w:pPr>
        <w:spacing w:line="240" w:lineRule="auto" w:before="11"/>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1914"/>
        <w:gridCol w:w="1914"/>
        <w:gridCol w:w="1914"/>
        <w:gridCol w:w="1914"/>
        <w:gridCol w:w="1914"/>
      </w:tblGrid>
      <w:tr>
        <w:trPr>
          <w:trHeight w:val="401"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折旧方法</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折旧年限</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残值率</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年折旧率</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40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2.45</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10-20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4.75-9.50</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19.00</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19.00</w:t>
            </w:r>
          </w:p>
        </w:tc>
      </w:tr>
      <w:tr>
        <w:trPr>
          <w:trHeight w:val="403"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19.00</w:t>
            </w:r>
          </w:p>
        </w:tc>
      </w:tr>
    </w:tbl>
    <w:p>
      <w:pPr>
        <w:spacing w:line="240" w:lineRule="auto" w:before="3"/>
        <w:rPr>
          <w:rFonts w:ascii="宋体" w:hAnsi="宋体" w:cs="宋体" w:eastAsia="宋体" w:hint="default"/>
          <w:b/>
          <w:bCs/>
          <w:sz w:val="19"/>
          <w:szCs w:val="19"/>
        </w:rPr>
      </w:pPr>
    </w:p>
    <w:p>
      <w:pPr>
        <w:pStyle w:val="Heading3"/>
        <w:spacing w:line="240" w:lineRule="auto" w:before="35"/>
        <w:ind w:left="1134" w:right="0"/>
        <w:jc w:val="left"/>
        <w:rPr>
          <w:b w:val="0"/>
          <w:bCs w:val="0"/>
        </w:rPr>
      </w:pPr>
      <w:bookmarkStart w:name="（3）融资租入固定资产的认定依据、计价和折旧方法" w:id="190"/>
      <w:bookmarkEnd w:id="190"/>
      <w:r>
        <w:rPr>
          <w:b w:val="0"/>
          <w:bCs w:val="0"/>
        </w:rPr>
      </w:r>
      <w:r>
        <w:rPr/>
        <w:t>（</w:t>
      </w:r>
      <w:r>
        <w:rPr>
          <w:rFonts w:ascii="Times New Roman" w:hAnsi="Times New Roman" w:cs="Times New Roman" w:eastAsia="Times New Roman" w:hint="default"/>
        </w:rPr>
        <w:t>3</w:t>
      </w:r>
      <w:r>
        <w:rPr/>
        <w:t>）融资租入固定资产的认定依据、计价和折旧方法</w:t>
      </w:r>
      <w:r>
        <w:rPr>
          <w:b w:val="0"/>
          <w:bCs w:val="0"/>
        </w:rPr>
      </w:r>
    </w:p>
    <w:p>
      <w:pPr>
        <w:spacing w:line="240" w:lineRule="auto" w:before="7"/>
        <w:rPr>
          <w:rFonts w:ascii="宋体" w:hAnsi="宋体" w:cs="宋体" w:eastAsia="宋体" w:hint="default"/>
          <w:b/>
          <w:bCs/>
          <w:sz w:val="26"/>
          <w:szCs w:val="26"/>
        </w:rPr>
      </w:pPr>
    </w:p>
    <w:p>
      <w:pPr>
        <w:pStyle w:val="BodyText"/>
        <w:spacing w:line="319" w:lineRule="auto"/>
        <w:ind w:left="1134" w:right="1131" w:firstLine="360"/>
        <w:jc w:val="both"/>
      </w:pPr>
      <w:r>
        <w:rPr>
          <w:spacing w:val="-2"/>
        </w:rPr>
        <w:t>融资租赁为实质上转移了与资产所有权有关的全部风险和报酬的租赁，其所有权最终可能转移，也可能不转移。以融资</w:t>
      </w:r>
      <w:r>
        <w:rPr/>
        <w:t> </w:t>
      </w:r>
      <w:r>
        <w:rPr>
          <w:spacing w:val="-2"/>
        </w:rPr>
        <w:t>租赁方式租入的固定资产采用与自有固定资产一致的政策计提租赁资产折旧。能够合理确定租赁期届满时取得租赁资产所有</w:t>
      </w:r>
      <w:r>
        <w:rPr>
          <w:spacing w:val="-64"/>
        </w:rPr>
        <w:t> </w:t>
      </w:r>
      <w:r>
        <w:rPr>
          <w:spacing w:val="-64"/>
        </w:rPr>
      </w:r>
      <w:r>
        <w:rPr>
          <w:spacing w:val="-2"/>
        </w:rPr>
        <w:t>权的，在租赁资产使用寿命内计提折旧；无法合理确定租赁期届满能够取得租赁资产所有权的，在租赁期与租赁资产使用寿</w:t>
      </w:r>
      <w:r>
        <w:rPr>
          <w:spacing w:val="-66"/>
        </w:rPr>
        <w:t> </w:t>
      </w:r>
      <w:r>
        <w:rPr>
          <w:spacing w:val="-66"/>
        </w:rPr>
      </w:r>
      <w:r>
        <w:rPr/>
        <w:t>命两者中较短的期间内计提折旧。</w:t>
      </w:r>
    </w:p>
    <w:p>
      <w:pPr>
        <w:spacing w:line="240" w:lineRule="auto" w:before="3"/>
        <w:rPr>
          <w:rFonts w:ascii="宋体" w:hAnsi="宋体" w:cs="宋体" w:eastAsia="宋体" w:hint="default"/>
          <w:sz w:val="22"/>
          <w:szCs w:val="22"/>
        </w:rPr>
      </w:pPr>
    </w:p>
    <w:p>
      <w:pPr>
        <w:pStyle w:val="Heading3"/>
        <w:spacing w:line="240" w:lineRule="auto"/>
        <w:ind w:left="1134" w:right="0"/>
        <w:jc w:val="left"/>
        <w:rPr>
          <w:b w:val="0"/>
          <w:bCs w:val="0"/>
        </w:rPr>
      </w:pPr>
      <w:bookmarkStart w:name="16、在建工程" w:id="191"/>
      <w:bookmarkEnd w:id="191"/>
      <w:r>
        <w:rPr>
          <w:b w:val="0"/>
          <w:bCs w:val="0"/>
        </w:rPr>
      </w:r>
      <w:r>
        <w:rPr>
          <w:rFonts w:ascii="Times New Roman" w:hAnsi="Times New Roman" w:cs="Times New Roman" w:eastAsia="Times New Roman" w:hint="default"/>
        </w:rPr>
        <w:t>16</w:t>
      </w:r>
      <w:r>
        <w:rPr/>
        <w:t>、在建工程</w:t>
      </w:r>
      <w:r>
        <w:rPr>
          <w:b w:val="0"/>
          <w:bCs w:val="0"/>
        </w:rPr>
      </w:r>
    </w:p>
    <w:p>
      <w:pPr>
        <w:spacing w:line="240" w:lineRule="auto" w:before="9"/>
        <w:rPr>
          <w:rFonts w:ascii="宋体" w:hAnsi="宋体" w:cs="宋体" w:eastAsia="宋体" w:hint="default"/>
          <w:b/>
          <w:bCs/>
          <w:sz w:val="26"/>
          <w:szCs w:val="26"/>
        </w:rPr>
      </w:pPr>
    </w:p>
    <w:p>
      <w:pPr>
        <w:pStyle w:val="BodyText"/>
        <w:spacing w:line="357" w:lineRule="auto"/>
        <w:ind w:left="1134" w:right="7692"/>
        <w:jc w:val="left"/>
      </w:pPr>
      <w:r>
        <w:rPr/>
        <w:t>公司是否需要遵守特殊行业的披露要求 否</w:t>
      </w:r>
    </w:p>
    <w:p>
      <w:pPr>
        <w:pStyle w:val="BodyText"/>
        <w:spacing w:line="319" w:lineRule="auto" w:before="26"/>
        <w:ind w:left="1134" w:right="1132" w:firstLine="360"/>
        <w:jc w:val="both"/>
      </w:pPr>
      <w:r>
        <w:rPr>
          <w:spacing w:val="-2"/>
        </w:rPr>
        <w:t>在建工程成本按实际工程支出确定，包括在建期间发生的各项工程支出、工程达到预定可使用状态前的资本化的借款费</w:t>
      </w:r>
      <w:r>
        <w:rPr/>
        <w:t> 用以及其他相关费用等。在建工程在达到预定可使用状态后结转为固定资产。</w:t>
      </w:r>
    </w:p>
    <w:p>
      <w:pPr>
        <w:pStyle w:val="BodyText"/>
        <w:spacing w:line="240" w:lineRule="auto" w:before="58"/>
        <w:ind w:left="1493" w:right="0"/>
        <w:jc w:val="left"/>
      </w:pPr>
      <w:r>
        <w:rPr/>
        <w:t>在建工程的减值测试方法和减值准备计提方法详见附注五、</w:t>
      </w:r>
      <w:r>
        <w:rPr>
          <w:rFonts w:ascii="Times New Roman" w:hAnsi="Times New Roman" w:cs="Times New Roman" w:eastAsia="Times New Roman" w:hint="default"/>
        </w:rPr>
        <w:t>19</w:t>
      </w:r>
      <w:r>
        <w:rPr>
          <w:rFonts w:ascii="Times New Roman" w:hAnsi="Times New Roman" w:cs="Times New Roman" w:eastAsia="Times New Roman" w:hint="default"/>
        </w:rPr>
        <w:t>“</w:t>
      </w:r>
      <w:r>
        <w:rPr/>
        <w:t>长期资产减值</w:t>
      </w:r>
      <w:r>
        <w:rPr>
          <w:rFonts w:ascii="Times New Roman" w:hAnsi="Times New Roman" w:cs="Times New Roman" w:eastAsia="Times New Roman" w:hint="default"/>
        </w:rPr>
        <w:t>”</w:t>
      </w:r>
      <w:r>
        <w:rPr/>
        <w:t>。</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17、借款费用" w:id="192"/>
      <w:bookmarkEnd w:id="192"/>
      <w:r>
        <w:rPr>
          <w:b w:val="0"/>
          <w:bCs w:val="0"/>
        </w:rPr>
      </w:r>
      <w:r>
        <w:rPr>
          <w:rFonts w:ascii="Times New Roman" w:hAnsi="Times New Roman" w:cs="Times New Roman" w:eastAsia="Times New Roman" w:hint="default"/>
        </w:rPr>
        <w:t>17</w:t>
      </w:r>
      <w:r>
        <w:rPr/>
        <w:t>、借款费用</w:t>
      </w:r>
      <w:r>
        <w:rPr>
          <w:b w:val="0"/>
          <w:bCs w:val="0"/>
        </w:rPr>
      </w:r>
    </w:p>
    <w:p>
      <w:pPr>
        <w:spacing w:line="240" w:lineRule="auto" w:before="8"/>
        <w:rPr>
          <w:rFonts w:ascii="宋体" w:hAnsi="宋体" w:cs="宋体" w:eastAsia="宋体" w:hint="default"/>
          <w:b/>
          <w:bCs/>
          <w:sz w:val="26"/>
          <w:szCs w:val="26"/>
        </w:rPr>
      </w:pPr>
    </w:p>
    <w:p>
      <w:pPr>
        <w:pStyle w:val="BodyText"/>
        <w:spacing w:line="319" w:lineRule="auto"/>
        <w:ind w:left="1134" w:right="1131" w:firstLine="360"/>
        <w:jc w:val="both"/>
      </w:pPr>
      <w:r>
        <w:rPr>
          <w:spacing w:val="-2"/>
        </w:rPr>
        <w:t>借款费用包括借款利息、折价或溢价的摊销、辅助费用以及因外币借款而发生的汇兑差额等。可直接归属于符合资本化</w:t>
      </w:r>
      <w:r>
        <w:rPr/>
        <w:t> </w:t>
      </w:r>
      <w:r>
        <w:rPr>
          <w:spacing w:val="-2"/>
        </w:rPr>
        <w:t>条件的资产的购建或者生产的借款费用，在资产支出已经发生、借款费用已经发生、为使资产达到预定可使用或可销售状态</w:t>
      </w:r>
      <w:r>
        <w:rPr>
          <w:spacing w:val="-66"/>
        </w:rPr>
        <w:t> </w:t>
      </w:r>
      <w:r>
        <w:rPr>
          <w:spacing w:val="-66"/>
        </w:rPr>
      </w:r>
      <w:r>
        <w:rPr>
          <w:spacing w:val="-2"/>
        </w:rPr>
        <w:t>所必要的购建或生产活动已经开始时，开始资本化；构建或者生产的符合资本化条件的资产达到预定可使用状态或者可销售</w:t>
      </w:r>
      <w:r>
        <w:rPr>
          <w:spacing w:val="-64"/>
        </w:rPr>
        <w:t> </w:t>
      </w:r>
      <w:r>
        <w:rPr>
          <w:spacing w:val="-64"/>
        </w:rPr>
      </w:r>
      <w:r>
        <w:rPr/>
        <w:t>状态时，停止资本化。其余借款费用在发生当期确认为费用。</w:t>
      </w:r>
    </w:p>
    <w:p>
      <w:pPr>
        <w:spacing w:after="0" w:line="319" w:lineRule="auto"/>
        <w:jc w:val="both"/>
        <w:sectPr>
          <w:pgSz w:w="11910" w:h="16840"/>
          <w:pgMar w:header="747" w:footer="979" w:top="1060" w:bottom="1160" w:left="0" w:right="0"/>
        </w:sectPr>
      </w:pPr>
    </w:p>
    <w:p>
      <w:pPr>
        <w:spacing w:line="240" w:lineRule="auto" w:before="12"/>
        <w:rPr>
          <w:rFonts w:ascii="宋体" w:hAnsi="宋体" w:cs="宋体" w:eastAsia="宋体" w:hint="default"/>
          <w:sz w:val="25"/>
          <w:szCs w:val="25"/>
        </w:rPr>
      </w:pPr>
    </w:p>
    <w:p>
      <w:pPr>
        <w:pStyle w:val="BodyText"/>
        <w:spacing w:line="319" w:lineRule="auto" w:before="44"/>
        <w:ind w:right="1131" w:firstLine="360"/>
        <w:jc w:val="both"/>
      </w:pPr>
      <w:r>
        <w:rPr>
          <w:spacing w:val="-2"/>
        </w:rPr>
        <w:t>专门借款当期实际发生的利息费用，减去尚未动用的借款资金存入银行取得的利息收入或进行暂时性投资取得的投资收</w:t>
      </w:r>
      <w:r>
        <w:rPr/>
        <w:t> </w:t>
      </w:r>
      <w:r>
        <w:rPr>
          <w:spacing w:val="-2"/>
        </w:rPr>
        <w:t>益后的金额予以资本化；一般借款根据累计资产支出超过专门借款部分的资产支出加权平均数乘以所占用一般借款的资本化</w:t>
      </w:r>
      <w:r>
        <w:rPr>
          <w:spacing w:val="-64"/>
        </w:rPr>
        <w:t> </w:t>
      </w:r>
      <w:r>
        <w:rPr>
          <w:spacing w:val="-64"/>
        </w:rPr>
      </w:r>
      <w:r>
        <w:rPr/>
        <w:t>率，确定资本化金额。资本化率根据一般借款的加权平均利率计算确定。</w:t>
      </w:r>
    </w:p>
    <w:p>
      <w:pPr>
        <w:pStyle w:val="BodyText"/>
        <w:spacing w:line="357" w:lineRule="auto" w:before="56"/>
        <w:ind w:left="1493" w:right="0"/>
        <w:jc w:val="left"/>
      </w:pPr>
      <w:r>
        <w:rPr/>
        <w:t>资本化期间内，外币专门借款的汇兑差额全部予以资本化；外币一般借款的汇兑差额计入当期损益。 </w:t>
      </w:r>
      <w:r>
        <w:rPr>
          <w:spacing w:val="-2"/>
        </w:rPr>
        <w:t>符合资本化条件的资产指需要经过相当长时间的购建或者生产活动才能达到预定可使用或可销售状态的固定资产、投资</w:t>
      </w:r>
    </w:p>
    <w:p>
      <w:pPr>
        <w:pStyle w:val="BodyText"/>
        <w:spacing w:line="225" w:lineRule="exact"/>
        <w:ind w:right="0"/>
        <w:jc w:val="left"/>
      </w:pPr>
      <w:r>
        <w:rPr/>
        <w:t>性房地产和存货等资产。</w:t>
      </w:r>
    </w:p>
    <w:p>
      <w:pPr>
        <w:pStyle w:val="BodyText"/>
        <w:spacing w:line="302" w:lineRule="auto" w:before="115"/>
        <w:ind w:right="1130" w:firstLine="360"/>
        <w:jc w:val="both"/>
      </w:pPr>
      <w:r>
        <w:rPr/>
        <w:t>如果符合资本化条件的资产在购建或生产过程中发生非正常中断、并且中断时间连续超过</w:t>
      </w:r>
      <w:r>
        <w:rPr>
          <w:spacing w:val="-61"/>
        </w:rPr>
        <w:t> </w:t>
      </w:r>
      <w:r>
        <w:rPr>
          <w:rFonts w:ascii="Times New Roman" w:hAnsi="Times New Roman" w:cs="Times New Roman" w:eastAsia="Times New Roman" w:hint="default"/>
        </w:rPr>
        <w:t>3</w:t>
      </w:r>
      <w:r>
        <w:rPr>
          <w:rFonts w:ascii="Times New Roman" w:hAnsi="Times New Roman" w:cs="Times New Roman" w:eastAsia="Times New Roman" w:hint="default"/>
          <w:spacing w:val="-16"/>
        </w:rPr>
        <w:t> </w:t>
      </w:r>
      <w:r>
        <w:rPr>
          <w:spacing w:val="-4"/>
        </w:rPr>
        <w:t>个月的，暂停借款费用的资</w:t>
      </w:r>
      <w:r>
        <w:rPr/>
        <w:t> 本化，直至资产的购建或生产活动重新开始。</w:t>
      </w:r>
    </w:p>
    <w:p>
      <w:pPr>
        <w:spacing w:line="240" w:lineRule="auto" w:before="2"/>
        <w:rPr>
          <w:rFonts w:ascii="宋体" w:hAnsi="宋体" w:cs="宋体" w:eastAsia="宋体" w:hint="default"/>
          <w:sz w:val="23"/>
          <w:szCs w:val="23"/>
        </w:rPr>
      </w:pPr>
    </w:p>
    <w:p>
      <w:pPr>
        <w:pStyle w:val="Heading3"/>
        <w:spacing w:line="240" w:lineRule="auto"/>
        <w:ind w:right="0"/>
        <w:jc w:val="left"/>
        <w:rPr>
          <w:b w:val="0"/>
          <w:bCs w:val="0"/>
        </w:rPr>
      </w:pPr>
      <w:bookmarkStart w:name="18、无形资产" w:id="193"/>
      <w:bookmarkEnd w:id="193"/>
      <w:r>
        <w:rPr>
          <w:b w:val="0"/>
          <w:bCs w:val="0"/>
        </w:rPr>
      </w:r>
      <w:r>
        <w:rPr>
          <w:rFonts w:ascii="Times New Roman" w:hAnsi="Times New Roman" w:cs="Times New Roman" w:eastAsia="Times New Roman" w:hint="default"/>
        </w:rPr>
        <w:t>18</w:t>
      </w:r>
      <w:r>
        <w:rPr/>
        <w:t>、无形资产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134" w:right="0"/>
        <w:jc w:val="left"/>
        <w:rPr>
          <w:b w:val="0"/>
          <w:bCs w:val="0"/>
        </w:rPr>
      </w:pPr>
      <w:bookmarkStart w:name="（1）计价方法、使用寿命、减值测试" w:id="194"/>
      <w:bookmarkEnd w:id="194"/>
      <w:r>
        <w:rPr>
          <w:b w:val="0"/>
          <w:bCs w:val="0"/>
        </w:rPr>
      </w:r>
      <w:r>
        <w:rPr/>
        <w:t>（</w:t>
      </w:r>
      <w:r>
        <w:rPr>
          <w:rFonts w:ascii="Times New Roman" w:hAnsi="Times New Roman" w:cs="Times New Roman" w:eastAsia="Times New Roman" w:hint="default"/>
        </w:rPr>
        <w:t>1</w:t>
      </w:r>
      <w:r>
        <w:rPr/>
        <w:t>）计价方法、使用寿命、减值测试</w:t>
      </w:r>
      <w:r>
        <w:rPr>
          <w:b w:val="0"/>
          <w:bCs w:val="0"/>
        </w:rPr>
      </w:r>
    </w:p>
    <w:p>
      <w:pPr>
        <w:spacing w:line="240" w:lineRule="auto" w:before="8"/>
        <w:rPr>
          <w:rFonts w:ascii="宋体" w:hAnsi="宋体" w:cs="宋体" w:eastAsia="宋体" w:hint="default"/>
          <w:b/>
          <w:bCs/>
          <w:sz w:val="26"/>
          <w:szCs w:val="26"/>
        </w:rPr>
      </w:pPr>
    </w:p>
    <w:p>
      <w:pPr>
        <w:pStyle w:val="BodyText"/>
        <w:spacing w:line="357" w:lineRule="auto"/>
        <w:ind w:left="1134" w:right="7692"/>
        <w:jc w:val="left"/>
      </w:pPr>
      <w:r>
        <w:rPr/>
        <w:t>公司是否需要遵守特殊行业的披露要求 否</w:t>
      </w:r>
    </w:p>
    <w:p>
      <w:pPr>
        <w:pStyle w:val="BodyText"/>
        <w:spacing w:line="357" w:lineRule="auto" w:before="29"/>
        <w:ind w:left="1493" w:right="0"/>
        <w:jc w:val="left"/>
      </w:pPr>
      <w:r>
        <w:rPr/>
        <w:t>无形资产是指本公司拥有或者控制的没有实物形态的可辨认非货币性资产。 </w:t>
      </w:r>
      <w:r>
        <w:rPr>
          <w:spacing w:val="-4"/>
        </w:rPr>
        <w:t>无形资产按成本进行初始计量。与无形资产有关的支出，如果相关的经济利益很可能流入本公司且其成本能可靠地计量，</w:t>
      </w:r>
    </w:p>
    <w:p>
      <w:pPr>
        <w:pStyle w:val="BodyText"/>
        <w:spacing w:line="357" w:lineRule="auto"/>
        <w:ind w:left="1493" w:right="0" w:hanging="360"/>
        <w:jc w:val="left"/>
      </w:pPr>
      <w:r>
        <w:rPr/>
        <w:t>则计入无形资产成本。除此以外的其他项目的支出，在发生时计入当期损益。 </w:t>
      </w:r>
      <w:r>
        <w:rPr>
          <w:spacing w:val="-2"/>
        </w:rPr>
        <w:t>取得的土地使用权通常作为无形资产核算。自行开发建造厂房等建筑物，相关的土地使用权支出和建筑物建造成本则分</w:t>
      </w:r>
    </w:p>
    <w:p>
      <w:pPr>
        <w:pStyle w:val="BodyText"/>
        <w:spacing w:line="224" w:lineRule="exact"/>
        <w:ind w:right="0"/>
        <w:jc w:val="left"/>
      </w:pPr>
      <w:r>
        <w:rPr/>
        <w:t>别作为无形资产和固定资产核算。如为外购的房屋及建筑物，则将有关价款在土地使用权和建筑物之间进行分配，难以合理</w:t>
      </w:r>
    </w:p>
    <w:p>
      <w:pPr>
        <w:pStyle w:val="BodyText"/>
        <w:spacing w:line="357" w:lineRule="auto" w:before="77"/>
        <w:ind w:left="1494" w:right="0" w:hanging="360"/>
        <w:jc w:val="left"/>
      </w:pPr>
      <w:r>
        <w:rPr/>
        <w:t>分配的，全部作为固定资产处理。 </w:t>
      </w:r>
      <w:r>
        <w:rPr>
          <w:spacing w:val="-2"/>
        </w:rPr>
        <w:t>使用寿命有限的无形资产自可供使用时起，对其原值减去预计净残值和已计提的减值准备累计金额在其预计使用寿命内</w:t>
      </w:r>
    </w:p>
    <w:p>
      <w:pPr>
        <w:pStyle w:val="BodyText"/>
        <w:spacing w:line="357" w:lineRule="auto"/>
        <w:ind w:left="1494" w:right="0" w:hanging="360"/>
        <w:jc w:val="left"/>
      </w:pPr>
      <w:r>
        <w:rPr/>
        <w:t>采用直线法分期平均摊销。使用寿命不确定的无形资产不予摊销。 </w:t>
      </w:r>
      <w:r>
        <w:rPr>
          <w:spacing w:val="-2"/>
        </w:rPr>
        <w:t>期末，对使用寿命有限的无形资产的使用寿命和摊销方法进行复核，如发生变更则作为会计估计变更处理。此外，还对</w:t>
      </w:r>
    </w:p>
    <w:p>
      <w:pPr>
        <w:pStyle w:val="BodyText"/>
        <w:spacing w:line="224" w:lineRule="exact"/>
        <w:ind w:left="1134" w:right="0"/>
        <w:jc w:val="left"/>
      </w:pPr>
      <w:r>
        <w:rPr/>
        <w:t>使用寿命不确定的无形资产的使用寿命进行复核，如果有证据表明该无形资产为企业带来经济利益的期限是可预见的，则估</w:t>
      </w:r>
    </w:p>
    <w:p>
      <w:pPr>
        <w:pStyle w:val="BodyText"/>
        <w:spacing w:line="240" w:lineRule="auto" w:before="77"/>
        <w:ind w:left="1134" w:right="0"/>
        <w:jc w:val="left"/>
      </w:pPr>
      <w:r>
        <w:rPr/>
        <w:t>计其使用寿命并按照使用寿命有限的无形资产的摊销政策进行摊销。</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2）内部研究开发支出会计政策" w:id="195"/>
      <w:bookmarkEnd w:id="195"/>
      <w:r>
        <w:rPr>
          <w:b w:val="0"/>
          <w:bCs w:val="0"/>
        </w:rPr>
      </w:r>
      <w:r>
        <w:rPr/>
        <w:t>（</w:t>
      </w:r>
      <w:r>
        <w:rPr>
          <w:rFonts w:ascii="Times New Roman" w:hAnsi="Times New Roman" w:cs="Times New Roman" w:eastAsia="Times New Roman" w:hint="default"/>
        </w:rPr>
        <w:t>2</w:t>
      </w:r>
      <w:r>
        <w:rPr/>
        <w:t>）内部研究开发支出会计政策</w:t>
      </w:r>
      <w:r>
        <w:rPr>
          <w:b w:val="0"/>
          <w:bCs w:val="0"/>
        </w:rPr>
      </w:r>
    </w:p>
    <w:p>
      <w:pPr>
        <w:spacing w:line="240" w:lineRule="auto" w:before="9"/>
        <w:rPr>
          <w:rFonts w:ascii="宋体" w:hAnsi="宋体" w:cs="宋体" w:eastAsia="宋体" w:hint="default"/>
          <w:b/>
          <w:bCs/>
          <w:sz w:val="26"/>
          <w:szCs w:val="26"/>
        </w:rPr>
      </w:pPr>
    </w:p>
    <w:p>
      <w:pPr>
        <w:pStyle w:val="BodyText"/>
        <w:spacing w:line="360" w:lineRule="auto"/>
        <w:ind w:left="1493" w:right="1753"/>
        <w:jc w:val="left"/>
      </w:pPr>
      <w:r>
        <w:rPr/>
        <w:t>本公司内部研究开发项目的支出分为研究阶段支出与开发阶段支出。 研究阶段的支出，于发生时计入当期损益。 开发阶段的支出同时满足下列条件的，确认为无形资产，不能满足下述条件的开发阶段的支出计入当期损益：</w:t>
      </w:r>
    </w:p>
    <w:p>
      <w:pPr>
        <w:pStyle w:val="BodyText"/>
        <w:spacing w:line="240" w:lineRule="auto" w:before="26"/>
        <w:ind w:left="1493" w:right="0"/>
        <w:jc w:val="left"/>
      </w:pPr>
      <w:r>
        <w:rPr/>
        <w:t>①完成该无形资产以使其能够使用或出售在技术上具有可行性；</w:t>
      </w:r>
    </w:p>
    <w:p>
      <w:pPr>
        <w:pStyle w:val="BodyText"/>
        <w:spacing w:line="240" w:lineRule="auto" w:before="117"/>
        <w:ind w:left="1494" w:right="0"/>
        <w:jc w:val="left"/>
      </w:pPr>
      <w:r>
        <w:rPr/>
        <w:t>②具有完成该无形资产并使用或出售的意图；</w:t>
      </w:r>
    </w:p>
    <w:p>
      <w:pPr>
        <w:pStyle w:val="BodyText"/>
        <w:spacing w:line="319" w:lineRule="auto" w:before="115"/>
        <w:ind w:left="1134" w:right="0" w:firstLine="360"/>
        <w:jc w:val="left"/>
      </w:pPr>
      <w:r>
        <w:rPr>
          <w:spacing w:val="-2"/>
        </w:rPr>
        <w:t>③无形资产产生经济利益的方式，包括能够证明运用该无形资产生产的产品存在市场或无形资产自身存在市场，无形资</w:t>
      </w:r>
      <w:r>
        <w:rPr/>
        <w:t> 产将在内部使用的，能够证明其有用性；</w:t>
      </w:r>
    </w:p>
    <w:p>
      <w:pPr>
        <w:pStyle w:val="BodyText"/>
        <w:spacing w:line="240" w:lineRule="auto" w:before="56"/>
        <w:ind w:left="1494" w:right="0"/>
        <w:jc w:val="left"/>
      </w:pPr>
      <w:r>
        <w:rPr/>
        <w:t>④有足够的技术、财务资源和其他资源支持，以完成该无形资产的开发，并有能力使用或出售该无形资产；</w:t>
      </w:r>
    </w:p>
    <w:p>
      <w:pPr>
        <w:pStyle w:val="BodyText"/>
        <w:spacing w:line="357" w:lineRule="auto" w:before="117"/>
        <w:ind w:left="1494" w:right="3912"/>
        <w:jc w:val="left"/>
      </w:pPr>
      <w:r>
        <w:rPr/>
        <w:t>⑤归属于该无形资产开发阶段的支出能够可靠地计量。 无法区分研究阶段支出和开发阶段支出的，将发生的研发支出全部计入当期损益。</w:t>
      </w:r>
    </w:p>
    <w:p>
      <w:pPr>
        <w:spacing w:after="0" w:line="357" w:lineRule="auto"/>
        <w:jc w:val="left"/>
        <w:sectPr>
          <w:pgSz w:w="11910" w:h="16840"/>
          <w:pgMar w:header="747" w:footer="979" w:top="1060" w:bottom="1160" w:left="0" w:right="0"/>
        </w:sectPr>
      </w:pPr>
    </w:p>
    <w:p>
      <w:pPr>
        <w:spacing w:line="240" w:lineRule="auto" w:before="9"/>
        <w:rPr>
          <w:rFonts w:ascii="宋体" w:hAnsi="宋体" w:cs="宋体" w:eastAsia="宋体" w:hint="default"/>
          <w:sz w:val="24"/>
          <w:szCs w:val="24"/>
        </w:rPr>
      </w:pPr>
    </w:p>
    <w:p>
      <w:pPr>
        <w:pStyle w:val="Heading3"/>
        <w:spacing w:line="240" w:lineRule="auto" w:before="35"/>
        <w:ind w:right="0"/>
        <w:jc w:val="left"/>
        <w:rPr>
          <w:b w:val="0"/>
          <w:bCs w:val="0"/>
        </w:rPr>
      </w:pPr>
      <w:bookmarkStart w:name="19、长期资产减值" w:id="196"/>
      <w:bookmarkEnd w:id="196"/>
      <w:r>
        <w:rPr>
          <w:b w:val="0"/>
          <w:bCs w:val="0"/>
        </w:rPr>
      </w:r>
      <w:r>
        <w:rPr>
          <w:rFonts w:ascii="Times New Roman" w:hAnsi="Times New Roman" w:cs="Times New Roman" w:eastAsia="Times New Roman" w:hint="default"/>
        </w:rPr>
        <w:t>19</w:t>
      </w:r>
      <w:r>
        <w:rPr/>
        <w:t>、长期资产减值</w:t>
      </w:r>
      <w:r>
        <w:rPr>
          <w:b w:val="0"/>
          <w:bCs w:val="0"/>
        </w:rPr>
      </w:r>
    </w:p>
    <w:p>
      <w:pPr>
        <w:spacing w:line="240" w:lineRule="auto" w:before="8"/>
        <w:rPr>
          <w:rFonts w:ascii="宋体" w:hAnsi="宋体" w:cs="宋体" w:eastAsia="宋体" w:hint="default"/>
          <w:b/>
          <w:bCs/>
          <w:sz w:val="26"/>
          <w:szCs w:val="26"/>
        </w:rPr>
      </w:pPr>
    </w:p>
    <w:p>
      <w:pPr>
        <w:pStyle w:val="BodyText"/>
        <w:spacing w:line="319" w:lineRule="auto"/>
        <w:ind w:left="1134" w:right="1131" w:firstLine="360"/>
        <w:jc w:val="both"/>
      </w:pPr>
      <w:r>
        <w:rPr>
          <w:spacing w:val="-2"/>
        </w:rPr>
        <w:t>对于固定资产、在建工程、使用寿命有限的无形资产、以成本模式计量的投资性房地产及对子公司、合营企业、联营企</w:t>
      </w:r>
      <w:r>
        <w:rPr/>
        <w:t> </w:t>
      </w:r>
      <w:r>
        <w:rPr>
          <w:spacing w:val="-2"/>
        </w:rPr>
        <w:t>业的长期股权投资等非流动非金融资产，本公司于资产负债表日判断是否存在减值迹象。如存在减值迹象的，则估计其可收</w:t>
      </w:r>
      <w:r>
        <w:rPr>
          <w:spacing w:val="-66"/>
        </w:rPr>
        <w:t> </w:t>
      </w:r>
      <w:r>
        <w:rPr>
          <w:spacing w:val="-66"/>
        </w:rPr>
      </w:r>
      <w:r>
        <w:rPr>
          <w:spacing w:val="-2"/>
        </w:rPr>
        <w:t>回金额，进行减值测试。商誉、使用寿命不确定的无形资产和尚未达到可使用状态的无形资产，无论是否存在减值迹象，每</w:t>
      </w:r>
      <w:r>
        <w:rPr>
          <w:spacing w:val="-66"/>
        </w:rPr>
        <w:t> </w:t>
      </w:r>
      <w:r>
        <w:rPr>
          <w:spacing w:val="-66"/>
        </w:rPr>
      </w:r>
      <w:r>
        <w:rPr/>
        <w:t>年均进行减值测试。</w:t>
      </w:r>
    </w:p>
    <w:p>
      <w:pPr>
        <w:pStyle w:val="BodyText"/>
        <w:spacing w:line="319" w:lineRule="auto" w:before="55"/>
        <w:ind w:left="1134" w:right="0" w:firstLine="360"/>
        <w:jc w:val="left"/>
      </w:pPr>
      <w:r>
        <w:rPr>
          <w:spacing w:val="-2"/>
        </w:rPr>
        <w:t>减值测试结果表明资产的可收回金额低于其账面价值的，按其差额计提减值准备并计入减值损失。可收回金额为资产的</w:t>
      </w:r>
      <w:r>
        <w:rPr/>
        <w:t> </w:t>
      </w:r>
      <w:r>
        <w:rPr>
          <w:spacing w:val="-2"/>
        </w:rPr>
        <w:t>公允价值减去处置费用后的净额与资产预计未来现金流量的现值两者之间的较高者。资产的公允价值根据公平交易中销售协</w:t>
      </w:r>
      <w:r>
        <w:rPr>
          <w:spacing w:val="-64"/>
        </w:rPr>
        <w:t> </w:t>
      </w:r>
      <w:r>
        <w:rPr>
          <w:spacing w:val="-64"/>
        </w:rPr>
      </w:r>
      <w:r>
        <w:rPr>
          <w:spacing w:val="-2"/>
        </w:rPr>
        <w:t>议价格确定；不存在销售协议但存在资产活跃市场的，公允价值按照该资产的买方出价确定；不存在销售协议和资产活跃市</w:t>
      </w:r>
      <w:r>
        <w:rPr>
          <w:spacing w:val="-66"/>
        </w:rPr>
        <w:t> </w:t>
      </w:r>
      <w:r>
        <w:rPr>
          <w:spacing w:val="-66"/>
        </w:rPr>
      </w:r>
      <w:r>
        <w:rPr>
          <w:spacing w:val="-2"/>
        </w:rPr>
        <w:t>场的，则以可获取的最佳信息为基础估计资产的公允价值。处置费用包括与资产处置有关的法律费用、相关税费、搬运费以</w:t>
      </w:r>
      <w:r>
        <w:rPr>
          <w:spacing w:val="-66"/>
        </w:rPr>
        <w:t> </w:t>
      </w:r>
      <w:r>
        <w:rPr>
          <w:spacing w:val="-66"/>
        </w:rPr>
      </w:r>
      <w:r>
        <w:rPr>
          <w:spacing w:val="-2"/>
        </w:rPr>
        <w:t>及为使资产达到可销售状态所发生的直接费用。资产预计未来现金流量的现值，按照资产在持续使用过程中和最终处置时所</w:t>
      </w:r>
      <w:r>
        <w:rPr>
          <w:spacing w:val="-64"/>
        </w:rPr>
        <w:t> </w:t>
      </w:r>
      <w:r>
        <w:rPr>
          <w:spacing w:val="-64"/>
        </w:rPr>
      </w:r>
      <w:r>
        <w:rPr>
          <w:spacing w:val="-4"/>
        </w:rPr>
        <w:t>产生的预计未来现金流量，选择恰当的折现率对其进行折现后的金额加以确定。资产减值准备按单项资产为基础计算并确认，</w:t>
      </w:r>
      <w:r>
        <w:rPr>
          <w:spacing w:val="-44"/>
        </w:rPr>
        <w:t> </w:t>
      </w:r>
      <w:r>
        <w:rPr>
          <w:spacing w:val="-44"/>
        </w:rPr>
      </w:r>
      <w:r>
        <w:rPr>
          <w:spacing w:val="-2"/>
        </w:rPr>
        <w:t>如果难以对单项资产的可收回金额进行估计的，以该资产所属的资产组确定资产组的可收回金额。资产组是能够独立产生现</w:t>
      </w:r>
      <w:r>
        <w:rPr>
          <w:spacing w:val="-64"/>
        </w:rPr>
        <w:t> </w:t>
      </w:r>
      <w:r>
        <w:rPr>
          <w:spacing w:val="-64"/>
        </w:rPr>
      </w:r>
      <w:r>
        <w:rPr/>
        <w:t>金流入的最小资产组合。</w:t>
      </w:r>
    </w:p>
    <w:p>
      <w:pPr>
        <w:pStyle w:val="BodyText"/>
        <w:spacing w:line="319" w:lineRule="auto" w:before="56"/>
        <w:ind w:left="1134" w:right="1130" w:firstLine="360"/>
        <w:jc w:val="both"/>
      </w:pPr>
      <w:r>
        <w:rPr>
          <w:spacing w:val="-2"/>
        </w:rPr>
        <w:t>在财务报表中单独列示的商誉，在进行减值测试时，将商誉的账面价值分摊至预期从企业合并的协同效应中受益的资产</w:t>
      </w:r>
      <w:r>
        <w:rPr/>
        <w:t> </w:t>
      </w:r>
      <w:r>
        <w:rPr>
          <w:spacing w:val="-2"/>
        </w:rPr>
        <w:t>组或资产组组合。测试结果表明包含分摊的商誉的资产组或资产组组合的可收回金额低于其账面价值的，确认相应的减值损</w:t>
      </w:r>
      <w:r>
        <w:rPr>
          <w:spacing w:val="-64"/>
        </w:rPr>
        <w:t> </w:t>
      </w:r>
      <w:r>
        <w:rPr>
          <w:spacing w:val="-64"/>
        </w:rPr>
      </w:r>
      <w:r>
        <w:rPr>
          <w:spacing w:val="-2"/>
        </w:rPr>
        <w:t>失。减值损失金额先抵减分摊至该资产组或资产组组合的商誉的账面价值，再根据资产组或资产组组合中除商誉以外的其他</w:t>
      </w:r>
      <w:r>
        <w:rPr>
          <w:spacing w:val="-63"/>
        </w:rPr>
        <w:t> </w:t>
      </w:r>
      <w:r>
        <w:rPr>
          <w:spacing w:val="-63"/>
        </w:rPr>
      </w:r>
      <w:r>
        <w:rPr/>
        <w:t>各项资产的账面价值所占比重，按比例抵减其他各项资产的账面价值。</w:t>
      </w:r>
    </w:p>
    <w:p>
      <w:pPr>
        <w:pStyle w:val="BodyText"/>
        <w:spacing w:line="240" w:lineRule="auto" w:before="56"/>
        <w:ind w:left="1494" w:right="0"/>
        <w:jc w:val="left"/>
      </w:pPr>
      <w:r>
        <w:rPr/>
        <w:t>上述资产减值损失一经确认，以后期间不予转回价值得以恢复的部分。</w:t>
      </w:r>
    </w:p>
    <w:p>
      <w:pPr>
        <w:spacing w:line="240" w:lineRule="auto" w:before="10"/>
        <w:rPr>
          <w:rFonts w:ascii="宋体" w:hAnsi="宋体" w:cs="宋体" w:eastAsia="宋体" w:hint="default"/>
          <w:sz w:val="26"/>
          <w:szCs w:val="26"/>
        </w:rPr>
      </w:pPr>
    </w:p>
    <w:p>
      <w:pPr>
        <w:pStyle w:val="Heading3"/>
        <w:spacing w:line="240" w:lineRule="auto"/>
        <w:ind w:left="1134" w:right="0"/>
        <w:jc w:val="left"/>
        <w:rPr>
          <w:b w:val="0"/>
          <w:bCs w:val="0"/>
        </w:rPr>
      </w:pPr>
      <w:bookmarkStart w:name="20、长期待摊费用" w:id="197"/>
      <w:bookmarkEnd w:id="197"/>
      <w:r>
        <w:rPr>
          <w:b w:val="0"/>
          <w:bCs w:val="0"/>
        </w:rPr>
      </w:r>
      <w:r>
        <w:rPr>
          <w:rFonts w:ascii="Times New Roman" w:hAnsi="Times New Roman" w:cs="Times New Roman" w:eastAsia="Times New Roman" w:hint="default"/>
        </w:rPr>
        <w:t>20</w:t>
      </w:r>
      <w:r>
        <w:rPr/>
        <w:t>、长期待摊费用</w:t>
      </w:r>
      <w:r>
        <w:rPr>
          <w:b w:val="0"/>
          <w:bCs w:val="0"/>
        </w:rPr>
      </w:r>
    </w:p>
    <w:p>
      <w:pPr>
        <w:spacing w:line="240" w:lineRule="auto" w:before="8"/>
        <w:rPr>
          <w:rFonts w:ascii="宋体" w:hAnsi="宋体" w:cs="宋体" w:eastAsia="宋体" w:hint="default"/>
          <w:b/>
          <w:bCs/>
          <w:sz w:val="26"/>
          <w:szCs w:val="26"/>
        </w:rPr>
      </w:pPr>
    </w:p>
    <w:p>
      <w:pPr>
        <w:pStyle w:val="BodyText"/>
        <w:spacing w:line="302" w:lineRule="auto"/>
        <w:ind w:left="1134" w:right="1117" w:firstLine="360"/>
        <w:jc w:val="left"/>
      </w:pPr>
      <w:r>
        <w:rPr/>
        <w:t>长期待摊费用是指已经发生但应由本年和以后各期负担的分摊期限在</w:t>
      </w:r>
      <w:r>
        <w:rPr>
          <w:spacing w:val="-45"/>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spacing w:val="-4"/>
        </w:rPr>
        <w:t>年以上的各项费用。长期待摊费用按实际支出入</w:t>
      </w:r>
      <w:r>
        <w:rPr/>
        <w:t> 账，在项目受益期内平均摊销。</w:t>
      </w:r>
    </w:p>
    <w:p>
      <w:pPr>
        <w:spacing w:line="240" w:lineRule="auto" w:before="2"/>
        <w:rPr>
          <w:rFonts w:ascii="宋体" w:hAnsi="宋体" w:cs="宋体" w:eastAsia="宋体" w:hint="default"/>
          <w:sz w:val="23"/>
          <w:szCs w:val="23"/>
        </w:rPr>
      </w:pPr>
    </w:p>
    <w:p>
      <w:pPr>
        <w:pStyle w:val="Heading3"/>
        <w:spacing w:line="240" w:lineRule="auto"/>
        <w:ind w:left="1134" w:right="0"/>
        <w:jc w:val="left"/>
        <w:rPr>
          <w:b w:val="0"/>
          <w:bCs w:val="0"/>
        </w:rPr>
      </w:pPr>
      <w:bookmarkStart w:name="21、职工薪酬" w:id="198"/>
      <w:bookmarkEnd w:id="198"/>
      <w:r>
        <w:rPr>
          <w:b w:val="0"/>
          <w:bCs w:val="0"/>
        </w:rPr>
      </w:r>
      <w:r>
        <w:rPr>
          <w:rFonts w:ascii="Times New Roman" w:hAnsi="Times New Roman" w:cs="Times New Roman" w:eastAsia="Times New Roman" w:hint="default"/>
        </w:rPr>
        <w:t>21</w:t>
      </w:r>
      <w:r>
        <w:rPr/>
        <w:t>、职工薪酬</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134" w:right="0"/>
        <w:jc w:val="left"/>
        <w:rPr>
          <w:b w:val="0"/>
          <w:bCs w:val="0"/>
        </w:rPr>
      </w:pPr>
      <w:bookmarkStart w:name="（1）短期薪酬的会计处理方法" w:id="199"/>
      <w:bookmarkEnd w:id="199"/>
      <w:r>
        <w:rPr>
          <w:b w:val="0"/>
          <w:bCs w:val="0"/>
        </w:rPr>
      </w:r>
      <w:r>
        <w:rPr/>
        <w:t>（</w:t>
      </w:r>
      <w:r>
        <w:rPr>
          <w:rFonts w:ascii="Times New Roman" w:hAnsi="Times New Roman" w:cs="Times New Roman" w:eastAsia="Times New Roman" w:hint="default"/>
        </w:rPr>
        <w:t>1</w:t>
      </w:r>
      <w:r>
        <w:rPr/>
        <w:t>）短期薪酬的会计处理方法</w:t>
      </w:r>
      <w:r>
        <w:rPr>
          <w:b w:val="0"/>
          <w:bCs w:val="0"/>
        </w:rPr>
      </w:r>
    </w:p>
    <w:p>
      <w:pPr>
        <w:spacing w:line="240" w:lineRule="auto" w:before="7"/>
        <w:rPr>
          <w:rFonts w:ascii="宋体" w:hAnsi="宋体" w:cs="宋体" w:eastAsia="宋体" w:hint="default"/>
          <w:b/>
          <w:bCs/>
          <w:sz w:val="26"/>
          <w:szCs w:val="26"/>
        </w:rPr>
      </w:pPr>
    </w:p>
    <w:p>
      <w:pPr>
        <w:pStyle w:val="BodyText"/>
        <w:spacing w:line="319" w:lineRule="auto"/>
        <w:ind w:left="1134" w:right="0" w:firstLine="360"/>
        <w:jc w:val="left"/>
      </w:pPr>
      <w:r>
        <w:rPr>
          <w:spacing w:val="-2"/>
        </w:rPr>
        <w:t>短期薪酬主要包括工资、奖金、津贴和补贴、职工福利费、医疗保险费、生育保险费、工伤保险费、住房公积金、工会</w:t>
      </w:r>
      <w:r>
        <w:rPr/>
        <w:t> </w:t>
      </w:r>
      <w:r>
        <w:rPr>
          <w:spacing w:val="-4"/>
        </w:rPr>
        <w:t>经费和职工教育经费、非货币性福利等。本公司在职工为本公司提供服务的会计期间将实际发生的短期职工薪酬确认为负债，</w:t>
      </w:r>
      <w:r>
        <w:rPr>
          <w:spacing w:val="-44"/>
        </w:rPr>
        <w:t> </w:t>
      </w:r>
      <w:r>
        <w:rPr>
          <w:spacing w:val="-44"/>
        </w:rPr>
      </w:r>
      <w:r>
        <w:rPr/>
        <w:t>并计入当期损益或相关资产成本。其中非货币性福利按公允价值计量。</w:t>
      </w:r>
    </w:p>
    <w:p>
      <w:pPr>
        <w:spacing w:line="240" w:lineRule="auto" w:before="4"/>
        <w:rPr>
          <w:rFonts w:ascii="宋体" w:hAnsi="宋体" w:cs="宋体" w:eastAsia="宋体" w:hint="default"/>
          <w:sz w:val="22"/>
          <w:szCs w:val="22"/>
        </w:rPr>
      </w:pPr>
    </w:p>
    <w:p>
      <w:pPr>
        <w:pStyle w:val="Heading3"/>
        <w:spacing w:line="240" w:lineRule="auto"/>
        <w:ind w:right="0"/>
        <w:jc w:val="left"/>
        <w:rPr>
          <w:b w:val="0"/>
          <w:bCs w:val="0"/>
        </w:rPr>
      </w:pPr>
      <w:bookmarkStart w:name="（2）离职后福利的会计处理方法" w:id="200"/>
      <w:bookmarkEnd w:id="200"/>
      <w:r>
        <w:rPr>
          <w:b w:val="0"/>
          <w:bCs w:val="0"/>
        </w:rPr>
      </w:r>
      <w:r>
        <w:rPr/>
        <w:t>（</w:t>
      </w:r>
      <w:r>
        <w:rPr>
          <w:rFonts w:ascii="Times New Roman" w:hAnsi="Times New Roman" w:cs="Times New Roman" w:eastAsia="Times New Roman" w:hint="default"/>
        </w:rPr>
        <w:t>2</w:t>
      </w:r>
      <w:r>
        <w:rPr/>
        <w:t>）离职后福利的会计处理方法</w:t>
      </w:r>
      <w:r>
        <w:rPr>
          <w:b w:val="0"/>
          <w:bCs w:val="0"/>
        </w:rPr>
      </w:r>
    </w:p>
    <w:p>
      <w:pPr>
        <w:spacing w:line="240" w:lineRule="auto" w:before="7"/>
        <w:rPr>
          <w:rFonts w:ascii="宋体" w:hAnsi="宋体" w:cs="宋体" w:eastAsia="宋体" w:hint="default"/>
          <w:b/>
          <w:bCs/>
          <w:sz w:val="26"/>
          <w:szCs w:val="26"/>
        </w:rPr>
      </w:pPr>
    </w:p>
    <w:p>
      <w:pPr>
        <w:pStyle w:val="BodyText"/>
        <w:spacing w:line="319" w:lineRule="auto"/>
        <w:ind w:right="0" w:firstLine="360"/>
        <w:jc w:val="left"/>
      </w:pPr>
      <w:r>
        <w:rPr>
          <w:spacing w:val="-2"/>
        </w:rPr>
        <w:t>离职后福利主要包括基本养老保险、失业保险等。离职后福利计划包括设定提存计划。采用设定提存计划的，相应的应</w:t>
      </w:r>
      <w:r>
        <w:rPr/>
        <w:t> 缴存金额于发生时计入相关资产成本或当期损益。</w:t>
      </w:r>
    </w:p>
    <w:p>
      <w:pPr>
        <w:pStyle w:val="BodyText"/>
        <w:spacing w:line="319" w:lineRule="auto" w:before="56"/>
        <w:ind w:right="0" w:firstLine="360"/>
        <w:jc w:val="left"/>
      </w:pPr>
      <w:r>
        <w:rPr>
          <w:spacing w:val="-2"/>
        </w:rPr>
        <w:t>在职工劳动合同到期之前解除与职工的劳动关系，或为鼓励职工自愿接受裁减而提出给予补偿的建议，在本公司不能单</w:t>
      </w:r>
      <w:r>
        <w:rPr/>
        <w:t> </w:t>
      </w:r>
      <w:r>
        <w:rPr>
          <w:spacing w:val="-2"/>
        </w:rPr>
        <w:t>方面撤回因解除劳动关系计划或裁减建议所提供的辞退福利时，和本公司确认与涉及支付辞退福利的重组相关的成本两者孰</w:t>
      </w:r>
      <w:r>
        <w:rPr>
          <w:spacing w:val="-64"/>
        </w:rPr>
        <w:t> </w:t>
      </w:r>
      <w:r>
        <w:rPr>
          <w:spacing w:val="-64"/>
        </w:rPr>
      </w:r>
      <w:r>
        <w:rPr>
          <w:spacing w:val="-4"/>
        </w:rPr>
        <w:t>早日，确认辞退福利产生的职工薪酬负债，并计入当期损益。但辞退福利预期在年度报告期结束后十二个月不能完全支付的，</w:t>
      </w:r>
      <w:r>
        <w:rPr>
          <w:spacing w:val="-44"/>
        </w:rPr>
        <w:t> </w:t>
      </w:r>
      <w:r>
        <w:rPr>
          <w:spacing w:val="-44"/>
        </w:rPr>
      </w:r>
      <w:r>
        <w:rPr/>
        <w:t>按照其他长期职工薪酬处理。</w:t>
      </w:r>
    </w:p>
    <w:p>
      <w:pPr>
        <w:spacing w:after="0" w:line="319" w:lineRule="auto"/>
        <w:jc w:val="left"/>
        <w:sectPr>
          <w:pgSz w:w="11910" w:h="16840"/>
          <w:pgMar w:header="747" w:footer="979" w:top="1060" w:bottom="1160" w:left="0" w:right="0"/>
        </w:sectPr>
      </w:pPr>
    </w:p>
    <w:p>
      <w:pPr>
        <w:spacing w:line="240" w:lineRule="auto" w:before="9"/>
        <w:rPr>
          <w:rFonts w:ascii="宋体" w:hAnsi="宋体" w:cs="宋体" w:eastAsia="宋体" w:hint="default"/>
          <w:sz w:val="24"/>
          <w:szCs w:val="24"/>
        </w:rPr>
      </w:pPr>
    </w:p>
    <w:p>
      <w:pPr>
        <w:pStyle w:val="Heading3"/>
        <w:spacing w:line="240" w:lineRule="auto" w:before="35"/>
        <w:ind w:right="0"/>
        <w:jc w:val="left"/>
        <w:rPr>
          <w:b w:val="0"/>
          <w:bCs w:val="0"/>
        </w:rPr>
      </w:pPr>
      <w:bookmarkStart w:name="（3）辞退福利的会计处理方法" w:id="201"/>
      <w:bookmarkEnd w:id="201"/>
      <w:r>
        <w:rPr>
          <w:b w:val="0"/>
          <w:bCs w:val="0"/>
        </w:rPr>
      </w:r>
      <w:r>
        <w:rPr/>
        <w:t>（</w:t>
      </w:r>
      <w:r>
        <w:rPr>
          <w:rFonts w:ascii="Times New Roman" w:hAnsi="Times New Roman" w:cs="Times New Roman" w:eastAsia="Times New Roman" w:hint="default"/>
        </w:rPr>
        <w:t>3</w:t>
      </w:r>
      <w:r>
        <w:rPr/>
        <w:t>）辞退福利的会计处理方法</w:t>
      </w:r>
      <w:r>
        <w:rPr>
          <w:b w:val="0"/>
          <w:bCs w:val="0"/>
        </w:rPr>
      </w:r>
    </w:p>
    <w:p>
      <w:pPr>
        <w:spacing w:line="240" w:lineRule="auto" w:before="8"/>
        <w:rPr>
          <w:rFonts w:ascii="宋体" w:hAnsi="宋体" w:cs="宋体" w:eastAsia="宋体" w:hint="default"/>
          <w:b/>
          <w:bCs/>
          <w:sz w:val="26"/>
          <w:szCs w:val="26"/>
        </w:rPr>
      </w:pPr>
    </w:p>
    <w:p>
      <w:pPr>
        <w:pStyle w:val="BodyText"/>
        <w:spacing w:line="319" w:lineRule="auto"/>
        <w:ind w:right="1115" w:firstLine="360"/>
        <w:jc w:val="left"/>
      </w:pPr>
      <w:r>
        <w:rPr/>
        <w:t>职工内部退休计划采用与上述辞退福利相同的原则处理</w:t>
      </w:r>
      <w:r>
        <w:rPr>
          <w:spacing w:val="-82"/>
        </w:rPr>
        <w:t>。</w:t>
      </w:r>
      <w:r>
        <w:rPr/>
        <w:t>本公司将自职工停止提供服务日至正常退休日的期间拟支付的</w:t>
      </w:r>
      <w:r>
        <w:rPr/>
        <w:t> 内退人员工资和缴纳的社会保险费等，在符合预计负债确认条件时，计入当期损益（辞退福利</w:t>
      </w:r>
      <w:r>
        <w:rPr>
          <w:spacing w:val="-90"/>
        </w:rPr>
        <w:t>）</w:t>
      </w:r>
      <w:r>
        <w:rPr/>
        <w:t>。</w:t>
      </w:r>
    </w:p>
    <w:p>
      <w:pPr>
        <w:spacing w:line="240" w:lineRule="auto" w:before="3"/>
        <w:rPr>
          <w:rFonts w:ascii="宋体" w:hAnsi="宋体" w:cs="宋体" w:eastAsia="宋体" w:hint="default"/>
          <w:sz w:val="22"/>
          <w:szCs w:val="22"/>
        </w:rPr>
      </w:pPr>
    </w:p>
    <w:p>
      <w:pPr>
        <w:pStyle w:val="Heading3"/>
        <w:spacing w:line="240" w:lineRule="auto"/>
        <w:ind w:right="0"/>
        <w:jc w:val="left"/>
        <w:rPr>
          <w:b w:val="0"/>
          <w:bCs w:val="0"/>
        </w:rPr>
      </w:pPr>
      <w:bookmarkStart w:name="（4）其他长期职工福利的会计处理方法" w:id="202"/>
      <w:bookmarkEnd w:id="202"/>
      <w:r>
        <w:rPr>
          <w:b w:val="0"/>
          <w:bCs w:val="0"/>
        </w:rPr>
      </w:r>
      <w:r>
        <w:rPr/>
        <w:t>（</w:t>
      </w:r>
      <w:r>
        <w:rPr>
          <w:rFonts w:ascii="Times New Roman" w:hAnsi="Times New Roman" w:cs="Times New Roman" w:eastAsia="Times New Roman" w:hint="default"/>
        </w:rPr>
        <w:t>4</w:t>
      </w:r>
      <w:r>
        <w:rPr/>
        <w:t>）其他长期职工福利的会计处理方法</w:t>
      </w:r>
      <w:r>
        <w:rPr>
          <w:b w:val="0"/>
          <w:bCs w:val="0"/>
        </w:rPr>
      </w:r>
    </w:p>
    <w:p>
      <w:pPr>
        <w:spacing w:line="240" w:lineRule="auto" w:before="8"/>
        <w:rPr>
          <w:rFonts w:ascii="宋体" w:hAnsi="宋体" w:cs="宋体" w:eastAsia="宋体" w:hint="default"/>
          <w:b/>
          <w:bCs/>
          <w:sz w:val="26"/>
          <w:szCs w:val="26"/>
        </w:rPr>
      </w:pPr>
    </w:p>
    <w:p>
      <w:pPr>
        <w:pStyle w:val="BodyText"/>
        <w:spacing w:line="319" w:lineRule="auto"/>
        <w:ind w:right="0" w:firstLine="360"/>
        <w:jc w:val="left"/>
      </w:pPr>
      <w:r>
        <w:rPr>
          <w:spacing w:val="-2"/>
        </w:rPr>
        <w:t>本公司向职工提供的其他长期职工福利，符合设定提存计划的，按照设定提存计划进行会计处理，除此之外按照设定受</w:t>
      </w:r>
      <w:r>
        <w:rPr/>
        <w:t> 益计划进行会计处理。</w:t>
      </w:r>
    </w:p>
    <w:p>
      <w:pPr>
        <w:spacing w:line="240" w:lineRule="auto" w:before="3"/>
        <w:rPr>
          <w:rFonts w:ascii="宋体" w:hAnsi="宋体" w:cs="宋体" w:eastAsia="宋体" w:hint="default"/>
          <w:sz w:val="22"/>
          <w:szCs w:val="22"/>
        </w:rPr>
      </w:pPr>
    </w:p>
    <w:p>
      <w:pPr>
        <w:pStyle w:val="Heading3"/>
        <w:spacing w:line="240" w:lineRule="auto"/>
        <w:ind w:right="0"/>
        <w:jc w:val="left"/>
        <w:rPr>
          <w:b w:val="0"/>
          <w:bCs w:val="0"/>
        </w:rPr>
      </w:pPr>
      <w:bookmarkStart w:name="22、预计负债" w:id="203"/>
      <w:bookmarkEnd w:id="203"/>
      <w:r>
        <w:rPr>
          <w:b w:val="0"/>
          <w:bCs w:val="0"/>
        </w:rPr>
      </w:r>
      <w:r>
        <w:rPr>
          <w:rFonts w:ascii="Times New Roman" w:hAnsi="Times New Roman" w:cs="Times New Roman" w:eastAsia="Times New Roman" w:hint="default"/>
        </w:rPr>
        <w:t>22</w:t>
      </w:r>
      <w:r>
        <w:rPr/>
        <w:t>、预计负债</w:t>
      </w:r>
      <w:r>
        <w:rPr>
          <w:b w:val="0"/>
          <w:bCs w:val="0"/>
        </w:rPr>
      </w:r>
    </w:p>
    <w:p>
      <w:pPr>
        <w:spacing w:line="240" w:lineRule="auto" w:before="8"/>
        <w:rPr>
          <w:rFonts w:ascii="宋体" w:hAnsi="宋体" w:cs="宋体" w:eastAsia="宋体" w:hint="default"/>
          <w:b/>
          <w:bCs/>
          <w:sz w:val="26"/>
          <w:szCs w:val="26"/>
        </w:rPr>
      </w:pPr>
    </w:p>
    <w:p>
      <w:pPr>
        <w:pStyle w:val="BodyText"/>
        <w:spacing w:line="302" w:lineRule="auto"/>
        <w:ind w:right="1116" w:firstLine="360"/>
        <w:jc w:val="left"/>
      </w:pPr>
      <w:r>
        <w:rPr/>
        <w:t>当与或有事项相关的义务同时符合以下条件</w:t>
      </w:r>
      <w:r>
        <w:rPr>
          <w:spacing w:val="-17"/>
        </w:rPr>
        <w:t>，</w:t>
      </w:r>
      <w:r>
        <w:rPr/>
        <w:t>确认为预计负债</w:t>
      </w:r>
      <w:r>
        <w:rPr>
          <w:spacing w:val="-107"/>
        </w:rPr>
        <w:t>：</w:t>
      </w:r>
      <w:r>
        <w:rPr/>
        <w:t>（</w:t>
      </w:r>
      <w:r>
        <w:rPr>
          <w:rFonts w:ascii="Times New Roman" w:hAnsi="Times New Roman" w:cs="Times New Roman" w:eastAsia="Times New Roman" w:hint="default"/>
        </w:rPr>
        <w:t>1</w:t>
      </w:r>
      <w:r>
        <w:rPr>
          <w:spacing w:val="-17"/>
        </w:rPr>
        <w:t>）</w:t>
      </w:r>
      <w:r>
        <w:rPr>
          <w:spacing w:val="1"/>
        </w:rPr>
        <w:t>该</w:t>
      </w:r>
      <w:r>
        <w:rPr/>
        <w:t>义务是本公司承担的现时义务</w:t>
      </w:r>
      <w:r>
        <w:rPr>
          <w:spacing w:val="-107"/>
        </w:rPr>
        <w:t>；</w:t>
      </w:r>
      <w:r>
        <w:rPr/>
        <w:t>（</w:t>
      </w:r>
      <w:r>
        <w:rPr>
          <w:rFonts w:ascii="Times New Roman" w:hAnsi="Times New Roman" w:cs="Times New Roman" w:eastAsia="Times New Roman" w:hint="default"/>
        </w:rPr>
        <w:t>2</w:t>
      </w:r>
      <w:r>
        <w:rPr>
          <w:spacing w:val="-17"/>
        </w:rPr>
        <w:t>）</w:t>
      </w:r>
      <w:r>
        <w:rPr/>
        <w:t>履行</w:t>
      </w:r>
      <w:r>
        <w:rPr>
          <w:spacing w:val="1"/>
        </w:rPr>
        <w:t>该</w:t>
      </w:r>
      <w:r>
        <w:rPr/>
        <w:t>义务</w:t>
      </w:r>
      <w:r>
        <w:rPr/>
        <w:t> 很可能导致经济利益流出</w:t>
      </w:r>
      <w:r>
        <w:rPr>
          <w:spacing w:val="-90"/>
        </w:rPr>
        <w:t>；</w:t>
      </w:r>
      <w:r>
        <w:rPr/>
        <w:t>（</w:t>
      </w:r>
      <w:r>
        <w:rPr>
          <w:rFonts w:ascii="Times New Roman" w:hAnsi="Times New Roman" w:cs="Times New Roman" w:eastAsia="Times New Roman" w:hint="default"/>
        </w:rPr>
        <w:t>3</w:t>
      </w:r>
      <w:r>
        <w:rPr/>
        <w:t>）该义务的金额能够可靠地计量。</w:t>
      </w:r>
    </w:p>
    <w:p>
      <w:pPr>
        <w:pStyle w:val="BodyText"/>
        <w:spacing w:line="319" w:lineRule="auto" w:before="50"/>
        <w:ind w:left="1134" w:right="0" w:firstLine="360"/>
        <w:jc w:val="left"/>
      </w:pPr>
      <w:r>
        <w:rPr>
          <w:spacing w:val="-2"/>
        </w:rPr>
        <w:t>在资产负债表日，考虑与或有事项有关的风险、不确定性和货币时间价值等因素，按照履行相关现时义务所需支出的最</w:t>
      </w:r>
      <w:r>
        <w:rPr/>
        <w:t> 佳估计数对预计负债进行计量。</w:t>
      </w:r>
    </w:p>
    <w:p>
      <w:pPr>
        <w:pStyle w:val="BodyText"/>
        <w:spacing w:line="319" w:lineRule="auto" w:before="55"/>
        <w:ind w:left="1134" w:right="0" w:firstLine="360"/>
        <w:jc w:val="left"/>
      </w:pPr>
      <w:r>
        <w:rPr>
          <w:spacing w:val="-2"/>
        </w:rPr>
        <w:t>如果清偿预计负债所需支出全部或部分预期由第三方补偿的，补偿金额在基本确定能够收到时，作为资产单独确认，且</w:t>
      </w:r>
      <w:r>
        <w:rPr/>
        <w:t> 确认的补偿金额不超过预计负债的账面价值。</w:t>
      </w:r>
    </w:p>
    <w:p>
      <w:pPr>
        <w:pStyle w:val="BodyText"/>
        <w:spacing w:line="338" w:lineRule="auto" w:before="56"/>
        <w:ind w:left="1493" w:right="1118"/>
        <w:jc w:val="left"/>
      </w:pPr>
      <w:r>
        <w:rPr/>
        <w:t>（</w:t>
      </w:r>
      <w:r>
        <w:rPr>
          <w:rFonts w:ascii="Times New Roman" w:hAnsi="Times New Roman" w:cs="Times New Roman" w:eastAsia="Times New Roman" w:hint="default"/>
        </w:rPr>
        <w:t>1</w:t>
      </w:r>
      <w:r>
        <w:rPr/>
        <w:t>）亏损合同 </w:t>
      </w:r>
      <w:r>
        <w:rPr>
          <w:spacing w:val="-2"/>
        </w:rPr>
        <w:t>亏损合同是履行合同义务不可避免会发生的成本超过预期经济利益的合同。待执行合同变成亏损合同，且该亏损合同产</w:t>
      </w:r>
    </w:p>
    <w:p>
      <w:pPr>
        <w:pStyle w:val="BodyText"/>
        <w:spacing w:line="319" w:lineRule="auto" w:before="2"/>
        <w:ind w:right="1118"/>
        <w:jc w:val="left"/>
      </w:pPr>
      <w:r>
        <w:rPr>
          <w:spacing w:val="-2"/>
        </w:rPr>
        <w:t>生的义务满足上述预计负债的确认条件的，将合同预计损失超过合同标的资产已确认的减值损失（如有）的部分，确认为预</w:t>
      </w:r>
      <w:r>
        <w:rPr>
          <w:spacing w:val="-66"/>
        </w:rPr>
        <w:t> </w:t>
      </w:r>
      <w:r>
        <w:rPr>
          <w:spacing w:val="-66"/>
        </w:rPr>
      </w:r>
      <w:r>
        <w:rPr/>
        <w:t>计负债。</w:t>
      </w:r>
    </w:p>
    <w:p>
      <w:pPr>
        <w:pStyle w:val="BodyText"/>
        <w:spacing w:line="338" w:lineRule="auto" w:before="57"/>
        <w:ind w:left="1493" w:right="1118"/>
        <w:jc w:val="left"/>
      </w:pPr>
      <w:r>
        <w:rPr/>
        <w:t>（</w:t>
      </w:r>
      <w:r>
        <w:rPr>
          <w:rFonts w:ascii="Times New Roman" w:hAnsi="Times New Roman" w:cs="Times New Roman" w:eastAsia="Times New Roman" w:hint="default"/>
        </w:rPr>
        <w:t>2</w:t>
      </w:r>
      <w:r>
        <w:rPr/>
        <w:t>）重组义务 </w:t>
      </w:r>
      <w:r>
        <w:rPr>
          <w:spacing w:val="-2"/>
        </w:rPr>
        <w:t>对于有详细、正式并且已经对外公告的重组计划，在满足前述预计负债的确认条件的情况下，按照与重组有关的直接支</w:t>
      </w:r>
    </w:p>
    <w:p>
      <w:pPr>
        <w:pStyle w:val="BodyText"/>
        <w:spacing w:line="240" w:lineRule="auto" w:before="4"/>
        <w:ind w:right="0"/>
        <w:jc w:val="left"/>
      </w:pPr>
      <w:r>
        <w:rPr/>
        <w:t>出确定预计负债金额。</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23、收入" w:id="204"/>
      <w:bookmarkEnd w:id="204"/>
      <w:r>
        <w:rPr>
          <w:b w:val="0"/>
          <w:bCs w:val="0"/>
        </w:rPr>
      </w:r>
      <w:r>
        <w:rPr>
          <w:rFonts w:ascii="Times New Roman" w:hAnsi="Times New Roman" w:cs="Times New Roman" w:eastAsia="Times New Roman" w:hint="default"/>
        </w:rPr>
        <w:t>23</w:t>
      </w:r>
      <w:r>
        <w:rPr/>
        <w:t>、收入</w:t>
      </w:r>
      <w:r>
        <w:rPr>
          <w:b w:val="0"/>
          <w:bCs w:val="0"/>
        </w:rPr>
      </w:r>
    </w:p>
    <w:p>
      <w:pPr>
        <w:spacing w:line="240" w:lineRule="auto" w:before="8"/>
        <w:rPr>
          <w:rFonts w:ascii="宋体" w:hAnsi="宋体" w:cs="宋体" w:eastAsia="宋体" w:hint="default"/>
          <w:b/>
          <w:bCs/>
          <w:sz w:val="26"/>
          <w:szCs w:val="26"/>
        </w:rPr>
      </w:pPr>
    </w:p>
    <w:p>
      <w:pPr>
        <w:pStyle w:val="BodyText"/>
        <w:spacing w:line="360" w:lineRule="auto"/>
        <w:ind w:left="1134" w:right="7692"/>
        <w:jc w:val="left"/>
      </w:pPr>
      <w:r>
        <w:rPr/>
        <w:t>公司是否需要遵守特殊行业的披露要求 否</w:t>
      </w:r>
    </w:p>
    <w:p>
      <w:pPr>
        <w:pStyle w:val="BodyText"/>
        <w:spacing w:line="338" w:lineRule="auto" w:before="26"/>
        <w:ind w:left="1494" w:right="0"/>
        <w:jc w:val="left"/>
      </w:pPr>
      <w:r>
        <w:rPr/>
        <w:t>（</w:t>
      </w:r>
      <w:r>
        <w:rPr>
          <w:rFonts w:ascii="Times New Roman" w:hAnsi="Times New Roman" w:cs="Times New Roman" w:eastAsia="Times New Roman" w:hint="default"/>
        </w:rPr>
        <w:t>1</w:t>
      </w:r>
      <w:r>
        <w:rPr/>
        <w:t>）商品销售收入 </w:t>
      </w:r>
      <w:r>
        <w:rPr>
          <w:spacing w:val="-2"/>
        </w:rPr>
        <w:t>在已将商品所有权上的主要风险和报酬转移给买方，既没有保留通常与所有权相联系的继续管理权，也没有对已售商品</w:t>
      </w:r>
    </w:p>
    <w:p>
      <w:pPr>
        <w:pStyle w:val="BodyText"/>
        <w:spacing w:line="319" w:lineRule="auto" w:before="2"/>
        <w:ind w:left="1134" w:right="0"/>
        <w:jc w:val="left"/>
      </w:pPr>
      <w:r>
        <w:rPr>
          <w:spacing w:val="-2"/>
        </w:rPr>
        <w:t>实施有效控制，收入的金额能够可靠地计量，相关的经济利益很可能流入企业，相关的已发生或将发生的成本能够可靠地计</w:t>
      </w:r>
      <w:r>
        <w:rPr>
          <w:spacing w:val="-66"/>
        </w:rPr>
        <w:t> </w:t>
      </w:r>
      <w:r>
        <w:rPr>
          <w:spacing w:val="-66"/>
        </w:rPr>
      </w:r>
      <w:r>
        <w:rPr/>
        <w:t>量时，确认商品销售收入的实现。</w:t>
      </w:r>
    </w:p>
    <w:p>
      <w:pPr>
        <w:pStyle w:val="BodyText"/>
        <w:spacing w:line="357" w:lineRule="auto" w:before="58"/>
        <w:ind w:left="1494" w:right="0"/>
        <w:jc w:val="left"/>
      </w:pPr>
      <w:r>
        <w:rPr/>
        <w:t>本公司具体收入确认原则为： </w:t>
      </w:r>
      <w:r>
        <w:rPr>
          <w:spacing w:val="-2"/>
        </w:rPr>
        <w:t>公司销售商品收入具体判断标准：对于需安装调试且需要客户验收，在符合上述条件情况下，于客户验收合格后确认收</w:t>
      </w:r>
    </w:p>
    <w:p>
      <w:pPr>
        <w:pStyle w:val="BodyText"/>
        <w:spacing w:line="357" w:lineRule="auto"/>
        <w:ind w:left="1494" w:right="3012" w:hanging="360"/>
        <w:jc w:val="left"/>
      </w:pPr>
      <w:r>
        <w:rPr/>
        <w:t>入的实现。对不需要安装的仪器、备件的销售在满足上述条件下，于商品发出后确认收入的实现。 运营维护服务具有长期和重复性的特点，在运营维护期内分期确认收入。</w:t>
      </w:r>
    </w:p>
    <w:p>
      <w:pPr>
        <w:pStyle w:val="BodyText"/>
        <w:spacing w:line="338" w:lineRule="auto" w:before="29"/>
        <w:ind w:left="1494" w:right="0"/>
        <w:jc w:val="left"/>
      </w:pPr>
      <w:r>
        <w:rPr/>
        <w:t>（</w:t>
      </w:r>
      <w:r>
        <w:rPr>
          <w:rFonts w:ascii="Times New Roman" w:hAnsi="Times New Roman" w:cs="Times New Roman" w:eastAsia="Times New Roman" w:hint="default"/>
        </w:rPr>
        <w:t>2</w:t>
      </w:r>
      <w:r>
        <w:rPr/>
        <w:t>）提供劳务收入 </w:t>
      </w:r>
      <w:r>
        <w:rPr>
          <w:spacing w:val="-2"/>
        </w:rPr>
        <w:t>在提供劳务交易的结果能够可靠估计的情况下，于资产负债表日按照完工百分比法确认提供的劳务收入。劳务交易的完</w:t>
      </w:r>
    </w:p>
    <w:p>
      <w:pPr>
        <w:pStyle w:val="BodyText"/>
        <w:spacing w:line="357" w:lineRule="auto" w:before="4"/>
        <w:ind w:left="1494" w:right="1032" w:hanging="360"/>
        <w:jc w:val="left"/>
      </w:pPr>
      <w:r>
        <w:rPr/>
        <w:t>工进度按已经提供的劳务占应提供劳务总量的比例确定。 提供劳务交易的结果能够可靠估计是指同时满足：①收入的金额能够可靠地计量；②相关的经济利益很可能流入企业；</w:t>
      </w:r>
    </w:p>
    <w:p>
      <w:pPr>
        <w:pStyle w:val="BodyText"/>
        <w:spacing w:line="225" w:lineRule="exact"/>
        <w:ind w:left="1134" w:right="0"/>
        <w:jc w:val="left"/>
      </w:pPr>
      <w:r>
        <w:rPr/>
        <w:t>③交易的完工程度能够可靠地确定；④交易中已发生和将发生的成本能够可靠地计量。</w:t>
      </w:r>
    </w:p>
    <w:p>
      <w:pPr>
        <w:spacing w:after="0" w:line="225" w:lineRule="exact"/>
        <w:jc w:val="left"/>
        <w:sectPr>
          <w:pgSz w:w="11910" w:h="16840"/>
          <w:pgMar w:header="747" w:footer="979" w:top="1060" w:bottom="1160" w:left="0" w:right="0"/>
        </w:sectPr>
      </w:pPr>
    </w:p>
    <w:p>
      <w:pPr>
        <w:spacing w:line="240" w:lineRule="auto" w:before="12"/>
        <w:rPr>
          <w:rFonts w:ascii="宋体" w:hAnsi="宋体" w:cs="宋体" w:eastAsia="宋体" w:hint="default"/>
          <w:sz w:val="25"/>
          <w:szCs w:val="25"/>
        </w:rPr>
      </w:pPr>
    </w:p>
    <w:p>
      <w:pPr>
        <w:pStyle w:val="BodyText"/>
        <w:spacing w:line="319" w:lineRule="auto" w:before="44"/>
        <w:ind w:right="1132" w:firstLine="360"/>
        <w:jc w:val="both"/>
      </w:pPr>
      <w:r>
        <w:rPr>
          <w:spacing w:val="-2"/>
        </w:rPr>
        <w:t>如果提供劳务交易的结果不能够可靠估计，则按已经发生并预计能够得到补偿的劳务成本金额确认提供的劳务收入，并</w:t>
      </w:r>
      <w:r>
        <w:rPr/>
        <w:t> 将已发生的劳务成本作为当期费用。已经发生的劳务成本如预计不能得到补偿的，则不确认收入。</w:t>
      </w:r>
    </w:p>
    <w:p>
      <w:pPr>
        <w:pStyle w:val="BodyText"/>
        <w:spacing w:line="319" w:lineRule="auto" w:before="55"/>
        <w:ind w:right="1131" w:firstLine="360"/>
        <w:jc w:val="both"/>
      </w:pPr>
      <w:r>
        <w:rPr>
          <w:spacing w:val="-2"/>
        </w:rPr>
        <w:t>本公司与其他企业签订的合同或协议包括销售商品和提供劳务时，如销售商品部分和提供劳务部分能够区分并单独计量</w:t>
      </w:r>
      <w:r>
        <w:rPr/>
        <w:t> </w:t>
      </w:r>
      <w:r>
        <w:rPr>
          <w:spacing w:val="-2"/>
        </w:rPr>
        <w:t>的，将销售商品部分和提供劳务部分分别处理；如销售商品部分和提供劳务部分不能够区分，或虽能区分但不能够单独计量</w:t>
      </w:r>
      <w:r>
        <w:rPr>
          <w:spacing w:val="-66"/>
        </w:rPr>
        <w:t> </w:t>
      </w:r>
      <w:r>
        <w:rPr>
          <w:spacing w:val="-66"/>
        </w:rPr>
      </w:r>
      <w:r>
        <w:rPr/>
        <w:t>的，将该合同全部作为销售商品处理。</w:t>
      </w:r>
    </w:p>
    <w:p>
      <w:pPr>
        <w:pStyle w:val="BodyText"/>
        <w:spacing w:line="338" w:lineRule="auto" w:before="58"/>
        <w:ind w:left="1494" w:right="6612"/>
        <w:jc w:val="left"/>
      </w:pPr>
      <w:r>
        <w:rPr/>
        <w:t>（</w:t>
      </w:r>
      <w:r>
        <w:rPr>
          <w:rFonts w:ascii="Times New Roman" w:hAnsi="Times New Roman" w:cs="Times New Roman" w:eastAsia="Times New Roman" w:hint="default"/>
        </w:rPr>
        <w:t>3</w:t>
      </w:r>
      <w:r>
        <w:rPr/>
        <w:t>）使用费收入 根据有关合同或协议，按权责发生制确认收入。</w:t>
      </w:r>
    </w:p>
    <w:p>
      <w:pPr>
        <w:pStyle w:val="BodyText"/>
        <w:spacing w:line="340" w:lineRule="auto" w:before="42"/>
        <w:ind w:left="1493" w:right="5713"/>
        <w:jc w:val="left"/>
      </w:pPr>
      <w:r>
        <w:rPr/>
        <w:t>（</w:t>
      </w:r>
      <w:r>
        <w:rPr>
          <w:rFonts w:ascii="Times New Roman" w:hAnsi="Times New Roman" w:cs="Times New Roman" w:eastAsia="Times New Roman" w:hint="default"/>
        </w:rPr>
        <w:t>4</w:t>
      </w:r>
      <w:r>
        <w:rPr/>
        <w:t>）利息收入 按照他人使用本公司货币资金的时间和实际利率计算确定。</w:t>
      </w:r>
    </w:p>
    <w:p>
      <w:pPr>
        <w:spacing w:line="240" w:lineRule="auto" w:before="12"/>
        <w:rPr>
          <w:rFonts w:ascii="宋体" w:hAnsi="宋体" w:cs="宋体" w:eastAsia="宋体" w:hint="default"/>
          <w:sz w:val="20"/>
          <w:szCs w:val="20"/>
        </w:rPr>
      </w:pPr>
    </w:p>
    <w:p>
      <w:pPr>
        <w:pStyle w:val="Heading3"/>
        <w:spacing w:line="240" w:lineRule="auto"/>
        <w:ind w:left="1134" w:right="0"/>
        <w:jc w:val="left"/>
        <w:rPr>
          <w:b w:val="0"/>
          <w:bCs w:val="0"/>
        </w:rPr>
      </w:pPr>
      <w:bookmarkStart w:name="24、政府补助" w:id="205"/>
      <w:bookmarkEnd w:id="205"/>
      <w:r>
        <w:rPr>
          <w:b w:val="0"/>
          <w:bCs w:val="0"/>
        </w:rPr>
      </w:r>
      <w:r>
        <w:rPr>
          <w:rFonts w:ascii="Times New Roman" w:hAnsi="Times New Roman" w:cs="Times New Roman" w:eastAsia="Times New Roman" w:hint="default"/>
        </w:rPr>
        <w:t>24</w:t>
      </w:r>
      <w:r>
        <w:rPr/>
        <w:t>、政府补助</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134" w:right="0"/>
        <w:jc w:val="left"/>
        <w:rPr>
          <w:b w:val="0"/>
          <w:bCs w:val="0"/>
        </w:rPr>
      </w:pPr>
      <w:bookmarkStart w:name="（1）与资产相关的政府补助判断依据及会计处理方法" w:id="206"/>
      <w:bookmarkEnd w:id="206"/>
      <w:r>
        <w:rPr>
          <w:b w:val="0"/>
          <w:bCs w:val="0"/>
        </w:rPr>
      </w:r>
      <w:r>
        <w:rPr/>
        <w:t>（</w:t>
      </w:r>
      <w:r>
        <w:rPr>
          <w:rFonts w:ascii="Times New Roman" w:hAnsi="Times New Roman" w:cs="Times New Roman" w:eastAsia="Times New Roman" w:hint="default"/>
        </w:rPr>
        <w:t>1</w:t>
      </w:r>
      <w:r>
        <w:rPr/>
        <w:t>）与资产相关的政府补助判断依据及会计处理方法</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494" w:right="0"/>
        <w:jc w:val="left"/>
      </w:pPr>
      <w:r>
        <w:rPr/>
        <w:t>与资产相关的政府补助，确认为递延收益，并在相关资产的使用寿命内按照合理、系统的方法分期计入当期损益。</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2）与收益相关的政府补助判断依据及会计处理方法" w:id="207"/>
      <w:bookmarkEnd w:id="207"/>
      <w:r>
        <w:rPr>
          <w:b w:val="0"/>
          <w:bCs w:val="0"/>
        </w:rPr>
      </w:r>
      <w:r>
        <w:rPr/>
        <w:t>（</w:t>
      </w:r>
      <w:r>
        <w:rPr>
          <w:rFonts w:ascii="Times New Roman" w:hAnsi="Times New Roman" w:cs="Times New Roman" w:eastAsia="Times New Roman" w:hint="default"/>
        </w:rPr>
        <w:t>2</w:t>
      </w:r>
      <w:r>
        <w:rPr/>
        <w:t>）与收益相关的政府补助判断依据及会计处理方法</w:t>
      </w:r>
      <w:r>
        <w:rPr>
          <w:b w:val="0"/>
          <w:bCs w:val="0"/>
        </w:rPr>
      </w:r>
    </w:p>
    <w:p>
      <w:pPr>
        <w:spacing w:line="240" w:lineRule="auto" w:before="8"/>
        <w:rPr>
          <w:rFonts w:ascii="宋体" w:hAnsi="宋体" w:cs="宋体" w:eastAsia="宋体" w:hint="default"/>
          <w:b/>
          <w:bCs/>
          <w:sz w:val="26"/>
          <w:szCs w:val="26"/>
        </w:rPr>
      </w:pPr>
    </w:p>
    <w:p>
      <w:pPr>
        <w:pStyle w:val="BodyText"/>
        <w:spacing w:line="319" w:lineRule="auto"/>
        <w:ind w:right="1133" w:firstLine="360"/>
        <w:jc w:val="both"/>
      </w:pPr>
      <w:r>
        <w:rPr>
          <w:spacing w:val="-2"/>
        </w:rPr>
        <w:t>与收益相关的政府补助，用于补偿以后期间的相关成本费用或损失的，确认为递延收益，并在确认相关成本费用或损失</w:t>
      </w:r>
      <w:r>
        <w:rPr/>
        <w:t> </w:t>
      </w:r>
      <w:r>
        <w:rPr>
          <w:spacing w:val="-2"/>
        </w:rPr>
        <w:t>的期间计入当期损益；用于补偿已经发生的相关成本费用或损失的，直接计入当期损益；同时包含与资产相关部分和与收益</w:t>
      </w:r>
      <w:r>
        <w:rPr>
          <w:spacing w:val="-66"/>
        </w:rPr>
        <w:t> </w:t>
      </w:r>
      <w:r>
        <w:rPr>
          <w:spacing w:val="-66"/>
        </w:rPr>
      </w:r>
      <w:r>
        <w:rPr/>
        <w:t>相关部分的政府补助，区分不同部分分别进行会计处理；难以区分的，将其整体归类为与收益相关的政府补助。</w:t>
      </w:r>
    </w:p>
    <w:p>
      <w:pPr>
        <w:spacing w:line="240" w:lineRule="auto" w:before="3"/>
        <w:rPr>
          <w:rFonts w:ascii="宋体" w:hAnsi="宋体" w:cs="宋体" w:eastAsia="宋体" w:hint="default"/>
          <w:sz w:val="22"/>
          <w:szCs w:val="22"/>
        </w:rPr>
      </w:pPr>
    </w:p>
    <w:p>
      <w:pPr>
        <w:pStyle w:val="Heading3"/>
        <w:spacing w:line="240" w:lineRule="auto"/>
        <w:ind w:right="0"/>
        <w:jc w:val="left"/>
        <w:rPr>
          <w:b w:val="0"/>
          <w:bCs w:val="0"/>
        </w:rPr>
      </w:pPr>
      <w:bookmarkStart w:name="25、递延所得税资产/递延所得税负债" w:id="208"/>
      <w:bookmarkEnd w:id="208"/>
      <w:r>
        <w:rPr>
          <w:b w:val="0"/>
          <w:bCs w:val="0"/>
        </w:rPr>
      </w:r>
      <w:r>
        <w:rPr>
          <w:rFonts w:ascii="Times New Roman" w:hAnsi="Times New Roman" w:cs="Times New Roman" w:eastAsia="Times New Roman" w:hint="default"/>
        </w:rPr>
        <w:t>25</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left="1494" w:right="1136"/>
        <w:jc w:val="left"/>
      </w:pPr>
      <w:r>
        <w:rPr/>
        <w:t>（</w:t>
      </w:r>
      <w:r>
        <w:rPr>
          <w:rFonts w:ascii="Times New Roman" w:hAnsi="Times New Roman" w:cs="Times New Roman" w:eastAsia="Times New Roman" w:hint="default"/>
        </w:rPr>
        <w:t>1</w:t>
      </w:r>
      <w:r>
        <w:rPr/>
        <w:t>）当期所得税 </w:t>
      </w:r>
      <w:r>
        <w:rPr>
          <w:spacing w:val="-2"/>
        </w:rPr>
        <w:t>资产负债表日，对于当期和以前期间形成的当期所得税负债（或资产），以按照税法规定计算的预期应交纳（或返还）</w:t>
      </w:r>
    </w:p>
    <w:p>
      <w:pPr>
        <w:pStyle w:val="BodyText"/>
        <w:spacing w:line="319" w:lineRule="auto" w:before="2"/>
        <w:ind w:left="1134" w:right="1118"/>
        <w:jc w:val="left"/>
      </w:pPr>
      <w:r>
        <w:rPr>
          <w:spacing w:val="-2"/>
        </w:rPr>
        <w:t>的所得税金额计量。计算当期所得税费用所依据的应纳税所得额系根据有关税法规定对本报告期税前会计利润作相应调整后</w:t>
      </w:r>
      <w:r>
        <w:rPr>
          <w:spacing w:val="-64"/>
        </w:rPr>
        <w:t> </w:t>
      </w:r>
      <w:r>
        <w:rPr>
          <w:spacing w:val="-64"/>
        </w:rPr>
      </w:r>
      <w:r>
        <w:rPr/>
        <w:t>计算得出。</w:t>
      </w:r>
    </w:p>
    <w:p>
      <w:pPr>
        <w:pStyle w:val="BodyText"/>
        <w:spacing w:line="338" w:lineRule="auto" w:before="58"/>
        <w:ind w:left="1493" w:right="0"/>
        <w:jc w:val="left"/>
      </w:pPr>
      <w:r>
        <w:rPr/>
        <w:t>（</w:t>
      </w:r>
      <w:r>
        <w:rPr>
          <w:rFonts w:ascii="Times New Roman" w:hAnsi="Times New Roman" w:cs="Times New Roman" w:eastAsia="Times New Roman" w:hint="default"/>
        </w:rPr>
        <w:t>2</w:t>
      </w:r>
      <w:r>
        <w:rPr/>
        <w:t>）递延所得税资产及递延所得税负债 </w:t>
      </w:r>
      <w:r>
        <w:rPr>
          <w:spacing w:val="-2"/>
        </w:rPr>
        <w:t>某些资产、负债项目的账面价值与其计税基础之间的差额，以及未作为资产和负债确认但按照税法规定可以确定其计税</w:t>
      </w:r>
    </w:p>
    <w:p>
      <w:pPr>
        <w:pStyle w:val="BodyText"/>
        <w:spacing w:line="319" w:lineRule="auto" w:before="2"/>
        <w:ind w:right="1118"/>
        <w:jc w:val="left"/>
      </w:pPr>
      <w:r>
        <w:rPr>
          <w:spacing w:val="-2"/>
        </w:rPr>
        <w:t>基础的项目的账面价值与计税基础之间的差额产生的暂时性差异，采用资产负债表债务法确认递延所得税资产及递延所得税</w:t>
      </w:r>
      <w:r>
        <w:rPr>
          <w:spacing w:val="-64"/>
        </w:rPr>
        <w:t> </w:t>
      </w:r>
      <w:r>
        <w:rPr>
          <w:spacing w:val="-64"/>
        </w:rPr>
      </w:r>
      <w:r>
        <w:rPr/>
        <w:t>负债。</w:t>
      </w:r>
    </w:p>
    <w:p>
      <w:pPr>
        <w:pStyle w:val="BodyText"/>
        <w:spacing w:line="319" w:lineRule="auto" w:before="55"/>
        <w:ind w:right="1131" w:firstLine="360"/>
        <w:jc w:val="both"/>
      </w:pPr>
      <w:r>
        <w:rPr>
          <w:spacing w:val="-2"/>
        </w:rPr>
        <w:t>与商誉的初始确认有关，以及与既不是企业合并、发生时也不影响会计利润和应纳税所得额（或可抵扣亏损）的交易中</w:t>
      </w:r>
      <w:r>
        <w:rPr/>
        <w:t> </w:t>
      </w:r>
      <w:r>
        <w:rPr>
          <w:spacing w:val="-2"/>
        </w:rPr>
        <w:t>产生的资产或负债的初始确认有关的应纳税暂时性差异，不予确认有关的递延所得税负债。此外，对与子公司、联营企业及</w:t>
      </w:r>
      <w:r>
        <w:rPr>
          <w:spacing w:val="-66"/>
        </w:rPr>
        <w:t> </w:t>
      </w:r>
      <w:r>
        <w:rPr>
          <w:spacing w:val="-66"/>
        </w:rPr>
      </w:r>
      <w:r>
        <w:rPr>
          <w:spacing w:val="-2"/>
        </w:rPr>
        <w:t>合营企业投资相关的应纳税暂时性差异，如果本公司能够控制暂时性差异转回的时间，而且该暂时性差异在可预见的未来很</w:t>
      </w:r>
      <w:r>
        <w:rPr>
          <w:spacing w:val="-64"/>
        </w:rPr>
        <w:t> </w:t>
      </w:r>
      <w:r>
        <w:rPr>
          <w:spacing w:val="-64"/>
        </w:rPr>
      </w:r>
      <w:r>
        <w:rPr>
          <w:spacing w:val="-2"/>
        </w:rPr>
        <w:t>可能不会转回，也不予确认有关的递延所得税负债。除上述例外情况，本公司确认其他所有应纳税暂时性差异产生的递延所</w:t>
      </w:r>
      <w:r>
        <w:rPr>
          <w:spacing w:val="-66"/>
        </w:rPr>
        <w:t> </w:t>
      </w:r>
      <w:r>
        <w:rPr>
          <w:spacing w:val="-66"/>
        </w:rPr>
      </w:r>
      <w:r>
        <w:rPr/>
        <w:t>得税负债。</w:t>
      </w:r>
    </w:p>
    <w:p>
      <w:pPr>
        <w:pStyle w:val="BodyText"/>
        <w:spacing w:line="319" w:lineRule="auto" w:before="56"/>
        <w:ind w:left="1134" w:right="1131" w:firstLine="360"/>
        <w:jc w:val="both"/>
      </w:pPr>
      <w:r>
        <w:rPr>
          <w:spacing w:val="-2"/>
        </w:rPr>
        <w:t>与既不是企业合并、发生时也不影响会计利润和应纳税所得额（或可抵扣亏损）的交易中产生的资产或负债的初始确认</w:t>
      </w:r>
      <w:r>
        <w:rPr/>
        <w:t> </w:t>
      </w:r>
      <w:r>
        <w:rPr>
          <w:spacing w:val="-2"/>
        </w:rPr>
        <w:t>有关的可抵扣暂时性差异，不予确认有关的递延所得税资产。此外，对与子公司、联营企业及合营企业投资相关的可抵扣暂</w:t>
      </w:r>
      <w:r>
        <w:rPr>
          <w:spacing w:val="-66"/>
        </w:rPr>
        <w:t> </w:t>
      </w:r>
      <w:r>
        <w:rPr>
          <w:spacing w:val="-66"/>
        </w:rPr>
      </w:r>
      <w:r>
        <w:rPr>
          <w:spacing w:val="-2"/>
        </w:rPr>
        <w:t>时性差异，如果暂时性差异在可预见的未来不是很可能转回，或者未来不是很可能获得用来抵扣可抵扣暂时性差异的应纳税</w:t>
      </w:r>
      <w:r>
        <w:rPr>
          <w:spacing w:val="-64"/>
        </w:rPr>
        <w:t> </w:t>
      </w:r>
      <w:r>
        <w:rPr>
          <w:spacing w:val="-64"/>
        </w:rPr>
      </w:r>
      <w:r>
        <w:rPr>
          <w:spacing w:val="-2"/>
        </w:rPr>
        <w:t>所得额，不予确认有关的递延所得税资产。除上述例外情况，本公司以很可能取得用来抵扣可抵扣暂时性差异的应纳税所得</w:t>
      </w:r>
      <w:r>
        <w:rPr>
          <w:spacing w:val="-66"/>
        </w:rPr>
        <w:t> </w:t>
      </w:r>
      <w:r>
        <w:rPr>
          <w:spacing w:val="-66"/>
        </w:rPr>
      </w:r>
      <w:r>
        <w:rPr/>
        <w:t>额为限，确认其他可抵扣暂时性差异产生的递延所得税资产。</w:t>
      </w:r>
    </w:p>
    <w:p>
      <w:pPr>
        <w:pStyle w:val="BodyText"/>
        <w:spacing w:line="240" w:lineRule="auto" w:before="55"/>
        <w:ind w:left="1494" w:right="0"/>
        <w:jc w:val="left"/>
      </w:pPr>
      <w:r>
        <w:rPr/>
        <w:t>对于能够结转以后年度的可抵扣亏损和税款抵减</w:t>
      </w:r>
      <w:r>
        <w:rPr>
          <w:spacing w:val="-82"/>
        </w:rPr>
        <w:t>，</w:t>
      </w:r>
      <w:r>
        <w:rPr/>
        <w:t>以很可能获得用来抵扣可抵扣亏损和税款抵减的未来应纳税所得额为</w:t>
      </w:r>
    </w:p>
    <w:p>
      <w:pPr>
        <w:spacing w:after="0" w:line="240" w:lineRule="auto"/>
        <w:jc w:val="left"/>
        <w:sectPr>
          <w:pgSz w:w="11910" w:h="16840"/>
          <w:pgMar w:header="747" w:footer="979" w:top="1060" w:bottom="1160" w:left="0" w:right="0"/>
        </w:sectPr>
      </w:pPr>
    </w:p>
    <w:p>
      <w:pPr>
        <w:spacing w:line="240" w:lineRule="auto" w:before="13"/>
        <w:rPr>
          <w:rFonts w:ascii="宋体" w:hAnsi="宋体" w:cs="宋体" w:eastAsia="宋体" w:hint="default"/>
          <w:sz w:val="25"/>
          <w:szCs w:val="25"/>
        </w:rPr>
      </w:pPr>
    </w:p>
    <w:p>
      <w:pPr>
        <w:pStyle w:val="BodyText"/>
        <w:spacing w:line="357" w:lineRule="auto" w:before="44"/>
        <w:ind w:left="1493" w:right="0" w:hanging="360"/>
        <w:jc w:val="left"/>
      </w:pPr>
      <w:r>
        <w:rPr/>
        <w:t>限，确认相应的递延所得税资产。 </w:t>
      </w:r>
      <w:r>
        <w:rPr>
          <w:spacing w:val="-2"/>
        </w:rPr>
        <w:t>资产负债表日，对于递延所得税资产和递延所得税负债，根据税法规定，按照预期收回相关资产或清偿相关负债期间的</w:t>
      </w:r>
    </w:p>
    <w:p>
      <w:pPr>
        <w:pStyle w:val="BodyText"/>
        <w:spacing w:line="357" w:lineRule="auto"/>
        <w:ind w:left="1493" w:right="1118" w:hanging="360"/>
        <w:jc w:val="left"/>
      </w:pPr>
      <w:r>
        <w:rPr/>
        <w:t>适用税率计量。 </w:t>
      </w:r>
      <w:r>
        <w:rPr>
          <w:spacing w:val="-2"/>
        </w:rPr>
        <w:t>于资产负债表日，对递延所得税资产的账面价值进行复核，如果未来很可能无法获得足够的应纳税所得额用以抵扣递延</w:t>
      </w:r>
    </w:p>
    <w:p>
      <w:pPr>
        <w:pStyle w:val="BodyText"/>
        <w:spacing w:line="225" w:lineRule="exact"/>
        <w:ind w:right="0"/>
        <w:jc w:val="left"/>
      </w:pPr>
      <w:r>
        <w:rPr/>
        <w:t>所得税资产的利益，则减记递延所得税资产的账面价值。在很可能获得足够的应纳税所得额时，减记的金额予以转回。</w:t>
      </w:r>
    </w:p>
    <w:p>
      <w:pPr>
        <w:pStyle w:val="BodyText"/>
        <w:spacing w:line="338" w:lineRule="auto" w:before="116"/>
        <w:ind w:left="1494" w:right="6972"/>
        <w:jc w:val="left"/>
      </w:pPr>
      <w:r>
        <w:rPr/>
        <w:t>（</w:t>
      </w:r>
      <w:r>
        <w:rPr>
          <w:rFonts w:ascii="Times New Roman" w:hAnsi="Times New Roman" w:cs="Times New Roman" w:eastAsia="Times New Roman" w:hint="default"/>
        </w:rPr>
        <w:t>3</w:t>
      </w:r>
      <w:r>
        <w:rPr/>
        <w:t>）所得税费用 所得税费用包括当期所得税和递延所得税。</w:t>
      </w:r>
    </w:p>
    <w:p>
      <w:pPr>
        <w:pStyle w:val="BodyText"/>
        <w:spacing w:line="319" w:lineRule="auto" w:before="42"/>
        <w:ind w:left="1134" w:right="1212" w:firstLine="360"/>
        <w:jc w:val="left"/>
      </w:pPr>
      <w:r>
        <w:rPr/>
        <w:t>除确认为其他综合收益或直接计入股东权益的交易和事项相关的当期所得税和递延所得税计入其他综合收益或股东权 益，以及企业合并产生的递延所得税调整商誉的账面价值外，其余当期所得税和递延所得税费用或收益计入当期损益。</w:t>
      </w:r>
    </w:p>
    <w:p>
      <w:pPr>
        <w:pStyle w:val="BodyText"/>
        <w:spacing w:line="338" w:lineRule="auto" w:before="56"/>
        <w:ind w:left="1494" w:right="0"/>
        <w:jc w:val="left"/>
      </w:pPr>
      <w:r>
        <w:rPr/>
        <w:t>（</w:t>
      </w:r>
      <w:r>
        <w:rPr>
          <w:rFonts w:ascii="Times New Roman" w:hAnsi="Times New Roman" w:cs="Times New Roman" w:eastAsia="Times New Roman" w:hint="default"/>
        </w:rPr>
        <w:t>4</w:t>
      </w:r>
      <w:r>
        <w:rPr/>
        <w:t>）所得税的抵销 </w:t>
      </w:r>
      <w:r>
        <w:rPr>
          <w:spacing w:val="-2"/>
        </w:rPr>
        <w:t>当拥有以净额结算的法定权利，且意图以净额结算或取得资产、清偿负债同时进行时，本公司当期所得税资产及当期所</w:t>
      </w:r>
    </w:p>
    <w:p>
      <w:pPr>
        <w:pStyle w:val="BodyText"/>
        <w:spacing w:line="357" w:lineRule="auto" w:before="4"/>
        <w:ind w:left="1494" w:right="0" w:hanging="360"/>
        <w:jc w:val="left"/>
      </w:pPr>
      <w:r>
        <w:rPr/>
        <w:t>得税负债以抵销后的净额列报。 </w:t>
      </w:r>
      <w:r>
        <w:rPr>
          <w:spacing w:val="-2"/>
        </w:rPr>
        <w:t>当拥有以净额结算当期所得税资产及当期所得税负债的法定权利，且递延所得税资产及递延所得税负债是与同一税收征</w:t>
      </w:r>
    </w:p>
    <w:p>
      <w:pPr>
        <w:pStyle w:val="BodyText"/>
        <w:spacing w:line="224" w:lineRule="exact"/>
        <w:ind w:left="1134" w:right="0"/>
        <w:jc w:val="left"/>
      </w:pPr>
      <w:r>
        <w:rPr/>
        <w:t>管部门对同一纳税主体征收的所得税相关或者是对不同的纳税主体相关</w:t>
      </w:r>
      <w:r>
        <w:rPr>
          <w:spacing w:val="-82"/>
        </w:rPr>
        <w:t>，</w:t>
      </w:r>
      <w:r>
        <w:rPr/>
        <w:t>但在未来每一具有重要性的递延所得税资产及负债</w:t>
      </w:r>
    </w:p>
    <w:p>
      <w:pPr>
        <w:pStyle w:val="BodyText"/>
        <w:spacing w:line="319" w:lineRule="auto" w:before="76"/>
        <w:ind w:left="1134" w:right="0"/>
        <w:jc w:val="left"/>
      </w:pPr>
      <w:r>
        <w:rPr>
          <w:spacing w:val="-2"/>
        </w:rPr>
        <w:t>转回的期间内，涉及的纳税主体意图以净额结算当期所得税资产和负债或是同时取得资产、清偿负债时，本公司递延所得税</w:t>
      </w:r>
      <w:r>
        <w:rPr>
          <w:spacing w:val="-66"/>
        </w:rPr>
        <w:t> </w:t>
      </w:r>
      <w:r>
        <w:rPr>
          <w:spacing w:val="-66"/>
        </w:rPr>
      </w:r>
      <w:r>
        <w:rPr/>
        <w:t>资产及递延所得税负债以抵销后的净额列报。</w:t>
      </w:r>
    </w:p>
    <w:p>
      <w:pPr>
        <w:spacing w:line="240" w:lineRule="auto" w:before="3"/>
        <w:rPr>
          <w:rFonts w:ascii="宋体" w:hAnsi="宋体" w:cs="宋体" w:eastAsia="宋体" w:hint="default"/>
          <w:sz w:val="22"/>
          <w:szCs w:val="22"/>
        </w:rPr>
      </w:pPr>
    </w:p>
    <w:p>
      <w:pPr>
        <w:pStyle w:val="Heading3"/>
        <w:spacing w:line="240" w:lineRule="auto"/>
        <w:ind w:left="1134" w:right="0"/>
        <w:jc w:val="left"/>
        <w:rPr>
          <w:b w:val="0"/>
          <w:bCs w:val="0"/>
        </w:rPr>
      </w:pPr>
      <w:bookmarkStart w:name="26、租赁" w:id="209"/>
      <w:bookmarkEnd w:id="209"/>
      <w:r>
        <w:rPr>
          <w:b w:val="0"/>
          <w:bCs w:val="0"/>
        </w:rPr>
      </w:r>
      <w:r>
        <w:rPr>
          <w:rFonts w:ascii="Times New Roman" w:hAnsi="Times New Roman" w:cs="Times New Roman" w:eastAsia="Times New Roman" w:hint="default"/>
        </w:rPr>
        <w:t>26</w:t>
      </w:r>
      <w:r>
        <w:rPr/>
        <w:t>、租赁</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134" w:right="0"/>
        <w:jc w:val="left"/>
        <w:rPr>
          <w:b w:val="0"/>
          <w:bCs w:val="0"/>
        </w:rPr>
      </w:pPr>
      <w:bookmarkStart w:name="（1）经营租赁的会计处理方法" w:id="210"/>
      <w:bookmarkEnd w:id="210"/>
      <w:r>
        <w:rPr>
          <w:b w:val="0"/>
          <w:bCs w:val="0"/>
        </w:rPr>
      </w:r>
      <w:r>
        <w:rPr/>
        <w:t>（</w:t>
      </w:r>
      <w:r>
        <w:rPr>
          <w:rFonts w:ascii="Times New Roman" w:hAnsi="Times New Roman" w:cs="Times New Roman" w:eastAsia="Times New Roman" w:hint="default"/>
        </w:rPr>
        <w:t>1</w:t>
      </w:r>
      <w:r>
        <w:rPr/>
        <w:t>）经营租赁的会计处理方法</w:t>
      </w:r>
      <w:r>
        <w:rPr>
          <w:b w:val="0"/>
          <w:bCs w:val="0"/>
        </w:rPr>
      </w:r>
    </w:p>
    <w:p>
      <w:pPr>
        <w:spacing w:line="240" w:lineRule="auto" w:before="8"/>
        <w:rPr>
          <w:rFonts w:ascii="宋体" w:hAnsi="宋体" w:cs="宋体" w:eastAsia="宋体" w:hint="default"/>
          <w:b/>
          <w:bCs/>
          <w:sz w:val="26"/>
          <w:szCs w:val="26"/>
        </w:rPr>
      </w:pPr>
    </w:p>
    <w:p>
      <w:pPr>
        <w:pStyle w:val="BodyText"/>
        <w:spacing w:line="357" w:lineRule="auto"/>
        <w:ind w:left="1494" w:right="0"/>
        <w:jc w:val="left"/>
      </w:pPr>
      <w:r>
        <w:rPr/>
        <w:t>本公司作为承租人记录经营租赁业务 </w:t>
      </w:r>
      <w:r>
        <w:rPr>
          <w:spacing w:val="-2"/>
        </w:rPr>
        <w:t>经营租赁的租金支出在租赁期内的各个期间按直线法计入相关资产成本或当期损益。初始直接费用计入当期损益。或有</w:t>
      </w:r>
    </w:p>
    <w:p>
      <w:pPr>
        <w:pStyle w:val="BodyText"/>
        <w:spacing w:line="357" w:lineRule="auto"/>
        <w:ind w:left="1494" w:right="7512" w:hanging="360"/>
        <w:jc w:val="left"/>
      </w:pPr>
      <w:r>
        <w:rPr/>
        <w:t>租金于实际发生时计入当期损益。 本公司作为出租人记录经营租赁业务</w:t>
      </w:r>
    </w:p>
    <w:p>
      <w:pPr>
        <w:pStyle w:val="BodyText"/>
        <w:spacing w:line="319" w:lineRule="auto" w:before="28"/>
        <w:ind w:left="1134" w:right="0" w:firstLine="360"/>
        <w:jc w:val="left"/>
      </w:pPr>
      <w:r>
        <w:rPr/>
        <w:t>经营租赁的租金收入在租赁期内的各个期间按直线法确认为当期损益。对金额较大的初始直接费用于发生时予以资本 </w:t>
      </w:r>
      <w:r>
        <w:rPr>
          <w:spacing w:val="-2"/>
        </w:rPr>
        <w:t>化，在整个租赁期间内按照与确认租金收入相同的基础分期计入当期损益；其他金额较小的初始直接费用于发生时计入当期</w:t>
      </w:r>
      <w:r>
        <w:rPr>
          <w:spacing w:val="-64"/>
        </w:rPr>
        <w:t> </w:t>
      </w:r>
      <w:r>
        <w:rPr>
          <w:spacing w:val="-64"/>
        </w:rPr>
      </w:r>
      <w:r>
        <w:rPr/>
        <w:t>损益。或有租金于实际发生时计入当期损益。</w:t>
      </w:r>
    </w:p>
    <w:p>
      <w:pPr>
        <w:spacing w:line="240" w:lineRule="auto" w:before="3"/>
        <w:rPr>
          <w:rFonts w:ascii="宋体" w:hAnsi="宋体" w:cs="宋体" w:eastAsia="宋体" w:hint="default"/>
          <w:sz w:val="22"/>
          <w:szCs w:val="22"/>
        </w:rPr>
      </w:pPr>
    </w:p>
    <w:p>
      <w:pPr>
        <w:pStyle w:val="Heading3"/>
        <w:spacing w:line="240" w:lineRule="auto"/>
        <w:ind w:left="1134" w:right="0"/>
        <w:jc w:val="left"/>
        <w:rPr>
          <w:b w:val="0"/>
          <w:bCs w:val="0"/>
        </w:rPr>
      </w:pPr>
      <w:bookmarkStart w:name="（2）融资租赁的会计处理方法" w:id="211"/>
      <w:bookmarkEnd w:id="211"/>
      <w:r>
        <w:rPr>
          <w:b w:val="0"/>
          <w:bCs w:val="0"/>
        </w:rPr>
      </w:r>
      <w:r>
        <w:rPr/>
        <w:t>（</w:t>
      </w:r>
      <w:r>
        <w:rPr>
          <w:rFonts w:ascii="Times New Roman" w:hAnsi="Times New Roman" w:cs="Times New Roman" w:eastAsia="Times New Roman" w:hint="default"/>
        </w:rPr>
        <w:t>2</w:t>
      </w:r>
      <w:r>
        <w:rPr/>
        <w:t>）融资租赁的会计处理方法</w:t>
      </w:r>
      <w:r>
        <w:rPr>
          <w:b w:val="0"/>
          <w:bCs w:val="0"/>
        </w:rPr>
      </w:r>
    </w:p>
    <w:p>
      <w:pPr>
        <w:spacing w:line="240" w:lineRule="auto" w:before="9"/>
        <w:rPr>
          <w:rFonts w:ascii="宋体" w:hAnsi="宋体" w:cs="宋体" w:eastAsia="宋体" w:hint="default"/>
          <w:b/>
          <w:bCs/>
          <w:sz w:val="26"/>
          <w:szCs w:val="26"/>
        </w:rPr>
      </w:pPr>
    </w:p>
    <w:p>
      <w:pPr>
        <w:pStyle w:val="BodyText"/>
        <w:spacing w:line="357" w:lineRule="auto"/>
        <w:ind w:left="1493" w:right="0"/>
        <w:jc w:val="left"/>
      </w:pPr>
      <w:r>
        <w:rPr/>
        <w:t>本公司作为承租人记录融资租赁业务 </w:t>
      </w:r>
      <w:r>
        <w:rPr>
          <w:spacing w:val="-2"/>
        </w:rPr>
        <w:t>于租赁期开始日，将租赁开始日租赁资产的公允价值与最低租赁付款额现值两者中较低者作为租入资产的入账价值，将</w:t>
      </w:r>
    </w:p>
    <w:p>
      <w:pPr>
        <w:pStyle w:val="BodyText"/>
        <w:spacing w:line="224" w:lineRule="exact"/>
        <w:ind w:right="0"/>
        <w:jc w:val="left"/>
      </w:pPr>
      <w:r>
        <w:rPr>
          <w:spacing w:val="-4"/>
        </w:rPr>
        <w:t>最低租赁付款额作为长期应付款的入账价值，其差额作为未确认融资费用。此外，在租赁谈判和签订租赁合同过程中发生的，</w:t>
      </w:r>
    </w:p>
    <w:p>
      <w:pPr>
        <w:pStyle w:val="BodyText"/>
        <w:spacing w:line="319" w:lineRule="auto" w:before="76"/>
        <w:ind w:right="0"/>
        <w:jc w:val="left"/>
      </w:pPr>
      <w:r>
        <w:rPr>
          <w:spacing w:val="-2"/>
        </w:rPr>
        <w:t>可归属于租赁项目的初始直接费用也计入租入资产价值。最低租赁付款额扣除未确认融资费用后的余额分别长期负债和一年</w:t>
      </w:r>
      <w:r>
        <w:rPr>
          <w:spacing w:val="-64"/>
        </w:rPr>
        <w:t> </w:t>
      </w:r>
      <w:r>
        <w:rPr>
          <w:spacing w:val="-64"/>
        </w:rPr>
      </w:r>
      <w:r>
        <w:rPr/>
        <w:t>内到期的长期负债列示。</w:t>
      </w:r>
    </w:p>
    <w:p>
      <w:pPr>
        <w:pStyle w:val="BodyText"/>
        <w:spacing w:line="357" w:lineRule="auto" w:before="58"/>
        <w:ind w:left="1493" w:right="0"/>
        <w:jc w:val="left"/>
      </w:pPr>
      <w:r>
        <w:rPr/>
        <w:t>未确认融资费用在租赁期内采用实际利率法计算确认当期的融资费用。或有租金于实际发生时计入当期损益。 本公司作为出租人记录融资租赁业务 </w:t>
      </w:r>
      <w:r>
        <w:rPr>
          <w:spacing w:val="-2"/>
        </w:rPr>
        <w:t>于租赁期开始日，将租赁开始日最低租赁收款额与初始直接费用之和作为应收融资租赁款的入账价值，同时记录未担保</w:t>
      </w:r>
    </w:p>
    <w:p>
      <w:pPr>
        <w:pStyle w:val="BodyText"/>
        <w:spacing w:line="224" w:lineRule="exact"/>
        <w:ind w:right="0"/>
        <w:jc w:val="left"/>
      </w:pPr>
      <w:r>
        <w:rPr/>
        <w:t>余值；将最低租赁收款额、初始直接费用及未担保余值之和与其现值之和的差额确认为未实现融资收益。应收融资租赁款扣</w:t>
      </w:r>
    </w:p>
    <w:p>
      <w:pPr>
        <w:pStyle w:val="BodyText"/>
        <w:spacing w:line="357" w:lineRule="auto" w:before="77"/>
        <w:ind w:left="1493" w:right="1753" w:hanging="360"/>
        <w:jc w:val="left"/>
      </w:pPr>
      <w:r>
        <w:rPr/>
        <w:t>除未实现融资收益后的余额分别长期债权和一年内到期的长期债权列示。 未实现融资收益在租赁期内采用实际利率法计算确认当期的融资收入。或有租金于实际发生时计入当期损益。</w:t>
      </w:r>
    </w:p>
    <w:p>
      <w:pPr>
        <w:spacing w:after="0" w:line="357" w:lineRule="auto"/>
        <w:jc w:val="left"/>
        <w:sectPr>
          <w:pgSz w:w="11910" w:h="16840"/>
          <w:pgMar w:header="747" w:footer="979" w:top="1060" w:bottom="1160" w:left="0" w:right="0"/>
        </w:sectPr>
      </w:pPr>
    </w:p>
    <w:p>
      <w:pPr>
        <w:spacing w:line="240" w:lineRule="auto" w:before="9"/>
        <w:rPr>
          <w:rFonts w:ascii="宋体" w:hAnsi="宋体" w:cs="宋体" w:eastAsia="宋体" w:hint="default"/>
          <w:sz w:val="24"/>
          <w:szCs w:val="24"/>
        </w:rPr>
      </w:pPr>
    </w:p>
    <w:p>
      <w:pPr>
        <w:pStyle w:val="Heading3"/>
        <w:spacing w:line="240" w:lineRule="auto" w:before="35"/>
        <w:ind w:right="0"/>
        <w:jc w:val="left"/>
        <w:rPr>
          <w:b w:val="0"/>
          <w:bCs w:val="0"/>
        </w:rPr>
      </w:pPr>
      <w:bookmarkStart w:name="27、其他重要的会计政策和会计估计" w:id="212"/>
      <w:bookmarkEnd w:id="212"/>
      <w:r>
        <w:rPr>
          <w:b w:val="0"/>
          <w:bCs w:val="0"/>
        </w:rPr>
      </w:r>
      <w:r>
        <w:rPr>
          <w:rFonts w:ascii="Times New Roman" w:hAnsi="Times New Roman" w:cs="Times New Roman" w:eastAsia="Times New Roman" w:hint="default"/>
        </w:rPr>
        <w:t>27</w:t>
      </w:r>
      <w:r>
        <w:rPr/>
        <w:t>、其他重要的会计政策和会计估计</w:t>
      </w:r>
      <w:r>
        <w:rPr>
          <w:b w:val="0"/>
          <w:bCs w:val="0"/>
        </w:rPr>
      </w:r>
    </w:p>
    <w:p>
      <w:pPr>
        <w:spacing w:line="240" w:lineRule="auto" w:before="8"/>
        <w:rPr>
          <w:rFonts w:ascii="宋体" w:hAnsi="宋体" w:cs="宋体" w:eastAsia="宋体" w:hint="default"/>
          <w:b/>
          <w:bCs/>
          <w:sz w:val="26"/>
          <w:szCs w:val="26"/>
        </w:rPr>
      </w:pPr>
    </w:p>
    <w:p>
      <w:pPr>
        <w:pStyle w:val="BodyText"/>
        <w:spacing w:line="319" w:lineRule="auto"/>
        <w:ind w:right="1033" w:firstLine="360"/>
        <w:jc w:val="left"/>
      </w:pPr>
      <w:r>
        <w:rPr>
          <w:spacing w:val="-2"/>
        </w:rPr>
        <w:t>本公司在运用会计政策过程中，由于经营活动内在的不确定性，本公司需要对无法准确计量的报表项目的账面价值进行</w:t>
      </w:r>
      <w:r>
        <w:rPr/>
        <w:t> 判断、估计和假设。这些判断、估计和假设是基于本公司管理层过去的历史经验，并在考虑其他相关因素的基础上做出的。 </w:t>
      </w:r>
      <w:r>
        <w:rPr>
          <w:spacing w:val="-2"/>
        </w:rPr>
        <w:t>这些判断、估计和假设会影响收入、费用、资产和负债的报告金额以及资产负债表日或有负债的披露。然而，这些估计的不</w:t>
      </w:r>
      <w:r>
        <w:rPr>
          <w:spacing w:val="-65"/>
        </w:rPr>
        <w:t> </w:t>
      </w:r>
      <w:r>
        <w:rPr>
          <w:spacing w:val="-65"/>
        </w:rPr>
      </w:r>
      <w:r>
        <w:rPr>
          <w:spacing w:val="-2"/>
        </w:rPr>
        <w:t>确定性所导致的实际结果可能与本公司管理层当前的估计存在差异，进而造成对未来受影响的资产或负债的账面金额进行重</w:t>
      </w:r>
      <w:r>
        <w:rPr>
          <w:spacing w:val="-64"/>
        </w:rPr>
        <w:t> </w:t>
      </w:r>
      <w:r>
        <w:rPr>
          <w:spacing w:val="-64"/>
        </w:rPr>
      </w:r>
      <w:r>
        <w:rPr/>
        <w:t>大调整。</w:t>
      </w:r>
    </w:p>
    <w:p>
      <w:pPr>
        <w:pStyle w:val="BodyText"/>
        <w:spacing w:line="319" w:lineRule="auto" w:before="55"/>
        <w:ind w:left="1134" w:right="0" w:firstLine="360"/>
        <w:jc w:val="left"/>
      </w:pPr>
      <w:r>
        <w:rPr>
          <w:spacing w:val="-2"/>
        </w:rPr>
        <w:t>本公司对前述判断、估计和假设在持续经营的基础上进行定期复核，会计估计的变更仅影响变更当期的，其影响数在变</w:t>
      </w:r>
      <w:r>
        <w:rPr/>
        <w:t> 更当期予以确认；既影响变更当期又影响未来期间的，其影响数在变更当期和未来期间予以确认。</w:t>
      </w:r>
    </w:p>
    <w:p>
      <w:pPr>
        <w:pStyle w:val="BodyText"/>
        <w:spacing w:line="240" w:lineRule="auto" w:before="58"/>
        <w:ind w:left="1493" w:right="0"/>
        <w:jc w:val="left"/>
      </w:pPr>
      <w:r>
        <w:rPr/>
        <w:t>于资产负债表日，本公司需对财务报表项目金额进行判断、估计和假设的重要领域如下：</w:t>
      </w:r>
    </w:p>
    <w:p>
      <w:pPr>
        <w:pStyle w:val="BodyText"/>
        <w:spacing w:line="338" w:lineRule="auto" w:before="116"/>
        <w:ind w:left="1494" w:right="0"/>
        <w:jc w:val="left"/>
      </w:pPr>
      <w:r>
        <w:rPr/>
        <w:t>（</w:t>
      </w:r>
      <w:r>
        <w:rPr>
          <w:rFonts w:ascii="Times New Roman" w:hAnsi="Times New Roman" w:cs="Times New Roman" w:eastAsia="Times New Roman" w:hint="default"/>
        </w:rPr>
        <w:t>1</w:t>
      </w:r>
      <w:r>
        <w:rPr/>
        <w:t>）坏账准备计提 </w:t>
      </w:r>
      <w:r>
        <w:rPr>
          <w:spacing w:val="-2"/>
        </w:rPr>
        <w:t>本公司根据应收款项的会计政策，采用备抵法核算坏账损失。应收款项减值是基于评估应收款项的可收回性。鉴定应收</w:t>
      </w:r>
    </w:p>
    <w:p>
      <w:pPr>
        <w:pStyle w:val="BodyText"/>
        <w:spacing w:line="319" w:lineRule="auto" w:before="2"/>
        <w:ind w:left="1134" w:right="0"/>
        <w:jc w:val="left"/>
      </w:pPr>
      <w:r>
        <w:rPr>
          <w:spacing w:val="-2"/>
        </w:rPr>
        <w:t>款项减值要求管理层的判断和估计。实际的结果与原先估计的差异将在估计被改变的期间影响应收款项的账面价值及应收款</w:t>
      </w:r>
      <w:r>
        <w:rPr>
          <w:spacing w:val="-64"/>
        </w:rPr>
        <w:t> </w:t>
      </w:r>
      <w:r>
        <w:rPr>
          <w:spacing w:val="-64"/>
        </w:rPr>
      </w:r>
      <w:r>
        <w:rPr/>
        <w:t>项坏账准备的计提或转回。</w:t>
      </w:r>
    </w:p>
    <w:p>
      <w:pPr>
        <w:pStyle w:val="BodyText"/>
        <w:spacing w:line="338" w:lineRule="auto" w:before="58"/>
        <w:ind w:left="1494" w:right="0"/>
        <w:jc w:val="left"/>
      </w:pPr>
      <w:r>
        <w:rPr/>
        <w:t>（</w:t>
      </w:r>
      <w:r>
        <w:rPr>
          <w:rFonts w:ascii="Times New Roman" w:hAnsi="Times New Roman" w:cs="Times New Roman" w:eastAsia="Times New Roman" w:hint="default"/>
        </w:rPr>
        <w:t>2</w:t>
      </w:r>
      <w:r>
        <w:rPr/>
        <w:t>）折旧和摊销 </w:t>
      </w:r>
      <w:r>
        <w:rPr>
          <w:spacing w:val="-2"/>
        </w:rPr>
        <w:t>本公司对投资性房地产、固定资产和无形资产在考虑其残值后，在使用寿命内按直线法计提折旧和摊销。本公司定期复</w:t>
      </w:r>
    </w:p>
    <w:p>
      <w:pPr>
        <w:pStyle w:val="BodyText"/>
        <w:spacing w:line="319" w:lineRule="auto" w:before="2"/>
        <w:ind w:left="1134" w:right="0"/>
        <w:jc w:val="left"/>
      </w:pPr>
      <w:r>
        <w:rPr>
          <w:spacing w:val="-2"/>
        </w:rPr>
        <w:t>核使用寿命，以决定将计入每个报告期的折旧和摊销费用数额。使用寿命是本公司根据对同类资产的以往经验并结合预期的</w:t>
      </w:r>
      <w:r>
        <w:rPr>
          <w:spacing w:val="-64"/>
        </w:rPr>
        <w:t> </w:t>
      </w:r>
      <w:r>
        <w:rPr>
          <w:spacing w:val="-64"/>
        </w:rPr>
      </w:r>
      <w:r>
        <w:rPr/>
        <w:t>技术更新而确定的。如果以前的估计发生重大变化，则会在未来期间对折旧和摊销费用进行调整。</w:t>
      </w:r>
    </w:p>
    <w:p>
      <w:pPr>
        <w:pStyle w:val="BodyText"/>
        <w:spacing w:line="338" w:lineRule="auto" w:before="56"/>
        <w:ind w:left="1494" w:right="0"/>
        <w:jc w:val="left"/>
      </w:pPr>
      <w:r>
        <w:rPr/>
        <w:t>（</w:t>
      </w:r>
      <w:r>
        <w:rPr>
          <w:rFonts w:ascii="Times New Roman" w:hAnsi="Times New Roman" w:cs="Times New Roman" w:eastAsia="Times New Roman" w:hint="default"/>
        </w:rPr>
        <w:t>3</w:t>
      </w:r>
      <w:r>
        <w:rPr/>
        <w:t>）递延所得税资产 </w:t>
      </w:r>
      <w:r>
        <w:rPr>
          <w:spacing w:val="-2"/>
        </w:rPr>
        <w:t>在很有可能有足够的应纳税利润来抵扣亏损的限度内，本公司就所有未利用的税务亏损确认递延所得税资产。这需要本</w:t>
      </w:r>
    </w:p>
    <w:p>
      <w:pPr>
        <w:pStyle w:val="BodyText"/>
        <w:spacing w:line="319" w:lineRule="auto" w:before="2"/>
        <w:ind w:left="1134" w:right="1118"/>
        <w:jc w:val="left"/>
      </w:pPr>
      <w:r>
        <w:rPr>
          <w:spacing w:val="-2"/>
        </w:rPr>
        <w:t>公司管理层运用大量的判断来估计未来应纳税利润发生的时间和金额，结合纳税筹划策略，以决定应确认的递延所得税资产</w:t>
      </w:r>
      <w:r>
        <w:rPr>
          <w:spacing w:val="-64"/>
        </w:rPr>
        <w:t> </w:t>
      </w:r>
      <w:r>
        <w:rPr>
          <w:spacing w:val="-64"/>
        </w:rPr>
      </w:r>
      <w:r>
        <w:rPr/>
        <w:t>的金额。</w:t>
      </w:r>
    </w:p>
    <w:p>
      <w:pPr>
        <w:spacing w:line="240" w:lineRule="auto" w:before="3"/>
        <w:rPr>
          <w:rFonts w:ascii="宋体" w:hAnsi="宋体" w:cs="宋体" w:eastAsia="宋体" w:hint="default"/>
          <w:sz w:val="22"/>
          <w:szCs w:val="22"/>
        </w:rPr>
      </w:pPr>
    </w:p>
    <w:p>
      <w:pPr>
        <w:pStyle w:val="Heading3"/>
        <w:spacing w:line="240" w:lineRule="auto"/>
        <w:ind w:right="0"/>
        <w:jc w:val="left"/>
        <w:rPr>
          <w:b w:val="0"/>
          <w:bCs w:val="0"/>
        </w:rPr>
      </w:pPr>
      <w:bookmarkStart w:name="28、重要会计政策和会计估计变更" w:id="213"/>
      <w:bookmarkEnd w:id="213"/>
      <w:r>
        <w:rPr>
          <w:b w:val="0"/>
          <w:bCs w:val="0"/>
        </w:rPr>
      </w:r>
      <w:r>
        <w:rPr>
          <w:rFonts w:ascii="Times New Roman" w:hAnsi="Times New Roman" w:cs="Times New Roman" w:eastAsia="Times New Roman" w:hint="default"/>
        </w:rPr>
        <w:t>28</w:t>
      </w:r>
      <w:r>
        <w:rPr/>
        <w:t>、重要会计政策和会计估计变更</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重要会计政策变更" w:id="214"/>
      <w:bookmarkEnd w:id="214"/>
      <w:r>
        <w:rPr>
          <w:b w:val="0"/>
          <w:bCs w:val="0"/>
        </w:rPr>
      </w:r>
      <w:r>
        <w:rPr/>
        <w:t>（</w:t>
      </w:r>
      <w:r>
        <w:rPr>
          <w:rFonts w:ascii="Times New Roman" w:hAnsi="Times New Roman" w:cs="Times New Roman" w:eastAsia="Times New Roman" w:hint="default"/>
        </w:rPr>
        <w:t>1</w:t>
      </w:r>
      <w:r>
        <w:rPr/>
        <w:t>）重要会计政策变更</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1"/>
        <w:ind w:left="1493" w:right="0"/>
        <w:jc w:val="left"/>
      </w:pP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5 </w:t>
      </w:r>
      <w:r>
        <w:rPr/>
        <w:t>月</w:t>
      </w:r>
      <w:r>
        <w:rPr>
          <w:spacing w:val="-46"/>
        </w:rPr>
        <w:t> </w:t>
      </w:r>
      <w:r>
        <w:rPr>
          <w:rFonts w:ascii="Times New Roman" w:hAnsi="Times New Roman" w:cs="Times New Roman" w:eastAsia="Times New Roman" w:hint="default"/>
        </w:rPr>
        <w:t>10 </w:t>
      </w:r>
      <w:r>
        <w:rPr/>
        <w:t>日，财政部对《企业会计准则第</w:t>
      </w:r>
      <w:r>
        <w:rPr>
          <w:spacing w:val="-46"/>
        </w:rPr>
        <w:t> </w:t>
      </w:r>
      <w:r>
        <w:rPr>
          <w:rFonts w:ascii="Times New Roman" w:hAnsi="Times New Roman" w:cs="Times New Roman" w:eastAsia="Times New Roman" w:hint="default"/>
        </w:rPr>
        <w:t>16  </w:t>
      </w:r>
      <w:r>
        <w:rPr/>
        <w:t>号</w:t>
      </w:r>
      <w:r>
        <w:rPr>
          <w:rFonts w:ascii="Times New Roman" w:hAnsi="Times New Roman" w:cs="Times New Roman" w:eastAsia="Times New Roman" w:hint="default"/>
        </w:rPr>
        <w:t>——</w:t>
      </w:r>
      <w:r>
        <w:rPr/>
        <w:t>政府补助》进行了修订，要求自</w:t>
      </w:r>
      <w:r>
        <w:rPr>
          <w:spacing w:val="-46"/>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w:t>
      </w:r>
      <w:r>
        <w:rPr>
          <w:spacing w:val="-45"/>
        </w:rPr>
        <w:t> </w:t>
      </w:r>
      <w:r>
        <w:rPr>
          <w:rFonts w:ascii="Times New Roman" w:hAnsi="Times New Roman" w:cs="Times New Roman" w:eastAsia="Times New Roman" w:hint="default"/>
        </w:rPr>
        <w:t>6 </w:t>
      </w:r>
      <w:r>
        <w:rPr/>
        <w:t>月</w:t>
      </w:r>
      <w:r>
        <w:rPr>
          <w:spacing w:val="-46"/>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日起在所有</w:t>
      </w:r>
    </w:p>
    <w:p>
      <w:pPr>
        <w:pStyle w:val="BodyText"/>
        <w:spacing w:line="240" w:lineRule="auto" w:before="63"/>
        <w:ind w:right="0"/>
        <w:jc w:val="left"/>
        <w:rPr>
          <w:rFonts w:ascii="Times New Roman" w:hAnsi="Times New Roman" w:cs="Times New Roman" w:eastAsia="Times New Roman" w:hint="default"/>
        </w:rPr>
      </w:pPr>
      <w:r>
        <w:rPr/>
        <w:t>执行企业会计准则的企业范围内施行，并要求对</w:t>
      </w:r>
      <w:r>
        <w:rPr>
          <w:spacing w:val="-45"/>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w:t>
      </w:r>
      <w:r>
        <w:rPr>
          <w:spacing w:val="-45"/>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月</w:t>
      </w:r>
      <w:r>
        <w:rPr>
          <w:spacing w:val="-46"/>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日存在的政府补助采用未来适用法处理，对</w:t>
      </w:r>
      <w:r>
        <w:rPr>
          <w:spacing w:val="-46"/>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w:t>
      </w:r>
      <w:r>
        <w:rPr>
          <w:spacing w:val="-45"/>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月</w:t>
      </w:r>
      <w:r>
        <w:rPr>
          <w:spacing w:val="-46"/>
        </w:rPr>
        <w:t> </w:t>
      </w:r>
      <w:r>
        <w:rPr>
          <w:rFonts w:ascii="Times New Roman" w:hAnsi="Times New Roman" w:cs="Times New Roman" w:eastAsia="Times New Roman" w:hint="default"/>
        </w:rPr>
        <w:t>1</w:t>
      </w:r>
    </w:p>
    <w:p>
      <w:pPr>
        <w:pStyle w:val="BodyText"/>
        <w:spacing w:line="240" w:lineRule="auto" w:before="64"/>
        <w:ind w:right="0"/>
        <w:jc w:val="left"/>
      </w:pPr>
      <w:r>
        <w:rPr/>
        <w:t>日至准则施行日之间新增的政府补助根据修订后准则进行调整。</w:t>
      </w:r>
    </w:p>
    <w:p>
      <w:pPr>
        <w:pStyle w:val="BodyText"/>
        <w:spacing w:line="240" w:lineRule="auto" w:before="116"/>
        <w:ind w:left="1494" w:right="0"/>
        <w:jc w:val="left"/>
        <w:rPr>
          <w:rFonts w:ascii="Times New Roman" w:hAnsi="Times New Roman" w:cs="Times New Roman" w:eastAsia="Times New Roman" w:hint="default"/>
        </w:rPr>
      </w:pP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4 </w:t>
      </w:r>
      <w:r>
        <w:rPr/>
        <w:t>月</w:t>
      </w:r>
      <w:r>
        <w:rPr>
          <w:spacing w:val="-46"/>
        </w:rPr>
        <w:t> </w:t>
      </w:r>
      <w:r>
        <w:rPr>
          <w:rFonts w:ascii="Times New Roman" w:hAnsi="Times New Roman" w:cs="Times New Roman" w:eastAsia="Times New Roman" w:hint="default"/>
        </w:rPr>
        <w:t>28 </w:t>
      </w:r>
      <w:r>
        <w:rPr/>
        <w:t>日</w:t>
      </w:r>
      <w:r>
        <w:rPr>
          <w:spacing w:val="-67"/>
        </w:rPr>
        <w:t>，</w:t>
      </w:r>
      <w:r>
        <w:rPr/>
        <w:t>财政部发布</w:t>
      </w:r>
      <w:r>
        <w:rPr>
          <w:spacing w:val="-67"/>
        </w:rPr>
        <w:t>了</w:t>
      </w:r>
      <w:r>
        <w:rPr/>
        <w:t>《企业会计准则第</w:t>
      </w:r>
      <w:r>
        <w:rPr>
          <w:spacing w:val="-46"/>
        </w:rPr>
        <w:t> </w:t>
      </w:r>
      <w:r>
        <w:rPr>
          <w:rFonts w:ascii="Times New Roman" w:hAnsi="Times New Roman" w:cs="Times New Roman" w:eastAsia="Times New Roman" w:hint="default"/>
        </w:rPr>
        <w:t>42</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rFonts w:ascii="Times New Roman" w:hAnsi="Times New Roman" w:cs="Times New Roman" w:eastAsia="Times New Roman" w:hint="default"/>
          <w:spacing w:val="1"/>
        </w:rPr>
        <w:t>—</w:t>
      </w:r>
      <w:r>
        <w:rPr/>
        <w:t>持有待售的非流动资产</w:t>
      </w:r>
      <w:r>
        <w:rPr>
          <w:spacing w:val="-67"/>
        </w:rPr>
        <w:t>、</w:t>
      </w:r>
      <w:r>
        <w:rPr/>
        <w:t>处置组和终止经营</w:t>
      </w:r>
      <w:r>
        <w:rPr>
          <w:spacing w:val="-90"/>
        </w:rPr>
        <w:t>》</w:t>
      </w:r>
      <w:r>
        <w:rPr>
          <w:spacing w:val="-67"/>
        </w:rPr>
        <w:t>，</w:t>
      </w:r>
      <w:r>
        <w:rPr/>
        <w:t>要求自</w:t>
      </w:r>
      <w:r>
        <w:rPr>
          <w:spacing w:val="-46"/>
        </w:rPr>
        <w:t> </w:t>
      </w:r>
      <w:r>
        <w:rPr>
          <w:rFonts w:ascii="Times New Roman" w:hAnsi="Times New Roman" w:cs="Times New Roman" w:eastAsia="Times New Roman" w:hint="default"/>
        </w:rPr>
        <w:t>20</w:t>
      </w:r>
      <w:r>
        <w:rPr>
          <w:rFonts w:ascii="Times New Roman" w:hAnsi="Times New Roman" w:cs="Times New Roman" w:eastAsia="Times New Roman" w:hint="default"/>
          <w:spacing w:val="1"/>
        </w:rPr>
        <w:t>1</w:t>
      </w:r>
      <w:r>
        <w:rPr>
          <w:rFonts w:ascii="Times New Roman" w:hAnsi="Times New Roman" w:cs="Times New Roman" w:eastAsia="Times New Roman" w:hint="default"/>
        </w:rPr>
        <w:t>7</w:t>
      </w:r>
    </w:p>
    <w:p>
      <w:pPr>
        <w:pStyle w:val="BodyText"/>
        <w:spacing w:line="302" w:lineRule="auto" w:before="63"/>
        <w:ind w:right="1127"/>
        <w:jc w:val="left"/>
      </w:pPr>
      <w:r>
        <w:rPr/>
        <w:t>年</w:t>
      </w:r>
      <w:r>
        <w:rPr>
          <w:spacing w:val="-46"/>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月</w:t>
      </w:r>
      <w:r>
        <w:rPr>
          <w:spacing w:val="-46"/>
        </w:rPr>
        <w:t> </w:t>
      </w:r>
      <w:r>
        <w:rPr>
          <w:rFonts w:ascii="Times New Roman" w:hAnsi="Times New Roman" w:cs="Times New Roman" w:eastAsia="Times New Roman" w:hint="default"/>
        </w:rPr>
        <w:t>28</w:t>
      </w:r>
      <w:r>
        <w:rPr>
          <w:rFonts w:ascii="Times New Roman" w:hAnsi="Times New Roman" w:cs="Times New Roman" w:eastAsia="Times New Roman" w:hint="default"/>
          <w:spacing w:val="-1"/>
        </w:rPr>
        <w:t> </w:t>
      </w:r>
      <w:r>
        <w:rPr/>
        <w:t>日起在所有执行企业会计准则的企业范围内施行。对于准则施行日存在的持有待售的非流动资产、处置组和终止 经营，采用未来适用法处理。</w:t>
      </w:r>
    </w:p>
    <w:p>
      <w:pPr>
        <w:pStyle w:val="BodyText"/>
        <w:spacing w:line="240" w:lineRule="auto" w:before="68"/>
        <w:ind w:left="1493" w:right="0"/>
        <w:jc w:val="left"/>
      </w:pPr>
      <w:r>
        <w:rPr/>
        <w:t>财政部于</w:t>
      </w:r>
      <w:r>
        <w:rPr>
          <w:spacing w:val="-46"/>
        </w:rPr>
        <w:t> </w:t>
      </w:r>
      <w:r>
        <w:rPr>
          <w:rFonts w:ascii="Times New Roman" w:hAnsi="Times New Roman" w:cs="Times New Roman" w:eastAsia="Times New Roman" w:hint="default"/>
        </w:rPr>
        <w:t>2017 </w:t>
      </w:r>
      <w:r>
        <w:rPr/>
        <w:t>年</w:t>
      </w:r>
      <w:r>
        <w:rPr>
          <w:spacing w:val="-46"/>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46"/>
        </w:rPr>
        <w:t> </w:t>
      </w:r>
      <w:r>
        <w:rPr>
          <w:rFonts w:ascii="Times New Roman" w:hAnsi="Times New Roman" w:cs="Times New Roman" w:eastAsia="Times New Roman" w:hint="default"/>
          <w:spacing w:val="1"/>
        </w:rPr>
        <w:t>2</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spacing w:val="1"/>
        </w:rPr>
        <w:t>日</w:t>
      </w:r>
      <w:r>
        <w:rPr/>
        <w:t>发布了《财政部关于修订印发一般企业财务报表格式的通知</w:t>
      </w:r>
      <w:r>
        <w:rPr>
          <w:spacing w:val="-90"/>
        </w:rPr>
        <w:t>》</w:t>
      </w:r>
      <w:r>
        <w:rPr/>
        <w:t>（财会</w:t>
      </w:r>
      <w:r>
        <w:rPr>
          <w:rFonts w:ascii="Times New Roman" w:hAnsi="Times New Roman" w:cs="Times New Roman" w:eastAsia="Times New Roman" w:hint="default"/>
        </w:rPr>
        <w:t>[2017</w:t>
      </w:r>
      <w:r>
        <w:rPr>
          <w:rFonts w:ascii="Times New Roman" w:hAnsi="Times New Roman" w:cs="Times New Roman" w:eastAsia="Times New Roman" w:hint="default"/>
          <w:spacing w:val="-2"/>
        </w:rPr>
        <w:t>]</w:t>
      </w:r>
      <w:r>
        <w:rPr>
          <w:rFonts w:ascii="Times New Roman" w:hAnsi="Times New Roman" w:cs="Times New Roman" w:eastAsia="Times New Roman" w:hint="default"/>
        </w:rPr>
        <w:t>30</w:t>
      </w:r>
      <w:r>
        <w:rPr>
          <w:rFonts w:ascii="Times New Roman" w:hAnsi="Times New Roman" w:cs="Times New Roman" w:eastAsia="Times New Roman" w:hint="default"/>
          <w:spacing w:val="-1"/>
        </w:rPr>
        <w:t> </w:t>
      </w:r>
      <w:r>
        <w:rPr/>
        <w:t>号</w:t>
      </w:r>
      <w:r>
        <w:rPr>
          <w:spacing w:val="-90"/>
        </w:rPr>
        <w:t>）</w:t>
      </w:r>
      <w:r>
        <w:rPr/>
        <w:t>，</w:t>
      </w:r>
      <w:r>
        <w:rPr>
          <w:spacing w:val="1"/>
        </w:rPr>
        <w:t>对</w:t>
      </w:r>
      <w:r>
        <w:rPr/>
        <w:t>一般</w:t>
      </w:r>
    </w:p>
    <w:p>
      <w:pPr>
        <w:pStyle w:val="BodyText"/>
        <w:spacing w:line="338" w:lineRule="auto" w:before="64"/>
        <w:ind w:left="1493" w:right="4905" w:hanging="360"/>
        <w:jc w:val="left"/>
      </w:pPr>
      <w:r>
        <w:rPr/>
        <w:t>企业财务报表格式进行了修订，适用于</w:t>
      </w:r>
      <w:r>
        <w:rPr>
          <w:spacing w:val="-46"/>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年度及以后期间的财务报表。 由于上述会计政策的变更，对本公司具体影响如下：</w:t>
      </w:r>
    </w:p>
    <w:p>
      <w:pPr>
        <w:spacing w:line="240" w:lineRule="auto" w:before="4"/>
        <w:rPr>
          <w:rFonts w:ascii="宋体" w:hAnsi="宋体" w:cs="宋体" w:eastAsia="宋体" w:hint="default"/>
          <w:sz w:val="2"/>
          <w:szCs w:val="2"/>
        </w:rPr>
      </w:pPr>
    </w:p>
    <w:tbl>
      <w:tblPr>
        <w:tblW w:w="0" w:type="auto"/>
        <w:jc w:val="left"/>
        <w:tblInd w:w="1103" w:type="dxa"/>
        <w:tblLayout w:type="fixed"/>
        <w:tblCellMar>
          <w:top w:w="0" w:type="dxa"/>
          <w:left w:w="0" w:type="dxa"/>
          <w:bottom w:w="0" w:type="dxa"/>
          <w:right w:w="0" w:type="dxa"/>
        </w:tblCellMar>
        <w:tblLook w:val="01E0"/>
      </w:tblPr>
      <w:tblGrid>
        <w:gridCol w:w="4128"/>
        <w:gridCol w:w="1276"/>
        <w:gridCol w:w="3261"/>
      </w:tblGrid>
      <w:tr>
        <w:trPr>
          <w:trHeight w:val="500" w:hRule="exact"/>
        </w:trPr>
        <w:tc>
          <w:tcPr>
            <w:tcW w:w="4128"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94"/>
              <w:ind w:left="983" w:right="0"/>
              <w:jc w:val="left"/>
              <w:rPr>
                <w:rFonts w:ascii="宋体" w:hAnsi="宋体" w:cs="宋体" w:eastAsia="宋体" w:hint="default"/>
                <w:sz w:val="18"/>
                <w:szCs w:val="18"/>
              </w:rPr>
            </w:pPr>
            <w:r>
              <w:rPr>
                <w:rFonts w:ascii="宋体" w:hAnsi="宋体" w:cs="宋体" w:eastAsia="宋体" w:hint="default"/>
                <w:sz w:val="18"/>
                <w:szCs w:val="18"/>
              </w:rPr>
              <w:t>会计政策变更的内容和原因</w:t>
            </w:r>
          </w:p>
        </w:tc>
        <w:tc>
          <w:tcPr>
            <w:tcW w:w="1276"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94"/>
              <w:ind w:left="272" w:right="0"/>
              <w:jc w:val="left"/>
              <w:rPr>
                <w:rFonts w:ascii="宋体" w:hAnsi="宋体" w:cs="宋体" w:eastAsia="宋体" w:hint="default"/>
                <w:sz w:val="18"/>
                <w:szCs w:val="18"/>
              </w:rPr>
            </w:pPr>
            <w:r>
              <w:rPr>
                <w:rFonts w:ascii="宋体" w:hAnsi="宋体" w:cs="宋体" w:eastAsia="宋体" w:hint="default"/>
                <w:sz w:val="18"/>
                <w:szCs w:val="18"/>
              </w:rPr>
              <w:t>审批程序</w:t>
            </w:r>
          </w:p>
        </w:tc>
        <w:tc>
          <w:tcPr>
            <w:tcW w:w="3261"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94"/>
              <w:ind w:left="103" w:right="0"/>
              <w:jc w:val="left"/>
              <w:rPr>
                <w:rFonts w:ascii="宋体" w:hAnsi="宋体" w:cs="宋体" w:eastAsia="宋体" w:hint="default"/>
                <w:sz w:val="18"/>
                <w:szCs w:val="18"/>
              </w:rPr>
            </w:pPr>
            <w:r>
              <w:rPr>
                <w:rFonts w:ascii="宋体" w:hAnsi="宋体" w:cs="宋体" w:eastAsia="宋体" w:hint="default"/>
                <w:sz w:val="18"/>
                <w:szCs w:val="18"/>
              </w:rPr>
              <w:t>备注（受影响的合并报表项目及金额）</w:t>
            </w:r>
          </w:p>
        </w:tc>
      </w:tr>
      <w:tr>
        <w:trPr>
          <w:trHeight w:val="1254" w:hRule="exact"/>
        </w:trPr>
        <w:tc>
          <w:tcPr>
            <w:tcW w:w="4128" w:type="dxa"/>
            <w:tcBorders>
              <w:top w:val="single" w:sz="4" w:space="0" w:color="000000"/>
              <w:left w:val="nil" w:sz="6" w:space="0" w:color="auto"/>
              <w:bottom w:val="nil" w:sz="6" w:space="0" w:color="auto"/>
              <w:right w:val="single" w:sz="4" w:space="0" w:color="000000"/>
            </w:tcBorders>
          </w:tcPr>
          <w:p>
            <w:pPr>
              <w:pStyle w:val="TableParagraph"/>
              <w:spacing w:line="240" w:lineRule="auto" w:before="12"/>
              <w:ind w:left="107" w:right="0"/>
              <w:jc w:val="both"/>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、根据《企业会计准则第</w:t>
            </w:r>
            <w:r>
              <w:rPr>
                <w:rFonts w:ascii="宋体" w:hAnsi="宋体" w:cs="宋体" w:eastAsia="宋体" w:hint="default"/>
                <w:spacing w:val="-46"/>
                <w:sz w:val="18"/>
                <w:szCs w:val="18"/>
              </w:rPr>
              <w:t> </w:t>
            </w:r>
            <w:r>
              <w:rPr>
                <w:rFonts w:ascii="宋体" w:hAnsi="宋体" w:cs="宋体" w:eastAsia="宋体" w:hint="default"/>
                <w:sz w:val="18"/>
                <w:szCs w:val="18"/>
              </w:rPr>
              <w:t>16</w:t>
            </w:r>
            <w:r>
              <w:rPr>
                <w:rFonts w:ascii="宋体" w:hAnsi="宋体" w:cs="宋体" w:eastAsia="宋体" w:hint="default"/>
                <w:spacing w:val="-45"/>
                <w:sz w:val="18"/>
                <w:szCs w:val="18"/>
              </w:rPr>
              <w:t> </w:t>
            </w:r>
            <w:r>
              <w:rPr>
                <w:rFonts w:ascii="宋体" w:hAnsi="宋体" w:cs="宋体" w:eastAsia="宋体" w:hint="default"/>
                <w:sz w:val="18"/>
                <w:szCs w:val="18"/>
              </w:rPr>
              <w:t>号——政府补助》</w:t>
            </w:r>
          </w:p>
          <w:p>
            <w:pPr>
              <w:pStyle w:val="TableParagraph"/>
              <w:spacing w:line="316" w:lineRule="auto" w:before="76"/>
              <w:ind w:left="107" w:right="103"/>
              <w:jc w:val="both"/>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2017</w:t>
            </w:r>
            <w:r>
              <w:rPr>
                <w:rFonts w:ascii="宋体" w:hAnsi="宋体" w:cs="宋体" w:eastAsia="宋体" w:hint="default"/>
                <w:sz w:val="18"/>
                <w:szCs w:val="18"/>
              </w:rPr>
              <w:t>），自</w:t>
            </w:r>
            <w:r>
              <w:rPr>
                <w:rFonts w:ascii="宋体" w:hAnsi="宋体" w:cs="宋体" w:eastAsia="宋体" w:hint="default"/>
                <w:spacing w:val="-46"/>
                <w:sz w:val="18"/>
                <w:szCs w:val="18"/>
              </w:rPr>
              <w:t> </w:t>
            </w: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日起，与本公司日常 </w:t>
            </w:r>
            <w:r>
              <w:rPr>
                <w:rFonts w:ascii="宋体" w:hAnsi="宋体" w:cs="宋体" w:eastAsia="宋体" w:hint="default"/>
                <w:spacing w:val="-3"/>
                <w:sz w:val="18"/>
                <w:szCs w:val="18"/>
              </w:rPr>
              <w:t>活动相关的政府补助，从“营业外收入”项目重分</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类至“其他收益”项目。比较数据不调整。</w:t>
            </w:r>
          </w:p>
        </w:tc>
        <w:tc>
          <w:tcPr>
            <w:tcW w:w="127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24"/>
                <w:szCs w:val="24"/>
              </w:rPr>
            </w:pPr>
          </w:p>
          <w:p>
            <w:pPr>
              <w:pStyle w:val="TableParagraph"/>
              <w:spacing w:line="316" w:lineRule="auto"/>
              <w:ind w:left="452" w:right="181" w:hanging="270"/>
              <w:jc w:val="left"/>
              <w:rPr>
                <w:rFonts w:ascii="宋体" w:hAnsi="宋体" w:cs="宋体" w:eastAsia="宋体" w:hint="default"/>
                <w:sz w:val="18"/>
                <w:szCs w:val="18"/>
              </w:rPr>
            </w:pPr>
            <w:r>
              <w:rPr>
                <w:rFonts w:ascii="宋体" w:hAnsi="宋体" w:cs="宋体" w:eastAsia="宋体" w:hint="default"/>
                <w:sz w:val="18"/>
                <w:szCs w:val="18"/>
              </w:rPr>
              <w:t>执行财政部 规定</w:t>
            </w:r>
          </w:p>
        </w:tc>
        <w:tc>
          <w:tcPr>
            <w:tcW w:w="3261" w:type="dxa"/>
            <w:tcBorders>
              <w:top w:val="single" w:sz="4" w:space="0" w:color="000000"/>
              <w:left w:val="single" w:sz="4" w:space="0" w:color="000000"/>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24"/>
                <w:szCs w:val="24"/>
              </w:rPr>
            </w:pPr>
          </w:p>
          <w:p>
            <w:pPr>
              <w:pStyle w:val="TableParagraph"/>
              <w:spacing w:line="302" w:lineRule="auto"/>
              <w:ind w:left="103" w:right="493"/>
              <w:jc w:val="left"/>
              <w:rPr>
                <w:rFonts w:ascii="宋体" w:hAnsi="宋体" w:cs="宋体" w:eastAsia="宋体" w:hint="default"/>
                <w:sz w:val="18"/>
                <w:szCs w:val="18"/>
              </w:rPr>
            </w:pPr>
            <w:r>
              <w:rPr>
                <w:rFonts w:ascii="宋体" w:hAnsi="宋体" w:cs="宋体" w:eastAsia="宋体" w:hint="default"/>
                <w:sz w:val="18"/>
                <w:szCs w:val="18"/>
              </w:rPr>
              <w:t>本期其他收益：</w:t>
            </w:r>
            <w:r>
              <w:rPr>
                <w:rFonts w:ascii="Arial Narrow" w:hAnsi="Arial Narrow" w:cs="Arial Narrow" w:eastAsia="Arial Narrow" w:hint="default"/>
                <w:sz w:val="18"/>
                <w:szCs w:val="18"/>
              </w:rPr>
              <w:t>31,399,343.75</w:t>
            </w:r>
            <w:r>
              <w:rPr>
                <w:rFonts w:ascii="Arial Narrow" w:hAnsi="Arial Narrow" w:cs="Arial Narrow" w:eastAsia="Arial Narrow" w:hint="default"/>
                <w:spacing w:val="3"/>
                <w:sz w:val="18"/>
                <w:szCs w:val="18"/>
              </w:rPr>
              <w:t> </w:t>
            </w:r>
            <w:r>
              <w:rPr>
                <w:rFonts w:ascii="宋体" w:hAnsi="宋体" w:cs="宋体" w:eastAsia="宋体" w:hint="default"/>
                <w:sz w:val="18"/>
                <w:szCs w:val="18"/>
              </w:rPr>
              <w:t>元 本期营业外收入：</w:t>
            </w:r>
            <w:r>
              <w:rPr>
                <w:rFonts w:ascii="Arial Narrow" w:hAnsi="Arial Narrow" w:cs="Arial Narrow" w:eastAsia="Arial Narrow" w:hint="default"/>
                <w:sz w:val="18"/>
                <w:szCs w:val="18"/>
              </w:rPr>
              <w:t>-31,399,343.75</w:t>
            </w:r>
            <w:r>
              <w:rPr>
                <w:rFonts w:ascii="Arial Narrow" w:hAnsi="Arial Narrow" w:cs="Arial Narrow" w:eastAsia="Arial Narrow" w:hint="default"/>
                <w:spacing w:val="2"/>
                <w:sz w:val="18"/>
                <w:szCs w:val="18"/>
              </w:rPr>
              <w:t> </w:t>
            </w:r>
            <w:r>
              <w:rPr>
                <w:rFonts w:ascii="宋体" w:hAnsi="宋体" w:cs="宋体" w:eastAsia="宋体" w:hint="default"/>
                <w:sz w:val="18"/>
                <w:szCs w:val="18"/>
              </w:rPr>
              <w:t>元</w:t>
            </w:r>
          </w:p>
        </w:tc>
      </w:tr>
    </w:tbl>
    <w:p>
      <w:pPr>
        <w:spacing w:after="0" w:line="302"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04" w:type="dxa"/>
        <w:tblLayout w:type="fixed"/>
        <w:tblCellMar>
          <w:top w:w="0" w:type="dxa"/>
          <w:left w:w="0" w:type="dxa"/>
          <w:bottom w:w="0" w:type="dxa"/>
          <w:right w:w="0" w:type="dxa"/>
        </w:tblCellMar>
        <w:tblLook w:val="01E0"/>
      </w:tblPr>
      <w:tblGrid>
        <w:gridCol w:w="4142"/>
        <w:gridCol w:w="1276"/>
        <w:gridCol w:w="3261"/>
      </w:tblGrid>
      <w:tr>
        <w:trPr>
          <w:trHeight w:val="1281" w:hRule="exact"/>
        </w:trPr>
        <w:tc>
          <w:tcPr>
            <w:tcW w:w="4142" w:type="dxa"/>
            <w:tcBorders>
              <w:top w:val="nil" w:sz="6" w:space="0" w:color="auto"/>
              <w:left w:val="nil" w:sz="6" w:space="0" w:color="auto"/>
              <w:bottom w:val="nil" w:sz="6" w:space="0" w:color="auto"/>
              <w:right w:val="single" w:sz="4" w:space="0" w:color="000000"/>
            </w:tcBorders>
          </w:tcPr>
          <w:p>
            <w:pPr>
              <w:pStyle w:val="TableParagraph"/>
              <w:spacing w:line="316" w:lineRule="auto" w:before="10"/>
              <w:ind w:left="122" w:right="52"/>
              <w:jc w:val="both"/>
              <w:rPr>
                <w:rFonts w:ascii="宋体" w:hAnsi="宋体" w:cs="宋体" w:eastAsia="宋体" w:hint="default"/>
                <w:sz w:val="18"/>
                <w:szCs w:val="18"/>
              </w:rPr>
            </w:pPr>
            <w:r>
              <w:rPr>
                <w:rFonts w:ascii="宋体" w:hAnsi="宋体" w:cs="宋体" w:eastAsia="宋体" w:hint="default"/>
                <w:spacing w:val="-5"/>
                <w:sz w:val="18"/>
                <w:szCs w:val="18"/>
              </w:rPr>
              <w:t>2</w:t>
            </w:r>
            <w:r>
              <w:rPr>
                <w:rFonts w:ascii="宋体" w:hAnsi="宋体" w:cs="宋体" w:eastAsia="宋体" w:hint="default"/>
                <w:spacing w:val="-5"/>
                <w:sz w:val="18"/>
                <w:szCs w:val="18"/>
              </w:rPr>
              <w:t>、根据《企业会计准则第</w:t>
            </w:r>
            <w:r>
              <w:rPr>
                <w:rFonts w:ascii="宋体" w:hAnsi="宋体" w:cs="宋体" w:eastAsia="宋体" w:hint="default"/>
                <w:spacing w:val="-44"/>
                <w:sz w:val="18"/>
                <w:szCs w:val="18"/>
              </w:rPr>
              <w:t> </w:t>
            </w:r>
            <w:r>
              <w:rPr>
                <w:rFonts w:ascii="宋体" w:hAnsi="宋体" w:cs="宋体" w:eastAsia="宋体" w:hint="default"/>
                <w:sz w:val="18"/>
                <w:szCs w:val="18"/>
              </w:rPr>
              <w:t>42</w:t>
            </w:r>
            <w:r>
              <w:rPr>
                <w:rFonts w:ascii="宋体" w:hAnsi="宋体" w:cs="宋体" w:eastAsia="宋体" w:hint="default"/>
                <w:spacing w:val="-43"/>
                <w:sz w:val="18"/>
                <w:szCs w:val="18"/>
              </w:rPr>
              <w:t> </w:t>
            </w:r>
            <w:r>
              <w:rPr>
                <w:rFonts w:ascii="宋体" w:hAnsi="宋体" w:cs="宋体" w:eastAsia="宋体" w:hint="default"/>
                <w:sz w:val="18"/>
                <w:szCs w:val="18"/>
              </w:rPr>
              <w:t>号——持有待售的非</w:t>
            </w:r>
            <w:r>
              <w:rPr>
                <w:rFonts w:ascii="宋体" w:hAnsi="宋体" w:cs="宋体" w:eastAsia="宋体" w:hint="default"/>
                <w:spacing w:val="-87"/>
                <w:sz w:val="18"/>
                <w:szCs w:val="18"/>
              </w:rPr>
              <w:t> </w:t>
            </w:r>
            <w:r>
              <w:rPr>
                <w:rFonts w:ascii="宋体" w:hAnsi="宋体" w:cs="宋体" w:eastAsia="宋体" w:hint="default"/>
                <w:sz w:val="18"/>
                <w:szCs w:val="18"/>
              </w:rPr>
              <w:t>流动资产、处置组和终止经营》</w:t>
            </w:r>
            <w:r>
              <w:rPr>
                <w:rFonts w:ascii="宋体" w:hAnsi="宋体" w:cs="宋体" w:eastAsia="宋体" w:hint="default"/>
                <w:sz w:val="18"/>
                <w:szCs w:val="18"/>
              </w:rPr>
              <w:t>,</w:t>
            </w:r>
            <w:r>
              <w:rPr>
                <w:rFonts w:ascii="宋体" w:hAnsi="宋体" w:cs="宋体" w:eastAsia="宋体" w:hint="default"/>
                <w:sz w:val="18"/>
                <w:szCs w:val="18"/>
              </w:rPr>
              <w:t>在利润表中分别 列示“持续经营净利润”和“终止经营净利润”， 比较数据相应调整。</w:t>
            </w:r>
          </w:p>
        </w:tc>
        <w:tc>
          <w:tcPr>
            <w:tcW w:w="1276"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316" w:lineRule="auto"/>
              <w:ind w:left="452" w:right="181" w:hanging="270"/>
              <w:jc w:val="left"/>
              <w:rPr>
                <w:rFonts w:ascii="宋体" w:hAnsi="宋体" w:cs="宋体" w:eastAsia="宋体" w:hint="default"/>
                <w:sz w:val="18"/>
                <w:szCs w:val="18"/>
              </w:rPr>
            </w:pPr>
            <w:r>
              <w:rPr>
                <w:rFonts w:ascii="宋体" w:hAnsi="宋体" w:cs="宋体" w:eastAsia="宋体" w:hint="default"/>
                <w:sz w:val="18"/>
                <w:szCs w:val="18"/>
              </w:rPr>
              <w:t>执行财政部 规定</w:t>
            </w:r>
          </w:p>
        </w:tc>
        <w:tc>
          <w:tcPr>
            <w:tcW w:w="3261" w:type="dxa"/>
            <w:tcBorders>
              <w:top w:val="nil" w:sz="6" w:space="0" w:color="auto"/>
              <w:left w:val="single" w:sz="4" w:space="0" w:color="000000"/>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302" w:lineRule="auto"/>
              <w:ind w:left="103" w:right="108"/>
              <w:jc w:val="left"/>
              <w:rPr>
                <w:rFonts w:ascii="宋体" w:hAnsi="宋体" w:cs="宋体" w:eastAsia="宋体" w:hint="default"/>
                <w:sz w:val="18"/>
                <w:szCs w:val="18"/>
              </w:rPr>
            </w:pPr>
            <w:r>
              <w:rPr>
                <w:rFonts w:ascii="宋体" w:hAnsi="宋体" w:cs="宋体" w:eastAsia="宋体" w:hint="default"/>
                <w:sz w:val="18"/>
                <w:szCs w:val="18"/>
              </w:rPr>
              <w:t>本期持续经营净利润：</w:t>
            </w:r>
            <w:r>
              <w:rPr>
                <w:rFonts w:ascii="Arial Narrow" w:hAnsi="Arial Narrow" w:cs="Arial Narrow" w:eastAsia="Arial Narrow" w:hint="default"/>
                <w:sz w:val="18"/>
                <w:szCs w:val="18"/>
              </w:rPr>
              <w:t>199,555,107.30</w:t>
            </w:r>
            <w:r>
              <w:rPr>
                <w:rFonts w:ascii="Arial Narrow" w:hAnsi="Arial Narrow" w:cs="Arial Narrow" w:eastAsia="Arial Narrow" w:hint="default"/>
                <w:spacing w:val="-5"/>
                <w:sz w:val="18"/>
                <w:szCs w:val="18"/>
              </w:rPr>
              <w:t> </w:t>
            </w:r>
            <w:r>
              <w:rPr>
                <w:rFonts w:ascii="宋体" w:hAnsi="宋体" w:cs="宋体" w:eastAsia="宋体" w:hint="default"/>
                <w:sz w:val="18"/>
                <w:szCs w:val="18"/>
              </w:rPr>
              <w:t>元 上期持续经营净利润：</w:t>
            </w:r>
            <w:r>
              <w:rPr>
                <w:rFonts w:ascii="Arial Narrow" w:hAnsi="Arial Narrow" w:cs="Arial Narrow" w:eastAsia="Arial Narrow" w:hint="default"/>
                <w:sz w:val="18"/>
                <w:szCs w:val="18"/>
              </w:rPr>
              <w:t>116,840,155.40</w:t>
            </w:r>
            <w:r>
              <w:rPr>
                <w:rFonts w:ascii="Arial Narrow" w:hAnsi="Arial Narrow" w:cs="Arial Narrow" w:eastAsia="Arial Narrow" w:hint="default"/>
                <w:spacing w:val="-6"/>
                <w:sz w:val="18"/>
                <w:szCs w:val="18"/>
              </w:rPr>
              <w:t> </w:t>
            </w:r>
            <w:r>
              <w:rPr>
                <w:rFonts w:ascii="宋体" w:hAnsi="宋体" w:cs="宋体" w:eastAsia="宋体" w:hint="default"/>
                <w:sz w:val="18"/>
                <w:szCs w:val="18"/>
              </w:rPr>
              <w:t>元</w:t>
            </w:r>
          </w:p>
        </w:tc>
      </w:tr>
      <w:tr>
        <w:trPr>
          <w:trHeight w:val="1673" w:hRule="exact"/>
        </w:trPr>
        <w:tc>
          <w:tcPr>
            <w:tcW w:w="4142" w:type="dxa"/>
            <w:tcBorders>
              <w:top w:val="nil" w:sz="6" w:space="0" w:color="auto"/>
              <w:left w:val="nil" w:sz="6" w:space="0" w:color="auto"/>
              <w:bottom w:val="single" w:sz="12" w:space="0" w:color="000000"/>
              <w:right w:val="single" w:sz="4" w:space="0" w:color="000000"/>
            </w:tcBorders>
          </w:tcPr>
          <w:p>
            <w:pPr>
              <w:pStyle w:val="TableParagraph"/>
              <w:spacing w:line="316" w:lineRule="auto" w:before="43"/>
              <w:ind w:left="122" w:right="103"/>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、根据《财政部关于修订印发一般企业财务报表 格式的通知》（财会</w:t>
            </w:r>
            <w:r>
              <w:rPr>
                <w:rFonts w:ascii="宋体" w:hAnsi="宋体" w:cs="宋体" w:eastAsia="宋体" w:hint="default"/>
                <w:sz w:val="18"/>
                <w:szCs w:val="18"/>
              </w:rPr>
              <w:t>[2017]30</w:t>
            </w:r>
            <w:r>
              <w:rPr>
                <w:rFonts w:ascii="宋体" w:hAnsi="宋体" w:cs="宋体" w:eastAsia="宋体" w:hint="default"/>
                <w:spacing w:val="-46"/>
                <w:sz w:val="18"/>
                <w:szCs w:val="18"/>
              </w:rPr>
              <w:t> </w:t>
            </w:r>
            <w:r>
              <w:rPr>
                <w:rFonts w:ascii="宋体" w:hAnsi="宋体" w:cs="宋体" w:eastAsia="宋体" w:hint="default"/>
                <w:sz w:val="18"/>
                <w:szCs w:val="18"/>
              </w:rPr>
              <w:t>号），将原归集于 </w:t>
            </w:r>
            <w:r>
              <w:rPr>
                <w:rFonts w:ascii="宋体" w:hAnsi="宋体" w:cs="宋体" w:eastAsia="宋体" w:hint="default"/>
                <w:spacing w:val="-3"/>
                <w:sz w:val="18"/>
                <w:szCs w:val="18"/>
              </w:rPr>
              <w:t>营业外收入、营业外支出的非流动资产处置损益调</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整至资产处置收益单独列报。</w:t>
            </w: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年度的比较财 务报表按新口径追溯调整。</w:t>
            </w:r>
          </w:p>
        </w:tc>
        <w:tc>
          <w:tcPr>
            <w:tcW w:w="1276" w:type="dxa"/>
            <w:tcBorders>
              <w:top w:val="nil" w:sz="6" w:space="0" w:color="auto"/>
              <w:left w:val="single" w:sz="4" w:space="0" w:color="000000"/>
              <w:bottom w:val="single" w:sz="12"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1"/>
                <w:szCs w:val="21"/>
              </w:rPr>
            </w:pPr>
          </w:p>
          <w:p>
            <w:pPr>
              <w:pStyle w:val="TableParagraph"/>
              <w:spacing w:line="316" w:lineRule="auto"/>
              <w:ind w:left="452" w:right="181" w:hanging="270"/>
              <w:jc w:val="left"/>
              <w:rPr>
                <w:rFonts w:ascii="宋体" w:hAnsi="宋体" w:cs="宋体" w:eastAsia="宋体" w:hint="default"/>
                <w:sz w:val="18"/>
                <w:szCs w:val="18"/>
              </w:rPr>
            </w:pPr>
            <w:r>
              <w:rPr>
                <w:rFonts w:ascii="宋体" w:hAnsi="宋体" w:cs="宋体" w:eastAsia="宋体" w:hint="default"/>
                <w:sz w:val="18"/>
                <w:szCs w:val="18"/>
              </w:rPr>
              <w:t>执行财政部 规定</w:t>
            </w:r>
          </w:p>
        </w:tc>
        <w:tc>
          <w:tcPr>
            <w:tcW w:w="3261" w:type="dxa"/>
            <w:tcBorders>
              <w:top w:val="nil" w:sz="6" w:space="0" w:color="auto"/>
              <w:left w:val="single" w:sz="4" w:space="0" w:color="000000"/>
              <w:bottom w:val="single" w:sz="12" w:space="0" w:color="000000"/>
              <w:right w:val="nil" w:sz="6" w:space="0" w:color="auto"/>
            </w:tcBorders>
          </w:tcPr>
          <w:p>
            <w:pPr>
              <w:pStyle w:val="TableParagraph"/>
              <w:spacing w:line="302" w:lineRule="auto" w:before="43"/>
              <w:ind w:left="103" w:right="569"/>
              <w:jc w:val="left"/>
              <w:rPr>
                <w:rFonts w:ascii="宋体" w:hAnsi="宋体" w:cs="宋体" w:eastAsia="宋体" w:hint="default"/>
                <w:sz w:val="18"/>
                <w:szCs w:val="18"/>
              </w:rPr>
            </w:pPr>
            <w:r>
              <w:rPr>
                <w:rFonts w:ascii="宋体" w:hAnsi="宋体" w:cs="宋体" w:eastAsia="宋体" w:hint="default"/>
                <w:sz w:val="18"/>
                <w:szCs w:val="18"/>
              </w:rPr>
              <w:t>本期资产处置收益：</w:t>
            </w:r>
            <w:r>
              <w:rPr>
                <w:rFonts w:ascii="Arial Narrow" w:hAnsi="Arial Narrow" w:cs="Arial Narrow" w:eastAsia="Arial Narrow" w:hint="default"/>
                <w:sz w:val="18"/>
                <w:szCs w:val="18"/>
              </w:rPr>
              <w:t>20,786.66</w:t>
            </w:r>
            <w:r>
              <w:rPr>
                <w:rFonts w:ascii="Arial Narrow" w:hAnsi="Arial Narrow" w:cs="Arial Narrow" w:eastAsia="Arial Narrow" w:hint="default"/>
                <w:spacing w:val="2"/>
                <w:sz w:val="18"/>
                <w:szCs w:val="18"/>
              </w:rPr>
              <w:t> </w:t>
            </w:r>
            <w:r>
              <w:rPr>
                <w:rFonts w:ascii="宋体" w:hAnsi="宋体" w:cs="宋体" w:eastAsia="宋体" w:hint="default"/>
                <w:sz w:val="18"/>
                <w:szCs w:val="18"/>
              </w:rPr>
              <w:t>元 本期营业外收入：</w:t>
            </w:r>
            <w:r>
              <w:rPr>
                <w:rFonts w:ascii="Arial Narrow" w:hAnsi="Arial Narrow" w:cs="Arial Narrow" w:eastAsia="Arial Narrow" w:hint="default"/>
                <w:sz w:val="18"/>
                <w:szCs w:val="18"/>
              </w:rPr>
              <w:t>-20,786.66</w:t>
            </w:r>
            <w:r>
              <w:rPr>
                <w:rFonts w:ascii="Arial Narrow" w:hAnsi="Arial Narrow" w:cs="Arial Narrow" w:eastAsia="Arial Narrow" w:hint="default"/>
                <w:spacing w:val="4"/>
                <w:sz w:val="18"/>
                <w:szCs w:val="18"/>
              </w:rPr>
              <w:t> </w:t>
            </w:r>
            <w:r>
              <w:rPr>
                <w:rFonts w:ascii="宋体" w:hAnsi="宋体" w:cs="宋体" w:eastAsia="宋体" w:hint="default"/>
                <w:sz w:val="18"/>
                <w:szCs w:val="18"/>
              </w:rPr>
              <w:t>元 上期资产处置收益：</w:t>
            </w:r>
            <w:r>
              <w:rPr>
                <w:rFonts w:ascii="Arial Narrow" w:hAnsi="Arial Narrow" w:cs="Arial Narrow" w:eastAsia="Arial Narrow" w:hint="default"/>
                <w:sz w:val="18"/>
                <w:szCs w:val="18"/>
              </w:rPr>
              <w:t>110,077.89</w:t>
            </w:r>
            <w:r>
              <w:rPr>
                <w:rFonts w:ascii="Arial Narrow" w:hAnsi="Arial Narrow" w:cs="Arial Narrow" w:eastAsia="Arial Narrow" w:hint="default"/>
                <w:spacing w:val="1"/>
                <w:sz w:val="18"/>
                <w:szCs w:val="18"/>
              </w:rPr>
              <w:t> </w:t>
            </w:r>
            <w:r>
              <w:rPr>
                <w:rFonts w:ascii="宋体" w:hAnsi="宋体" w:cs="宋体" w:eastAsia="宋体" w:hint="default"/>
                <w:sz w:val="18"/>
                <w:szCs w:val="18"/>
              </w:rPr>
              <w:t>元 上期营业外收入：</w:t>
            </w:r>
            <w:r>
              <w:rPr>
                <w:rFonts w:ascii="Arial Narrow" w:hAnsi="Arial Narrow" w:cs="Arial Narrow" w:eastAsia="Arial Narrow" w:hint="default"/>
                <w:sz w:val="18"/>
                <w:szCs w:val="18"/>
              </w:rPr>
              <w:t>-173,495.78</w:t>
            </w:r>
            <w:r>
              <w:rPr>
                <w:rFonts w:ascii="Arial Narrow" w:hAnsi="Arial Narrow" w:cs="Arial Narrow" w:eastAsia="Arial Narrow" w:hint="default"/>
                <w:spacing w:val="3"/>
                <w:sz w:val="18"/>
                <w:szCs w:val="18"/>
              </w:rPr>
              <w:t> </w:t>
            </w:r>
            <w:r>
              <w:rPr>
                <w:rFonts w:ascii="宋体" w:hAnsi="宋体" w:cs="宋体" w:eastAsia="宋体" w:hint="default"/>
                <w:sz w:val="18"/>
                <w:szCs w:val="18"/>
              </w:rPr>
              <w:t>元 上期营业外支出：</w:t>
            </w:r>
            <w:r>
              <w:rPr>
                <w:rFonts w:ascii="Arial Narrow" w:hAnsi="Arial Narrow" w:cs="Arial Narrow" w:eastAsia="Arial Narrow" w:hint="default"/>
                <w:sz w:val="18"/>
                <w:szCs w:val="18"/>
              </w:rPr>
              <w:t>-63,417.89</w:t>
            </w:r>
            <w:r>
              <w:rPr>
                <w:rFonts w:ascii="Arial Narrow" w:hAnsi="Arial Narrow" w:cs="Arial Narrow" w:eastAsia="Arial Narrow" w:hint="default"/>
                <w:spacing w:val="4"/>
                <w:sz w:val="18"/>
                <w:szCs w:val="18"/>
              </w:rPr>
              <w:t> </w:t>
            </w:r>
            <w:r>
              <w:rPr>
                <w:rFonts w:ascii="宋体" w:hAnsi="宋体" w:cs="宋体" w:eastAsia="宋体" w:hint="default"/>
                <w:sz w:val="18"/>
                <w:szCs w:val="18"/>
              </w:rPr>
              <w:t>元</w:t>
            </w:r>
          </w:p>
        </w:tc>
      </w:tr>
    </w:tbl>
    <w:p>
      <w:pPr>
        <w:spacing w:line="240" w:lineRule="auto" w:before="2"/>
        <w:rPr>
          <w:rFonts w:ascii="宋体" w:hAnsi="宋体" w:cs="宋体" w:eastAsia="宋体" w:hint="default"/>
          <w:sz w:val="19"/>
          <w:szCs w:val="19"/>
        </w:rPr>
      </w:pPr>
    </w:p>
    <w:p>
      <w:pPr>
        <w:pStyle w:val="Heading3"/>
        <w:spacing w:line="240" w:lineRule="auto" w:before="35"/>
        <w:ind w:left="1134" w:right="0"/>
        <w:jc w:val="left"/>
        <w:rPr>
          <w:b w:val="0"/>
          <w:bCs w:val="0"/>
        </w:rPr>
      </w:pPr>
      <w:bookmarkStart w:name="（2）重要会计估计变更" w:id="215"/>
      <w:bookmarkEnd w:id="215"/>
      <w:r>
        <w:rPr>
          <w:b w:val="0"/>
          <w:bCs w:val="0"/>
        </w:rPr>
      </w:r>
      <w:r>
        <w:rPr/>
        <w:t>（</w:t>
      </w:r>
      <w:r>
        <w:rPr>
          <w:rFonts w:ascii="Times New Roman" w:hAnsi="Times New Roman" w:cs="Times New Roman" w:eastAsia="Times New Roman" w:hint="default"/>
        </w:rPr>
        <w:t>2</w:t>
      </w:r>
      <w:r>
        <w:rPr/>
        <w:t>）重要会计估计变更</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13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3"/>
        <w:spacing w:line="240" w:lineRule="auto"/>
        <w:ind w:right="0"/>
        <w:jc w:val="left"/>
        <w:rPr>
          <w:b w:val="0"/>
          <w:bCs w:val="0"/>
        </w:rPr>
      </w:pPr>
      <w:bookmarkStart w:name="29、其他" w:id="216"/>
      <w:bookmarkEnd w:id="216"/>
      <w:r>
        <w:rPr>
          <w:b w:val="0"/>
          <w:bCs w:val="0"/>
        </w:rPr>
      </w:r>
      <w:r>
        <w:rPr>
          <w:rFonts w:ascii="Times New Roman" w:hAnsi="Times New Roman" w:cs="Times New Roman" w:eastAsia="Times New Roman" w:hint="default"/>
        </w:rPr>
        <w:t>29</w:t>
      </w:r>
      <w:r>
        <w:rPr/>
        <w:t>、其他</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134" w:right="0"/>
        <w:jc w:val="left"/>
      </w:pPr>
      <w:r>
        <w:rPr/>
        <w:t>无</w:t>
      </w:r>
    </w:p>
    <w:p>
      <w:pPr>
        <w:spacing w:line="240" w:lineRule="auto" w:before="2"/>
        <w:rPr>
          <w:rFonts w:ascii="宋体" w:hAnsi="宋体" w:cs="宋体" w:eastAsia="宋体" w:hint="default"/>
          <w:sz w:val="25"/>
          <w:szCs w:val="25"/>
        </w:rPr>
      </w:pPr>
    </w:p>
    <w:p>
      <w:pPr>
        <w:pStyle w:val="Heading2"/>
        <w:spacing w:line="240" w:lineRule="auto"/>
        <w:ind w:left="1134" w:right="0"/>
        <w:jc w:val="left"/>
        <w:rPr>
          <w:b w:val="0"/>
          <w:bCs w:val="0"/>
        </w:rPr>
      </w:pPr>
      <w:bookmarkStart w:name="六、税项" w:id="217"/>
      <w:bookmarkEnd w:id="217"/>
      <w:r>
        <w:rPr>
          <w:b w:val="0"/>
          <w:bCs w:val="0"/>
        </w:rPr>
      </w:r>
      <w:r>
        <w:rPr/>
        <w:t>六、税项</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34" w:right="0"/>
        <w:jc w:val="left"/>
        <w:rPr>
          <w:b w:val="0"/>
          <w:bCs w:val="0"/>
        </w:rPr>
      </w:pPr>
      <w:bookmarkStart w:name="1、主要税种及税率" w:id="218"/>
      <w:bookmarkEnd w:id="218"/>
      <w:r>
        <w:rPr>
          <w:b w:val="0"/>
          <w:bCs w:val="0"/>
        </w:rPr>
      </w:r>
      <w:r>
        <w:rPr>
          <w:rFonts w:ascii="Times New Roman" w:hAnsi="Times New Roman" w:cs="Times New Roman" w:eastAsia="Times New Roman" w:hint="default"/>
        </w:rPr>
        <w:t>1</w:t>
      </w:r>
      <w:r>
        <w:rPr/>
        <w:t>、主要税种及税率</w:t>
      </w:r>
      <w:r>
        <w:rPr>
          <w:b w:val="0"/>
          <w:bCs w:val="0"/>
        </w:rPr>
      </w:r>
    </w:p>
    <w:p>
      <w:pPr>
        <w:spacing w:line="240" w:lineRule="auto" w:before="9"/>
        <w:rPr>
          <w:rFonts w:ascii="宋体" w:hAnsi="宋体" w:cs="宋体" w:eastAsia="宋体" w:hint="default"/>
          <w:b/>
          <w:bCs/>
          <w:sz w:val="25"/>
          <w:szCs w:val="25"/>
        </w:rPr>
      </w:pPr>
    </w:p>
    <w:tbl>
      <w:tblPr>
        <w:tblW w:w="0" w:type="auto"/>
        <w:jc w:val="left"/>
        <w:tblInd w:w="114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 w:right="1"/>
              <w:jc w:val="center"/>
              <w:rPr>
                <w:rFonts w:ascii="宋体" w:hAnsi="宋体" w:cs="宋体" w:eastAsia="宋体" w:hint="default"/>
                <w:sz w:val="18"/>
                <w:szCs w:val="18"/>
              </w:rPr>
            </w:pPr>
            <w:r>
              <w:rPr>
                <w:rFonts w:ascii="宋体" w:hAnsi="宋体" w:cs="宋体" w:eastAsia="宋体" w:hint="default"/>
                <w:sz w:val="18"/>
                <w:szCs w:val="18"/>
              </w:rPr>
              <w:t>税种</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2" w:right="0"/>
              <w:jc w:val="center"/>
              <w:rPr>
                <w:rFonts w:ascii="宋体" w:hAnsi="宋体" w:cs="宋体" w:eastAsia="宋体" w:hint="default"/>
                <w:sz w:val="18"/>
                <w:szCs w:val="18"/>
              </w:rPr>
            </w:pPr>
            <w:r>
              <w:rPr>
                <w:rFonts w:ascii="宋体" w:hAnsi="宋体" w:cs="宋体" w:eastAsia="宋体" w:hint="default"/>
                <w:sz w:val="18"/>
                <w:szCs w:val="18"/>
              </w:rPr>
              <w:t>计税依据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税率</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应税销售收入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17%</w:t>
            </w:r>
            <w:r>
              <w:rPr>
                <w:rFonts w:ascii="宋体" w:hAnsi="宋体" w:cs="宋体" w:eastAsia="宋体" w:hint="default"/>
                <w:sz w:val="18"/>
                <w:szCs w:val="18"/>
              </w:rPr>
              <w:t>、</w:t>
            </w:r>
            <w:r>
              <w:rPr>
                <w:rFonts w:ascii="Times New Roman" w:hAnsi="Times New Roman" w:cs="Times New Roman" w:eastAsia="Times New Roman" w:hint="default"/>
                <w:sz w:val="18"/>
                <w:szCs w:val="18"/>
              </w:rPr>
              <w:t>6%</w:t>
            </w:r>
            <w:r>
              <w:rPr>
                <w:rFonts w:ascii="宋体" w:hAnsi="宋体" w:cs="宋体" w:eastAsia="宋体" w:hint="default"/>
                <w:sz w:val="18"/>
                <w:szCs w:val="18"/>
              </w:rPr>
              <w:t>、</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应缴纳流转税额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7%</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应纳税所得额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15%</w:t>
            </w:r>
            <w:r>
              <w:rPr>
                <w:rFonts w:ascii="宋体" w:hAnsi="宋体" w:cs="宋体" w:eastAsia="宋体" w:hint="default"/>
                <w:sz w:val="18"/>
                <w:szCs w:val="18"/>
              </w:rPr>
              <w:t>、</w:t>
            </w:r>
            <w:r>
              <w:rPr>
                <w:rFonts w:ascii="Times New Roman" w:hAnsi="Times New Roman" w:cs="Times New Roman" w:eastAsia="Times New Roman" w:hint="default"/>
                <w:sz w:val="18"/>
                <w:szCs w:val="18"/>
              </w:rPr>
              <w:t>25%</w:t>
            </w:r>
          </w:p>
        </w:tc>
      </w:tr>
      <w:tr>
        <w:trPr>
          <w:trHeight w:val="403" w:hRule="exact"/>
        </w:trPr>
        <w:tc>
          <w:tcPr>
            <w:tcW w:w="3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34" w:right="0"/>
              <w:jc w:val="left"/>
              <w:rPr>
                <w:rFonts w:ascii="宋体" w:hAnsi="宋体" w:cs="宋体" w:eastAsia="宋体" w:hint="default"/>
                <w:sz w:val="18"/>
                <w:szCs w:val="18"/>
              </w:rPr>
            </w:pPr>
            <w:r>
              <w:rPr>
                <w:rFonts w:ascii="宋体" w:hAnsi="宋体" w:cs="宋体" w:eastAsia="宋体" w:hint="default"/>
                <w:sz w:val="18"/>
                <w:szCs w:val="18"/>
              </w:rPr>
              <w:t>应缴纳流转税额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5%</w:t>
            </w:r>
          </w:p>
        </w:tc>
      </w:tr>
    </w:tbl>
    <w:p>
      <w:pPr>
        <w:pStyle w:val="BodyText"/>
        <w:spacing w:line="240" w:lineRule="auto" w:before="51"/>
        <w:ind w:left="1134" w:right="0"/>
        <w:jc w:val="left"/>
      </w:pPr>
      <w:r>
        <w:rPr/>
        <w:t>存在不同企业所得税税率纳税主体的，披露情况说明</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4783"/>
        <w:gridCol w:w="4786"/>
      </w:tblGrid>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纳税主体名称</w:t>
            </w:r>
          </w:p>
        </w:tc>
        <w:tc>
          <w:tcPr>
            <w:tcW w:w="4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所得税税率</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本公司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15%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广东先河科迪隆科技有限公司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15%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广西先得环保科技有限公司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15%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四川久环环境技术有限责任公司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15%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广州市云景信息科技有限公司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15%</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25%</w:t>
            </w:r>
          </w:p>
        </w:tc>
      </w:tr>
    </w:tbl>
    <w:p>
      <w:pPr>
        <w:spacing w:line="240" w:lineRule="auto" w:before="3"/>
        <w:rPr>
          <w:rFonts w:ascii="宋体" w:hAnsi="宋体" w:cs="宋体" w:eastAsia="宋体" w:hint="default"/>
          <w:sz w:val="19"/>
          <w:szCs w:val="19"/>
        </w:rPr>
      </w:pPr>
    </w:p>
    <w:p>
      <w:pPr>
        <w:pStyle w:val="Heading3"/>
        <w:spacing w:line="240" w:lineRule="auto" w:before="35"/>
        <w:ind w:left="1134" w:right="0"/>
        <w:jc w:val="left"/>
        <w:rPr>
          <w:b w:val="0"/>
          <w:bCs w:val="0"/>
        </w:rPr>
      </w:pPr>
      <w:bookmarkStart w:name="2、税收优惠" w:id="219"/>
      <w:bookmarkEnd w:id="219"/>
      <w:r>
        <w:rPr>
          <w:b w:val="0"/>
          <w:bCs w:val="0"/>
        </w:rPr>
      </w:r>
      <w:r>
        <w:rPr>
          <w:rFonts w:ascii="Times New Roman" w:hAnsi="Times New Roman" w:cs="Times New Roman" w:eastAsia="Times New Roman" w:hint="default"/>
        </w:rPr>
        <w:t>2</w:t>
      </w:r>
      <w:r>
        <w:rPr/>
        <w:t>、税收优惠</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0" w:firstLine="420"/>
        <w:jc w:val="left"/>
      </w:pPr>
      <w:r>
        <w:rPr/>
        <w:t>（</w:t>
      </w:r>
      <w:r>
        <w:rPr>
          <w:rFonts w:ascii="宋体" w:hAnsi="宋体" w:cs="宋体" w:eastAsia="宋体" w:hint="default"/>
        </w:rPr>
        <w:t>1</w:t>
      </w:r>
      <w:r>
        <w:rPr/>
        <w:t>）本公司软件产品根据财税</w:t>
      </w:r>
      <w:r>
        <w:rPr>
          <w:rFonts w:ascii="宋体" w:hAnsi="宋体" w:cs="宋体" w:eastAsia="宋体" w:hint="default"/>
        </w:rPr>
        <w:t>[2011]100</w:t>
      </w:r>
      <w:r>
        <w:rPr/>
        <w:t>号“关于软件产品增值税政策的通知”对其入库税款实际税负超过</w:t>
      </w:r>
      <w:r>
        <w:rPr>
          <w:rFonts w:ascii="宋体" w:hAnsi="宋体" w:cs="宋体" w:eastAsia="宋体" w:hint="default"/>
        </w:rPr>
        <w:t>3%</w:t>
      </w:r>
      <w:r>
        <w:rPr/>
        <w:t>的部分 经主管税务机关审核批准后，享受即征即退政策。</w:t>
      </w:r>
    </w:p>
    <w:p>
      <w:pPr>
        <w:spacing w:after="0" w:line="316" w:lineRule="auto"/>
        <w:jc w:val="left"/>
        <w:sectPr>
          <w:pgSz w:w="11910" w:h="16840"/>
          <w:pgMar w:header="747" w:footer="979" w:top="1060" w:bottom="1160" w:left="0" w:right="0"/>
        </w:sectPr>
      </w:pPr>
    </w:p>
    <w:p>
      <w:pPr>
        <w:spacing w:line="240" w:lineRule="auto" w:before="12"/>
        <w:rPr>
          <w:rFonts w:ascii="宋体" w:hAnsi="宋体" w:cs="宋体" w:eastAsia="宋体" w:hint="default"/>
          <w:sz w:val="25"/>
          <w:szCs w:val="25"/>
        </w:rPr>
      </w:pPr>
    </w:p>
    <w:p>
      <w:pPr>
        <w:pStyle w:val="BodyText"/>
        <w:spacing w:line="300" w:lineRule="auto" w:before="44"/>
        <w:ind w:left="1134" w:right="1132" w:firstLine="420"/>
        <w:jc w:val="both"/>
      </w:pPr>
      <w:r>
        <w:rPr/>
        <w:t>本公司为高新技术企业，</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10</w:t>
      </w:r>
      <w:r>
        <w:rPr/>
        <w:t>月取得河北省科学技术厅、河北省财政厅、河北省国家税务局、河北省地方税务局 联合下发的高新技术企业证书，证书编号为</w:t>
      </w:r>
      <w:r>
        <w:rPr>
          <w:rFonts w:ascii="Times New Roman" w:hAnsi="Times New Roman" w:cs="Times New Roman" w:eastAsia="Times New Roman" w:hint="default"/>
        </w:rPr>
        <w:t>GR201713000426</w:t>
      </w:r>
      <w:r>
        <w:rPr/>
        <w:t>，有效期三年，有效期内按</w:t>
      </w:r>
      <w:r>
        <w:rPr>
          <w:rFonts w:ascii="Times New Roman" w:hAnsi="Times New Roman" w:cs="Times New Roman" w:eastAsia="Times New Roman" w:hint="default"/>
        </w:rPr>
        <w:t>15%</w:t>
      </w:r>
      <w:r>
        <w:rPr/>
        <w:t>的税率计缴企业所得税。本公</w:t>
      </w:r>
      <w:r>
        <w:rPr>
          <w:spacing w:val="-43"/>
        </w:rPr>
        <w:t> </w:t>
      </w:r>
      <w:r>
        <w:rPr>
          <w:spacing w:val="-43"/>
        </w:rPr>
      </w:r>
      <w:r>
        <w:rPr/>
        <w:t>司</w:t>
      </w:r>
      <w:r>
        <w:rPr>
          <w:rFonts w:ascii="Times New Roman" w:hAnsi="Times New Roman" w:cs="Times New Roman" w:eastAsia="Times New Roman" w:hint="default"/>
        </w:rPr>
        <w:t>2017</w:t>
      </w:r>
      <w:r>
        <w:rPr/>
        <w:t>年度按</w:t>
      </w:r>
      <w:r>
        <w:rPr>
          <w:rFonts w:ascii="Times New Roman" w:hAnsi="Times New Roman" w:cs="Times New Roman" w:eastAsia="Times New Roman" w:hint="default"/>
        </w:rPr>
        <w:t>15%</w:t>
      </w:r>
      <w:r>
        <w:rPr/>
        <w:t>税率计缴企业所得税。</w:t>
      </w:r>
    </w:p>
    <w:p>
      <w:pPr>
        <w:pStyle w:val="BodyText"/>
        <w:spacing w:line="319" w:lineRule="auto" w:before="73"/>
        <w:ind w:right="1033" w:firstLine="420"/>
        <w:jc w:val="left"/>
      </w:pPr>
      <w:r>
        <w:rPr/>
        <w:t>（</w:t>
      </w:r>
      <w:r>
        <w:rPr>
          <w:rFonts w:ascii="宋体" w:hAnsi="宋体" w:cs="宋体" w:eastAsia="宋体" w:hint="default"/>
        </w:rPr>
        <w:t>2</w:t>
      </w:r>
      <w:r>
        <w:rPr/>
        <w:t>）本公司控股子公司广东先河科迪隆科技有限公司为高新技术企业，</w:t>
      </w:r>
      <w:r>
        <w:rPr>
          <w:rFonts w:ascii="宋体" w:hAnsi="宋体" w:cs="宋体" w:eastAsia="宋体" w:hint="default"/>
        </w:rPr>
        <w:t>2015</w:t>
      </w:r>
      <w:r>
        <w:rPr/>
        <w:t>年</w:t>
      </w:r>
      <w:r>
        <w:rPr>
          <w:rFonts w:ascii="宋体" w:hAnsi="宋体" w:cs="宋体" w:eastAsia="宋体" w:hint="default"/>
        </w:rPr>
        <w:t>10</w:t>
      </w:r>
      <w:r>
        <w:rPr/>
        <w:t>月取得广东省科学技术厅、广东省财 政厅、广东省国家税务局、广东省地方税务局联合下发的高新技术企业证书，证书编号为</w:t>
      </w:r>
      <w:r>
        <w:rPr>
          <w:rFonts w:ascii="宋体" w:hAnsi="宋体" w:cs="宋体" w:eastAsia="宋体" w:hint="default"/>
        </w:rPr>
        <w:t>GR201544001535</w:t>
      </w:r>
      <w:r>
        <w:rPr/>
        <w:t>，税收优惠期间： </w:t>
      </w:r>
      <w:r>
        <w:rPr>
          <w:rFonts w:ascii="宋体" w:hAnsi="宋体" w:cs="宋体" w:eastAsia="宋体" w:hint="default"/>
        </w:rPr>
        <w:t>2015</w:t>
      </w:r>
      <w:r>
        <w:rPr/>
        <w:t>年</w:t>
      </w:r>
      <w:r>
        <w:rPr>
          <w:rFonts w:ascii="宋体" w:hAnsi="宋体" w:cs="宋体" w:eastAsia="宋体" w:hint="default"/>
        </w:rPr>
        <w:t>1</w:t>
      </w:r>
      <w:r>
        <w:rPr/>
        <w:t>月</w:t>
      </w:r>
      <w:r>
        <w:rPr>
          <w:rFonts w:ascii="宋体" w:hAnsi="宋体" w:cs="宋体" w:eastAsia="宋体" w:hint="default"/>
        </w:rPr>
        <w:t>1</w:t>
      </w:r>
      <w:r>
        <w:rPr/>
        <w:t>日至</w:t>
      </w:r>
      <w:r>
        <w:rPr>
          <w:rFonts w:ascii="宋体" w:hAnsi="宋体" w:cs="宋体" w:eastAsia="宋体" w:hint="default"/>
        </w:rPr>
        <w:t>2017</w:t>
      </w:r>
      <w:r>
        <w:rPr/>
        <w:t>年</w:t>
      </w:r>
      <w:r>
        <w:rPr>
          <w:rFonts w:ascii="宋体" w:hAnsi="宋体" w:cs="宋体" w:eastAsia="宋体" w:hint="default"/>
        </w:rPr>
        <w:t>12</w:t>
      </w:r>
      <w:r>
        <w:rPr/>
        <w:t>月</w:t>
      </w:r>
      <w:r>
        <w:rPr>
          <w:rFonts w:ascii="宋体" w:hAnsi="宋体" w:cs="宋体" w:eastAsia="宋体" w:hint="default"/>
        </w:rPr>
        <w:t>31</w:t>
      </w:r>
      <w:r>
        <w:rPr/>
        <w:t>日，有效期内按</w:t>
      </w:r>
      <w:r>
        <w:rPr>
          <w:rFonts w:ascii="宋体" w:hAnsi="宋体" w:cs="宋体" w:eastAsia="宋体" w:hint="default"/>
        </w:rPr>
        <w:t>15%</w:t>
      </w:r>
      <w:r>
        <w:rPr/>
        <w:t>的税率计缴企业所得税。</w:t>
      </w:r>
    </w:p>
    <w:p>
      <w:pPr>
        <w:pStyle w:val="BodyText"/>
        <w:spacing w:line="316" w:lineRule="auto" w:before="77"/>
        <w:ind w:right="1033" w:firstLine="420"/>
        <w:jc w:val="left"/>
      </w:pPr>
      <w:r>
        <w:rPr>
          <w:spacing w:val="-3"/>
        </w:rPr>
        <w:t>（</w:t>
      </w:r>
      <w:r>
        <w:rPr>
          <w:rFonts w:ascii="宋体" w:hAnsi="宋体" w:cs="宋体" w:eastAsia="宋体" w:hint="default"/>
          <w:spacing w:val="-3"/>
        </w:rPr>
        <w:t>3</w:t>
      </w:r>
      <w:r>
        <w:rPr>
          <w:spacing w:val="-3"/>
        </w:rPr>
        <w:t>）依据南宁市青秀区国定税务局出具的《西部大开发税收优惠事项审核确认通知书》（南青国税审字</w:t>
      </w:r>
      <w:r>
        <w:rPr>
          <w:rFonts w:ascii="宋体" w:hAnsi="宋体" w:cs="宋体" w:eastAsia="宋体" w:hint="default"/>
          <w:spacing w:val="-3"/>
        </w:rPr>
        <w:t>[2014]14</w:t>
      </w:r>
      <w:r>
        <w:rPr>
          <w:spacing w:val="-3"/>
        </w:rPr>
        <w:t>号），</w:t>
      </w:r>
      <w:r>
        <w:rPr/>
        <w:t> 本公司控股子公司广西先得环保科技有限公司符合享受西部大开发税收优惠政策的规定，</w:t>
      </w:r>
      <w:r>
        <w:rPr>
          <w:rFonts w:ascii="宋体" w:hAnsi="宋体" w:cs="宋体" w:eastAsia="宋体" w:hint="default"/>
        </w:rPr>
        <w:t>2014</w:t>
      </w:r>
      <w:r>
        <w:rPr/>
        <w:t>年至</w:t>
      </w:r>
      <w:r>
        <w:rPr>
          <w:rFonts w:ascii="宋体" w:hAnsi="宋体" w:cs="宋体" w:eastAsia="宋体" w:hint="default"/>
        </w:rPr>
        <w:t>2020</w:t>
      </w:r>
      <w:r>
        <w:rPr/>
        <w:t>年企业所得税暂按 </w:t>
      </w:r>
      <w:r>
        <w:rPr>
          <w:rFonts w:ascii="宋体" w:hAnsi="宋体" w:cs="宋体" w:eastAsia="宋体" w:hint="default"/>
        </w:rPr>
        <w:t>15%</w:t>
      </w:r>
      <w:r>
        <w:rPr/>
        <w:t>税率预缴。</w:t>
      </w:r>
    </w:p>
    <w:p>
      <w:pPr>
        <w:pStyle w:val="BodyText"/>
        <w:spacing w:line="316" w:lineRule="auto" w:before="79"/>
        <w:ind w:right="0" w:firstLine="420"/>
        <w:jc w:val="left"/>
      </w:pPr>
      <w:r>
        <w:rPr/>
        <w:t>（</w:t>
      </w:r>
      <w:r>
        <w:rPr>
          <w:rFonts w:ascii="宋体" w:hAnsi="宋体" w:cs="宋体" w:eastAsia="宋体" w:hint="default"/>
        </w:rPr>
        <w:t>4</w:t>
      </w:r>
      <w:r>
        <w:rPr/>
        <w:t>）依据四川省科学城国家税务局出具的《税务事项通知书》（绵科国税通</w:t>
      </w:r>
      <w:r>
        <w:rPr>
          <w:rFonts w:ascii="宋体" w:hAnsi="宋体" w:cs="宋体" w:eastAsia="宋体" w:hint="default"/>
        </w:rPr>
        <w:t>[2014]196</w:t>
      </w:r>
      <w:r>
        <w:rPr/>
        <w:t>号），本公司控股子公司四川 久环环境技术有限责任公司享有西部大开发企业所得税优惠政策，自</w:t>
      </w:r>
      <w:r>
        <w:rPr>
          <w:rFonts w:ascii="宋体" w:hAnsi="宋体" w:cs="宋体" w:eastAsia="宋体" w:hint="default"/>
        </w:rPr>
        <w:t>2013</w:t>
      </w:r>
      <w:r>
        <w:rPr/>
        <w:t>年</w:t>
      </w:r>
      <w:r>
        <w:rPr>
          <w:rFonts w:ascii="宋体" w:hAnsi="宋体" w:cs="宋体" w:eastAsia="宋体" w:hint="default"/>
        </w:rPr>
        <w:t>1</w:t>
      </w:r>
      <w:r>
        <w:rPr/>
        <w:t>月</w:t>
      </w:r>
      <w:r>
        <w:rPr>
          <w:rFonts w:ascii="宋体" w:hAnsi="宋体" w:cs="宋体" w:eastAsia="宋体" w:hint="default"/>
        </w:rPr>
        <w:t>1</w:t>
      </w:r>
      <w:r>
        <w:rPr/>
        <w:t>日起按</w:t>
      </w:r>
      <w:r>
        <w:rPr>
          <w:rFonts w:ascii="宋体" w:hAnsi="宋体" w:cs="宋体" w:eastAsia="宋体" w:hint="default"/>
        </w:rPr>
        <w:t>15%</w:t>
      </w:r>
      <w:r>
        <w:rPr/>
        <w:t>税率计缴企业所得税。</w:t>
      </w:r>
    </w:p>
    <w:p>
      <w:pPr>
        <w:pStyle w:val="BodyText"/>
        <w:spacing w:line="316" w:lineRule="auto" w:before="79"/>
        <w:ind w:right="1033" w:firstLine="420"/>
        <w:jc w:val="left"/>
      </w:pPr>
      <w:r>
        <w:rPr/>
        <w:t>（</w:t>
      </w:r>
      <w:r>
        <w:rPr>
          <w:rFonts w:ascii="宋体" w:hAnsi="宋体" w:cs="宋体" w:eastAsia="宋体" w:hint="default"/>
        </w:rPr>
        <w:t>5</w:t>
      </w:r>
      <w:r>
        <w:rPr/>
        <w:t>）本公司下属子公司广州市云景信息科技有限公司为高新技术企业，</w:t>
      </w:r>
      <w:r>
        <w:rPr>
          <w:rFonts w:ascii="宋体" w:hAnsi="宋体" w:cs="宋体" w:eastAsia="宋体" w:hint="default"/>
        </w:rPr>
        <w:t>2015</w:t>
      </w:r>
      <w:r>
        <w:rPr/>
        <w:t>年</w:t>
      </w:r>
      <w:r>
        <w:rPr>
          <w:rFonts w:ascii="宋体" w:hAnsi="宋体" w:cs="宋体" w:eastAsia="宋体" w:hint="default"/>
        </w:rPr>
        <w:t>10</w:t>
      </w:r>
      <w:r>
        <w:rPr/>
        <w:t>月取得广东省科学技术厅、广东省财 政厅、广东省国家税务局、广东省地方税务局联合下发的高新技术企业证书，证书编号为</w:t>
      </w:r>
      <w:r>
        <w:rPr>
          <w:rFonts w:ascii="宋体" w:hAnsi="宋体" w:cs="宋体" w:eastAsia="宋体" w:hint="default"/>
        </w:rPr>
        <w:t>GR201544000416</w:t>
      </w:r>
      <w:r>
        <w:rPr/>
        <w:t>，税收优惠期间： </w:t>
      </w:r>
      <w:r>
        <w:rPr>
          <w:rFonts w:ascii="宋体" w:hAnsi="宋体" w:cs="宋体" w:eastAsia="宋体" w:hint="default"/>
        </w:rPr>
        <w:t>2015</w:t>
      </w:r>
      <w:r>
        <w:rPr/>
        <w:t>年</w:t>
      </w:r>
      <w:r>
        <w:rPr>
          <w:rFonts w:ascii="宋体" w:hAnsi="宋体" w:cs="宋体" w:eastAsia="宋体" w:hint="default"/>
        </w:rPr>
        <w:t>1</w:t>
      </w:r>
      <w:r>
        <w:rPr/>
        <w:t>月</w:t>
      </w:r>
      <w:r>
        <w:rPr>
          <w:rFonts w:ascii="宋体" w:hAnsi="宋体" w:cs="宋体" w:eastAsia="宋体" w:hint="default"/>
        </w:rPr>
        <w:t>1</w:t>
      </w:r>
      <w:r>
        <w:rPr/>
        <w:t>日至</w:t>
      </w:r>
      <w:r>
        <w:rPr>
          <w:rFonts w:ascii="宋体" w:hAnsi="宋体" w:cs="宋体" w:eastAsia="宋体" w:hint="default"/>
        </w:rPr>
        <w:t>2017</w:t>
      </w:r>
      <w:r>
        <w:rPr/>
        <w:t>年</w:t>
      </w:r>
      <w:r>
        <w:rPr>
          <w:rFonts w:ascii="宋体" w:hAnsi="宋体" w:cs="宋体" w:eastAsia="宋体" w:hint="default"/>
        </w:rPr>
        <w:t>12</w:t>
      </w:r>
      <w:r>
        <w:rPr/>
        <w:t>月</w:t>
      </w:r>
      <w:r>
        <w:rPr>
          <w:rFonts w:ascii="宋体" w:hAnsi="宋体" w:cs="宋体" w:eastAsia="宋体" w:hint="default"/>
        </w:rPr>
        <w:t>31</w:t>
      </w:r>
      <w:r>
        <w:rPr/>
        <w:t>日，有效期内按</w:t>
      </w:r>
      <w:r>
        <w:rPr>
          <w:rFonts w:ascii="宋体" w:hAnsi="宋体" w:cs="宋体" w:eastAsia="宋体" w:hint="default"/>
        </w:rPr>
        <w:t>15%</w:t>
      </w:r>
      <w:r>
        <w:rPr/>
        <w:t>的税率计缴企业所得税。</w:t>
      </w:r>
    </w:p>
    <w:p>
      <w:pPr>
        <w:pStyle w:val="BodyText"/>
        <w:spacing w:line="300" w:lineRule="auto" w:before="19"/>
        <w:ind w:right="1130" w:firstLine="360"/>
        <w:jc w:val="both"/>
      </w:pPr>
      <w:r>
        <w:rPr>
          <w:spacing w:val="-1"/>
        </w:rPr>
        <w:t>根据广州市天河区国家税务局第四税务分局减免税批准通知书（穗天国税四减备</w:t>
      </w:r>
      <w:r>
        <w:rPr>
          <w:rFonts w:ascii="Times New Roman" w:hAnsi="Times New Roman" w:cs="Times New Roman" w:eastAsia="Times New Roman" w:hint="default"/>
          <w:spacing w:val="-1"/>
        </w:rPr>
        <w:t>[2012]1355</w:t>
      </w:r>
      <w:r>
        <w:rPr>
          <w:spacing w:val="-1"/>
        </w:rPr>
        <w:t>号）、广州市天河区国家税</w:t>
      </w:r>
      <w:r>
        <w:rPr/>
        <w:t> </w:t>
      </w:r>
      <w:r>
        <w:rPr>
          <w:spacing w:val="-1"/>
        </w:rPr>
        <w:t>务局减免税备案登记告知书（穗天国税减备</w:t>
      </w:r>
      <w:r>
        <w:rPr>
          <w:rFonts w:ascii="Times New Roman" w:hAnsi="Times New Roman" w:cs="Times New Roman" w:eastAsia="Times New Roman" w:hint="default"/>
          <w:spacing w:val="-1"/>
        </w:rPr>
        <w:t>[2014]100207</w:t>
      </w:r>
      <w:r>
        <w:rPr>
          <w:spacing w:val="-1"/>
        </w:rPr>
        <w:t>号），本公司的子公司广州市云景信息科技有限公司取得的技术转</w:t>
      </w:r>
      <w:r>
        <w:rPr>
          <w:spacing w:val="-55"/>
        </w:rPr>
        <w:t> </w:t>
      </w:r>
      <w:r>
        <w:rPr>
          <w:spacing w:val="-55"/>
        </w:rPr>
      </w:r>
      <w:r>
        <w:rPr/>
        <w:t>让、技术开发和与之相关的技术咨询、技术服务收入免征增值税。</w:t>
      </w:r>
    </w:p>
    <w:p>
      <w:pPr>
        <w:spacing w:line="240" w:lineRule="auto" w:before="6"/>
        <w:rPr>
          <w:rFonts w:ascii="宋体" w:hAnsi="宋体" w:cs="宋体" w:eastAsia="宋体" w:hint="default"/>
          <w:sz w:val="23"/>
          <w:szCs w:val="23"/>
        </w:rPr>
      </w:pPr>
    </w:p>
    <w:p>
      <w:pPr>
        <w:pStyle w:val="Heading3"/>
        <w:spacing w:line="240" w:lineRule="auto"/>
        <w:ind w:left="1134" w:right="0"/>
        <w:jc w:val="left"/>
        <w:rPr>
          <w:b w:val="0"/>
          <w:bCs w:val="0"/>
        </w:rPr>
      </w:pPr>
      <w:bookmarkStart w:name="3、其他" w:id="220"/>
      <w:bookmarkEnd w:id="220"/>
      <w:r>
        <w:rPr>
          <w:b w:val="0"/>
          <w:bCs w:val="0"/>
        </w:rPr>
      </w:r>
      <w:r>
        <w:rPr>
          <w:rFonts w:ascii="Times New Roman" w:hAnsi="Times New Roman" w:cs="Times New Roman" w:eastAsia="Times New Roman" w:hint="default"/>
        </w:rPr>
        <w:t>3</w:t>
      </w:r>
      <w:r>
        <w:rPr/>
        <w:t>、其他</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134" w:right="0"/>
        <w:jc w:val="left"/>
      </w:pPr>
      <w:r>
        <w:rPr/>
        <w:t>无</w:t>
      </w:r>
    </w:p>
    <w:p>
      <w:pPr>
        <w:spacing w:line="240" w:lineRule="auto" w:before="2"/>
        <w:rPr>
          <w:rFonts w:ascii="宋体" w:hAnsi="宋体" w:cs="宋体" w:eastAsia="宋体" w:hint="default"/>
          <w:sz w:val="25"/>
          <w:szCs w:val="25"/>
        </w:rPr>
      </w:pPr>
    </w:p>
    <w:p>
      <w:pPr>
        <w:pStyle w:val="Heading2"/>
        <w:spacing w:line="240" w:lineRule="auto"/>
        <w:ind w:left="1134" w:right="0"/>
        <w:jc w:val="left"/>
        <w:rPr>
          <w:b w:val="0"/>
          <w:bCs w:val="0"/>
        </w:rPr>
      </w:pPr>
      <w:bookmarkStart w:name="七、合并财务报表项目注释" w:id="221"/>
      <w:bookmarkEnd w:id="221"/>
      <w:r>
        <w:rPr>
          <w:b w:val="0"/>
          <w:bCs w:val="0"/>
        </w:rPr>
      </w:r>
      <w:r>
        <w:rPr/>
        <w:t>七、合并财务报表项目注释</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货币资金" w:id="222"/>
      <w:bookmarkEnd w:id="222"/>
      <w:r>
        <w:rPr>
          <w:b w:val="0"/>
          <w:bCs w:val="0"/>
        </w:rPr>
      </w:r>
      <w:r>
        <w:rPr>
          <w:rFonts w:ascii="Times New Roman" w:hAnsi="Times New Roman" w:cs="Times New Roman" w:eastAsia="Times New Roman" w:hint="default"/>
        </w:rPr>
        <w:t>1</w:t>
      </w:r>
      <w:r>
        <w:rPr/>
        <w:t>、货币资金</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库存现金</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357,276.38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350,018.17</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银行存款</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529,803,581.12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440,287,481.01</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其他货币资金</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40,025,756.19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4,535,500.00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570,186,613.69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445,172,999.18</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91" w:right="0"/>
              <w:jc w:val="left"/>
              <w:rPr>
                <w:rFonts w:ascii="宋体" w:hAnsi="宋体" w:cs="宋体" w:eastAsia="宋体" w:hint="default"/>
                <w:sz w:val="18"/>
                <w:szCs w:val="18"/>
              </w:rPr>
            </w:pPr>
            <w:r>
              <w:rPr>
                <w:rFonts w:ascii="宋体" w:hAnsi="宋体" w:cs="宋体" w:eastAsia="宋体" w:hint="default"/>
                <w:sz w:val="18"/>
                <w:szCs w:val="18"/>
              </w:rPr>
              <w:t>其中：存放在境外的款项总额</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13,560,717.84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8,452,372.39</w:t>
            </w:r>
          </w:p>
        </w:tc>
      </w:tr>
    </w:tbl>
    <w:p>
      <w:pPr>
        <w:pStyle w:val="BodyText"/>
        <w:spacing w:line="240" w:lineRule="auto" w:before="51"/>
        <w:ind w:left="1134" w:right="0"/>
        <w:jc w:val="left"/>
      </w:pPr>
      <w:r>
        <w:rPr/>
        <w:t>其他说明</w:t>
      </w:r>
    </w:p>
    <w:p>
      <w:pPr>
        <w:spacing w:line="240" w:lineRule="auto" w:before="0"/>
        <w:rPr>
          <w:rFonts w:ascii="宋体" w:hAnsi="宋体" w:cs="宋体" w:eastAsia="宋体" w:hint="default"/>
          <w:sz w:val="15"/>
          <w:szCs w:val="15"/>
        </w:rPr>
      </w:pPr>
    </w:p>
    <w:p>
      <w:pPr>
        <w:pStyle w:val="BodyText"/>
        <w:spacing w:line="240" w:lineRule="auto"/>
        <w:ind w:left="1442" w:right="0"/>
        <w:jc w:val="left"/>
      </w:pPr>
      <w:r>
        <w:rPr/>
        <w:t>其他货币资金中，受限制的货币资金明细如下：</w:t>
      </w:r>
    </w:p>
    <w:p>
      <w:pPr>
        <w:spacing w:line="240" w:lineRule="auto" w:before="1"/>
        <w:rPr>
          <w:rFonts w:ascii="宋体" w:hAnsi="宋体" w:cs="宋体" w:eastAsia="宋体" w:hint="default"/>
          <w:sz w:val="14"/>
          <w:szCs w:val="14"/>
        </w:rPr>
      </w:pPr>
    </w:p>
    <w:tbl>
      <w:tblPr>
        <w:tblW w:w="0" w:type="auto"/>
        <w:jc w:val="left"/>
        <w:tblInd w:w="1104" w:type="dxa"/>
        <w:tblLayout w:type="fixed"/>
        <w:tblCellMar>
          <w:top w:w="0" w:type="dxa"/>
          <w:left w:w="0" w:type="dxa"/>
          <w:bottom w:w="0" w:type="dxa"/>
          <w:right w:w="0" w:type="dxa"/>
        </w:tblCellMar>
        <w:tblLook w:val="01E0"/>
      </w:tblPr>
      <w:tblGrid>
        <w:gridCol w:w="2850"/>
        <w:gridCol w:w="2976"/>
        <w:gridCol w:w="2553"/>
      </w:tblGrid>
      <w:tr>
        <w:trPr>
          <w:trHeight w:val="412" w:hRule="exact"/>
        </w:trPr>
        <w:tc>
          <w:tcPr>
            <w:tcW w:w="2850"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51"/>
              <w:ind w:left="18"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2976"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c>
          <w:tcPr>
            <w:tcW w:w="2553"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51"/>
              <w:ind w:right="4"/>
              <w:jc w:val="center"/>
              <w:rPr>
                <w:rFonts w:ascii="宋体" w:hAnsi="宋体" w:cs="宋体" w:eastAsia="宋体" w:hint="default"/>
                <w:sz w:val="18"/>
                <w:szCs w:val="18"/>
              </w:rPr>
            </w:pPr>
            <w:r>
              <w:rPr>
                <w:rFonts w:ascii="宋体" w:hAnsi="宋体" w:cs="宋体" w:eastAsia="宋体" w:hint="default"/>
                <w:b/>
                <w:bCs/>
                <w:sz w:val="18"/>
                <w:szCs w:val="18"/>
              </w:rPr>
              <w:t>期初余额</w:t>
            </w:r>
            <w:r>
              <w:rPr>
                <w:rFonts w:ascii="宋体" w:hAnsi="宋体" w:cs="宋体" w:eastAsia="宋体" w:hint="default"/>
                <w:sz w:val="18"/>
                <w:szCs w:val="18"/>
              </w:rPr>
            </w:r>
          </w:p>
        </w:tc>
      </w:tr>
      <w:tr>
        <w:trPr>
          <w:trHeight w:val="413" w:hRule="exact"/>
        </w:trPr>
        <w:tc>
          <w:tcPr>
            <w:tcW w:w="2850"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z w:val="18"/>
                <w:szCs w:val="18"/>
              </w:rPr>
              <w:t>保函保证金</w:t>
            </w:r>
          </w:p>
        </w:tc>
        <w:tc>
          <w:tcPr>
            <w:tcW w:w="297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2"/>
              <w:ind w:left="1920" w:right="0"/>
              <w:jc w:val="left"/>
              <w:rPr>
                <w:rFonts w:ascii="Arial Narrow" w:hAnsi="Arial Narrow" w:cs="Arial Narrow" w:eastAsia="Arial Narrow" w:hint="default"/>
                <w:sz w:val="18"/>
                <w:szCs w:val="18"/>
              </w:rPr>
            </w:pPr>
            <w:r>
              <w:rPr>
                <w:rFonts w:ascii="Arial Narrow"/>
                <w:sz w:val="18"/>
              </w:rPr>
              <w:t>13,344,344.50</w:t>
            </w:r>
          </w:p>
        </w:tc>
        <w:tc>
          <w:tcPr>
            <w:tcW w:w="2553"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92"/>
              <w:ind w:left="1579" w:right="0"/>
              <w:jc w:val="left"/>
              <w:rPr>
                <w:rFonts w:ascii="Arial Narrow" w:hAnsi="Arial Narrow" w:cs="Arial Narrow" w:eastAsia="Arial Narrow" w:hint="default"/>
                <w:sz w:val="18"/>
                <w:szCs w:val="18"/>
              </w:rPr>
            </w:pPr>
            <w:r>
              <w:rPr>
                <w:rFonts w:ascii="Arial Narrow"/>
                <w:sz w:val="18"/>
              </w:rPr>
              <w:t>3,079,400.00</w:t>
            </w:r>
          </w:p>
        </w:tc>
      </w:tr>
    </w:tbl>
    <w:p>
      <w:pPr>
        <w:spacing w:line="240" w:lineRule="auto" w:before="8"/>
        <w:rPr>
          <w:rFonts w:ascii="宋体" w:hAnsi="宋体" w:cs="宋体" w:eastAsia="宋体" w:hint="default"/>
          <w:sz w:val="6"/>
          <w:szCs w:val="6"/>
        </w:rPr>
      </w:pPr>
    </w:p>
    <w:p>
      <w:pPr>
        <w:pStyle w:val="BodyText"/>
        <w:spacing w:line="240" w:lineRule="auto" w:before="44"/>
        <w:ind w:left="1442" w:right="0"/>
        <w:jc w:val="left"/>
      </w:pPr>
      <w:r>
        <w:rPr/>
        <w:t>本公司编制现金流量表时，已将其他货币资金从期末现金及现金等价物中扣除。</w:t>
      </w:r>
    </w:p>
    <w:p>
      <w:pPr>
        <w:spacing w:after="0" w:line="240" w:lineRule="auto"/>
        <w:jc w:val="left"/>
        <w:sectPr>
          <w:pgSz w:w="11910" w:h="16840"/>
          <w:pgMar w:header="747" w:footer="979" w:top="1060" w:bottom="1160" w:left="0" w:right="0"/>
        </w:sectPr>
      </w:pPr>
    </w:p>
    <w:p>
      <w:pPr>
        <w:spacing w:line="240" w:lineRule="auto" w:before="10"/>
        <w:rPr>
          <w:rFonts w:ascii="宋体" w:hAnsi="宋体" w:cs="宋体" w:eastAsia="宋体" w:hint="default"/>
          <w:sz w:val="24"/>
          <w:szCs w:val="24"/>
        </w:rPr>
      </w:pPr>
    </w:p>
    <w:p>
      <w:pPr>
        <w:pStyle w:val="Heading3"/>
        <w:spacing w:line="240" w:lineRule="auto" w:before="35"/>
        <w:ind w:right="0"/>
        <w:jc w:val="left"/>
        <w:rPr>
          <w:b w:val="0"/>
          <w:bCs w:val="0"/>
        </w:rPr>
      </w:pPr>
      <w:bookmarkStart w:name="2、应收票据" w:id="223"/>
      <w:bookmarkEnd w:id="223"/>
      <w:r>
        <w:rPr>
          <w:b w:val="0"/>
          <w:bCs w:val="0"/>
        </w:rPr>
      </w:r>
      <w:r>
        <w:rPr>
          <w:rFonts w:ascii="Times New Roman" w:hAnsi="Times New Roman" w:cs="Times New Roman" w:eastAsia="Times New Roman" w:hint="default"/>
        </w:rPr>
        <w:t>2</w:t>
      </w:r>
      <w:r>
        <w:rPr/>
        <w:t>、应收票据</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应收票据分类列示" w:id="224"/>
      <w:bookmarkEnd w:id="224"/>
      <w:r>
        <w:rPr>
          <w:b w:val="0"/>
          <w:bCs w:val="0"/>
        </w:rPr>
      </w:r>
      <w:r>
        <w:rPr/>
        <w:t>（</w:t>
      </w:r>
      <w:r>
        <w:rPr>
          <w:rFonts w:ascii="Times New Roman" w:hAnsi="Times New Roman" w:cs="Times New Roman" w:eastAsia="Times New Roman" w:hint="default"/>
        </w:rPr>
        <w:t>1</w:t>
      </w:r>
      <w:r>
        <w:rPr/>
        <w:t>）应收票据分类列示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200,000.00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200,000.00</w:t>
            </w: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left="1134" w:right="0"/>
        <w:jc w:val="left"/>
        <w:rPr>
          <w:b w:val="0"/>
          <w:bCs w:val="0"/>
        </w:rPr>
      </w:pPr>
      <w:bookmarkStart w:name="（2）期末公司已质押的应收票据" w:id="225"/>
      <w:bookmarkEnd w:id="225"/>
      <w:r>
        <w:rPr>
          <w:b w:val="0"/>
          <w:bCs w:val="0"/>
        </w:rPr>
      </w:r>
      <w:r>
        <w:rPr/>
        <w:t>（</w:t>
      </w:r>
      <w:r>
        <w:rPr>
          <w:rFonts w:ascii="Times New Roman" w:hAnsi="Times New Roman" w:cs="Times New Roman" w:eastAsia="Times New Roman" w:hint="default"/>
        </w:rPr>
        <w:t>2</w:t>
      </w:r>
      <w:r>
        <w:rPr/>
        <w:t>）期末公司已质押的应收票据</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4785"/>
        <w:gridCol w:w="4784"/>
      </w:tblGrid>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期末已质押金额</w:t>
            </w:r>
          </w:p>
        </w:tc>
      </w:tr>
    </w:tbl>
    <w:p>
      <w:pPr>
        <w:spacing w:line="240" w:lineRule="auto" w:before="3"/>
        <w:rPr>
          <w:rFonts w:ascii="宋体" w:hAnsi="宋体" w:cs="宋体" w:eastAsia="宋体" w:hint="default"/>
          <w:sz w:val="19"/>
          <w:szCs w:val="19"/>
        </w:rPr>
      </w:pPr>
    </w:p>
    <w:p>
      <w:pPr>
        <w:pStyle w:val="Heading3"/>
        <w:spacing w:line="240" w:lineRule="auto" w:before="35"/>
        <w:ind w:left="1134" w:right="0"/>
        <w:jc w:val="left"/>
        <w:rPr>
          <w:b w:val="0"/>
          <w:bCs w:val="0"/>
        </w:rPr>
      </w:pPr>
      <w:bookmarkStart w:name="（3）期末公司已背书或贴现且在资产负债表日尚未到期的应收票据" w:id="226"/>
      <w:bookmarkEnd w:id="226"/>
      <w:r>
        <w:rPr>
          <w:b w:val="0"/>
          <w:bCs w:val="0"/>
        </w:rPr>
      </w:r>
      <w:r>
        <w:rPr/>
        <w:t>（</w:t>
      </w:r>
      <w:r>
        <w:rPr>
          <w:rFonts w:ascii="Times New Roman" w:hAnsi="Times New Roman" w:cs="Times New Roman" w:eastAsia="Times New Roman" w:hint="default"/>
        </w:rPr>
        <w:t>3</w:t>
      </w:r>
      <w:r>
        <w:rPr/>
        <w:t>）期末公司已背书或贴现且在资产负债表日尚未到期的应收票据</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82" w:right="0"/>
              <w:jc w:val="left"/>
              <w:rPr>
                <w:rFonts w:ascii="宋体" w:hAnsi="宋体" w:cs="宋体" w:eastAsia="宋体" w:hint="default"/>
                <w:sz w:val="18"/>
                <w:szCs w:val="18"/>
              </w:rPr>
            </w:pPr>
            <w:r>
              <w:rPr>
                <w:rFonts w:ascii="宋体" w:hAnsi="宋体" w:cs="宋体" w:eastAsia="宋体" w:hint="default"/>
                <w:sz w:val="18"/>
                <w:szCs w:val="18"/>
              </w:rPr>
              <w:t>期末终止确认金额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80" w:right="0"/>
              <w:jc w:val="left"/>
              <w:rPr>
                <w:rFonts w:ascii="宋体" w:hAnsi="宋体" w:cs="宋体" w:eastAsia="宋体" w:hint="default"/>
                <w:sz w:val="18"/>
                <w:szCs w:val="18"/>
              </w:rPr>
            </w:pPr>
            <w:r>
              <w:rPr>
                <w:rFonts w:ascii="宋体" w:hAnsi="宋体" w:cs="宋体" w:eastAsia="宋体" w:hint="default"/>
                <w:sz w:val="18"/>
                <w:szCs w:val="18"/>
              </w:rPr>
              <w:t>期末未终止确认金额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2,650,000.00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2,650,000.00</w:t>
            </w: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before="35"/>
        <w:ind w:left="1134" w:right="0"/>
        <w:jc w:val="left"/>
        <w:rPr>
          <w:b w:val="0"/>
          <w:bCs w:val="0"/>
        </w:rPr>
      </w:pPr>
      <w:bookmarkStart w:name="（4）期末公司因出票人未履约而将其转应收账款的票据" w:id="227"/>
      <w:bookmarkEnd w:id="227"/>
      <w:r>
        <w:rPr>
          <w:b w:val="0"/>
          <w:bCs w:val="0"/>
        </w:rPr>
      </w:r>
      <w:r>
        <w:rPr/>
        <w:t>（</w:t>
      </w:r>
      <w:r>
        <w:rPr>
          <w:rFonts w:ascii="Times New Roman" w:hAnsi="Times New Roman" w:cs="Times New Roman" w:eastAsia="Times New Roman" w:hint="default"/>
        </w:rPr>
        <w:t>4</w:t>
      </w:r>
      <w:r>
        <w:rPr/>
        <w:t>）期末公司因出票人未履约而将其转应收账款的票据</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4785"/>
        <w:gridCol w:w="4784"/>
      </w:tblGrid>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576" w:right="0"/>
              <w:jc w:val="left"/>
              <w:rPr>
                <w:rFonts w:ascii="宋体" w:hAnsi="宋体" w:cs="宋体" w:eastAsia="宋体" w:hint="default"/>
                <w:sz w:val="18"/>
                <w:szCs w:val="18"/>
              </w:rPr>
            </w:pPr>
            <w:r>
              <w:rPr>
                <w:rFonts w:ascii="宋体" w:hAnsi="宋体" w:cs="宋体" w:eastAsia="宋体" w:hint="default"/>
                <w:sz w:val="18"/>
                <w:szCs w:val="18"/>
              </w:rPr>
              <w:t>期末转应收账款金额</w:t>
            </w:r>
          </w:p>
        </w:tc>
      </w:tr>
    </w:tbl>
    <w:p>
      <w:pPr>
        <w:pStyle w:val="BodyText"/>
        <w:spacing w:line="240" w:lineRule="auto" w:before="51"/>
        <w:ind w:left="1134"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3、应收账款" w:id="228"/>
      <w:bookmarkEnd w:id="228"/>
      <w:r>
        <w:rPr>
          <w:b w:val="0"/>
          <w:bCs w:val="0"/>
        </w:rPr>
      </w:r>
      <w:r>
        <w:rPr>
          <w:rFonts w:ascii="Times New Roman" w:hAnsi="Times New Roman" w:cs="Times New Roman" w:eastAsia="Times New Roman" w:hint="default"/>
        </w:rPr>
        <w:t>3</w:t>
      </w:r>
      <w:r>
        <w:rPr/>
        <w:t>、应收账款</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34" w:right="0"/>
        <w:jc w:val="left"/>
        <w:rPr>
          <w:b w:val="0"/>
          <w:bCs w:val="0"/>
        </w:rPr>
      </w:pPr>
      <w:bookmarkStart w:name="（1）应收账款分类披露" w:id="229"/>
      <w:bookmarkEnd w:id="229"/>
      <w:r>
        <w:rPr>
          <w:b w:val="0"/>
          <w:bCs w:val="0"/>
        </w:rPr>
      </w:r>
      <w:r>
        <w:rPr/>
        <w:t>（</w:t>
      </w:r>
      <w:r>
        <w:rPr>
          <w:rFonts w:ascii="Times New Roman" w:hAnsi="Times New Roman" w:cs="Times New Roman" w:eastAsia="Times New Roman" w:hint="default"/>
        </w:rPr>
        <w:t>1</w:t>
      </w:r>
      <w:r>
        <w:rPr/>
        <w:t>）应收账款分类披露</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1623"/>
        <w:gridCol w:w="763"/>
        <w:gridCol w:w="762"/>
        <w:gridCol w:w="762"/>
        <w:gridCol w:w="762"/>
        <w:gridCol w:w="790"/>
        <w:gridCol w:w="654"/>
        <w:gridCol w:w="762"/>
        <w:gridCol w:w="813"/>
        <w:gridCol w:w="932"/>
        <w:gridCol w:w="932"/>
      </w:tblGrid>
      <w:tr>
        <w:trPr>
          <w:trHeight w:val="397" w:hRule="exact"/>
        </w:trPr>
        <w:tc>
          <w:tcPr>
            <w:tcW w:w="1623" w:type="dxa"/>
            <w:vMerge w:val="restart"/>
            <w:tcBorders>
              <w:top w:val="single" w:sz="4" w:space="0" w:color="000000"/>
              <w:left w:val="single" w:sz="4" w:space="0" w:color="000000"/>
              <w:right w:val="single" w:sz="4" w:space="0" w:color="000000"/>
            </w:tcBorders>
            <w:shd w:val="clear" w:color="auto" w:fill="D2D2D2"/>
          </w:tcPr>
          <w:p>
            <w:pP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6" w:hRule="exact"/>
        </w:trPr>
        <w:tc>
          <w:tcPr>
            <w:tcW w:w="1623" w:type="dxa"/>
            <w:vMerge/>
            <w:tcBorders>
              <w:left w:val="single" w:sz="4" w:space="0" w:color="000000"/>
              <w:bottom w:val="nil" w:sz="6" w:space="0" w:color="auto"/>
              <w:right w:val="single" w:sz="4" w:space="0" w:color="000000"/>
            </w:tcBorders>
            <w:shd w:val="clear" w:color="auto" w:fill="D2D2D2"/>
          </w:tcPr>
          <w:p>
            <w:pPr/>
          </w:p>
        </w:tc>
        <w:tc>
          <w:tcPr>
            <w:tcW w:w="152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
        </w:tc>
        <w:tc>
          <w:tcPr>
            <w:tcW w:w="14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4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
        </w:tc>
      </w:tr>
      <w:tr>
        <w:trPr>
          <w:trHeight w:val="241" w:hRule="exact"/>
        </w:trPr>
        <w:tc>
          <w:tcPr>
            <w:tcW w:w="162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类别</w:t>
            </w:r>
          </w:p>
        </w:tc>
        <w:tc>
          <w:tcPr>
            <w:tcW w:w="1525" w:type="dxa"/>
            <w:gridSpan w:val="2"/>
            <w:vMerge/>
            <w:tcBorders>
              <w:left w:val="single" w:sz="4" w:space="0" w:color="000000"/>
              <w:bottom w:val="single" w:sz="4" w:space="0" w:color="000000"/>
              <w:right w:val="single" w:sz="4" w:space="0" w:color="000000"/>
            </w:tcBorders>
            <w:shd w:val="clear" w:color="auto" w:fill="D2D2D2"/>
          </w:tcPr>
          <w:p>
            <w:pPr/>
          </w:p>
        </w:tc>
        <w:tc>
          <w:tcPr>
            <w:tcW w:w="1524" w:type="dxa"/>
            <w:gridSpan w:val="2"/>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1416" w:type="dxa"/>
            <w:gridSpan w:val="2"/>
            <w:vMerge/>
            <w:tcBorders>
              <w:left w:val="single" w:sz="4" w:space="0" w:color="000000"/>
              <w:bottom w:val="single" w:sz="4" w:space="0" w:color="000000"/>
              <w:right w:val="single" w:sz="4" w:space="0" w:color="000000"/>
            </w:tcBorders>
            <w:shd w:val="clear" w:color="auto" w:fill="D2D2D2"/>
          </w:tcPr>
          <w:p>
            <w:pPr/>
          </w:p>
        </w:tc>
        <w:tc>
          <w:tcPr>
            <w:tcW w:w="1745" w:type="dxa"/>
            <w:gridSpan w:val="2"/>
            <w:vMerge/>
            <w:tcBorders>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158" w:hRule="exact"/>
        </w:trPr>
        <w:tc>
          <w:tcPr>
            <w:tcW w:w="1623" w:type="dxa"/>
            <w:vMerge/>
            <w:tcBorders>
              <w:left w:val="single" w:sz="4" w:space="0" w:color="000000"/>
              <w:bottom w:val="single" w:sz="4" w:space="0" w:color="FFFFFF"/>
              <w:right w:val="single" w:sz="4" w:space="0" w:color="000000"/>
            </w:tcBorders>
            <w:shd w:val="clear" w:color="auto" w:fill="D2D2D2"/>
          </w:tcPr>
          <w:p>
            <w:pPr/>
          </w:p>
        </w:tc>
        <w:tc>
          <w:tcPr>
            <w:tcW w:w="763"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3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4"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3" w:hRule="exact"/>
        </w:trPr>
        <w:tc>
          <w:tcPr>
            <w:tcW w:w="1623" w:type="dxa"/>
            <w:vMerge w:val="restart"/>
            <w:tcBorders>
              <w:top w:val="single" w:sz="4" w:space="0" w:color="FFFFFF"/>
              <w:left w:val="single" w:sz="4" w:space="0" w:color="000000"/>
              <w:right w:val="single" w:sz="4" w:space="0" w:color="000000"/>
            </w:tcBorders>
            <w:shd w:val="clear" w:color="auto" w:fill="D2D2D2"/>
          </w:tcPr>
          <w:p>
            <w:pPr/>
          </w:p>
        </w:tc>
        <w:tc>
          <w:tcPr>
            <w:tcW w:w="763"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tcBorders>
              <w:left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65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623" w:type="dxa"/>
            <w:vMerge/>
            <w:tcBorders>
              <w:left w:val="single" w:sz="4" w:space="0" w:color="000000"/>
              <w:right w:val="single" w:sz="4" w:space="0" w:color="000000"/>
            </w:tcBorders>
            <w:shd w:val="clear" w:color="auto" w:fill="D2D2D2"/>
          </w:tcPr>
          <w:p>
            <w:pPr/>
          </w:p>
        </w:tc>
        <w:tc>
          <w:tcPr>
            <w:tcW w:w="763"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right w:val="single" w:sz="4" w:space="0" w:color="000000"/>
            </w:tcBorders>
            <w:shd w:val="clear" w:color="auto" w:fill="D2D2D2"/>
          </w:tcPr>
          <w:p>
            <w:pPr/>
          </w:p>
        </w:tc>
        <w:tc>
          <w:tcPr>
            <w:tcW w:w="790" w:type="dxa"/>
            <w:vMerge w:val="restart"/>
            <w:tcBorders>
              <w:top w:val="nil" w:sz="6" w:space="0" w:color="auto"/>
              <w:left w:val="single" w:sz="4" w:space="0" w:color="000000"/>
              <w:right w:val="single" w:sz="4" w:space="0" w:color="000000"/>
            </w:tcBorders>
            <w:shd w:val="clear" w:color="auto" w:fill="D2D2D2"/>
          </w:tcPr>
          <w:p>
            <w:pPr/>
          </w:p>
        </w:tc>
        <w:tc>
          <w:tcPr>
            <w:tcW w:w="654"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813" w:type="dxa"/>
            <w:vMerge/>
            <w:tcBorders>
              <w:left w:val="single" w:sz="4" w:space="0" w:color="000000"/>
              <w:bottom w:val="nil" w:sz="6" w:space="0" w:color="auto"/>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23"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813"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60"/>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应收账款</w:t>
            </w:r>
          </w:p>
        </w:tc>
        <w:tc>
          <w:tcPr>
            <w:tcW w:w="7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3" w:right="0"/>
              <w:jc w:val="center"/>
              <w:rPr>
                <w:rFonts w:ascii="Times New Roman" w:hAnsi="Times New Roman" w:cs="Times New Roman" w:eastAsia="Times New Roman" w:hint="default"/>
                <w:sz w:val="18"/>
                <w:szCs w:val="18"/>
              </w:rPr>
            </w:pPr>
            <w:r>
              <w:rPr>
                <w:rFonts w:ascii="Times New Roman"/>
                <w:sz w:val="18"/>
              </w:rPr>
              <w:t>407,799,</w:t>
            </w:r>
          </w:p>
          <w:p>
            <w:pPr>
              <w:pStyle w:val="TableParagraph"/>
              <w:spacing w:line="240" w:lineRule="auto" w:before="106"/>
              <w:ind w:left="200" w:right="0"/>
              <w:jc w:val="center"/>
              <w:rPr>
                <w:rFonts w:ascii="Times New Roman" w:hAnsi="Times New Roman" w:cs="Times New Roman" w:eastAsia="Times New Roman" w:hint="default"/>
                <w:sz w:val="18"/>
                <w:szCs w:val="18"/>
              </w:rPr>
            </w:pPr>
            <w:r>
              <w:rPr>
                <w:rFonts w:ascii="Times New Roman"/>
                <w:sz w:val="18"/>
              </w:rPr>
              <w:t>255.15</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99.75%</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1" w:right="0"/>
              <w:jc w:val="center"/>
              <w:rPr>
                <w:rFonts w:ascii="Times New Roman" w:hAnsi="Times New Roman" w:cs="Times New Roman" w:eastAsia="Times New Roman" w:hint="default"/>
                <w:sz w:val="18"/>
                <w:szCs w:val="18"/>
              </w:rPr>
            </w:pPr>
            <w:r>
              <w:rPr>
                <w:rFonts w:ascii="Times New Roman"/>
                <w:sz w:val="18"/>
              </w:rPr>
              <w:t>116,961,</w:t>
            </w:r>
          </w:p>
          <w:p>
            <w:pPr>
              <w:pStyle w:val="TableParagraph"/>
              <w:spacing w:line="240" w:lineRule="auto" w:before="106"/>
              <w:ind w:left="210" w:right="0"/>
              <w:jc w:val="center"/>
              <w:rPr>
                <w:rFonts w:ascii="Times New Roman" w:hAnsi="Times New Roman" w:cs="Times New Roman" w:eastAsia="Times New Roman" w:hint="default"/>
                <w:sz w:val="18"/>
                <w:szCs w:val="18"/>
              </w:rPr>
            </w:pPr>
            <w:r>
              <w:rPr>
                <w:rFonts w:ascii="Times New Roman"/>
                <w:sz w:val="18"/>
              </w:rPr>
              <w:t>772.93</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53" w:right="0"/>
              <w:jc w:val="center"/>
              <w:rPr>
                <w:rFonts w:ascii="Times New Roman" w:hAnsi="Times New Roman" w:cs="Times New Roman" w:eastAsia="Times New Roman" w:hint="default"/>
                <w:sz w:val="18"/>
                <w:szCs w:val="18"/>
              </w:rPr>
            </w:pPr>
            <w:r>
              <w:rPr>
                <w:rFonts w:ascii="Times New Roman"/>
                <w:sz w:val="18"/>
              </w:rPr>
              <w:t>28.68%</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290,837,4</w:t>
            </w:r>
          </w:p>
          <w:p>
            <w:pPr>
              <w:pStyle w:val="TableParagraph"/>
              <w:spacing w:line="240" w:lineRule="auto" w:before="106"/>
              <w:ind w:left="352" w:right="0"/>
              <w:jc w:val="left"/>
              <w:rPr>
                <w:rFonts w:ascii="Times New Roman" w:hAnsi="Times New Roman" w:cs="Times New Roman" w:eastAsia="Times New Roman" w:hint="default"/>
                <w:sz w:val="18"/>
                <w:szCs w:val="18"/>
              </w:rPr>
            </w:pPr>
            <w:r>
              <w:rPr>
                <w:rFonts w:ascii="Times New Roman"/>
                <w:sz w:val="18"/>
              </w:rPr>
              <w:t>82.22</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374,410</w:t>
            </w:r>
          </w:p>
          <w:p>
            <w:pPr>
              <w:pStyle w:val="TableParagraph"/>
              <w:spacing w:line="240" w:lineRule="auto" w:before="106"/>
              <w:ind w:left="80" w:right="0"/>
              <w:jc w:val="left"/>
              <w:rPr>
                <w:rFonts w:ascii="Times New Roman" w:hAnsi="Times New Roman" w:cs="Times New Roman" w:eastAsia="Times New Roman" w:hint="default"/>
                <w:sz w:val="18"/>
                <w:szCs w:val="18"/>
              </w:rPr>
            </w:pPr>
            <w:r>
              <w:rPr>
                <w:rFonts w:ascii="Times New Roman"/>
                <w:sz w:val="18"/>
              </w:rPr>
              <w:t>,576.73</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0" w:right="0"/>
              <w:jc w:val="left"/>
              <w:rPr>
                <w:rFonts w:ascii="Times New Roman" w:hAnsi="Times New Roman" w:cs="Times New Roman" w:eastAsia="Times New Roman" w:hint="default"/>
                <w:sz w:val="18"/>
                <w:szCs w:val="18"/>
              </w:rPr>
            </w:pPr>
            <w:r>
              <w:rPr>
                <w:rFonts w:ascii="Times New Roman"/>
                <w:sz w:val="18"/>
              </w:rPr>
              <w:t>97,218,21</w:t>
            </w:r>
          </w:p>
          <w:p>
            <w:pPr>
              <w:pStyle w:val="TableParagraph"/>
              <w:spacing w:line="240" w:lineRule="auto" w:before="106"/>
              <w:ind w:left="466" w:right="0"/>
              <w:jc w:val="left"/>
              <w:rPr>
                <w:rFonts w:ascii="Times New Roman" w:hAnsi="Times New Roman" w:cs="Times New Roman" w:eastAsia="Times New Roman" w:hint="default"/>
                <w:sz w:val="18"/>
                <w:szCs w:val="18"/>
              </w:rPr>
            </w:pPr>
            <w:r>
              <w:rPr>
                <w:rFonts w:ascii="Times New Roman"/>
                <w:sz w:val="18"/>
              </w:rPr>
              <w:t>6.93</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45" w:right="0"/>
              <w:jc w:val="left"/>
              <w:rPr>
                <w:rFonts w:ascii="Times New Roman" w:hAnsi="Times New Roman" w:cs="Times New Roman" w:eastAsia="Times New Roman" w:hint="default"/>
                <w:sz w:val="18"/>
                <w:szCs w:val="18"/>
              </w:rPr>
            </w:pPr>
            <w:r>
              <w:rPr>
                <w:rFonts w:ascii="Times New Roman"/>
                <w:sz w:val="18"/>
              </w:rPr>
              <w:t>25.97%</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8" w:right="0"/>
              <w:jc w:val="left"/>
              <w:rPr>
                <w:rFonts w:ascii="Times New Roman" w:hAnsi="Times New Roman" w:cs="Times New Roman" w:eastAsia="Times New Roman" w:hint="default"/>
                <w:sz w:val="18"/>
                <w:szCs w:val="18"/>
              </w:rPr>
            </w:pPr>
            <w:r>
              <w:rPr>
                <w:rFonts w:ascii="Times New Roman"/>
                <w:sz w:val="18"/>
              </w:rPr>
              <w:t>277,192,35</w:t>
            </w:r>
          </w:p>
          <w:p>
            <w:pPr>
              <w:pStyle w:val="TableParagraph"/>
              <w:spacing w:line="240" w:lineRule="auto" w:before="106"/>
              <w:ind w:left="584" w:right="0"/>
              <w:jc w:val="left"/>
              <w:rPr>
                <w:rFonts w:ascii="Times New Roman" w:hAnsi="Times New Roman" w:cs="Times New Roman" w:eastAsia="Times New Roman" w:hint="default"/>
                <w:sz w:val="18"/>
                <w:szCs w:val="18"/>
              </w:rPr>
            </w:pPr>
            <w:r>
              <w:rPr>
                <w:rFonts w:ascii="Times New Roman"/>
                <w:sz w:val="18"/>
              </w:rPr>
              <w:t>9.80</w:t>
            </w:r>
          </w:p>
        </w:tc>
      </w:tr>
      <w:tr>
        <w:trPr>
          <w:trHeight w:val="402" w:hRule="exact"/>
        </w:trPr>
        <w:tc>
          <w:tcPr>
            <w:tcW w:w="1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11" w:right="0"/>
              <w:jc w:val="left"/>
              <w:rPr>
                <w:rFonts w:ascii="宋体" w:hAnsi="宋体" w:cs="宋体" w:eastAsia="宋体" w:hint="default"/>
                <w:sz w:val="18"/>
                <w:szCs w:val="18"/>
              </w:rPr>
            </w:pPr>
            <w:r>
              <w:rPr>
                <w:rFonts w:ascii="宋体" w:hAnsi="宋体" w:cs="宋体" w:eastAsia="宋体" w:hint="default"/>
                <w:sz w:val="18"/>
                <w:szCs w:val="18"/>
              </w:rPr>
              <w:t>单项金额不重大但</w:t>
            </w:r>
          </w:p>
        </w:tc>
        <w:tc>
          <w:tcPr>
            <w:tcW w:w="7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1"/>
              <w:ind w:left="87" w:right="0"/>
              <w:jc w:val="left"/>
              <w:rPr>
                <w:rFonts w:ascii="Times New Roman" w:hAnsi="Times New Roman" w:cs="Times New Roman" w:eastAsia="Times New Roman" w:hint="default"/>
                <w:sz w:val="18"/>
                <w:szCs w:val="18"/>
              </w:rPr>
            </w:pPr>
            <w:r>
              <w:rPr>
                <w:rFonts w:ascii="Times New Roman"/>
                <w:sz w:val="18"/>
              </w:rPr>
              <w:t>1,040,14</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0.25%</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98" w:right="0"/>
              <w:jc w:val="left"/>
              <w:rPr>
                <w:rFonts w:ascii="Times New Roman" w:hAnsi="Times New Roman" w:cs="Times New Roman" w:eastAsia="Times New Roman" w:hint="default"/>
                <w:sz w:val="18"/>
                <w:szCs w:val="18"/>
              </w:rPr>
            </w:pPr>
            <w:r>
              <w:rPr>
                <w:rFonts w:ascii="Times New Roman"/>
                <w:sz w:val="18"/>
              </w:rPr>
              <w:t>1,040,14</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3" w:right="0"/>
              <w:jc w:val="center"/>
              <w:rPr>
                <w:rFonts w:ascii="Times New Roman" w:hAnsi="Times New Roman" w:cs="Times New Roman" w:eastAsia="Times New Roman" w:hint="default"/>
                <w:sz w:val="18"/>
                <w:szCs w:val="18"/>
              </w:rPr>
            </w:pPr>
            <w:r>
              <w:rPr>
                <w:rFonts w:ascii="Times New Roman"/>
                <w:sz w:val="18"/>
              </w:rPr>
              <w:t>100.00%</w:t>
            </w:r>
          </w:p>
        </w:tc>
        <w:tc>
          <w:tcPr>
            <w:tcW w:w="790" w:type="dxa"/>
            <w:tcBorders>
              <w:top w:val="single" w:sz="4" w:space="0" w:color="000000"/>
              <w:left w:val="single" w:sz="4" w:space="0" w:color="000000"/>
              <w:bottom w:val="single" w:sz="4" w:space="0" w:color="000000"/>
              <w:right w:val="single" w:sz="4" w:space="0" w:color="000000"/>
            </w:tcBorders>
          </w:tcPr>
          <w:p>
            <w:pPr/>
          </w:p>
        </w:tc>
        <w:tc>
          <w:tcPr>
            <w:tcW w:w="654"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813"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1634"/>
        <w:gridCol w:w="764"/>
        <w:gridCol w:w="762"/>
        <w:gridCol w:w="762"/>
        <w:gridCol w:w="762"/>
        <w:gridCol w:w="790"/>
        <w:gridCol w:w="654"/>
        <w:gridCol w:w="762"/>
        <w:gridCol w:w="813"/>
        <w:gridCol w:w="932"/>
        <w:gridCol w:w="932"/>
      </w:tblGrid>
      <w:tr>
        <w:trPr>
          <w:trHeight w:val="674"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10"/>
              <w:ind w:left="22" w:right="159"/>
              <w:jc w:val="left"/>
              <w:rPr>
                <w:rFonts w:ascii="宋体" w:hAnsi="宋体" w:cs="宋体" w:eastAsia="宋体" w:hint="default"/>
                <w:sz w:val="18"/>
                <w:szCs w:val="18"/>
              </w:rPr>
            </w:pPr>
            <w:r>
              <w:rPr>
                <w:rFonts w:ascii="宋体" w:hAnsi="宋体" w:cs="宋体" w:eastAsia="宋体" w:hint="default"/>
                <w:sz w:val="18"/>
                <w:szCs w:val="18"/>
              </w:rPr>
              <w:t>单独计提坏账准备 的应收账款</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15" w:right="0"/>
              <w:jc w:val="left"/>
              <w:rPr>
                <w:rFonts w:ascii="Times New Roman" w:hAnsi="Times New Roman" w:cs="Times New Roman" w:eastAsia="Times New Roman" w:hint="default"/>
                <w:sz w:val="18"/>
                <w:szCs w:val="18"/>
              </w:rPr>
            </w:pPr>
            <w:r>
              <w:rPr>
                <w:rFonts w:ascii="Times New Roman"/>
                <w:sz w:val="18"/>
              </w:rPr>
              <w:t>0.00</w:t>
            </w:r>
          </w:p>
        </w:tc>
        <w:tc>
          <w:tcPr>
            <w:tcW w:w="762"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13" w:right="0"/>
              <w:jc w:val="left"/>
              <w:rPr>
                <w:rFonts w:ascii="Times New Roman" w:hAnsi="Times New Roman" w:cs="Times New Roman" w:eastAsia="Times New Roman" w:hint="default"/>
                <w:sz w:val="18"/>
                <w:szCs w:val="18"/>
              </w:rPr>
            </w:pPr>
            <w:r>
              <w:rPr>
                <w:rFonts w:ascii="Times New Roman"/>
                <w:sz w:val="18"/>
              </w:rPr>
              <w:t>0.00</w:t>
            </w:r>
          </w:p>
        </w:tc>
        <w:tc>
          <w:tcPr>
            <w:tcW w:w="762"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
        </w:tc>
        <w:tc>
          <w:tcPr>
            <w:tcW w:w="654"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813"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6" w:right="0"/>
              <w:jc w:val="center"/>
              <w:rPr>
                <w:rFonts w:ascii="Times New Roman" w:hAnsi="Times New Roman" w:cs="Times New Roman" w:eastAsia="Times New Roman" w:hint="default"/>
                <w:sz w:val="18"/>
                <w:szCs w:val="18"/>
              </w:rPr>
            </w:pPr>
            <w:r>
              <w:rPr>
                <w:rFonts w:ascii="Times New Roman"/>
                <w:sz w:val="18"/>
              </w:rPr>
              <w:t>408,839,</w:t>
            </w:r>
          </w:p>
          <w:p>
            <w:pPr>
              <w:pStyle w:val="TableParagraph"/>
              <w:spacing w:line="240" w:lineRule="auto" w:before="105"/>
              <w:ind w:left="212" w:right="0"/>
              <w:jc w:val="center"/>
              <w:rPr>
                <w:rFonts w:ascii="Times New Roman" w:hAnsi="Times New Roman" w:cs="Times New Roman" w:eastAsia="Times New Roman" w:hint="default"/>
                <w:sz w:val="18"/>
                <w:szCs w:val="18"/>
              </w:rPr>
            </w:pPr>
            <w:r>
              <w:rPr>
                <w:rFonts w:ascii="Times New Roman"/>
                <w:sz w:val="18"/>
              </w:rPr>
              <w:t>395.15</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1" w:right="0"/>
              <w:jc w:val="center"/>
              <w:rPr>
                <w:rFonts w:ascii="Times New Roman" w:hAnsi="Times New Roman" w:cs="Times New Roman" w:eastAsia="Times New Roman" w:hint="default"/>
                <w:sz w:val="18"/>
                <w:szCs w:val="18"/>
              </w:rPr>
            </w:pPr>
            <w:r>
              <w:rPr>
                <w:rFonts w:ascii="Times New Roman"/>
                <w:sz w:val="18"/>
              </w:rPr>
              <w:t>118,001,</w:t>
            </w:r>
          </w:p>
          <w:p>
            <w:pPr>
              <w:pStyle w:val="TableParagraph"/>
              <w:spacing w:line="240" w:lineRule="auto" w:before="105"/>
              <w:ind w:left="210" w:right="0"/>
              <w:jc w:val="center"/>
              <w:rPr>
                <w:rFonts w:ascii="Times New Roman" w:hAnsi="Times New Roman" w:cs="Times New Roman" w:eastAsia="Times New Roman" w:hint="default"/>
                <w:sz w:val="18"/>
                <w:szCs w:val="18"/>
              </w:rPr>
            </w:pPr>
            <w:r>
              <w:rPr>
                <w:rFonts w:ascii="Times New Roman"/>
                <w:sz w:val="18"/>
              </w:rPr>
              <w:t>912.93</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75" w:right="0"/>
              <w:jc w:val="left"/>
              <w:rPr>
                <w:rFonts w:ascii="Times New Roman" w:hAnsi="Times New Roman" w:cs="Times New Roman" w:eastAsia="Times New Roman" w:hint="default"/>
                <w:sz w:val="18"/>
                <w:szCs w:val="18"/>
              </w:rPr>
            </w:pPr>
            <w:r>
              <w:rPr>
                <w:rFonts w:ascii="Times New Roman"/>
                <w:sz w:val="18"/>
              </w:rPr>
              <w:t>28.86%</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7" w:right="0"/>
              <w:jc w:val="left"/>
              <w:rPr>
                <w:rFonts w:ascii="Times New Roman" w:hAnsi="Times New Roman" w:cs="Times New Roman" w:eastAsia="Times New Roman" w:hint="default"/>
                <w:sz w:val="18"/>
                <w:szCs w:val="18"/>
              </w:rPr>
            </w:pPr>
            <w:r>
              <w:rPr>
                <w:rFonts w:ascii="Times New Roman"/>
                <w:sz w:val="18"/>
              </w:rPr>
              <w:t>290,837,4</w:t>
            </w:r>
          </w:p>
          <w:p>
            <w:pPr>
              <w:pStyle w:val="TableParagraph"/>
              <w:spacing w:line="240" w:lineRule="auto" w:before="105"/>
              <w:ind w:left="352" w:right="0"/>
              <w:jc w:val="left"/>
              <w:rPr>
                <w:rFonts w:ascii="Times New Roman" w:hAnsi="Times New Roman" w:cs="Times New Roman" w:eastAsia="Times New Roman" w:hint="default"/>
                <w:sz w:val="18"/>
                <w:szCs w:val="18"/>
              </w:rPr>
            </w:pPr>
            <w:r>
              <w:rPr>
                <w:rFonts w:ascii="Times New Roman"/>
                <w:sz w:val="18"/>
              </w:rPr>
              <w:t>82.22</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374,410</w:t>
            </w:r>
          </w:p>
          <w:p>
            <w:pPr>
              <w:pStyle w:val="TableParagraph"/>
              <w:spacing w:line="240" w:lineRule="auto" w:before="105"/>
              <w:ind w:left="80" w:right="0"/>
              <w:jc w:val="left"/>
              <w:rPr>
                <w:rFonts w:ascii="Times New Roman" w:hAnsi="Times New Roman" w:cs="Times New Roman" w:eastAsia="Times New Roman" w:hint="default"/>
                <w:sz w:val="18"/>
                <w:szCs w:val="18"/>
              </w:rPr>
            </w:pPr>
            <w:r>
              <w:rPr>
                <w:rFonts w:ascii="Times New Roman"/>
                <w:sz w:val="18"/>
              </w:rPr>
              <w:t>,576.73</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0" w:right="0"/>
              <w:jc w:val="left"/>
              <w:rPr>
                <w:rFonts w:ascii="Times New Roman" w:hAnsi="Times New Roman" w:cs="Times New Roman" w:eastAsia="Times New Roman" w:hint="default"/>
                <w:sz w:val="18"/>
                <w:szCs w:val="18"/>
              </w:rPr>
            </w:pPr>
            <w:r>
              <w:rPr>
                <w:rFonts w:ascii="Times New Roman"/>
                <w:sz w:val="18"/>
              </w:rPr>
              <w:t>97,218,21</w:t>
            </w:r>
          </w:p>
          <w:p>
            <w:pPr>
              <w:pStyle w:val="TableParagraph"/>
              <w:spacing w:line="240" w:lineRule="auto" w:before="105"/>
              <w:ind w:left="466" w:right="0"/>
              <w:jc w:val="left"/>
              <w:rPr>
                <w:rFonts w:ascii="Times New Roman" w:hAnsi="Times New Roman" w:cs="Times New Roman" w:eastAsia="Times New Roman" w:hint="default"/>
                <w:sz w:val="18"/>
                <w:szCs w:val="18"/>
              </w:rPr>
            </w:pPr>
            <w:r>
              <w:rPr>
                <w:rFonts w:ascii="Times New Roman"/>
                <w:sz w:val="18"/>
              </w:rPr>
              <w:t>6.93</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45" w:right="0"/>
              <w:jc w:val="left"/>
              <w:rPr>
                <w:rFonts w:ascii="Times New Roman" w:hAnsi="Times New Roman" w:cs="Times New Roman" w:eastAsia="Times New Roman" w:hint="default"/>
                <w:sz w:val="18"/>
                <w:szCs w:val="18"/>
              </w:rPr>
            </w:pPr>
            <w:r>
              <w:rPr>
                <w:rFonts w:ascii="Times New Roman"/>
                <w:sz w:val="18"/>
              </w:rPr>
              <w:t>25.97%</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8" w:right="0"/>
              <w:jc w:val="left"/>
              <w:rPr>
                <w:rFonts w:ascii="Times New Roman" w:hAnsi="Times New Roman" w:cs="Times New Roman" w:eastAsia="Times New Roman" w:hint="default"/>
                <w:sz w:val="18"/>
                <w:szCs w:val="18"/>
              </w:rPr>
            </w:pPr>
            <w:r>
              <w:rPr>
                <w:rFonts w:ascii="Times New Roman"/>
                <w:sz w:val="18"/>
              </w:rPr>
              <w:t>277,192,35</w:t>
            </w:r>
          </w:p>
          <w:p>
            <w:pPr>
              <w:pStyle w:val="TableParagraph"/>
              <w:spacing w:line="240" w:lineRule="auto" w:before="105"/>
              <w:ind w:left="584" w:right="0"/>
              <w:jc w:val="left"/>
              <w:rPr>
                <w:rFonts w:ascii="Times New Roman" w:hAnsi="Times New Roman" w:cs="Times New Roman" w:eastAsia="Times New Roman" w:hint="default"/>
                <w:sz w:val="18"/>
                <w:szCs w:val="18"/>
              </w:rPr>
            </w:pPr>
            <w:r>
              <w:rPr>
                <w:rFonts w:ascii="Times New Roman"/>
                <w:sz w:val="18"/>
              </w:rPr>
              <w:t>9.80</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0" w:right="0"/>
        </w:sectPr>
      </w:pPr>
    </w:p>
    <w:p>
      <w:pPr>
        <w:pStyle w:val="BodyText"/>
        <w:spacing w:line="240" w:lineRule="auto" w:before="51"/>
        <w:ind w:left="1134" w:right="-20"/>
        <w:jc w:val="left"/>
      </w:pPr>
      <w:r>
        <w:rPr/>
        <w:t>期末单项金额重大并单项计提坏账准备的应收账款：</w:t>
      </w:r>
    </w:p>
    <w:p>
      <w:pPr>
        <w:pStyle w:val="BodyText"/>
        <w:spacing w:line="338" w:lineRule="auto" w:before="117"/>
        <w:ind w:right="16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组合中，按账龄分析法计提坏账准备的应收账款：</w:t>
      </w:r>
    </w:p>
    <w:p>
      <w:pPr>
        <w:pStyle w:val="BodyText"/>
        <w:spacing w:line="240" w:lineRule="auto" w:before="42"/>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1"/>
          <w:szCs w:val="21"/>
        </w:rPr>
      </w:pPr>
    </w:p>
    <w:p>
      <w:pPr>
        <w:pStyle w:val="BodyText"/>
        <w:spacing w:line="240" w:lineRule="auto"/>
        <w:ind w:left="1113" w:right="1112"/>
        <w:jc w:val="center"/>
      </w:pPr>
      <w:r>
        <w:rPr/>
        <w:t>单位： 元</w:t>
      </w:r>
    </w:p>
    <w:p>
      <w:pPr>
        <w:spacing w:after="0" w:line="240" w:lineRule="auto"/>
        <w:jc w:val="center"/>
        <w:sectPr>
          <w:type w:val="continuous"/>
          <w:pgSz w:w="11910" w:h="16840"/>
          <w:pgMar w:top="1060" w:bottom="1160" w:left="0" w:right="0"/>
          <w:cols w:num="2" w:equalWidth="0">
            <w:col w:w="5275" w:space="3555"/>
            <w:col w:w="3080"/>
          </w:cols>
        </w:sectPr>
      </w:pP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2381"/>
        <w:gridCol w:w="2393"/>
        <w:gridCol w:w="2392"/>
        <w:gridCol w:w="2392"/>
      </w:tblGrid>
      <w:tr>
        <w:trPr>
          <w:trHeight w:val="206" w:hRule="exact"/>
        </w:trPr>
        <w:tc>
          <w:tcPr>
            <w:tcW w:w="2381" w:type="dxa"/>
            <w:tcBorders>
              <w:top w:val="single" w:sz="4" w:space="0" w:color="000000"/>
              <w:left w:val="single" w:sz="4" w:space="0" w:color="000000"/>
              <w:bottom w:val="nil" w:sz="6" w:space="0" w:color="auto"/>
              <w:right w:val="single" w:sz="4" w:space="0" w:color="000000"/>
            </w:tcBorders>
            <w:shd w:val="clear" w:color="auto" w:fill="D2D2D2"/>
          </w:tcPr>
          <w:p>
            <w:pPr/>
          </w:p>
        </w:tc>
        <w:tc>
          <w:tcPr>
            <w:tcW w:w="7177"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1" w:hRule="exact"/>
        </w:trPr>
        <w:tc>
          <w:tcPr>
            <w:tcW w:w="238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账龄</w:t>
            </w:r>
          </w:p>
        </w:tc>
        <w:tc>
          <w:tcPr>
            <w:tcW w:w="7177" w:type="dxa"/>
            <w:gridSpan w:val="3"/>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2381" w:type="dxa"/>
            <w:vMerge/>
            <w:tcBorders>
              <w:left w:val="single" w:sz="4" w:space="0" w:color="000000"/>
              <w:bottom w:val="nil" w:sz="6" w:space="0" w:color="auto"/>
              <w:right w:val="single" w:sz="4" w:space="0" w:color="000000"/>
            </w:tcBorders>
            <w:shd w:val="clear" w:color="auto" w:fill="D2D2D2"/>
          </w:tcPr>
          <w:p>
            <w:pPr/>
          </w:p>
        </w:tc>
        <w:tc>
          <w:tcPr>
            <w:tcW w:w="239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211" w:hRule="exact"/>
        </w:trPr>
        <w:tc>
          <w:tcPr>
            <w:tcW w:w="2381"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3" w:type="dxa"/>
            <w:vMerge/>
            <w:tcBorders>
              <w:left w:val="single" w:sz="4" w:space="0" w:color="000000"/>
              <w:bottom w:val="single" w:sz="4" w:space="0" w:color="000000"/>
              <w:right w:val="single" w:sz="4" w:space="0" w:color="000000"/>
            </w:tcBorders>
            <w:shd w:val="clear" w:color="auto" w:fill="D2D2D2"/>
          </w:tcPr>
          <w:p>
            <w:pPr/>
          </w:p>
        </w:tc>
        <w:tc>
          <w:tcPr>
            <w:tcW w:w="2392" w:type="dxa"/>
            <w:vMerge/>
            <w:tcBorders>
              <w:left w:val="single" w:sz="4" w:space="0" w:color="000000"/>
              <w:bottom w:val="single" w:sz="4" w:space="0" w:color="000000"/>
              <w:right w:val="single" w:sz="4" w:space="0" w:color="000000"/>
            </w:tcBorders>
            <w:shd w:val="clear" w:color="auto" w:fill="D2D2D2"/>
          </w:tcPr>
          <w:p>
            <w:pPr/>
          </w:p>
        </w:tc>
        <w:tc>
          <w:tcPr>
            <w:tcW w:w="2392" w:type="dxa"/>
            <w:vMerge/>
            <w:tcBorders>
              <w:left w:val="single" w:sz="4" w:space="0" w:color="000000"/>
              <w:bottom w:val="single" w:sz="4" w:space="0" w:color="000000"/>
              <w:right w:val="single" w:sz="4" w:space="0" w:color="000000"/>
            </w:tcBorders>
            <w:shd w:val="clear" w:color="auto" w:fill="D2D2D2"/>
          </w:tcPr>
          <w:p>
            <w:pPr/>
          </w:p>
        </w:tc>
      </w:tr>
      <w:tr>
        <w:trPr>
          <w:trHeight w:val="397" w:hRule="exact"/>
        </w:trPr>
        <w:tc>
          <w:tcPr>
            <w:tcW w:w="9557"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3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234,801,026.56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11,656,436.78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2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51,137,152.24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5,113,715.22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2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30,956,364.89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9,286,909.47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30.00%</w:t>
            </w:r>
          </w:p>
        </w:tc>
      </w:tr>
      <w:tr>
        <w:trPr>
          <w:trHeight w:val="402" w:hRule="exact"/>
        </w:trPr>
        <w:tc>
          <w:tcPr>
            <w:tcW w:w="2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90,904,711.46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90,904,711.46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2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407,799,255.15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116,961,772.93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28.68%</w:t>
            </w:r>
          </w:p>
        </w:tc>
      </w:tr>
    </w:tbl>
    <w:p>
      <w:pPr>
        <w:pStyle w:val="BodyText"/>
        <w:spacing w:line="357" w:lineRule="auto" w:before="51"/>
        <w:ind w:left="1554" w:right="0" w:hanging="420"/>
        <w:jc w:val="left"/>
      </w:pPr>
      <w:r>
        <w:rPr/>
        <w:t>确定该组合依据的说明： 已单独计提减值准备的应收账款除外，公司根据以前年度与之相同或相类似的、按账龄段划分的具有类似信用风险特</w:t>
      </w:r>
    </w:p>
    <w:p>
      <w:pPr>
        <w:pStyle w:val="BodyText"/>
        <w:spacing w:line="224" w:lineRule="exact"/>
        <w:ind w:left="1134" w:right="0"/>
        <w:jc w:val="left"/>
      </w:pPr>
      <w:r>
        <w:rPr/>
        <w:t>征的应收账款组合的实际损失率为基础，结合现时情况分析法确定坏账准备计提的比例。</w:t>
      </w:r>
    </w:p>
    <w:p>
      <w:pPr>
        <w:pStyle w:val="BodyText"/>
        <w:spacing w:line="240" w:lineRule="auto" w:before="117"/>
        <w:ind w:right="0"/>
        <w:jc w:val="left"/>
      </w:pPr>
      <w:r>
        <w:rPr/>
        <w:t>组合中，采用余额百分比法计提坏账准备的应收账款：</w:t>
      </w:r>
    </w:p>
    <w:p>
      <w:pPr>
        <w:pStyle w:val="BodyText"/>
        <w:spacing w:line="338" w:lineRule="auto" w:before="117"/>
        <w:ind w:right="67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组合中，采用其他方法计提坏账准备的应收账款：</w:t>
      </w:r>
    </w:p>
    <w:p>
      <w:pPr>
        <w:spacing w:line="240" w:lineRule="auto" w:before="1"/>
        <w:rPr>
          <w:rFonts w:ascii="宋体" w:hAnsi="宋体" w:cs="宋体" w:eastAsia="宋体" w:hint="default"/>
          <w:sz w:val="21"/>
          <w:szCs w:val="21"/>
        </w:rPr>
      </w:pPr>
    </w:p>
    <w:p>
      <w:pPr>
        <w:pStyle w:val="Heading3"/>
        <w:spacing w:line="240" w:lineRule="auto"/>
        <w:ind w:right="0"/>
        <w:jc w:val="left"/>
        <w:rPr>
          <w:b w:val="0"/>
          <w:bCs w:val="0"/>
        </w:rPr>
      </w:pPr>
      <w:bookmarkStart w:name="（2）本期计提、收回或转回的坏账准备情况" w:id="230"/>
      <w:bookmarkEnd w:id="230"/>
      <w:r>
        <w:rPr>
          <w:b w:val="0"/>
          <w:bCs w:val="0"/>
        </w:rPr>
      </w: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4"/>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type w:val="continuous"/>
          <w:pgSz w:w="11910" w:h="16840"/>
          <w:pgMar w:top="1060" w:bottom="1160" w:left="0" w:right="0"/>
        </w:sectPr>
      </w:pPr>
    </w:p>
    <w:p>
      <w:pPr>
        <w:pStyle w:val="BodyText"/>
        <w:spacing w:line="338" w:lineRule="auto" w:before="44"/>
        <w:ind w:right="-13"/>
        <w:jc w:val="left"/>
      </w:pPr>
      <w:r>
        <w:rPr/>
        <w:t>本期计提坏账准备金额</w:t>
      </w:r>
      <w:r>
        <w:rPr>
          <w:spacing w:val="-47"/>
        </w:rPr>
        <w:t> </w:t>
      </w:r>
      <w:r>
        <w:rPr>
          <w:rFonts w:ascii="Times New Roman" w:hAnsi="Times New Roman" w:cs="Times New Roman" w:eastAsia="Times New Roman" w:hint="default"/>
        </w:rPr>
        <w:t>20,785,951.87</w:t>
      </w:r>
      <w:r>
        <w:rPr>
          <w:rFonts w:ascii="Times New Roman" w:hAnsi="Times New Roman" w:cs="Times New Roman" w:eastAsia="Times New Roman" w:hint="default"/>
          <w:spacing w:val="-1"/>
        </w:rPr>
        <w:t> </w:t>
      </w:r>
      <w:r>
        <w:rPr/>
        <w:t>元；本期收回或转回坏账准备金额</w:t>
      </w:r>
      <w:r>
        <w:rPr>
          <w:spacing w:val="-47"/>
        </w:rPr>
        <w:t> </w:t>
      </w:r>
      <w:r>
        <w:rPr>
          <w:rFonts w:ascii="Times New Roman" w:hAnsi="Times New Roman" w:cs="Times New Roman" w:eastAsia="Times New Roman" w:hint="default"/>
        </w:rPr>
        <w:t>0.00</w:t>
      </w:r>
      <w:r>
        <w:rPr>
          <w:rFonts w:ascii="Times New Roman" w:hAnsi="Times New Roman" w:cs="Times New Roman" w:eastAsia="Times New Roman" w:hint="default"/>
          <w:spacing w:val="-2"/>
        </w:rPr>
        <w:t> </w:t>
      </w:r>
      <w:r>
        <w:rPr/>
        <w:t>元。 其中本期坏账准备收回或转回金额重要的：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ind w:left="1113" w:right="1112"/>
        <w:jc w:val="center"/>
      </w:pPr>
      <w:r>
        <w:rPr/>
        <w:t>单位： 元</w:t>
      </w:r>
    </w:p>
    <w:p>
      <w:pPr>
        <w:spacing w:after="0" w:line="240" w:lineRule="auto"/>
        <w:jc w:val="center"/>
        <w:sectPr>
          <w:type w:val="continuous"/>
          <w:pgSz w:w="11910" w:h="16840"/>
          <w:pgMar w:top="1060" w:bottom="1160" w:left="0" w:right="0"/>
          <w:cols w:num="2" w:equalWidth="0">
            <w:col w:w="7524" w:space="1305"/>
            <w:col w:w="3081"/>
          </w:cols>
        </w:sectPr>
      </w:pP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3190"/>
        <w:gridCol w:w="3190"/>
        <w:gridCol w:w="3179"/>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60" w:right="0"/>
              <w:jc w:val="left"/>
              <w:rPr>
                <w:rFonts w:ascii="宋体" w:hAnsi="宋体" w:cs="宋体" w:eastAsia="宋体" w:hint="default"/>
                <w:sz w:val="18"/>
                <w:szCs w:val="18"/>
              </w:rPr>
            </w:pPr>
            <w:r>
              <w:rPr>
                <w:rFonts w:ascii="宋体" w:hAnsi="宋体" w:cs="宋体" w:eastAsia="宋体" w:hint="default"/>
                <w:sz w:val="18"/>
                <w:szCs w:val="18"/>
              </w:rPr>
              <w:t>收回或转回金额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spacing w:line="240" w:lineRule="auto" w:before="2"/>
        <w:rPr>
          <w:rFonts w:ascii="宋体" w:hAnsi="宋体" w:cs="宋体" w:eastAsia="宋体" w:hint="default"/>
          <w:sz w:val="19"/>
          <w:szCs w:val="19"/>
        </w:rPr>
      </w:pPr>
    </w:p>
    <w:p>
      <w:pPr>
        <w:pStyle w:val="Heading3"/>
        <w:spacing w:line="240" w:lineRule="auto" w:before="35"/>
        <w:ind w:left="1134" w:right="0"/>
        <w:jc w:val="left"/>
        <w:rPr>
          <w:b w:val="0"/>
          <w:bCs w:val="0"/>
        </w:rPr>
      </w:pPr>
      <w:bookmarkStart w:name="（3）本期实际核销的应收账款情况" w:id="231"/>
      <w:bookmarkEnd w:id="231"/>
      <w:r>
        <w:rPr>
          <w:b w:val="0"/>
          <w:bCs w:val="0"/>
        </w:rPr>
      </w:r>
      <w:r>
        <w:rPr/>
        <w:t>（</w:t>
      </w:r>
      <w:r>
        <w:rPr>
          <w:rFonts w:ascii="Times New Roman" w:hAnsi="Times New Roman" w:cs="Times New Roman" w:eastAsia="Times New Roman" w:hint="default"/>
        </w:rPr>
        <w:t>3</w:t>
      </w:r>
      <w:r>
        <w:rPr/>
        <w:t>）本期实际核销的应收账款情况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4785"/>
        <w:gridCol w:w="4784"/>
      </w:tblGrid>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处置子公司广州市汇康仪器设备有限公司</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2,255.87</w:t>
            </w:r>
          </w:p>
        </w:tc>
      </w:tr>
    </w:tbl>
    <w:p>
      <w:pPr>
        <w:pStyle w:val="BodyText"/>
        <w:spacing w:line="240" w:lineRule="auto" w:before="51"/>
        <w:ind w:left="1134" w:right="0"/>
        <w:jc w:val="left"/>
      </w:pPr>
      <w:r>
        <w:rPr/>
        <w:t>其中重要的应收账款核销情况：</w:t>
      </w:r>
    </w:p>
    <w:p>
      <w:pPr>
        <w:pStyle w:val="BodyText"/>
        <w:spacing w:line="240" w:lineRule="auto" w:before="117"/>
        <w:ind w:left="0" w:right="1130"/>
        <w:jc w:val="right"/>
      </w:pPr>
      <w:r>
        <w:rPr/>
        <w:t>单位： 元</w:t>
      </w:r>
    </w:p>
    <w:p>
      <w:pPr>
        <w:spacing w:after="0" w:line="240" w:lineRule="auto"/>
        <w:jc w:val="right"/>
        <w:sectPr>
          <w:type w:val="continuous"/>
          <w:pgSz w:w="11910" w:h="16840"/>
          <w:pgMar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714"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52" w:right="0"/>
              <w:jc w:val="left"/>
              <w:rPr>
                <w:rFonts w:ascii="宋体" w:hAnsi="宋体" w:cs="宋体" w:eastAsia="宋体" w:hint="default"/>
                <w:sz w:val="18"/>
                <w:szCs w:val="18"/>
              </w:rPr>
            </w:pPr>
            <w:r>
              <w:rPr>
                <w:rFonts w:ascii="宋体" w:hAnsi="宋体" w:cs="宋体" w:eastAsia="宋体" w:hint="default"/>
                <w:sz w:val="18"/>
                <w:szCs w:val="18"/>
              </w:rPr>
              <w:t>应收账款性质</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3"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2"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523" w:right="71" w:hanging="450"/>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bl>
    <w:p>
      <w:pPr>
        <w:pStyle w:val="BodyText"/>
        <w:spacing w:line="240" w:lineRule="auto" w:before="51"/>
        <w:ind w:left="1134" w:right="0"/>
        <w:jc w:val="left"/>
      </w:pPr>
      <w:r>
        <w:rPr/>
        <w:t>应收账款核销说明：</w:t>
      </w:r>
    </w:p>
    <w:p>
      <w:pPr>
        <w:spacing w:line="240" w:lineRule="auto" w:before="11"/>
        <w:rPr>
          <w:rFonts w:ascii="宋体" w:hAnsi="宋体" w:cs="宋体" w:eastAsia="宋体" w:hint="default"/>
          <w:sz w:val="26"/>
          <w:szCs w:val="26"/>
        </w:rPr>
      </w:pPr>
    </w:p>
    <w:p>
      <w:pPr>
        <w:pStyle w:val="Heading3"/>
        <w:spacing w:line="240" w:lineRule="auto"/>
        <w:ind w:left="1134" w:right="0"/>
        <w:jc w:val="left"/>
        <w:rPr>
          <w:b w:val="0"/>
          <w:bCs w:val="0"/>
        </w:rPr>
      </w:pPr>
      <w:bookmarkStart w:name="（4）按欠款方归集的期末余额前五名的应收账款情况" w:id="232"/>
      <w:bookmarkEnd w:id="232"/>
      <w:r>
        <w:rPr>
          <w:b w:val="0"/>
          <w:bCs w:val="0"/>
        </w:rPr>
      </w:r>
      <w:r>
        <w:rPr/>
        <w:t>（</w:t>
      </w:r>
      <w:r>
        <w:rPr>
          <w:rFonts w:ascii="Times New Roman" w:hAnsi="Times New Roman" w:cs="Times New Roman" w:eastAsia="Times New Roman" w:hint="default"/>
        </w:rPr>
        <w:t>4</w:t>
      </w:r>
      <w:r>
        <w:rPr/>
        <w:t>）按欠款方归集的期末余额前五名的应收账款情况</w:t>
      </w:r>
      <w:r>
        <w:rPr>
          <w:b w:val="0"/>
          <w:bCs w:val="0"/>
        </w:rPr>
      </w:r>
    </w:p>
    <w:p>
      <w:pPr>
        <w:spacing w:line="240" w:lineRule="auto" w:before="9"/>
        <w:rPr>
          <w:rFonts w:ascii="宋体" w:hAnsi="宋体" w:cs="宋体" w:eastAsia="宋体" w:hint="default"/>
          <w:b/>
          <w:bCs/>
          <w:sz w:val="26"/>
          <w:szCs w:val="26"/>
        </w:rPr>
      </w:pPr>
    </w:p>
    <w:p>
      <w:pPr>
        <w:pStyle w:val="BodyText"/>
        <w:spacing w:line="357" w:lineRule="auto"/>
        <w:ind w:left="1134" w:right="7692"/>
        <w:jc w:val="left"/>
      </w:pPr>
      <w:r>
        <w:rPr/>
        <w:t>公司是否需要遵守特殊行业的披露要求 否</w:t>
      </w:r>
    </w:p>
    <w:tbl>
      <w:tblPr>
        <w:tblW w:w="0" w:type="auto"/>
        <w:jc w:val="left"/>
        <w:tblInd w:w="1011" w:type="dxa"/>
        <w:tblLayout w:type="fixed"/>
        <w:tblCellMar>
          <w:top w:w="0" w:type="dxa"/>
          <w:left w:w="0" w:type="dxa"/>
          <w:bottom w:w="0" w:type="dxa"/>
          <w:right w:w="0" w:type="dxa"/>
        </w:tblCellMar>
        <w:tblLook w:val="01E0"/>
      </w:tblPr>
      <w:tblGrid>
        <w:gridCol w:w="3370"/>
        <w:gridCol w:w="1752"/>
        <w:gridCol w:w="3155"/>
        <w:gridCol w:w="1592"/>
      </w:tblGrid>
      <w:tr>
        <w:trPr>
          <w:trHeight w:val="406" w:hRule="exact"/>
        </w:trPr>
        <w:tc>
          <w:tcPr>
            <w:tcW w:w="3370" w:type="dxa"/>
            <w:vMerge w:val="restart"/>
            <w:tcBorders>
              <w:top w:val="single" w:sz="12" w:space="0" w:color="000000"/>
              <w:left w:val="nil" w:sz="6" w:space="0" w:color="auto"/>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left="19" w:right="0"/>
              <w:jc w:val="center"/>
              <w:rPr>
                <w:rFonts w:ascii="宋体" w:hAnsi="宋体" w:cs="宋体" w:eastAsia="宋体" w:hint="default"/>
                <w:sz w:val="18"/>
                <w:szCs w:val="18"/>
              </w:rPr>
            </w:pPr>
            <w:r>
              <w:rPr>
                <w:rFonts w:ascii="宋体" w:hAnsi="宋体" w:cs="宋体" w:eastAsia="宋体" w:hint="default"/>
                <w:b/>
                <w:bCs/>
                <w:sz w:val="18"/>
                <w:szCs w:val="18"/>
              </w:rPr>
              <w:t>单位名称</w:t>
            </w:r>
            <w:r>
              <w:rPr>
                <w:rFonts w:ascii="宋体" w:hAnsi="宋体" w:cs="宋体" w:eastAsia="宋体" w:hint="default"/>
                <w:sz w:val="18"/>
                <w:szCs w:val="18"/>
              </w:rPr>
            </w:r>
          </w:p>
        </w:tc>
        <w:tc>
          <w:tcPr>
            <w:tcW w:w="6500" w:type="dxa"/>
            <w:gridSpan w:val="3"/>
            <w:tcBorders>
              <w:top w:val="single" w:sz="12" w:space="0" w:color="000000"/>
              <w:left w:val="single" w:sz="4" w:space="0" w:color="000000"/>
              <w:bottom w:val="single" w:sz="4" w:space="0" w:color="000000"/>
              <w:right w:val="nil" w:sz="6" w:space="0" w:color="auto"/>
            </w:tcBorders>
          </w:tcPr>
          <w:p>
            <w:pPr>
              <w:pStyle w:val="TableParagraph"/>
              <w:spacing w:line="240" w:lineRule="auto" w:before="47"/>
              <w:ind w:right="3"/>
              <w:jc w:val="center"/>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r>
      <w:tr>
        <w:trPr>
          <w:trHeight w:val="416" w:hRule="exact"/>
        </w:trPr>
        <w:tc>
          <w:tcPr>
            <w:tcW w:w="3370" w:type="dxa"/>
            <w:vMerge/>
            <w:tcBorders>
              <w:left w:val="nil" w:sz="6" w:space="0" w:color="auto"/>
              <w:bottom w:val="single" w:sz="4" w:space="0" w:color="000000"/>
              <w:right w:val="single" w:sz="4" w:space="0" w:color="000000"/>
            </w:tcBorders>
          </w:tcPr>
          <w:p>
            <w:pPr/>
          </w:p>
        </w:tc>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510" w:right="0"/>
              <w:jc w:val="left"/>
              <w:rPr>
                <w:rFonts w:ascii="宋体" w:hAnsi="宋体" w:cs="宋体" w:eastAsia="宋体" w:hint="default"/>
                <w:sz w:val="18"/>
                <w:szCs w:val="18"/>
              </w:rPr>
            </w:pPr>
            <w:r>
              <w:rPr>
                <w:rFonts w:ascii="宋体" w:hAnsi="宋体" w:cs="宋体" w:eastAsia="宋体" w:hint="default"/>
                <w:b/>
                <w:bCs/>
                <w:sz w:val="18"/>
                <w:szCs w:val="18"/>
              </w:rPr>
              <w:t>应收账款</w:t>
            </w:r>
            <w:r>
              <w:rPr>
                <w:rFonts w:ascii="宋体" w:hAnsi="宋体" w:cs="宋体" w:eastAsia="宋体" w:hint="default"/>
                <w:sz w:val="18"/>
                <w:szCs w:val="18"/>
              </w:rPr>
            </w:r>
          </w:p>
        </w:tc>
        <w:tc>
          <w:tcPr>
            <w:tcW w:w="31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532" w:right="0"/>
              <w:jc w:val="left"/>
              <w:rPr>
                <w:rFonts w:ascii="宋体" w:hAnsi="宋体" w:cs="宋体" w:eastAsia="宋体" w:hint="default"/>
                <w:sz w:val="18"/>
                <w:szCs w:val="18"/>
              </w:rPr>
            </w:pPr>
            <w:r>
              <w:rPr>
                <w:rFonts w:ascii="宋体" w:hAnsi="宋体" w:cs="宋体" w:eastAsia="宋体" w:hint="default"/>
                <w:b/>
                <w:bCs/>
                <w:sz w:val="18"/>
                <w:szCs w:val="18"/>
              </w:rPr>
              <w:t>占应收账款合计数比例</w:t>
            </w:r>
            <w:r>
              <w:rPr>
                <w:rFonts w:ascii="宋体" w:hAnsi="宋体" w:cs="宋体" w:eastAsia="宋体" w:hint="default"/>
                <w:b/>
                <w:bCs/>
                <w:sz w:val="18"/>
                <w:szCs w:val="18"/>
              </w:rPr>
              <w:t>(%)</w:t>
            </w:r>
            <w:r>
              <w:rPr>
                <w:rFonts w:ascii="宋体" w:hAnsi="宋体" w:cs="宋体" w:eastAsia="宋体" w:hint="default"/>
                <w:sz w:val="18"/>
                <w:szCs w:val="18"/>
              </w:rPr>
            </w:r>
          </w:p>
        </w:tc>
        <w:tc>
          <w:tcPr>
            <w:tcW w:w="159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8"/>
              <w:ind w:left="429" w:right="0"/>
              <w:jc w:val="left"/>
              <w:rPr>
                <w:rFonts w:ascii="宋体" w:hAnsi="宋体" w:cs="宋体" w:eastAsia="宋体" w:hint="default"/>
                <w:sz w:val="18"/>
                <w:szCs w:val="18"/>
              </w:rPr>
            </w:pPr>
            <w:r>
              <w:rPr>
                <w:rFonts w:ascii="宋体" w:hAnsi="宋体" w:cs="宋体" w:eastAsia="宋体" w:hint="default"/>
                <w:b/>
                <w:bCs/>
                <w:sz w:val="18"/>
                <w:szCs w:val="18"/>
              </w:rPr>
              <w:t>坏账准备</w:t>
            </w:r>
            <w:r>
              <w:rPr>
                <w:rFonts w:ascii="宋体" w:hAnsi="宋体" w:cs="宋体" w:eastAsia="宋体" w:hint="default"/>
                <w:sz w:val="18"/>
                <w:szCs w:val="18"/>
              </w:rPr>
            </w:r>
          </w:p>
        </w:tc>
      </w:tr>
      <w:tr>
        <w:trPr>
          <w:trHeight w:val="395" w:hRule="exact"/>
        </w:trPr>
        <w:tc>
          <w:tcPr>
            <w:tcW w:w="3370" w:type="dxa"/>
            <w:tcBorders>
              <w:top w:val="single" w:sz="4" w:space="0" w:color="000000"/>
              <w:left w:val="nil" w:sz="6" w:space="0" w:color="auto"/>
              <w:bottom w:val="nil" w:sz="6" w:space="0" w:color="auto"/>
              <w:right w:val="single" w:sz="4" w:space="0" w:color="000000"/>
            </w:tcBorders>
          </w:tcPr>
          <w:p>
            <w:pPr>
              <w:pStyle w:val="TableParagraph"/>
              <w:spacing w:line="240" w:lineRule="auto" w:before="47"/>
              <w:ind w:left="122" w:right="0"/>
              <w:jc w:val="left"/>
              <w:rPr>
                <w:rFonts w:ascii="宋体" w:hAnsi="宋体" w:cs="宋体" w:eastAsia="宋体" w:hint="default"/>
                <w:sz w:val="18"/>
                <w:szCs w:val="18"/>
              </w:rPr>
            </w:pPr>
            <w:r>
              <w:rPr>
                <w:rFonts w:ascii="宋体" w:hAnsi="宋体" w:cs="宋体" w:eastAsia="宋体" w:hint="default"/>
                <w:sz w:val="18"/>
                <w:szCs w:val="18"/>
              </w:rPr>
              <w:t>阜阳市环境保护监测站</w:t>
            </w:r>
          </w:p>
        </w:tc>
        <w:tc>
          <w:tcPr>
            <w:tcW w:w="175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8"/>
              <w:ind w:right="101"/>
              <w:jc w:val="right"/>
              <w:rPr>
                <w:rFonts w:ascii="Arial Narrow" w:hAnsi="Arial Narrow" w:cs="Arial Narrow" w:eastAsia="Arial Narrow" w:hint="default"/>
                <w:sz w:val="18"/>
                <w:szCs w:val="18"/>
              </w:rPr>
            </w:pPr>
            <w:r>
              <w:rPr>
                <w:rFonts w:ascii="Arial Narrow"/>
                <w:spacing w:val="-1"/>
                <w:sz w:val="18"/>
              </w:rPr>
              <w:t>16,075,000.00</w:t>
            </w:r>
          </w:p>
        </w:tc>
        <w:tc>
          <w:tcPr>
            <w:tcW w:w="315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8"/>
              <w:ind w:right="100"/>
              <w:jc w:val="right"/>
              <w:rPr>
                <w:rFonts w:ascii="Arial Narrow" w:hAnsi="Arial Narrow" w:cs="Arial Narrow" w:eastAsia="Arial Narrow" w:hint="default"/>
                <w:sz w:val="18"/>
                <w:szCs w:val="18"/>
              </w:rPr>
            </w:pPr>
            <w:r>
              <w:rPr>
                <w:rFonts w:ascii="Arial Narrow"/>
                <w:spacing w:val="-1"/>
                <w:sz w:val="18"/>
              </w:rPr>
              <w:t>3.93</w:t>
            </w:r>
          </w:p>
        </w:tc>
        <w:tc>
          <w:tcPr>
            <w:tcW w:w="1592" w:type="dxa"/>
            <w:tcBorders>
              <w:top w:val="single" w:sz="4" w:space="0" w:color="000000"/>
              <w:left w:val="single" w:sz="4" w:space="0" w:color="000000"/>
              <w:bottom w:val="nil" w:sz="6" w:space="0" w:color="auto"/>
              <w:right w:val="nil" w:sz="6" w:space="0" w:color="auto"/>
            </w:tcBorders>
          </w:tcPr>
          <w:p>
            <w:pPr>
              <w:pStyle w:val="TableParagraph"/>
              <w:spacing w:line="240" w:lineRule="auto" w:before="88"/>
              <w:ind w:right="105"/>
              <w:jc w:val="right"/>
              <w:rPr>
                <w:rFonts w:ascii="Arial Narrow" w:hAnsi="Arial Narrow" w:cs="Arial Narrow" w:eastAsia="Arial Narrow" w:hint="default"/>
                <w:sz w:val="18"/>
                <w:szCs w:val="18"/>
              </w:rPr>
            </w:pPr>
            <w:r>
              <w:rPr>
                <w:rFonts w:ascii="Arial Narrow"/>
                <w:spacing w:val="-1"/>
                <w:sz w:val="18"/>
              </w:rPr>
              <w:t>803,750.00</w:t>
            </w:r>
          </w:p>
        </w:tc>
      </w:tr>
      <w:tr>
        <w:trPr>
          <w:trHeight w:val="386" w:hRule="exact"/>
        </w:trPr>
        <w:tc>
          <w:tcPr>
            <w:tcW w:w="3370" w:type="dxa"/>
            <w:tcBorders>
              <w:top w:val="nil" w:sz="6" w:space="0" w:color="auto"/>
              <w:left w:val="nil" w:sz="6" w:space="0" w:color="auto"/>
              <w:bottom w:val="nil" w:sz="6" w:space="0" w:color="auto"/>
              <w:right w:val="single" w:sz="4" w:space="0" w:color="000000"/>
            </w:tcBorders>
          </w:tcPr>
          <w:p>
            <w:pPr>
              <w:pStyle w:val="TableParagraph"/>
              <w:spacing w:line="240" w:lineRule="auto" w:before="44"/>
              <w:ind w:left="122" w:right="0"/>
              <w:jc w:val="left"/>
              <w:rPr>
                <w:rFonts w:ascii="宋体" w:hAnsi="宋体" w:cs="宋体" w:eastAsia="宋体" w:hint="default"/>
                <w:sz w:val="18"/>
                <w:szCs w:val="18"/>
              </w:rPr>
            </w:pPr>
            <w:r>
              <w:rPr>
                <w:rFonts w:ascii="宋体" w:hAnsi="宋体" w:cs="宋体" w:eastAsia="宋体" w:hint="default"/>
                <w:sz w:val="18"/>
                <w:szCs w:val="18"/>
              </w:rPr>
              <w:t>石家庄市环境保护局</w:t>
            </w:r>
          </w:p>
        </w:tc>
        <w:tc>
          <w:tcPr>
            <w:tcW w:w="1752" w:type="dxa"/>
            <w:tcBorders>
              <w:top w:val="nil" w:sz="6" w:space="0" w:color="auto"/>
              <w:left w:val="single" w:sz="4" w:space="0" w:color="000000"/>
              <w:bottom w:val="nil" w:sz="6" w:space="0" w:color="auto"/>
              <w:right w:val="single" w:sz="4" w:space="0" w:color="000000"/>
            </w:tcBorders>
          </w:tcPr>
          <w:p>
            <w:pPr>
              <w:pStyle w:val="TableParagraph"/>
              <w:spacing w:line="240" w:lineRule="auto" w:before="84"/>
              <w:ind w:right="101"/>
              <w:jc w:val="right"/>
              <w:rPr>
                <w:rFonts w:ascii="Arial Narrow" w:hAnsi="Arial Narrow" w:cs="Arial Narrow" w:eastAsia="Arial Narrow" w:hint="default"/>
                <w:sz w:val="18"/>
                <w:szCs w:val="18"/>
              </w:rPr>
            </w:pPr>
            <w:r>
              <w:rPr>
                <w:rFonts w:ascii="Arial Narrow"/>
                <w:spacing w:val="-1"/>
                <w:sz w:val="18"/>
              </w:rPr>
              <w:t>15,415,800.00</w:t>
            </w:r>
          </w:p>
        </w:tc>
        <w:tc>
          <w:tcPr>
            <w:tcW w:w="3155" w:type="dxa"/>
            <w:tcBorders>
              <w:top w:val="nil" w:sz="6" w:space="0" w:color="auto"/>
              <w:left w:val="single" w:sz="4" w:space="0" w:color="000000"/>
              <w:bottom w:val="nil" w:sz="6" w:space="0" w:color="auto"/>
              <w:right w:val="single" w:sz="4" w:space="0" w:color="000000"/>
            </w:tcBorders>
          </w:tcPr>
          <w:p>
            <w:pPr>
              <w:pStyle w:val="TableParagraph"/>
              <w:spacing w:line="240" w:lineRule="auto" w:before="84"/>
              <w:ind w:right="100"/>
              <w:jc w:val="right"/>
              <w:rPr>
                <w:rFonts w:ascii="Arial Narrow" w:hAnsi="Arial Narrow" w:cs="Arial Narrow" w:eastAsia="Arial Narrow" w:hint="default"/>
                <w:sz w:val="18"/>
                <w:szCs w:val="18"/>
              </w:rPr>
            </w:pPr>
            <w:r>
              <w:rPr>
                <w:rFonts w:ascii="Arial Narrow"/>
                <w:spacing w:val="-1"/>
                <w:sz w:val="18"/>
              </w:rPr>
              <w:t>3.77</w:t>
            </w:r>
          </w:p>
        </w:tc>
        <w:tc>
          <w:tcPr>
            <w:tcW w:w="1592" w:type="dxa"/>
            <w:tcBorders>
              <w:top w:val="nil" w:sz="6" w:space="0" w:color="auto"/>
              <w:left w:val="single" w:sz="4" w:space="0" w:color="000000"/>
              <w:bottom w:val="nil" w:sz="6" w:space="0" w:color="auto"/>
              <w:right w:val="nil" w:sz="6" w:space="0" w:color="auto"/>
            </w:tcBorders>
          </w:tcPr>
          <w:p>
            <w:pPr>
              <w:pStyle w:val="TableParagraph"/>
              <w:spacing w:line="240" w:lineRule="auto" w:before="84"/>
              <w:ind w:right="105"/>
              <w:jc w:val="right"/>
              <w:rPr>
                <w:rFonts w:ascii="Arial Narrow" w:hAnsi="Arial Narrow" w:cs="Arial Narrow" w:eastAsia="Arial Narrow" w:hint="default"/>
                <w:sz w:val="18"/>
                <w:szCs w:val="18"/>
              </w:rPr>
            </w:pPr>
            <w:r>
              <w:rPr>
                <w:rFonts w:ascii="Arial Narrow"/>
                <w:spacing w:val="-1"/>
                <w:sz w:val="18"/>
              </w:rPr>
              <w:t>770,790.00</w:t>
            </w:r>
          </w:p>
        </w:tc>
      </w:tr>
      <w:tr>
        <w:trPr>
          <w:trHeight w:val="386" w:hRule="exact"/>
        </w:trPr>
        <w:tc>
          <w:tcPr>
            <w:tcW w:w="3370" w:type="dxa"/>
            <w:tcBorders>
              <w:top w:val="nil" w:sz="6" w:space="0" w:color="auto"/>
              <w:left w:val="nil" w:sz="6" w:space="0" w:color="auto"/>
              <w:bottom w:val="nil" w:sz="6" w:space="0" w:color="auto"/>
              <w:right w:val="single" w:sz="4" w:space="0" w:color="000000"/>
            </w:tcBorders>
          </w:tcPr>
          <w:p>
            <w:pPr>
              <w:pStyle w:val="TableParagraph"/>
              <w:spacing w:line="240" w:lineRule="auto" w:before="43"/>
              <w:ind w:left="122" w:right="0"/>
              <w:jc w:val="left"/>
              <w:rPr>
                <w:rFonts w:ascii="宋体" w:hAnsi="宋体" w:cs="宋体" w:eastAsia="宋体" w:hint="default"/>
                <w:sz w:val="18"/>
                <w:szCs w:val="18"/>
              </w:rPr>
            </w:pPr>
            <w:r>
              <w:rPr>
                <w:rFonts w:ascii="宋体" w:hAnsi="宋体" w:cs="宋体" w:eastAsia="宋体" w:hint="default"/>
                <w:sz w:val="18"/>
                <w:szCs w:val="18"/>
              </w:rPr>
              <w:t>廊坊经济技术开发区环境保护局</w:t>
            </w:r>
          </w:p>
        </w:tc>
        <w:tc>
          <w:tcPr>
            <w:tcW w:w="1752" w:type="dxa"/>
            <w:tcBorders>
              <w:top w:val="nil" w:sz="6" w:space="0" w:color="auto"/>
              <w:left w:val="single" w:sz="4" w:space="0" w:color="000000"/>
              <w:bottom w:val="nil" w:sz="6" w:space="0" w:color="auto"/>
              <w:right w:val="single" w:sz="4" w:space="0" w:color="000000"/>
            </w:tcBorders>
          </w:tcPr>
          <w:p>
            <w:pPr>
              <w:pStyle w:val="TableParagraph"/>
              <w:spacing w:line="240" w:lineRule="auto" w:before="84"/>
              <w:ind w:right="101"/>
              <w:jc w:val="right"/>
              <w:rPr>
                <w:rFonts w:ascii="Arial Narrow" w:hAnsi="Arial Narrow" w:cs="Arial Narrow" w:eastAsia="Arial Narrow" w:hint="default"/>
                <w:sz w:val="18"/>
                <w:szCs w:val="18"/>
              </w:rPr>
            </w:pPr>
            <w:r>
              <w:rPr>
                <w:rFonts w:ascii="Arial Narrow"/>
                <w:spacing w:val="-1"/>
                <w:sz w:val="18"/>
              </w:rPr>
              <w:t>10,855,200.00</w:t>
            </w:r>
          </w:p>
        </w:tc>
        <w:tc>
          <w:tcPr>
            <w:tcW w:w="3155" w:type="dxa"/>
            <w:tcBorders>
              <w:top w:val="nil" w:sz="6" w:space="0" w:color="auto"/>
              <w:left w:val="single" w:sz="4" w:space="0" w:color="000000"/>
              <w:bottom w:val="nil" w:sz="6" w:space="0" w:color="auto"/>
              <w:right w:val="single" w:sz="4" w:space="0" w:color="000000"/>
            </w:tcBorders>
          </w:tcPr>
          <w:p>
            <w:pPr>
              <w:pStyle w:val="TableParagraph"/>
              <w:spacing w:line="240" w:lineRule="auto" w:before="84"/>
              <w:ind w:right="100"/>
              <w:jc w:val="right"/>
              <w:rPr>
                <w:rFonts w:ascii="Arial Narrow" w:hAnsi="Arial Narrow" w:cs="Arial Narrow" w:eastAsia="Arial Narrow" w:hint="default"/>
                <w:sz w:val="18"/>
                <w:szCs w:val="18"/>
              </w:rPr>
            </w:pPr>
            <w:r>
              <w:rPr>
                <w:rFonts w:ascii="Arial Narrow"/>
                <w:spacing w:val="-1"/>
                <w:sz w:val="18"/>
              </w:rPr>
              <w:t>2.66</w:t>
            </w:r>
          </w:p>
        </w:tc>
        <w:tc>
          <w:tcPr>
            <w:tcW w:w="1592" w:type="dxa"/>
            <w:tcBorders>
              <w:top w:val="nil" w:sz="6" w:space="0" w:color="auto"/>
              <w:left w:val="single" w:sz="4" w:space="0" w:color="000000"/>
              <w:bottom w:val="nil" w:sz="6" w:space="0" w:color="auto"/>
              <w:right w:val="nil" w:sz="6" w:space="0" w:color="auto"/>
            </w:tcBorders>
          </w:tcPr>
          <w:p>
            <w:pPr>
              <w:pStyle w:val="TableParagraph"/>
              <w:spacing w:line="240" w:lineRule="auto" w:before="84"/>
              <w:ind w:right="105"/>
              <w:jc w:val="right"/>
              <w:rPr>
                <w:rFonts w:ascii="Arial Narrow" w:hAnsi="Arial Narrow" w:cs="Arial Narrow" w:eastAsia="Arial Narrow" w:hint="default"/>
                <w:sz w:val="18"/>
                <w:szCs w:val="18"/>
              </w:rPr>
            </w:pPr>
            <w:r>
              <w:rPr>
                <w:rFonts w:ascii="Arial Narrow"/>
                <w:spacing w:val="-1"/>
                <w:sz w:val="18"/>
              </w:rPr>
              <w:t>542,760.00</w:t>
            </w:r>
          </w:p>
        </w:tc>
      </w:tr>
      <w:tr>
        <w:trPr>
          <w:trHeight w:val="386" w:hRule="exact"/>
        </w:trPr>
        <w:tc>
          <w:tcPr>
            <w:tcW w:w="3370" w:type="dxa"/>
            <w:tcBorders>
              <w:top w:val="nil" w:sz="6" w:space="0" w:color="auto"/>
              <w:left w:val="nil" w:sz="6" w:space="0" w:color="auto"/>
              <w:bottom w:val="nil" w:sz="6" w:space="0" w:color="auto"/>
              <w:right w:val="single" w:sz="4" w:space="0" w:color="000000"/>
            </w:tcBorders>
          </w:tcPr>
          <w:p>
            <w:pPr>
              <w:pStyle w:val="TableParagraph"/>
              <w:spacing w:line="240" w:lineRule="auto" w:before="44"/>
              <w:ind w:left="122" w:right="0"/>
              <w:jc w:val="left"/>
              <w:rPr>
                <w:rFonts w:ascii="宋体" w:hAnsi="宋体" w:cs="宋体" w:eastAsia="宋体" w:hint="default"/>
                <w:sz w:val="18"/>
                <w:szCs w:val="18"/>
              </w:rPr>
            </w:pPr>
            <w:r>
              <w:rPr>
                <w:rFonts w:ascii="宋体" w:hAnsi="宋体" w:cs="宋体" w:eastAsia="宋体" w:hint="default"/>
                <w:sz w:val="18"/>
                <w:szCs w:val="18"/>
              </w:rPr>
              <w:t>唐山市环境保护局</w:t>
            </w:r>
          </w:p>
        </w:tc>
        <w:tc>
          <w:tcPr>
            <w:tcW w:w="1752" w:type="dxa"/>
            <w:tcBorders>
              <w:top w:val="nil" w:sz="6" w:space="0" w:color="auto"/>
              <w:left w:val="single" w:sz="4" w:space="0" w:color="000000"/>
              <w:bottom w:val="nil" w:sz="6" w:space="0" w:color="auto"/>
              <w:right w:val="single" w:sz="4" w:space="0" w:color="000000"/>
            </w:tcBorders>
          </w:tcPr>
          <w:p>
            <w:pPr>
              <w:pStyle w:val="TableParagraph"/>
              <w:spacing w:line="240" w:lineRule="auto" w:before="84"/>
              <w:ind w:right="100"/>
              <w:jc w:val="right"/>
              <w:rPr>
                <w:rFonts w:ascii="Arial Narrow" w:hAnsi="Arial Narrow" w:cs="Arial Narrow" w:eastAsia="Arial Narrow" w:hint="default"/>
                <w:sz w:val="18"/>
                <w:szCs w:val="18"/>
              </w:rPr>
            </w:pPr>
            <w:r>
              <w:rPr>
                <w:rFonts w:ascii="Arial Narrow"/>
                <w:spacing w:val="-1"/>
                <w:sz w:val="18"/>
              </w:rPr>
              <w:t>9,868,676.24</w:t>
            </w:r>
          </w:p>
        </w:tc>
        <w:tc>
          <w:tcPr>
            <w:tcW w:w="3155" w:type="dxa"/>
            <w:tcBorders>
              <w:top w:val="nil" w:sz="6" w:space="0" w:color="auto"/>
              <w:left w:val="single" w:sz="4" w:space="0" w:color="000000"/>
              <w:bottom w:val="nil" w:sz="6" w:space="0" w:color="auto"/>
              <w:right w:val="single" w:sz="4" w:space="0" w:color="000000"/>
            </w:tcBorders>
          </w:tcPr>
          <w:p>
            <w:pPr>
              <w:pStyle w:val="TableParagraph"/>
              <w:spacing w:line="240" w:lineRule="auto" w:before="84"/>
              <w:ind w:right="100"/>
              <w:jc w:val="right"/>
              <w:rPr>
                <w:rFonts w:ascii="Arial Narrow" w:hAnsi="Arial Narrow" w:cs="Arial Narrow" w:eastAsia="Arial Narrow" w:hint="default"/>
                <w:sz w:val="18"/>
                <w:szCs w:val="18"/>
              </w:rPr>
            </w:pPr>
            <w:r>
              <w:rPr>
                <w:rFonts w:ascii="Arial Narrow"/>
                <w:spacing w:val="-1"/>
                <w:sz w:val="18"/>
              </w:rPr>
              <w:t>2.41</w:t>
            </w:r>
          </w:p>
        </w:tc>
        <w:tc>
          <w:tcPr>
            <w:tcW w:w="1592" w:type="dxa"/>
            <w:tcBorders>
              <w:top w:val="nil" w:sz="6" w:space="0" w:color="auto"/>
              <w:left w:val="single" w:sz="4" w:space="0" w:color="000000"/>
              <w:bottom w:val="nil" w:sz="6" w:space="0" w:color="auto"/>
              <w:right w:val="nil" w:sz="6" w:space="0" w:color="auto"/>
            </w:tcBorders>
          </w:tcPr>
          <w:p>
            <w:pPr>
              <w:pStyle w:val="TableParagraph"/>
              <w:spacing w:line="240" w:lineRule="auto" w:before="84"/>
              <w:ind w:right="105"/>
              <w:jc w:val="right"/>
              <w:rPr>
                <w:rFonts w:ascii="Arial Narrow" w:hAnsi="Arial Narrow" w:cs="Arial Narrow" w:eastAsia="Arial Narrow" w:hint="default"/>
                <w:sz w:val="18"/>
                <w:szCs w:val="18"/>
              </w:rPr>
            </w:pPr>
            <w:r>
              <w:rPr>
                <w:rFonts w:ascii="Arial Narrow"/>
                <w:spacing w:val="-1"/>
                <w:sz w:val="18"/>
              </w:rPr>
              <w:t>493,433.81</w:t>
            </w:r>
          </w:p>
        </w:tc>
      </w:tr>
      <w:tr>
        <w:trPr>
          <w:trHeight w:val="387" w:hRule="exact"/>
        </w:trPr>
        <w:tc>
          <w:tcPr>
            <w:tcW w:w="3370" w:type="dxa"/>
            <w:tcBorders>
              <w:top w:val="nil" w:sz="6" w:space="0" w:color="auto"/>
              <w:left w:val="nil" w:sz="6" w:space="0" w:color="auto"/>
              <w:bottom w:val="single" w:sz="4" w:space="0" w:color="000000"/>
              <w:right w:val="single" w:sz="4" w:space="0" w:color="000000"/>
            </w:tcBorders>
          </w:tcPr>
          <w:p>
            <w:pPr>
              <w:pStyle w:val="TableParagraph"/>
              <w:spacing w:line="240" w:lineRule="auto" w:before="44"/>
              <w:ind w:left="122" w:right="0"/>
              <w:jc w:val="left"/>
              <w:rPr>
                <w:rFonts w:ascii="宋体" w:hAnsi="宋体" w:cs="宋体" w:eastAsia="宋体" w:hint="default"/>
                <w:sz w:val="18"/>
                <w:szCs w:val="18"/>
              </w:rPr>
            </w:pPr>
            <w:r>
              <w:rPr>
                <w:rFonts w:ascii="宋体" w:hAnsi="宋体" w:cs="宋体" w:eastAsia="宋体" w:hint="default"/>
                <w:sz w:val="18"/>
                <w:szCs w:val="18"/>
              </w:rPr>
              <w:t>濮阳市环境监测站</w:t>
            </w:r>
          </w:p>
        </w:tc>
        <w:tc>
          <w:tcPr>
            <w:tcW w:w="175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84"/>
              <w:ind w:right="100"/>
              <w:jc w:val="right"/>
              <w:rPr>
                <w:rFonts w:ascii="Arial Narrow" w:hAnsi="Arial Narrow" w:cs="Arial Narrow" w:eastAsia="Arial Narrow" w:hint="default"/>
                <w:sz w:val="18"/>
                <w:szCs w:val="18"/>
              </w:rPr>
            </w:pPr>
            <w:r>
              <w:rPr>
                <w:rFonts w:ascii="Arial Narrow"/>
                <w:spacing w:val="-1"/>
                <w:sz w:val="18"/>
              </w:rPr>
              <w:t>7,940,000.00</w:t>
            </w:r>
          </w:p>
        </w:tc>
        <w:tc>
          <w:tcPr>
            <w:tcW w:w="315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84"/>
              <w:ind w:right="100"/>
              <w:jc w:val="right"/>
              <w:rPr>
                <w:rFonts w:ascii="Arial Narrow" w:hAnsi="Arial Narrow" w:cs="Arial Narrow" w:eastAsia="Arial Narrow" w:hint="default"/>
                <w:sz w:val="18"/>
                <w:szCs w:val="18"/>
              </w:rPr>
            </w:pPr>
            <w:r>
              <w:rPr>
                <w:rFonts w:ascii="Arial Narrow"/>
                <w:spacing w:val="-1"/>
                <w:sz w:val="18"/>
              </w:rPr>
              <w:t>1.94</w:t>
            </w:r>
          </w:p>
        </w:tc>
        <w:tc>
          <w:tcPr>
            <w:tcW w:w="1592" w:type="dxa"/>
            <w:tcBorders>
              <w:top w:val="nil" w:sz="6" w:space="0" w:color="auto"/>
              <w:left w:val="single" w:sz="4" w:space="0" w:color="000000"/>
              <w:bottom w:val="single" w:sz="4" w:space="0" w:color="000000"/>
              <w:right w:val="nil" w:sz="6" w:space="0" w:color="auto"/>
            </w:tcBorders>
          </w:tcPr>
          <w:p>
            <w:pPr>
              <w:pStyle w:val="TableParagraph"/>
              <w:spacing w:line="240" w:lineRule="auto" w:before="84"/>
              <w:ind w:right="105"/>
              <w:jc w:val="right"/>
              <w:rPr>
                <w:rFonts w:ascii="Arial Narrow" w:hAnsi="Arial Narrow" w:cs="Arial Narrow" w:eastAsia="Arial Narrow" w:hint="default"/>
                <w:sz w:val="18"/>
                <w:szCs w:val="18"/>
              </w:rPr>
            </w:pPr>
            <w:r>
              <w:rPr>
                <w:rFonts w:ascii="Arial Narrow"/>
                <w:spacing w:val="-1"/>
                <w:sz w:val="18"/>
              </w:rPr>
              <w:t>397,000.00</w:t>
            </w:r>
          </w:p>
        </w:tc>
      </w:tr>
      <w:tr>
        <w:trPr>
          <w:trHeight w:val="406" w:hRule="exact"/>
        </w:trPr>
        <w:tc>
          <w:tcPr>
            <w:tcW w:w="3370"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49"/>
              <w:ind w:left="19" w:right="0"/>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75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89"/>
              <w:ind w:right="101"/>
              <w:jc w:val="right"/>
              <w:rPr>
                <w:rFonts w:ascii="Arial Narrow" w:hAnsi="Arial Narrow" w:cs="Arial Narrow" w:eastAsia="Arial Narrow" w:hint="default"/>
                <w:sz w:val="18"/>
                <w:szCs w:val="18"/>
              </w:rPr>
            </w:pPr>
            <w:r>
              <w:rPr>
                <w:rFonts w:ascii="Arial Narrow"/>
                <w:b/>
                <w:spacing w:val="-1"/>
                <w:sz w:val="18"/>
              </w:rPr>
              <w:t>60,154,676.24</w:t>
            </w:r>
            <w:r>
              <w:rPr>
                <w:rFonts w:ascii="Arial Narrow"/>
                <w:spacing w:val="-1"/>
                <w:sz w:val="18"/>
              </w:rPr>
            </w:r>
          </w:p>
        </w:tc>
        <w:tc>
          <w:tcPr>
            <w:tcW w:w="315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89"/>
              <w:ind w:right="101"/>
              <w:jc w:val="right"/>
              <w:rPr>
                <w:rFonts w:ascii="Arial Narrow" w:hAnsi="Arial Narrow" w:cs="Arial Narrow" w:eastAsia="Arial Narrow" w:hint="default"/>
                <w:sz w:val="18"/>
                <w:szCs w:val="18"/>
              </w:rPr>
            </w:pPr>
            <w:r>
              <w:rPr>
                <w:rFonts w:ascii="Arial Narrow"/>
                <w:b/>
                <w:spacing w:val="-1"/>
                <w:sz w:val="18"/>
              </w:rPr>
              <w:t>14.71</w:t>
            </w:r>
            <w:r>
              <w:rPr>
                <w:rFonts w:ascii="Arial Narrow"/>
                <w:spacing w:val="-1"/>
                <w:sz w:val="18"/>
              </w:rPr>
            </w:r>
          </w:p>
        </w:tc>
        <w:tc>
          <w:tcPr>
            <w:tcW w:w="1592"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89"/>
              <w:ind w:right="106"/>
              <w:jc w:val="right"/>
              <w:rPr>
                <w:rFonts w:ascii="Arial Narrow" w:hAnsi="Arial Narrow" w:cs="Arial Narrow" w:eastAsia="Arial Narrow" w:hint="default"/>
                <w:sz w:val="18"/>
                <w:szCs w:val="18"/>
              </w:rPr>
            </w:pPr>
            <w:r>
              <w:rPr>
                <w:rFonts w:ascii="Arial Narrow"/>
                <w:b/>
                <w:spacing w:val="-1"/>
                <w:sz w:val="18"/>
              </w:rPr>
              <w:t>3,007,733.81</w:t>
            </w:r>
            <w:r>
              <w:rPr>
                <w:rFonts w:ascii="Arial Narrow"/>
                <w:spacing w:val="-1"/>
                <w:sz w:val="18"/>
              </w:rPr>
            </w:r>
          </w:p>
        </w:tc>
      </w:tr>
    </w:tbl>
    <w:p>
      <w:pPr>
        <w:spacing w:line="240" w:lineRule="auto" w:before="5"/>
        <w:rPr>
          <w:rFonts w:ascii="宋体" w:hAnsi="宋体" w:cs="宋体" w:eastAsia="宋体" w:hint="default"/>
          <w:sz w:val="20"/>
          <w:szCs w:val="20"/>
        </w:rPr>
      </w:pPr>
    </w:p>
    <w:p>
      <w:pPr>
        <w:pStyle w:val="Heading3"/>
        <w:spacing w:line="240" w:lineRule="auto" w:before="35"/>
        <w:ind w:left="1134" w:right="0"/>
        <w:jc w:val="left"/>
        <w:rPr>
          <w:b w:val="0"/>
          <w:bCs w:val="0"/>
        </w:rPr>
      </w:pPr>
      <w:bookmarkStart w:name="4、预付款项" w:id="233"/>
      <w:bookmarkEnd w:id="233"/>
      <w:r>
        <w:rPr>
          <w:b w:val="0"/>
          <w:bCs w:val="0"/>
        </w:rPr>
      </w:r>
      <w:r>
        <w:rPr>
          <w:rFonts w:ascii="Times New Roman" w:hAnsi="Times New Roman" w:cs="Times New Roman" w:eastAsia="Times New Roman" w:hint="default"/>
        </w:rPr>
        <w:t>4</w:t>
      </w:r>
      <w:r>
        <w:rPr/>
        <w:t>、预付款项</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1134" w:right="0"/>
        <w:jc w:val="left"/>
        <w:rPr>
          <w:b w:val="0"/>
          <w:bCs w:val="0"/>
        </w:rPr>
      </w:pPr>
      <w:bookmarkStart w:name="（1）预付款项按账龄列示" w:id="234"/>
      <w:bookmarkEnd w:id="234"/>
      <w:r>
        <w:rPr>
          <w:b w:val="0"/>
          <w:bCs w:val="0"/>
        </w:rPr>
      </w:r>
      <w:r>
        <w:rPr/>
        <w:t>（</w:t>
      </w:r>
      <w:r>
        <w:rPr>
          <w:rFonts w:ascii="Times New Roman" w:hAnsi="Times New Roman" w:cs="Times New Roman" w:eastAsia="Times New Roman" w:hint="default"/>
        </w:rPr>
        <w:t>1</w:t>
      </w:r>
      <w:r>
        <w:rPr/>
        <w:t>）预付款项按账龄列示</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1889"/>
        <w:gridCol w:w="1927"/>
        <w:gridCol w:w="1914"/>
        <w:gridCol w:w="1914"/>
        <w:gridCol w:w="1915"/>
      </w:tblGrid>
      <w:tr>
        <w:trPr>
          <w:trHeight w:val="206" w:hRule="exact"/>
        </w:trPr>
        <w:tc>
          <w:tcPr>
            <w:tcW w:w="1889" w:type="dxa"/>
            <w:tcBorders>
              <w:top w:val="single" w:sz="4" w:space="0" w:color="000000"/>
              <w:left w:val="single" w:sz="4" w:space="0" w:color="000000"/>
              <w:bottom w:val="nil" w:sz="6" w:space="0" w:color="auto"/>
              <w:right w:val="single" w:sz="4" w:space="0" w:color="000000"/>
            </w:tcBorders>
            <w:shd w:val="clear" w:color="auto" w:fill="D2D2D2"/>
          </w:tcPr>
          <w:p>
            <w:pPr/>
          </w:p>
        </w:tc>
        <w:tc>
          <w:tcPr>
            <w:tcW w:w="384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30"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1" w:hRule="exact"/>
        </w:trPr>
        <w:tc>
          <w:tcPr>
            <w:tcW w:w="188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3841" w:type="dxa"/>
            <w:gridSpan w:val="2"/>
            <w:vMerge/>
            <w:tcBorders>
              <w:left w:val="single" w:sz="4" w:space="0" w:color="000000"/>
              <w:bottom w:val="single" w:sz="4" w:space="0" w:color="000000"/>
              <w:right w:val="single" w:sz="4" w:space="0" w:color="000000"/>
            </w:tcBorders>
            <w:shd w:val="clear" w:color="auto" w:fill="D2D2D2"/>
          </w:tcPr>
          <w:p>
            <w:pPr/>
          </w:p>
        </w:tc>
        <w:tc>
          <w:tcPr>
            <w:tcW w:w="3830" w:type="dxa"/>
            <w:gridSpan w:val="2"/>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1889" w:type="dxa"/>
            <w:vMerge/>
            <w:tcBorders>
              <w:left w:val="single" w:sz="4" w:space="0" w:color="000000"/>
              <w:bottom w:val="nil" w:sz="6" w:space="0" w:color="auto"/>
              <w:right w:val="single" w:sz="4" w:space="0" w:color="000000"/>
            </w:tcBorders>
            <w:shd w:val="clear" w:color="auto" w:fill="D2D2D2"/>
          </w:tcPr>
          <w:p>
            <w:pPr/>
          </w:p>
        </w:tc>
        <w:tc>
          <w:tcPr>
            <w:tcW w:w="192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比例</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91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比例</w:t>
            </w:r>
          </w:p>
        </w:tc>
      </w:tr>
      <w:tr>
        <w:trPr>
          <w:trHeight w:val="206" w:hRule="exact"/>
        </w:trPr>
        <w:tc>
          <w:tcPr>
            <w:tcW w:w="1889" w:type="dxa"/>
            <w:tcBorders>
              <w:top w:val="nil" w:sz="6" w:space="0" w:color="auto"/>
              <w:left w:val="single" w:sz="4" w:space="0" w:color="000000"/>
              <w:bottom w:val="single" w:sz="4" w:space="0" w:color="000000"/>
              <w:right w:val="single" w:sz="4" w:space="0" w:color="000000"/>
            </w:tcBorders>
            <w:shd w:val="clear" w:color="auto" w:fill="D2D2D2"/>
          </w:tcPr>
          <w:p>
            <w:pPr/>
          </w:p>
        </w:tc>
        <w:tc>
          <w:tcPr>
            <w:tcW w:w="1927"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5"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2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85,703,908.73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78.94%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80,074,293.52</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81.29%</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2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13,151,116.45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2"/>
                <w:sz w:val="18"/>
              </w:rPr>
              <w:t>12.11%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8,326,900.80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8.45%</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2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4,851,065.59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4.47%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3,876,227.59</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3.94%</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92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4,865,478.17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4.48%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6,224,317.06</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6.32%</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7"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pacing w:val="-1"/>
                <w:sz w:val="18"/>
              </w:rPr>
              <w:t>108,571,568.94</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9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98,501,738.97</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left="1134" w:right="0"/>
        <w:jc w:val="left"/>
      </w:pPr>
      <w:r>
        <w:rPr/>
        <w:t>账龄超过</w:t>
      </w:r>
      <w:r>
        <w:rPr>
          <w:spacing w:val="-46"/>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年且金额重要的预付款项未及时结算原因的说明：</w:t>
      </w:r>
    </w:p>
    <w:p>
      <w:pPr>
        <w:spacing w:line="240" w:lineRule="auto" w:before="0"/>
        <w:rPr>
          <w:rFonts w:ascii="宋体" w:hAnsi="宋体" w:cs="宋体" w:eastAsia="宋体" w:hint="default"/>
          <w:sz w:val="7"/>
          <w:szCs w:val="7"/>
        </w:rPr>
      </w:pPr>
    </w:p>
    <w:tbl>
      <w:tblPr>
        <w:tblW w:w="0" w:type="auto"/>
        <w:jc w:val="left"/>
        <w:tblInd w:w="1119" w:type="dxa"/>
        <w:tblLayout w:type="fixed"/>
        <w:tblCellMar>
          <w:top w:w="0" w:type="dxa"/>
          <w:left w:w="0" w:type="dxa"/>
          <w:bottom w:w="0" w:type="dxa"/>
          <w:right w:w="0" w:type="dxa"/>
        </w:tblCellMar>
        <w:tblLook w:val="01E0"/>
      </w:tblPr>
      <w:tblGrid>
        <w:gridCol w:w="3417"/>
        <w:gridCol w:w="2694"/>
        <w:gridCol w:w="2268"/>
      </w:tblGrid>
      <w:tr>
        <w:trPr>
          <w:trHeight w:val="406" w:hRule="exact"/>
        </w:trPr>
        <w:tc>
          <w:tcPr>
            <w:tcW w:w="3417"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47"/>
              <w:ind w:left="20" w:right="0"/>
              <w:jc w:val="center"/>
              <w:rPr>
                <w:rFonts w:ascii="宋体" w:hAnsi="宋体" w:cs="宋体" w:eastAsia="宋体" w:hint="default"/>
                <w:sz w:val="18"/>
                <w:szCs w:val="18"/>
              </w:rPr>
            </w:pPr>
            <w:r>
              <w:rPr>
                <w:rFonts w:ascii="宋体" w:hAnsi="宋体" w:cs="宋体" w:eastAsia="宋体" w:hint="default"/>
                <w:b/>
                <w:bCs/>
                <w:sz w:val="18"/>
                <w:szCs w:val="18"/>
              </w:rPr>
              <w:t>名称</w:t>
            </w:r>
            <w:r>
              <w:rPr>
                <w:rFonts w:ascii="宋体" w:hAnsi="宋体" w:cs="宋体" w:eastAsia="宋体" w:hint="default"/>
                <w:sz w:val="18"/>
                <w:szCs w:val="18"/>
              </w:rPr>
            </w:r>
          </w:p>
        </w:tc>
        <w:tc>
          <w:tcPr>
            <w:tcW w:w="2694"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47"/>
              <w:ind w:right="1"/>
              <w:jc w:val="center"/>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c>
          <w:tcPr>
            <w:tcW w:w="2268"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47"/>
              <w:ind w:right="5"/>
              <w:jc w:val="center"/>
              <w:rPr>
                <w:rFonts w:ascii="宋体" w:hAnsi="宋体" w:cs="宋体" w:eastAsia="宋体" w:hint="default"/>
                <w:sz w:val="18"/>
                <w:szCs w:val="18"/>
              </w:rPr>
            </w:pPr>
            <w:r>
              <w:rPr>
                <w:rFonts w:ascii="宋体" w:hAnsi="宋体" w:cs="宋体" w:eastAsia="宋体" w:hint="default"/>
                <w:b/>
                <w:bCs/>
                <w:sz w:val="18"/>
                <w:szCs w:val="18"/>
              </w:rPr>
              <w:t>未及时结算原因</w:t>
            </w:r>
            <w:r>
              <w:rPr>
                <w:rFonts w:ascii="宋体" w:hAnsi="宋体" w:cs="宋体" w:eastAsia="宋体" w:hint="default"/>
                <w:sz w:val="18"/>
                <w:szCs w:val="18"/>
              </w:rPr>
            </w:r>
          </w:p>
        </w:tc>
      </w:tr>
      <w:tr>
        <w:trPr>
          <w:trHeight w:val="396" w:hRule="exact"/>
        </w:trPr>
        <w:tc>
          <w:tcPr>
            <w:tcW w:w="3417" w:type="dxa"/>
            <w:tcBorders>
              <w:top w:val="single" w:sz="4" w:space="0" w:color="000000"/>
              <w:left w:val="nil" w:sz="6" w:space="0" w:color="auto"/>
              <w:bottom w:val="nil" w:sz="6" w:space="0" w:color="auto"/>
              <w:right w:val="single" w:sz="4" w:space="0" w:color="000000"/>
            </w:tcBorders>
          </w:tcPr>
          <w:p>
            <w:pPr>
              <w:pStyle w:val="TableParagraph"/>
              <w:spacing w:line="240" w:lineRule="auto" w:before="47"/>
              <w:ind w:left="122" w:right="0"/>
              <w:jc w:val="left"/>
              <w:rPr>
                <w:rFonts w:ascii="宋体" w:hAnsi="宋体" w:cs="宋体" w:eastAsia="宋体" w:hint="default"/>
                <w:sz w:val="18"/>
                <w:szCs w:val="18"/>
              </w:rPr>
            </w:pPr>
            <w:r>
              <w:rPr>
                <w:rFonts w:ascii="宋体" w:hAnsi="宋体" w:cs="宋体" w:eastAsia="宋体" w:hint="default"/>
                <w:sz w:val="18"/>
                <w:szCs w:val="18"/>
              </w:rPr>
              <w:t>重庆中安环保工程开发有限公司</w:t>
            </w:r>
          </w:p>
        </w:tc>
        <w:tc>
          <w:tcPr>
            <w:tcW w:w="269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79"/>
              <w:ind w:right="101"/>
              <w:jc w:val="right"/>
              <w:rPr>
                <w:rFonts w:ascii="Arial Narrow" w:hAnsi="Arial Narrow" w:cs="Arial Narrow" w:eastAsia="Arial Narrow" w:hint="default"/>
                <w:sz w:val="20"/>
                <w:szCs w:val="20"/>
              </w:rPr>
            </w:pPr>
            <w:r>
              <w:rPr>
                <w:rFonts w:ascii="Arial Narrow"/>
                <w:spacing w:val="-1"/>
                <w:sz w:val="20"/>
              </w:rPr>
              <w:t>2,800,000.00</w:t>
            </w:r>
            <w:r>
              <w:rPr>
                <w:rFonts w:ascii="Arial Narrow"/>
                <w:sz w:val="20"/>
              </w:rPr>
            </w:r>
          </w:p>
        </w:tc>
        <w:tc>
          <w:tcPr>
            <w:tcW w:w="2268" w:type="dxa"/>
            <w:tcBorders>
              <w:top w:val="single" w:sz="4" w:space="0" w:color="000000"/>
              <w:left w:val="single" w:sz="4" w:space="0" w:color="000000"/>
              <w:bottom w:val="nil" w:sz="6" w:space="0" w:color="auto"/>
              <w:right w:val="nil" w:sz="6" w:space="0" w:color="auto"/>
            </w:tcBorders>
          </w:tcPr>
          <w:p>
            <w:pPr>
              <w:pStyle w:val="TableParagraph"/>
              <w:spacing w:line="240" w:lineRule="auto" w:before="31"/>
              <w:ind w:right="3"/>
              <w:jc w:val="center"/>
              <w:rPr>
                <w:rFonts w:ascii="宋体" w:hAnsi="宋体" w:cs="宋体" w:eastAsia="宋体" w:hint="default"/>
                <w:sz w:val="20"/>
                <w:szCs w:val="20"/>
              </w:rPr>
            </w:pPr>
            <w:r>
              <w:rPr>
                <w:rFonts w:ascii="宋体" w:hAnsi="宋体" w:cs="宋体" w:eastAsia="宋体" w:hint="default"/>
                <w:sz w:val="20"/>
                <w:szCs w:val="20"/>
              </w:rPr>
              <w:t>项目延期</w:t>
            </w:r>
          </w:p>
        </w:tc>
      </w:tr>
      <w:tr>
        <w:trPr>
          <w:trHeight w:val="386" w:hRule="exact"/>
        </w:trPr>
        <w:tc>
          <w:tcPr>
            <w:tcW w:w="3417" w:type="dxa"/>
            <w:tcBorders>
              <w:top w:val="nil" w:sz="6" w:space="0" w:color="auto"/>
              <w:left w:val="nil" w:sz="6" w:space="0" w:color="auto"/>
              <w:bottom w:val="nil" w:sz="6" w:space="0" w:color="auto"/>
              <w:right w:val="single" w:sz="4" w:space="0" w:color="000000"/>
            </w:tcBorders>
          </w:tcPr>
          <w:p>
            <w:pPr>
              <w:pStyle w:val="TableParagraph"/>
              <w:spacing w:line="240" w:lineRule="auto" w:before="42"/>
              <w:ind w:left="122" w:right="0"/>
              <w:jc w:val="left"/>
              <w:rPr>
                <w:rFonts w:ascii="宋体" w:hAnsi="宋体" w:cs="宋体" w:eastAsia="宋体" w:hint="default"/>
                <w:sz w:val="18"/>
                <w:szCs w:val="18"/>
              </w:rPr>
            </w:pPr>
            <w:r>
              <w:rPr>
                <w:rFonts w:ascii="宋体" w:hAnsi="宋体" w:cs="宋体" w:eastAsia="宋体" w:hint="default"/>
                <w:sz w:val="18"/>
                <w:szCs w:val="18"/>
              </w:rPr>
              <w:t>石家庄天时机械有限公司</w:t>
            </w:r>
          </w:p>
        </w:tc>
        <w:tc>
          <w:tcPr>
            <w:tcW w:w="2694" w:type="dxa"/>
            <w:tcBorders>
              <w:top w:val="nil" w:sz="6" w:space="0" w:color="auto"/>
              <w:left w:val="single" w:sz="4" w:space="0" w:color="000000"/>
              <w:bottom w:val="nil" w:sz="6" w:space="0" w:color="auto"/>
              <w:right w:val="single" w:sz="4" w:space="0" w:color="000000"/>
            </w:tcBorders>
          </w:tcPr>
          <w:p>
            <w:pPr>
              <w:pStyle w:val="TableParagraph"/>
              <w:spacing w:line="240" w:lineRule="auto" w:before="73"/>
              <w:ind w:right="101"/>
              <w:jc w:val="right"/>
              <w:rPr>
                <w:rFonts w:ascii="Arial Narrow" w:hAnsi="Arial Narrow" w:cs="Arial Narrow" w:eastAsia="Arial Narrow" w:hint="default"/>
                <w:sz w:val="20"/>
                <w:szCs w:val="20"/>
              </w:rPr>
            </w:pPr>
            <w:r>
              <w:rPr>
                <w:rFonts w:ascii="Arial Narrow"/>
                <w:spacing w:val="-1"/>
                <w:sz w:val="20"/>
              </w:rPr>
              <w:t>1,734,821.42</w:t>
            </w:r>
            <w:r>
              <w:rPr>
                <w:rFonts w:ascii="Arial Narrow"/>
                <w:sz w:val="20"/>
              </w:rPr>
            </w:r>
          </w:p>
        </w:tc>
        <w:tc>
          <w:tcPr>
            <w:tcW w:w="2268" w:type="dxa"/>
            <w:tcBorders>
              <w:top w:val="nil" w:sz="6" w:space="0" w:color="auto"/>
              <w:left w:val="single" w:sz="4" w:space="0" w:color="000000"/>
              <w:bottom w:val="nil" w:sz="6" w:space="0" w:color="auto"/>
              <w:right w:val="nil" w:sz="6" w:space="0" w:color="auto"/>
            </w:tcBorders>
          </w:tcPr>
          <w:p>
            <w:pPr>
              <w:pStyle w:val="TableParagraph"/>
              <w:spacing w:line="240" w:lineRule="auto" w:before="26"/>
              <w:ind w:right="2"/>
              <w:jc w:val="center"/>
              <w:rPr>
                <w:rFonts w:ascii="宋体" w:hAnsi="宋体" w:cs="宋体" w:eastAsia="宋体" w:hint="default"/>
                <w:sz w:val="20"/>
                <w:szCs w:val="20"/>
              </w:rPr>
            </w:pPr>
            <w:r>
              <w:rPr>
                <w:rFonts w:ascii="宋体" w:hAnsi="宋体" w:cs="宋体" w:eastAsia="宋体" w:hint="default"/>
                <w:sz w:val="20"/>
                <w:szCs w:val="20"/>
              </w:rPr>
              <w:t>结算票据未到</w:t>
            </w:r>
          </w:p>
        </w:tc>
      </w:tr>
      <w:tr>
        <w:trPr>
          <w:trHeight w:val="387" w:hRule="exact"/>
        </w:trPr>
        <w:tc>
          <w:tcPr>
            <w:tcW w:w="3417" w:type="dxa"/>
            <w:tcBorders>
              <w:top w:val="nil" w:sz="6" w:space="0" w:color="auto"/>
              <w:left w:val="nil" w:sz="6" w:space="0" w:color="auto"/>
              <w:bottom w:val="nil" w:sz="6" w:space="0" w:color="auto"/>
              <w:right w:val="single" w:sz="4" w:space="0" w:color="000000"/>
            </w:tcBorders>
          </w:tcPr>
          <w:p>
            <w:pPr>
              <w:pStyle w:val="TableParagraph"/>
              <w:spacing w:line="240" w:lineRule="auto" w:before="42"/>
              <w:ind w:left="122" w:right="0"/>
              <w:jc w:val="left"/>
              <w:rPr>
                <w:rFonts w:ascii="宋体" w:hAnsi="宋体" w:cs="宋体" w:eastAsia="宋体" w:hint="default"/>
                <w:sz w:val="18"/>
                <w:szCs w:val="18"/>
              </w:rPr>
            </w:pPr>
            <w:r>
              <w:rPr>
                <w:rFonts w:ascii="宋体" w:hAnsi="宋体" w:cs="宋体" w:eastAsia="宋体" w:hint="default"/>
                <w:sz w:val="18"/>
                <w:szCs w:val="18"/>
              </w:rPr>
              <w:t>北京华清深空环保技术有限公司</w:t>
            </w:r>
          </w:p>
        </w:tc>
        <w:tc>
          <w:tcPr>
            <w:tcW w:w="2694" w:type="dxa"/>
            <w:tcBorders>
              <w:top w:val="nil" w:sz="6" w:space="0" w:color="auto"/>
              <w:left w:val="single" w:sz="4" w:space="0" w:color="000000"/>
              <w:bottom w:val="nil" w:sz="6" w:space="0" w:color="auto"/>
              <w:right w:val="single" w:sz="4" w:space="0" w:color="000000"/>
            </w:tcBorders>
          </w:tcPr>
          <w:p>
            <w:pPr>
              <w:pStyle w:val="TableParagraph"/>
              <w:spacing w:line="240" w:lineRule="auto" w:before="74"/>
              <w:ind w:right="101"/>
              <w:jc w:val="right"/>
              <w:rPr>
                <w:rFonts w:ascii="Arial Narrow" w:hAnsi="Arial Narrow" w:cs="Arial Narrow" w:eastAsia="Arial Narrow" w:hint="default"/>
                <w:sz w:val="20"/>
                <w:szCs w:val="20"/>
              </w:rPr>
            </w:pPr>
            <w:r>
              <w:rPr>
                <w:rFonts w:ascii="Arial Narrow"/>
                <w:spacing w:val="-1"/>
                <w:sz w:val="20"/>
              </w:rPr>
              <w:t>1,200,000.00</w:t>
            </w:r>
            <w:r>
              <w:rPr>
                <w:rFonts w:ascii="Arial Narrow"/>
                <w:sz w:val="20"/>
              </w:rPr>
            </w:r>
          </w:p>
        </w:tc>
        <w:tc>
          <w:tcPr>
            <w:tcW w:w="2268" w:type="dxa"/>
            <w:tcBorders>
              <w:top w:val="nil" w:sz="6" w:space="0" w:color="auto"/>
              <w:left w:val="single" w:sz="4" w:space="0" w:color="000000"/>
              <w:bottom w:val="nil" w:sz="6" w:space="0" w:color="auto"/>
              <w:right w:val="nil" w:sz="6" w:space="0" w:color="auto"/>
            </w:tcBorders>
          </w:tcPr>
          <w:p>
            <w:pPr>
              <w:pStyle w:val="TableParagraph"/>
              <w:spacing w:line="240" w:lineRule="auto" w:before="26"/>
              <w:ind w:right="3"/>
              <w:jc w:val="center"/>
              <w:rPr>
                <w:rFonts w:ascii="宋体" w:hAnsi="宋体" w:cs="宋体" w:eastAsia="宋体" w:hint="default"/>
                <w:sz w:val="20"/>
                <w:szCs w:val="20"/>
              </w:rPr>
            </w:pPr>
            <w:r>
              <w:rPr>
                <w:rFonts w:ascii="宋体" w:hAnsi="宋体" w:cs="宋体" w:eastAsia="宋体" w:hint="default"/>
                <w:sz w:val="20"/>
                <w:szCs w:val="20"/>
              </w:rPr>
              <w:t>项目延期</w:t>
            </w:r>
          </w:p>
        </w:tc>
      </w:tr>
      <w:tr>
        <w:trPr>
          <w:trHeight w:val="386" w:hRule="exact"/>
        </w:trPr>
        <w:tc>
          <w:tcPr>
            <w:tcW w:w="3417" w:type="dxa"/>
            <w:tcBorders>
              <w:top w:val="nil" w:sz="6" w:space="0" w:color="auto"/>
              <w:left w:val="nil" w:sz="6" w:space="0" w:color="auto"/>
              <w:bottom w:val="nil" w:sz="6" w:space="0" w:color="auto"/>
              <w:right w:val="single" w:sz="4" w:space="0" w:color="000000"/>
            </w:tcBorders>
          </w:tcPr>
          <w:p>
            <w:pPr>
              <w:pStyle w:val="TableParagraph"/>
              <w:spacing w:line="240" w:lineRule="auto" w:before="43"/>
              <w:ind w:left="122" w:right="0"/>
              <w:jc w:val="left"/>
              <w:rPr>
                <w:rFonts w:ascii="宋体" w:hAnsi="宋体" w:cs="宋体" w:eastAsia="宋体" w:hint="default"/>
                <w:sz w:val="18"/>
                <w:szCs w:val="18"/>
              </w:rPr>
            </w:pPr>
            <w:r>
              <w:rPr>
                <w:rFonts w:ascii="宋体" w:hAnsi="宋体" w:cs="宋体" w:eastAsia="宋体" w:hint="default"/>
                <w:sz w:val="18"/>
                <w:szCs w:val="18"/>
              </w:rPr>
              <w:t>重庆联庆仪器仪表有限公司</w:t>
            </w:r>
          </w:p>
        </w:tc>
        <w:tc>
          <w:tcPr>
            <w:tcW w:w="2694" w:type="dxa"/>
            <w:tcBorders>
              <w:top w:val="nil" w:sz="6" w:space="0" w:color="auto"/>
              <w:left w:val="single" w:sz="4" w:space="0" w:color="000000"/>
              <w:bottom w:val="nil" w:sz="6" w:space="0" w:color="auto"/>
              <w:right w:val="single" w:sz="4" w:space="0" w:color="000000"/>
            </w:tcBorders>
          </w:tcPr>
          <w:p>
            <w:pPr>
              <w:pStyle w:val="TableParagraph"/>
              <w:spacing w:line="240" w:lineRule="auto" w:before="74"/>
              <w:ind w:right="101"/>
              <w:jc w:val="right"/>
              <w:rPr>
                <w:rFonts w:ascii="Arial Narrow" w:hAnsi="Arial Narrow" w:cs="Arial Narrow" w:eastAsia="Arial Narrow" w:hint="default"/>
                <w:sz w:val="20"/>
                <w:szCs w:val="20"/>
              </w:rPr>
            </w:pPr>
            <w:r>
              <w:rPr>
                <w:rFonts w:ascii="Arial Narrow"/>
                <w:spacing w:val="-1"/>
                <w:sz w:val="20"/>
              </w:rPr>
              <w:t>1,000,000.00</w:t>
            </w:r>
            <w:r>
              <w:rPr>
                <w:rFonts w:ascii="Arial Narrow"/>
                <w:sz w:val="20"/>
              </w:rPr>
            </w:r>
          </w:p>
        </w:tc>
        <w:tc>
          <w:tcPr>
            <w:tcW w:w="2268" w:type="dxa"/>
            <w:tcBorders>
              <w:top w:val="nil" w:sz="6" w:space="0" w:color="auto"/>
              <w:left w:val="single" w:sz="4" w:space="0" w:color="000000"/>
              <w:bottom w:val="nil" w:sz="6" w:space="0" w:color="auto"/>
              <w:right w:val="nil" w:sz="6" w:space="0" w:color="auto"/>
            </w:tcBorders>
          </w:tcPr>
          <w:p>
            <w:pPr>
              <w:pStyle w:val="TableParagraph"/>
              <w:spacing w:line="240" w:lineRule="auto" w:before="27"/>
              <w:ind w:left="95" w:right="0"/>
              <w:jc w:val="center"/>
              <w:rPr>
                <w:rFonts w:ascii="宋体" w:hAnsi="宋体" w:cs="宋体" w:eastAsia="宋体" w:hint="default"/>
                <w:sz w:val="20"/>
                <w:szCs w:val="20"/>
              </w:rPr>
            </w:pPr>
            <w:r>
              <w:rPr>
                <w:rFonts w:ascii="宋体" w:hAnsi="宋体" w:cs="宋体" w:eastAsia="宋体" w:hint="default"/>
                <w:sz w:val="20"/>
                <w:szCs w:val="20"/>
              </w:rPr>
              <w:t>结算事项存在争议</w:t>
            </w:r>
          </w:p>
        </w:tc>
      </w:tr>
      <w:tr>
        <w:trPr>
          <w:trHeight w:val="386" w:hRule="exact"/>
        </w:trPr>
        <w:tc>
          <w:tcPr>
            <w:tcW w:w="3417" w:type="dxa"/>
            <w:tcBorders>
              <w:top w:val="nil" w:sz="6" w:space="0" w:color="auto"/>
              <w:left w:val="nil" w:sz="6" w:space="0" w:color="auto"/>
              <w:bottom w:val="single" w:sz="4" w:space="0" w:color="000000"/>
              <w:right w:val="single" w:sz="4" w:space="0" w:color="000000"/>
            </w:tcBorders>
          </w:tcPr>
          <w:p>
            <w:pPr>
              <w:pStyle w:val="TableParagraph"/>
              <w:spacing w:line="240" w:lineRule="auto" w:before="42"/>
              <w:ind w:left="122" w:right="0"/>
              <w:jc w:val="left"/>
              <w:rPr>
                <w:rFonts w:ascii="宋体" w:hAnsi="宋体" w:cs="宋体" w:eastAsia="宋体" w:hint="default"/>
                <w:sz w:val="18"/>
                <w:szCs w:val="18"/>
              </w:rPr>
            </w:pPr>
            <w:r>
              <w:rPr>
                <w:rFonts w:ascii="宋体" w:hAnsi="宋体" w:cs="宋体" w:eastAsia="宋体" w:hint="default"/>
                <w:sz w:val="18"/>
                <w:szCs w:val="18"/>
              </w:rPr>
              <w:t>河北云涛环保科技有限公司</w:t>
            </w:r>
          </w:p>
        </w:tc>
        <w:tc>
          <w:tcPr>
            <w:tcW w:w="269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73"/>
              <w:ind w:right="101"/>
              <w:jc w:val="right"/>
              <w:rPr>
                <w:rFonts w:ascii="Arial Narrow" w:hAnsi="Arial Narrow" w:cs="Arial Narrow" w:eastAsia="Arial Narrow" w:hint="default"/>
                <w:sz w:val="20"/>
                <w:szCs w:val="20"/>
              </w:rPr>
            </w:pPr>
            <w:r>
              <w:rPr>
                <w:rFonts w:ascii="Arial Narrow"/>
                <w:spacing w:val="-1"/>
                <w:sz w:val="20"/>
              </w:rPr>
              <w:t>761,000.00</w:t>
            </w:r>
            <w:r>
              <w:rPr>
                <w:rFonts w:ascii="Arial Narrow"/>
                <w:sz w:val="20"/>
              </w:rPr>
            </w:r>
          </w:p>
        </w:tc>
        <w:tc>
          <w:tcPr>
            <w:tcW w:w="2268" w:type="dxa"/>
            <w:tcBorders>
              <w:top w:val="nil" w:sz="6" w:space="0" w:color="auto"/>
              <w:left w:val="single" w:sz="4" w:space="0" w:color="000000"/>
              <w:bottom w:val="single" w:sz="4" w:space="0" w:color="000000"/>
              <w:right w:val="nil" w:sz="6" w:space="0" w:color="auto"/>
            </w:tcBorders>
          </w:tcPr>
          <w:p>
            <w:pPr>
              <w:pStyle w:val="TableParagraph"/>
              <w:spacing w:line="240" w:lineRule="auto" w:before="26"/>
              <w:ind w:right="2"/>
              <w:jc w:val="center"/>
              <w:rPr>
                <w:rFonts w:ascii="宋体" w:hAnsi="宋体" w:cs="宋体" w:eastAsia="宋体" w:hint="default"/>
                <w:sz w:val="20"/>
                <w:szCs w:val="20"/>
              </w:rPr>
            </w:pPr>
            <w:r>
              <w:rPr>
                <w:rFonts w:ascii="宋体" w:hAnsi="宋体" w:cs="宋体" w:eastAsia="宋体" w:hint="default"/>
                <w:sz w:val="20"/>
                <w:szCs w:val="20"/>
              </w:rPr>
              <w:t>结算票据未到</w:t>
            </w:r>
          </w:p>
        </w:tc>
      </w:tr>
      <w:tr>
        <w:trPr>
          <w:trHeight w:val="406" w:hRule="exact"/>
        </w:trPr>
        <w:tc>
          <w:tcPr>
            <w:tcW w:w="3417"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47"/>
              <w:ind w:left="20" w:right="0"/>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269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77"/>
              <w:ind w:right="101"/>
              <w:jc w:val="right"/>
              <w:rPr>
                <w:rFonts w:ascii="Arial Narrow" w:hAnsi="Arial Narrow" w:cs="Arial Narrow" w:eastAsia="Arial Narrow" w:hint="default"/>
                <w:sz w:val="20"/>
                <w:szCs w:val="20"/>
              </w:rPr>
            </w:pPr>
            <w:r>
              <w:rPr>
                <w:rFonts w:ascii="Arial Narrow"/>
                <w:b/>
                <w:spacing w:val="-1"/>
                <w:sz w:val="20"/>
              </w:rPr>
              <w:t>7,495,821.42</w:t>
            </w:r>
            <w:r>
              <w:rPr>
                <w:rFonts w:ascii="Arial Narrow"/>
                <w:sz w:val="20"/>
              </w:rPr>
            </w:r>
          </w:p>
        </w:tc>
        <w:tc>
          <w:tcPr>
            <w:tcW w:w="2268" w:type="dxa"/>
            <w:tcBorders>
              <w:top w:val="single" w:sz="4" w:space="0" w:color="000000"/>
              <w:left w:val="single" w:sz="4" w:space="0" w:color="000000"/>
              <w:bottom w:val="single" w:sz="12" w:space="0" w:color="000000"/>
              <w:right w:val="nil" w:sz="6" w:space="0" w:color="auto"/>
            </w:tcBorders>
          </w:tcPr>
          <w:p>
            <w:pPr/>
          </w:p>
        </w:tc>
      </w:tr>
    </w:tbl>
    <w:p>
      <w:pPr>
        <w:spacing w:after="0"/>
        <w:sectPr>
          <w:pgSz w:w="11910" w:h="16840"/>
          <w:pgMar w:header="747" w:footer="979" w:top="1060" w:bottom="1160" w:left="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3"/>
        <w:spacing w:line="240" w:lineRule="auto" w:before="186"/>
        <w:ind w:right="0"/>
        <w:jc w:val="left"/>
        <w:rPr>
          <w:b w:val="0"/>
          <w:bCs w:val="0"/>
        </w:rPr>
      </w:pPr>
      <w:bookmarkStart w:name="（2）按预付对象归集的期末余额前五名的预付款情况" w:id="235"/>
      <w:bookmarkEnd w:id="235"/>
      <w:r>
        <w:rPr>
          <w:b w:val="0"/>
          <w:bCs w:val="0"/>
        </w:rPr>
      </w:r>
      <w:r>
        <w:rPr/>
        <w:t>（</w:t>
      </w:r>
      <w:r>
        <w:rPr>
          <w:rFonts w:ascii="Times New Roman" w:hAnsi="Times New Roman" w:cs="Times New Roman" w:eastAsia="Times New Roman" w:hint="default"/>
        </w:rPr>
        <w:t>2</w:t>
      </w:r>
      <w:r>
        <w:rPr/>
        <w:t>）按预付对象归集的期末余额前五名的预付款情况</w:t>
      </w:r>
      <w:r>
        <w:rPr>
          <w:b w:val="0"/>
          <w:bCs w:val="0"/>
        </w:rPr>
      </w:r>
    </w:p>
    <w:p>
      <w:pPr>
        <w:spacing w:line="240" w:lineRule="auto" w:before="9"/>
        <w:rPr>
          <w:rFonts w:ascii="宋体" w:hAnsi="宋体" w:cs="宋体" w:eastAsia="宋体" w:hint="default"/>
          <w:b/>
          <w:bCs/>
          <w:sz w:val="25"/>
          <w:szCs w:val="25"/>
        </w:rPr>
      </w:pPr>
    </w:p>
    <w:tbl>
      <w:tblPr>
        <w:tblW w:w="0" w:type="auto"/>
        <w:jc w:val="left"/>
        <w:tblInd w:w="1011" w:type="dxa"/>
        <w:tblLayout w:type="fixed"/>
        <w:tblCellMar>
          <w:top w:w="0" w:type="dxa"/>
          <w:left w:w="0" w:type="dxa"/>
          <w:bottom w:w="0" w:type="dxa"/>
          <w:right w:w="0" w:type="dxa"/>
        </w:tblCellMar>
        <w:tblLook w:val="01E0"/>
      </w:tblPr>
      <w:tblGrid>
        <w:gridCol w:w="3747"/>
        <w:gridCol w:w="2190"/>
        <w:gridCol w:w="3933"/>
      </w:tblGrid>
      <w:tr>
        <w:trPr>
          <w:trHeight w:val="387" w:hRule="exact"/>
        </w:trPr>
        <w:tc>
          <w:tcPr>
            <w:tcW w:w="3747"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38"/>
              <w:ind w:left="19" w:right="0"/>
              <w:jc w:val="center"/>
              <w:rPr>
                <w:rFonts w:ascii="宋体" w:hAnsi="宋体" w:cs="宋体" w:eastAsia="宋体" w:hint="default"/>
                <w:sz w:val="18"/>
                <w:szCs w:val="18"/>
              </w:rPr>
            </w:pPr>
            <w:r>
              <w:rPr>
                <w:rFonts w:ascii="宋体" w:hAnsi="宋体" w:cs="宋体" w:eastAsia="宋体" w:hint="default"/>
                <w:b/>
                <w:bCs/>
                <w:sz w:val="18"/>
                <w:szCs w:val="18"/>
              </w:rPr>
              <w:t>名称</w:t>
            </w:r>
            <w:r>
              <w:rPr>
                <w:rFonts w:ascii="宋体" w:hAnsi="宋体" w:cs="宋体" w:eastAsia="宋体" w:hint="default"/>
                <w:sz w:val="18"/>
                <w:szCs w:val="18"/>
              </w:rPr>
            </w:r>
          </w:p>
        </w:tc>
        <w:tc>
          <w:tcPr>
            <w:tcW w:w="219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38"/>
              <w:ind w:left="1" w:right="0"/>
              <w:jc w:val="center"/>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3933"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38"/>
              <w:ind w:left="380" w:right="0"/>
              <w:jc w:val="left"/>
              <w:rPr>
                <w:rFonts w:ascii="宋体" w:hAnsi="宋体" w:cs="宋体" w:eastAsia="宋体" w:hint="default"/>
                <w:sz w:val="18"/>
                <w:szCs w:val="18"/>
              </w:rPr>
            </w:pPr>
            <w:r>
              <w:rPr>
                <w:rFonts w:ascii="宋体" w:hAnsi="宋体" w:cs="宋体" w:eastAsia="宋体" w:hint="default"/>
                <w:b/>
                <w:bCs/>
                <w:sz w:val="18"/>
                <w:szCs w:val="18"/>
              </w:rPr>
              <w:t>占预付款项期末余额合计数的比例（</w:t>
            </w:r>
            <w:r>
              <w:rPr>
                <w:rFonts w:ascii="宋体" w:hAnsi="宋体" w:cs="宋体" w:eastAsia="宋体" w:hint="default"/>
                <w:b/>
                <w:bCs/>
                <w:sz w:val="18"/>
                <w:szCs w:val="18"/>
              </w:rPr>
              <w:t>%</w:t>
            </w:r>
            <w:r>
              <w:rPr>
                <w:rFonts w:ascii="宋体" w:hAnsi="宋体" w:cs="宋体" w:eastAsia="宋体" w:hint="default"/>
                <w:b/>
                <w:bCs/>
                <w:sz w:val="18"/>
                <w:szCs w:val="18"/>
              </w:rPr>
              <w:t>）</w:t>
            </w:r>
            <w:r>
              <w:rPr>
                <w:rFonts w:ascii="宋体" w:hAnsi="宋体" w:cs="宋体" w:eastAsia="宋体" w:hint="default"/>
                <w:sz w:val="18"/>
                <w:szCs w:val="18"/>
              </w:rPr>
            </w:r>
          </w:p>
        </w:tc>
      </w:tr>
      <w:tr>
        <w:trPr>
          <w:trHeight w:val="497" w:hRule="exact"/>
        </w:trPr>
        <w:tc>
          <w:tcPr>
            <w:tcW w:w="3747" w:type="dxa"/>
            <w:tcBorders>
              <w:top w:val="single" w:sz="4" w:space="0" w:color="000000"/>
              <w:left w:val="nil" w:sz="6" w:space="0" w:color="auto"/>
              <w:bottom w:val="nil" w:sz="6" w:space="0" w:color="auto"/>
              <w:right w:val="single" w:sz="4" w:space="0" w:color="000000"/>
            </w:tcBorders>
          </w:tcPr>
          <w:p>
            <w:pPr>
              <w:pStyle w:val="TableParagraph"/>
              <w:spacing w:line="240" w:lineRule="auto" w:before="110"/>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ENVIRONNEMENT</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环境技术</w:t>
            </w:r>
            <w:r>
              <w:rPr>
                <w:rFonts w:ascii="Times New Roman" w:hAnsi="Times New Roman" w:cs="Times New Roman" w:eastAsia="Times New Roman" w:hint="default"/>
                <w:sz w:val="18"/>
                <w:szCs w:val="18"/>
              </w:rPr>
              <w:t>(</w:t>
            </w:r>
            <w:r>
              <w:rPr>
                <w:rFonts w:ascii="宋体" w:hAnsi="宋体" w:cs="宋体" w:eastAsia="宋体" w:hint="default"/>
                <w:sz w:val="18"/>
                <w:szCs w:val="18"/>
              </w:rPr>
              <w:t>北京</w:t>
            </w:r>
            <w:r>
              <w:rPr>
                <w:rFonts w:ascii="Times New Roman" w:hAnsi="Times New Roman" w:cs="Times New Roman" w:eastAsia="Times New Roman" w:hint="default"/>
                <w:sz w:val="18"/>
                <w:szCs w:val="18"/>
              </w:rPr>
              <w:t>)</w:t>
            </w:r>
            <w:r>
              <w:rPr>
                <w:rFonts w:ascii="宋体" w:hAnsi="宋体" w:cs="宋体" w:eastAsia="宋体" w:hint="default"/>
                <w:sz w:val="18"/>
                <w:szCs w:val="18"/>
              </w:rPr>
              <w:t>有限公司</w:t>
            </w:r>
          </w:p>
        </w:tc>
        <w:tc>
          <w:tcPr>
            <w:tcW w:w="219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41"/>
              <w:ind w:right="101"/>
              <w:jc w:val="right"/>
              <w:rPr>
                <w:rFonts w:ascii="Arial Narrow" w:hAnsi="Arial Narrow" w:cs="Arial Narrow" w:eastAsia="Arial Narrow" w:hint="default"/>
                <w:sz w:val="20"/>
                <w:szCs w:val="20"/>
              </w:rPr>
            </w:pPr>
            <w:r>
              <w:rPr>
                <w:rFonts w:ascii="Arial Narrow"/>
                <w:spacing w:val="-1"/>
                <w:sz w:val="20"/>
              </w:rPr>
              <w:t>4,294,205.13</w:t>
            </w:r>
            <w:r>
              <w:rPr>
                <w:rFonts w:ascii="Arial Narrow"/>
                <w:sz w:val="20"/>
              </w:rPr>
            </w:r>
          </w:p>
        </w:tc>
        <w:tc>
          <w:tcPr>
            <w:tcW w:w="3933" w:type="dxa"/>
            <w:tcBorders>
              <w:top w:val="single" w:sz="4" w:space="0" w:color="000000"/>
              <w:left w:val="single" w:sz="4" w:space="0" w:color="000000"/>
              <w:bottom w:val="nil" w:sz="6" w:space="0" w:color="auto"/>
              <w:right w:val="nil" w:sz="6" w:space="0" w:color="auto"/>
            </w:tcBorders>
          </w:tcPr>
          <w:p>
            <w:pPr>
              <w:pStyle w:val="TableParagraph"/>
              <w:spacing w:line="240" w:lineRule="auto" w:before="141"/>
              <w:ind w:right="106"/>
              <w:jc w:val="right"/>
              <w:rPr>
                <w:rFonts w:ascii="Arial Narrow" w:hAnsi="Arial Narrow" w:cs="Arial Narrow" w:eastAsia="Arial Narrow" w:hint="default"/>
                <w:sz w:val="20"/>
                <w:szCs w:val="20"/>
              </w:rPr>
            </w:pPr>
            <w:r>
              <w:rPr>
                <w:rFonts w:ascii="Arial Narrow"/>
                <w:spacing w:val="-1"/>
                <w:sz w:val="20"/>
              </w:rPr>
              <w:t>3.96</w:t>
            </w:r>
            <w:r>
              <w:rPr>
                <w:rFonts w:ascii="Arial Narrow"/>
                <w:sz w:val="20"/>
              </w:rPr>
            </w:r>
          </w:p>
        </w:tc>
      </w:tr>
      <w:tr>
        <w:trPr>
          <w:trHeight w:val="425" w:hRule="exact"/>
        </w:trPr>
        <w:tc>
          <w:tcPr>
            <w:tcW w:w="3747" w:type="dxa"/>
            <w:tcBorders>
              <w:top w:val="nil" w:sz="6" w:space="0" w:color="auto"/>
              <w:left w:val="nil" w:sz="6" w:space="0" w:color="auto"/>
              <w:bottom w:val="nil" w:sz="6" w:space="0" w:color="auto"/>
              <w:right w:val="single" w:sz="4" w:space="0" w:color="000000"/>
            </w:tcBorders>
          </w:tcPr>
          <w:p>
            <w:pPr>
              <w:pStyle w:val="TableParagraph"/>
              <w:spacing w:line="240" w:lineRule="auto" w:before="111"/>
              <w:ind w:left="122" w:right="0"/>
              <w:jc w:val="left"/>
              <w:rPr>
                <w:rFonts w:ascii="Times New Roman" w:hAnsi="Times New Roman" w:cs="Times New Roman" w:eastAsia="Times New Roman" w:hint="default"/>
                <w:sz w:val="18"/>
                <w:szCs w:val="18"/>
              </w:rPr>
            </w:pPr>
            <w:r>
              <w:rPr>
                <w:rFonts w:ascii="Times New Roman"/>
                <w:sz w:val="18"/>
              </w:rPr>
              <w:t>Met One</w:t>
            </w:r>
            <w:r>
              <w:rPr>
                <w:rFonts w:ascii="Times New Roman"/>
                <w:spacing w:val="-4"/>
                <w:sz w:val="18"/>
              </w:rPr>
              <w:t> </w:t>
            </w:r>
            <w:r>
              <w:rPr>
                <w:rFonts w:ascii="Times New Roman"/>
                <w:sz w:val="18"/>
              </w:rPr>
              <w:t>Instruments,Inc</w:t>
            </w:r>
          </w:p>
        </w:tc>
        <w:tc>
          <w:tcPr>
            <w:tcW w:w="2190" w:type="dxa"/>
            <w:tcBorders>
              <w:top w:val="nil" w:sz="6" w:space="0" w:color="auto"/>
              <w:left w:val="single" w:sz="4" w:space="0" w:color="000000"/>
              <w:bottom w:val="nil" w:sz="6" w:space="0" w:color="auto"/>
              <w:right w:val="single" w:sz="4" w:space="0" w:color="000000"/>
            </w:tcBorders>
          </w:tcPr>
          <w:p>
            <w:pPr>
              <w:pStyle w:val="TableParagraph"/>
              <w:spacing w:line="240" w:lineRule="auto" w:before="102"/>
              <w:ind w:right="101"/>
              <w:jc w:val="right"/>
              <w:rPr>
                <w:rFonts w:ascii="Arial Narrow" w:hAnsi="Arial Narrow" w:cs="Arial Narrow" w:eastAsia="Arial Narrow" w:hint="default"/>
                <w:sz w:val="20"/>
                <w:szCs w:val="20"/>
              </w:rPr>
            </w:pPr>
            <w:r>
              <w:rPr>
                <w:rFonts w:ascii="Arial Narrow"/>
                <w:spacing w:val="-1"/>
                <w:sz w:val="20"/>
              </w:rPr>
              <w:t>4,071,157.22</w:t>
            </w:r>
            <w:r>
              <w:rPr>
                <w:rFonts w:ascii="Arial Narrow"/>
                <w:sz w:val="20"/>
              </w:rPr>
            </w:r>
          </w:p>
        </w:tc>
        <w:tc>
          <w:tcPr>
            <w:tcW w:w="3933" w:type="dxa"/>
            <w:tcBorders>
              <w:top w:val="nil" w:sz="6" w:space="0" w:color="auto"/>
              <w:left w:val="single" w:sz="4" w:space="0" w:color="000000"/>
              <w:bottom w:val="nil" w:sz="6" w:space="0" w:color="auto"/>
              <w:right w:val="nil" w:sz="6" w:space="0" w:color="auto"/>
            </w:tcBorders>
          </w:tcPr>
          <w:p>
            <w:pPr>
              <w:pStyle w:val="TableParagraph"/>
              <w:spacing w:line="240" w:lineRule="auto" w:before="102"/>
              <w:ind w:right="106"/>
              <w:jc w:val="right"/>
              <w:rPr>
                <w:rFonts w:ascii="Arial Narrow" w:hAnsi="Arial Narrow" w:cs="Arial Narrow" w:eastAsia="Arial Narrow" w:hint="default"/>
                <w:sz w:val="20"/>
                <w:szCs w:val="20"/>
              </w:rPr>
            </w:pPr>
            <w:r>
              <w:rPr>
                <w:rFonts w:ascii="Arial Narrow"/>
                <w:spacing w:val="-1"/>
                <w:sz w:val="20"/>
              </w:rPr>
              <w:t>3.75</w:t>
            </w:r>
            <w:r>
              <w:rPr>
                <w:rFonts w:ascii="Arial Narrow"/>
                <w:sz w:val="20"/>
              </w:rPr>
            </w:r>
          </w:p>
        </w:tc>
      </w:tr>
      <w:tr>
        <w:trPr>
          <w:trHeight w:val="397" w:hRule="exact"/>
        </w:trPr>
        <w:tc>
          <w:tcPr>
            <w:tcW w:w="3747" w:type="dxa"/>
            <w:tcBorders>
              <w:top w:val="nil" w:sz="6" w:space="0" w:color="auto"/>
              <w:left w:val="nil" w:sz="6" w:space="0" w:color="auto"/>
              <w:bottom w:val="nil" w:sz="6" w:space="0" w:color="auto"/>
              <w:right w:val="single" w:sz="4" w:space="0" w:color="000000"/>
            </w:tcBorders>
          </w:tcPr>
          <w:p>
            <w:pPr>
              <w:pStyle w:val="TableParagraph"/>
              <w:spacing w:line="240" w:lineRule="auto" w:before="42"/>
              <w:ind w:left="122" w:right="0"/>
              <w:jc w:val="left"/>
              <w:rPr>
                <w:rFonts w:ascii="宋体" w:hAnsi="宋体" w:cs="宋体" w:eastAsia="宋体" w:hint="default"/>
                <w:sz w:val="18"/>
                <w:szCs w:val="18"/>
              </w:rPr>
            </w:pPr>
            <w:r>
              <w:rPr>
                <w:rFonts w:ascii="宋体" w:hAnsi="宋体" w:cs="宋体" w:eastAsia="宋体" w:hint="default"/>
                <w:sz w:val="18"/>
                <w:szCs w:val="18"/>
              </w:rPr>
              <w:t>重庆中安环保工程开发有限公司</w:t>
            </w:r>
          </w:p>
        </w:tc>
        <w:tc>
          <w:tcPr>
            <w:tcW w:w="2190" w:type="dxa"/>
            <w:tcBorders>
              <w:top w:val="nil" w:sz="6" w:space="0" w:color="auto"/>
              <w:left w:val="single" w:sz="4" w:space="0" w:color="000000"/>
              <w:bottom w:val="nil" w:sz="6" w:space="0" w:color="auto"/>
              <w:right w:val="single" w:sz="4" w:space="0" w:color="000000"/>
            </w:tcBorders>
          </w:tcPr>
          <w:p>
            <w:pPr>
              <w:pStyle w:val="TableParagraph"/>
              <w:spacing w:line="240" w:lineRule="auto" w:before="73"/>
              <w:ind w:right="101"/>
              <w:jc w:val="right"/>
              <w:rPr>
                <w:rFonts w:ascii="Arial Narrow" w:hAnsi="Arial Narrow" w:cs="Arial Narrow" w:eastAsia="Arial Narrow" w:hint="default"/>
                <w:sz w:val="20"/>
                <w:szCs w:val="20"/>
              </w:rPr>
            </w:pPr>
            <w:r>
              <w:rPr>
                <w:rFonts w:ascii="Arial Narrow"/>
                <w:spacing w:val="-1"/>
                <w:sz w:val="20"/>
              </w:rPr>
              <w:t>2,800,000.00</w:t>
            </w:r>
            <w:r>
              <w:rPr>
                <w:rFonts w:ascii="Arial Narrow"/>
                <w:sz w:val="20"/>
              </w:rPr>
            </w:r>
          </w:p>
        </w:tc>
        <w:tc>
          <w:tcPr>
            <w:tcW w:w="3933" w:type="dxa"/>
            <w:tcBorders>
              <w:top w:val="nil" w:sz="6" w:space="0" w:color="auto"/>
              <w:left w:val="single" w:sz="4" w:space="0" w:color="000000"/>
              <w:bottom w:val="nil" w:sz="6" w:space="0" w:color="auto"/>
              <w:right w:val="nil" w:sz="6" w:space="0" w:color="auto"/>
            </w:tcBorders>
          </w:tcPr>
          <w:p>
            <w:pPr>
              <w:pStyle w:val="TableParagraph"/>
              <w:spacing w:line="240" w:lineRule="auto" w:before="73"/>
              <w:ind w:right="106"/>
              <w:jc w:val="right"/>
              <w:rPr>
                <w:rFonts w:ascii="Arial Narrow" w:hAnsi="Arial Narrow" w:cs="Arial Narrow" w:eastAsia="Arial Narrow" w:hint="default"/>
                <w:sz w:val="20"/>
                <w:szCs w:val="20"/>
              </w:rPr>
            </w:pPr>
            <w:r>
              <w:rPr>
                <w:rFonts w:ascii="Arial Narrow"/>
                <w:spacing w:val="-1"/>
                <w:sz w:val="20"/>
              </w:rPr>
              <w:t>2.58</w:t>
            </w:r>
            <w:r>
              <w:rPr>
                <w:rFonts w:ascii="Arial Narrow"/>
                <w:sz w:val="20"/>
              </w:rPr>
            </w:r>
          </w:p>
        </w:tc>
      </w:tr>
      <w:tr>
        <w:trPr>
          <w:trHeight w:val="397" w:hRule="exact"/>
        </w:trPr>
        <w:tc>
          <w:tcPr>
            <w:tcW w:w="3747" w:type="dxa"/>
            <w:tcBorders>
              <w:top w:val="nil" w:sz="6" w:space="0" w:color="auto"/>
              <w:left w:val="nil" w:sz="6" w:space="0" w:color="auto"/>
              <w:bottom w:val="nil" w:sz="6" w:space="0" w:color="auto"/>
              <w:right w:val="single" w:sz="4" w:space="0" w:color="000000"/>
            </w:tcBorders>
          </w:tcPr>
          <w:p>
            <w:pPr>
              <w:pStyle w:val="TableParagraph"/>
              <w:spacing w:line="240" w:lineRule="auto" w:before="43"/>
              <w:ind w:left="122" w:right="0"/>
              <w:jc w:val="left"/>
              <w:rPr>
                <w:rFonts w:ascii="宋体" w:hAnsi="宋体" w:cs="宋体" w:eastAsia="宋体" w:hint="default"/>
                <w:sz w:val="18"/>
                <w:szCs w:val="18"/>
              </w:rPr>
            </w:pPr>
            <w:r>
              <w:rPr>
                <w:rFonts w:ascii="宋体" w:hAnsi="宋体" w:cs="宋体" w:eastAsia="宋体" w:hint="default"/>
                <w:sz w:val="18"/>
                <w:szCs w:val="18"/>
              </w:rPr>
              <w:t>科马特泰克贸易</w:t>
            </w:r>
            <w:r>
              <w:rPr>
                <w:rFonts w:ascii="Times New Roman" w:hAnsi="Times New Roman" w:cs="Times New Roman" w:eastAsia="Times New Roman" w:hint="default"/>
                <w:sz w:val="18"/>
                <w:szCs w:val="18"/>
              </w:rPr>
              <w:t>(</w:t>
            </w:r>
            <w:r>
              <w:rPr>
                <w:rFonts w:ascii="宋体" w:hAnsi="宋体" w:cs="宋体" w:eastAsia="宋体" w:hint="default"/>
                <w:sz w:val="18"/>
                <w:szCs w:val="18"/>
              </w:rPr>
              <w:t>北京</w:t>
            </w:r>
            <w:r>
              <w:rPr>
                <w:rFonts w:ascii="Times New Roman" w:hAnsi="Times New Roman" w:cs="Times New Roman" w:eastAsia="Times New Roman" w:hint="default"/>
                <w:sz w:val="18"/>
                <w:szCs w:val="18"/>
              </w:rPr>
              <w:t>)</w:t>
            </w:r>
            <w:r>
              <w:rPr>
                <w:rFonts w:ascii="宋体" w:hAnsi="宋体" w:cs="宋体" w:eastAsia="宋体" w:hint="default"/>
                <w:sz w:val="18"/>
                <w:szCs w:val="18"/>
              </w:rPr>
              <w:t>有限公司</w:t>
            </w:r>
          </w:p>
        </w:tc>
        <w:tc>
          <w:tcPr>
            <w:tcW w:w="2190" w:type="dxa"/>
            <w:tcBorders>
              <w:top w:val="nil" w:sz="6" w:space="0" w:color="auto"/>
              <w:left w:val="single" w:sz="4" w:space="0" w:color="000000"/>
              <w:bottom w:val="nil" w:sz="6" w:space="0" w:color="auto"/>
              <w:right w:val="single" w:sz="4" w:space="0" w:color="000000"/>
            </w:tcBorders>
          </w:tcPr>
          <w:p>
            <w:pPr>
              <w:pStyle w:val="TableParagraph"/>
              <w:spacing w:line="240" w:lineRule="auto" w:before="74"/>
              <w:ind w:right="101"/>
              <w:jc w:val="right"/>
              <w:rPr>
                <w:rFonts w:ascii="Arial Narrow" w:hAnsi="Arial Narrow" w:cs="Arial Narrow" w:eastAsia="Arial Narrow" w:hint="default"/>
                <w:sz w:val="20"/>
                <w:szCs w:val="20"/>
              </w:rPr>
            </w:pPr>
            <w:r>
              <w:rPr>
                <w:rFonts w:ascii="Arial Narrow"/>
                <w:spacing w:val="-1"/>
                <w:sz w:val="20"/>
              </w:rPr>
              <w:t>2,251,944.29</w:t>
            </w:r>
            <w:r>
              <w:rPr>
                <w:rFonts w:ascii="Arial Narrow"/>
                <w:sz w:val="20"/>
              </w:rPr>
            </w:r>
          </w:p>
        </w:tc>
        <w:tc>
          <w:tcPr>
            <w:tcW w:w="3933" w:type="dxa"/>
            <w:tcBorders>
              <w:top w:val="nil" w:sz="6" w:space="0" w:color="auto"/>
              <w:left w:val="single" w:sz="4" w:space="0" w:color="000000"/>
              <w:bottom w:val="nil" w:sz="6" w:space="0" w:color="auto"/>
              <w:right w:val="nil" w:sz="6" w:space="0" w:color="auto"/>
            </w:tcBorders>
          </w:tcPr>
          <w:p>
            <w:pPr>
              <w:pStyle w:val="TableParagraph"/>
              <w:spacing w:line="240" w:lineRule="auto" w:before="74"/>
              <w:ind w:right="106"/>
              <w:jc w:val="right"/>
              <w:rPr>
                <w:rFonts w:ascii="Arial Narrow" w:hAnsi="Arial Narrow" w:cs="Arial Narrow" w:eastAsia="Arial Narrow" w:hint="default"/>
                <w:sz w:val="20"/>
                <w:szCs w:val="20"/>
              </w:rPr>
            </w:pPr>
            <w:r>
              <w:rPr>
                <w:rFonts w:ascii="Arial Narrow"/>
                <w:spacing w:val="-1"/>
                <w:sz w:val="20"/>
              </w:rPr>
              <w:t>2.07</w:t>
            </w:r>
            <w:r>
              <w:rPr>
                <w:rFonts w:ascii="Arial Narrow"/>
                <w:sz w:val="20"/>
              </w:rPr>
            </w:r>
          </w:p>
        </w:tc>
      </w:tr>
      <w:tr>
        <w:trPr>
          <w:trHeight w:val="393" w:hRule="exact"/>
        </w:trPr>
        <w:tc>
          <w:tcPr>
            <w:tcW w:w="3747" w:type="dxa"/>
            <w:tcBorders>
              <w:top w:val="nil" w:sz="6" w:space="0" w:color="auto"/>
              <w:left w:val="nil" w:sz="6" w:space="0" w:color="auto"/>
              <w:bottom w:val="single" w:sz="4" w:space="0" w:color="000000"/>
              <w:right w:val="single" w:sz="4" w:space="0" w:color="000000"/>
            </w:tcBorders>
          </w:tcPr>
          <w:p>
            <w:pPr>
              <w:pStyle w:val="TableParagraph"/>
              <w:spacing w:line="240" w:lineRule="auto" w:before="43"/>
              <w:ind w:left="122" w:right="0"/>
              <w:jc w:val="left"/>
              <w:rPr>
                <w:rFonts w:ascii="宋体" w:hAnsi="宋体" w:cs="宋体" w:eastAsia="宋体" w:hint="default"/>
                <w:sz w:val="18"/>
                <w:szCs w:val="18"/>
              </w:rPr>
            </w:pPr>
            <w:r>
              <w:rPr>
                <w:rFonts w:ascii="宋体" w:hAnsi="宋体" w:cs="宋体" w:eastAsia="宋体" w:hint="default"/>
                <w:sz w:val="18"/>
                <w:szCs w:val="18"/>
              </w:rPr>
              <w:t>石家庄天时机械有限公司</w:t>
            </w:r>
          </w:p>
        </w:tc>
        <w:tc>
          <w:tcPr>
            <w:tcW w:w="219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74"/>
              <w:ind w:right="101"/>
              <w:jc w:val="right"/>
              <w:rPr>
                <w:rFonts w:ascii="Arial Narrow" w:hAnsi="Arial Narrow" w:cs="Arial Narrow" w:eastAsia="Arial Narrow" w:hint="default"/>
                <w:sz w:val="20"/>
                <w:szCs w:val="20"/>
              </w:rPr>
            </w:pPr>
            <w:r>
              <w:rPr>
                <w:rFonts w:ascii="Arial Narrow"/>
                <w:spacing w:val="-1"/>
                <w:sz w:val="20"/>
              </w:rPr>
              <w:t>1,999,657.93</w:t>
            </w:r>
            <w:r>
              <w:rPr>
                <w:rFonts w:ascii="Arial Narrow"/>
                <w:sz w:val="20"/>
              </w:rPr>
            </w:r>
          </w:p>
        </w:tc>
        <w:tc>
          <w:tcPr>
            <w:tcW w:w="3933" w:type="dxa"/>
            <w:tcBorders>
              <w:top w:val="nil" w:sz="6" w:space="0" w:color="auto"/>
              <w:left w:val="single" w:sz="4" w:space="0" w:color="000000"/>
              <w:bottom w:val="single" w:sz="4" w:space="0" w:color="000000"/>
              <w:right w:val="nil" w:sz="6" w:space="0" w:color="auto"/>
            </w:tcBorders>
          </w:tcPr>
          <w:p>
            <w:pPr>
              <w:pStyle w:val="TableParagraph"/>
              <w:spacing w:line="240" w:lineRule="auto" w:before="74"/>
              <w:ind w:right="106"/>
              <w:jc w:val="right"/>
              <w:rPr>
                <w:rFonts w:ascii="Arial Narrow" w:hAnsi="Arial Narrow" w:cs="Arial Narrow" w:eastAsia="Arial Narrow" w:hint="default"/>
                <w:sz w:val="20"/>
                <w:szCs w:val="20"/>
              </w:rPr>
            </w:pPr>
            <w:r>
              <w:rPr>
                <w:rFonts w:ascii="Arial Narrow"/>
                <w:spacing w:val="-1"/>
                <w:sz w:val="20"/>
              </w:rPr>
              <w:t>1.84</w:t>
            </w:r>
            <w:r>
              <w:rPr>
                <w:rFonts w:ascii="Arial Narrow"/>
                <w:sz w:val="20"/>
              </w:rPr>
            </w:r>
          </w:p>
        </w:tc>
      </w:tr>
      <w:tr>
        <w:trPr>
          <w:trHeight w:val="406" w:hRule="exact"/>
        </w:trPr>
        <w:tc>
          <w:tcPr>
            <w:tcW w:w="3747"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31"/>
              <w:ind w:left="19" w:right="0"/>
              <w:jc w:val="center"/>
              <w:rPr>
                <w:rFonts w:ascii="宋体" w:hAnsi="宋体" w:cs="宋体" w:eastAsia="宋体" w:hint="default"/>
                <w:sz w:val="20"/>
                <w:szCs w:val="20"/>
              </w:rPr>
            </w:pPr>
            <w:r>
              <w:rPr>
                <w:rFonts w:ascii="宋体" w:hAnsi="宋体" w:cs="宋体" w:eastAsia="宋体" w:hint="default"/>
                <w:b/>
                <w:bCs/>
                <w:sz w:val="20"/>
                <w:szCs w:val="20"/>
              </w:rPr>
              <w:t>合计</w:t>
            </w:r>
            <w:r>
              <w:rPr>
                <w:rFonts w:ascii="宋体" w:hAnsi="宋体" w:cs="宋体" w:eastAsia="宋体" w:hint="default"/>
                <w:sz w:val="20"/>
                <w:szCs w:val="20"/>
              </w:rPr>
            </w:r>
          </w:p>
        </w:tc>
        <w:tc>
          <w:tcPr>
            <w:tcW w:w="219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77"/>
              <w:ind w:right="101"/>
              <w:jc w:val="right"/>
              <w:rPr>
                <w:rFonts w:ascii="Arial Narrow" w:hAnsi="Arial Narrow" w:cs="Arial Narrow" w:eastAsia="Arial Narrow" w:hint="default"/>
                <w:sz w:val="20"/>
                <w:szCs w:val="20"/>
              </w:rPr>
            </w:pPr>
            <w:r>
              <w:rPr>
                <w:rFonts w:ascii="Arial Narrow"/>
                <w:b/>
                <w:spacing w:val="-1"/>
                <w:sz w:val="20"/>
              </w:rPr>
              <w:t>15,416,964.57</w:t>
            </w:r>
            <w:r>
              <w:rPr>
                <w:rFonts w:ascii="Arial Narrow"/>
                <w:sz w:val="20"/>
              </w:rPr>
            </w:r>
          </w:p>
        </w:tc>
        <w:tc>
          <w:tcPr>
            <w:tcW w:w="3933"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77"/>
              <w:ind w:right="106"/>
              <w:jc w:val="right"/>
              <w:rPr>
                <w:rFonts w:ascii="Arial Narrow" w:hAnsi="Arial Narrow" w:cs="Arial Narrow" w:eastAsia="Arial Narrow" w:hint="default"/>
                <w:sz w:val="20"/>
                <w:szCs w:val="20"/>
              </w:rPr>
            </w:pPr>
            <w:r>
              <w:rPr>
                <w:rFonts w:ascii="Arial Narrow"/>
                <w:b/>
                <w:spacing w:val="-1"/>
                <w:sz w:val="20"/>
              </w:rPr>
              <w:t>14.20</w:t>
            </w:r>
            <w:r>
              <w:rPr>
                <w:rFonts w:ascii="Arial Narrow"/>
                <w:sz w:val="20"/>
              </w:rPr>
            </w:r>
          </w:p>
        </w:tc>
      </w:tr>
    </w:tbl>
    <w:p>
      <w:pPr>
        <w:pStyle w:val="BodyText"/>
        <w:spacing w:line="240" w:lineRule="auto" w:before="51"/>
        <w:ind w:left="1134"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5、应收利息" w:id="236"/>
      <w:bookmarkEnd w:id="236"/>
      <w:r>
        <w:rPr>
          <w:b w:val="0"/>
          <w:bCs w:val="0"/>
        </w:rPr>
      </w:r>
      <w:r>
        <w:rPr>
          <w:rFonts w:ascii="Times New Roman" w:hAnsi="Times New Roman" w:cs="Times New Roman" w:eastAsia="Times New Roman" w:hint="default"/>
        </w:rPr>
        <w:t>5</w:t>
      </w:r>
      <w:r>
        <w:rPr/>
        <w:t>、应收利息</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134" w:right="0"/>
        <w:jc w:val="left"/>
        <w:rPr>
          <w:b w:val="0"/>
          <w:bCs w:val="0"/>
        </w:rPr>
      </w:pPr>
      <w:bookmarkStart w:name="（1）应收利息分类" w:id="237"/>
      <w:bookmarkEnd w:id="237"/>
      <w:r>
        <w:rPr>
          <w:b w:val="0"/>
          <w:bCs w:val="0"/>
        </w:rPr>
      </w:r>
      <w:r>
        <w:rPr/>
        <w:t>（</w:t>
      </w:r>
      <w:r>
        <w:rPr>
          <w:rFonts w:ascii="Times New Roman" w:hAnsi="Times New Roman" w:cs="Times New Roman" w:eastAsia="Times New Roman" w:hint="default"/>
        </w:rPr>
        <w:t>1</w:t>
      </w:r>
      <w:r>
        <w:rPr/>
        <w:t>）应收利息分类</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3167"/>
        <w:gridCol w:w="3203"/>
        <w:gridCol w:w="3189"/>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3"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定期存款</w:t>
            </w:r>
          </w:p>
        </w:tc>
        <w:tc>
          <w:tcPr>
            <w:tcW w:w="3203" w:type="dxa"/>
            <w:tcBorders>
              <w:top w:val="single" w:sz="4" w:space="0" w:color="000000"/>
              <w:left w:val="single" w:sz="13" w:space="0" w:color="D2D2D2"/>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856,176.00</w:t>
            </w:r>
          </w:p>
        </w:tc>
      </w:tr>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13" w:space="0" w:color="D2D2D2"/>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856,176.00</w:t>
            </w:r>
          </w:p>
        </w:tc>
      </w:tr>
    </w:tbl>
    <w:p>
      <w:pPr>
        <w:spacing w:line="240" w:lineRule="auto" w:before="2"/>
        <w:rPr>
          <w:rFonts w:ascii="宋体" w:hAnsi="宋体" w:cs="宋体" w:eastAsia="宋体" w:hint="default"/>
          <w:sz w:val="19"/>
          <w:szCs w:val="19"/>
        </w:rPr>
      </w:pPr>
    </w:p>
    <w:p>
      <w:pPr>
        <w:pStyle w:val="Heading3"/>
        <w:spacing w:line="240" w:lineRule="auto" w:before="35"/>
        <w:ind w:left="1134" w:right="0"/>
        <w:jc w:val="left"/>
        <w:rPr>
          <w:b w:val="0"/>
          <w:bCs w:val="0"/>
        </w:rPr>
      </w:pPr>
      <w:bookmarkStart w:name="6、其他应收款" w:id="238"/>
      <w:bookmarkEnd w:id="238"/>
      <w:r>
        <w:rPr>
          <w:b w:val="0"/>
          <w:bCs w:val="0"/>
        </w:rPr>
      </w:r>
      <w:r>
        <w:rPr>
          <w:rFonts w:ascii="Times New Roman" w:hAnsi="Times New Roman" w:cs="Times New Roman" w:eastAsia="Times New Roman" w:hint="default"/>
        </w:rPr>
        <w:t>6</w:t>
      </w:r>
      <w:r>
        <w:rPr/>
        <w:t>、其他应收款</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34" w:right="0"/>
        <w:jc w:val="left"/>
        <w:rPr>
          <w:b w:val="0"/>
          <w:bCs w:val="0"/>
        </w:rPr>
      </w:pPr>
      <w:bookmarkStart w:name="（1）其他应收款分类披露" w:id="239"/>
      <w:bookmarkEnd w:id="239"/>
      <w:r>
        <w:rPr>
          <w:b w:val="0"/>
          <w:bCs w:val="0"/>
        </w:rPr>
      </w:r>
      <w:r>
        <w:rPr/>
        <w:t>（</w:t>
      </w:r>
      <w:r>
        <w:rPr>
          <w:rFonts w:ascii="Times New Roman" w:hAnsi="Times New Roman" w:cs="Times New Roman" w:eastAsia="Times New Roman" w:hint="default"/>
        </w:rPr>
        <w:t>1</w:t>
      </w:r>
      <w:r>
        <w:rPr/>
        <w:t>）其他应收款分类披露</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1611"/>
        <w:gridCol w:w="775"/>
        <w:gridCol w:w="762"/>
        <w:gridCol w:w="762"/>
        <w:gridCol w:w="762"/>
        <w:gridCol w:w="790"/>
        <w:gridCol w:w="654"/>
        <w:gridCol w:w="762"/>
        <w:gridCol w:w="813"/>
        <w:gridCol w:w="932"/>
        <w:gridCol w:w="932"/>
      </w:tblGrid>
      <w:tr>
        <w:trPr>
          <w:trHeight w:val="397" w:hRule="exact"/>
        </w:trPr>
        <w:tc>
          <w:tcPr>
            <w:tcW w:w="1611" w:type="dxa"/>
            <w:vMerge w:val="restart"/>
            <w:tcBorders>
              <w:top w:val="single" w:sz="4" w:space="0" w:color="000000"/>
              <w:left w:val="single" w:sz="4" w:space="0" w:color="000000"/>
              <w:right w:val="single" w:sz="4" w:space="0" w:color="000000"/>
            </w:tcBorders>
            <w:shd w:val="clear" w:color="auto" w:fill="D2D2D2"/>
          </w:tcPr>
          <w:p>
            <w:pPr/>
          </w:p>
        </w:tc>
        <w:tc>
          <w:tcPr>
            <w:tcW w:w="3851"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6" w:hRule="exact"/>
        </w:trPr>
        <w:tc>
          <w:tcPr>
            <w:tcW w:w="1611" w:type="dxa"/>
            <w:vMerge/>
            <w:tcBorders>
              <w:left w:val="single" w:sz="4" w:space="0" w:color="000000"/>
              <w:bottom w:val="nil" w:sz="6" w:space="0" w:color="auto"/>
              <w:right w:val="single" w:sz="4" w:space="0" w:color="000000"/>
            </w:tcBorders>
            <w:shd w:val="clear" w:color="auto" w:fill="D2D2D2"/>
          </w:tcPr>
          <w:p>
            <w:pPr/>
          </w:p>
        </w:tc>
        <w:tc>
          <w:tcPr>
            <w:tcW w:w="153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40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
        </w:tc>
        <w:tc>
          <w:tcPr>
            <w:tcW w:w="14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4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
        </w:tc>
      </w:tr>
      <w:tr>
        <w:trPr>
          <w:trHeight w:val="241" w:hRule="exact"/>
        </w:trPr>
        <w:tc>
          <w:tcPr>
            <w:tcW w:w="161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1537" w:type="dxa"/>
            <w:gridSpan w:val="2"/>
            <w:vMerge/>
            <w:tcBorders>
              <w:left w:val="single" w:sz="4" w:space="0" w:color="000000"/>
              <w:bottom w:val="single" w:sz="4" w:space="0" w:color="000000"/>
              <w:right w:val="single" w:sz="4" w:space="0" w:color="000000"/>
            </w:tcBorders>
            <w:shd w:val="clear" w:color="auto" w:fill="D2D2D2"/>
          </w:tcPr>
          <w:p>
            <w:pPr/>
          </w:p>
        </w:tc>
        <w:tc>
          <w:tcPr>
            <w:tcW w:w="1524" w:type="dxa"/>
            <w:gridSpan w:val="2"/>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1416" w:type="dxa"/>
            <w:gridSpan w:val="2"/>
            <w:vMerge/>
            <w:tcBorders>
              <w:left w:val="single" w:sz="4" w:space="0" w:color="000000"/>
              <w:bottom w:val="single" w:sz="4" w:space="0" w:color="000000"/>
              <w:right w:val="single" w:sz="4" w:space="0" w:color="000000"/>
            </w:tcBorders>
            <w:shd w:val="clear" w:color="auto" w:fill="D2D2D2"/>
          </w:tcPr>
          <w:p>
            <w:pPr/>
          </w:p>
        </w:tc>
        <w:tc>
          <w:tcPr>
            <w:tcW w:w="1745" w:type="dxa"/>
            <w:gridSpan w:val="2"/>
            <w:vMerge/>
            <w:tcBorders>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158" w:hRule="exact"/>
        </w:trPr>
        <w:tc>
          <w:tcPr>
            <w:tcW w:w="1611" w:type="dxa"/>
            <w:vMerge/>
            <w:tcBorders>
              <w:left w:val="single" w:sz="4" w:space="0" w:color="000000"/>
              <w:bottom w:val="single" w:sz="4" w:space="0" w:color="FFFFFF"/>
              <w:right w:val="single" w:sz="4" w:space="0" w:color="000000"/>
            </w:tcBorders>
            <w:shd w:val="clear" w:color="auto" w:fill="D2D2D2"/>
          </w:tcPr>
          <w:p>
            <w:pPr/>
          </w:p>
        </w:tc>
        <w:tc>
          <w:tcPr>
            <w:tcW w:w="775"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3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4"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4" w:hRule="exact"/>
        </w:trPr>
        <w:tc>
          <w:tcPr>
            <w:tcW w:w="1611" w:type="dxa"/>
            <w:vMerge w:val="restart"/>
            <w:tcBorders>
              <w:top w:val="single" w:sz="4" w:space="0" w:color="FFFFFF"/>
              <w:left w:val="single" w:sz="4" w:space="0" w:color="000000"/>
              <w:right w:val="single" w:sz="4" w:space="0" w:color="000000"/>
            </w:tcBorders>
            <w:shd w:val="clear" w:color="auto" w:fill="D2D2D2"/>
          </w:tcPr>
          <w:p>
            <w:pPr/>
          </w:p>
        </w:tc>
        <w:tc>
          <w:tcPr>
            <w:tcW w:w="775"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207"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tcBorders>
              <w:left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65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200" w:hRule="exact"/>
        </w:trPr>
        <w:tc>
          <w:tcPr>
            <w:tcW w:w="1611" w:type="dxa"/>
            <w:vMerge/>
            <w:tcBorders>
              <w:left w:val="single" w:sz="4" w:space="0" w:color="000000"/>
              <w:right w:val="single" w:sz="4" w:space="0" w:color="000000"/>
            </w:tcBorders>
            <w:shd w:val="clear" w:color="auto" w:fill="D2D2D2"/>
          </w:tcPr>
          <w:p>
            <w:pPr/>
          </w:p>
        </w:tc>
        <w:tc>
          <w:tcPr>
            <w:tcW w:w="775"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right w:val="single" w:sz="4" w:space="0" w:color="000000"/>
            </w:tcBorders>
            <w:shd w:val="clear" w:color="auto" w:fill="D2D2D2"/>
          </w:tcPr>
          <w:p>
            <w:pPr/>
          </w:p>
        </w:tc>
        <w:tc>
          <w:tcPr>
            <w:tcW w:w="790" w:type="dxa"/>
            <w:vMerge w:val="restart"/>
            <w:tcBorders>
              <w:top w:val="nil" w:sz="6" w:space="0" w:color="auto"/>
              <w:left w:val="single" w:sz="4" w:space="0" w:color="000000"/>
              <w:right w:val="single" w:sz="4" w:space="0" w:color="000000"/>
            </w:tcBorders>
            <w:shd w:val="clear" w:color="auto" w:fill="D2D2D2"/>
          </w:tcPr>
          <w:p>
            <w:pPr/>
          </w:p>
        </w:tc>
        <w:tc>
          <w:tcPr>
            <w:tcW w:w="654"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813" w:type="dxa"/>
            <w:vMerge/>
            <w:tcBorders>
              <w:left w:val="single" w:sz="4" w:space="0" w:color="000000"/>
              <w:bottom w:val="nil" w:sz="6" w:space="0" w:color="auto"/>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11" w:type="dxa"/>
            <w:vMerge/>
            <w:tcBorders>
              <w:left w:val="single" w:sz="4" w:space="0" w:color="000000"/>
              <w:bottom w:val="single" w:sz="4" w:space="0" w:color="000000"/>
              <w:right w:val="single" w:sz="4" w:space="0" w:color="000000"/>
            </w:tcBorders>
            <w:shd w:val="clear" w:color="auto" w:fill="D2D2D2"/>
          </w:tcPr>
          <w:p>
            <w:pPr/>
          </w:p>
        </w:tc>
        <w:tc>
          <w:tcPr>
            <w:tcW w:w="775"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813"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6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48"/>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其他应收款</w:t>
            </w:r>
          </w:p>
        </w:tc>
        <w:tc>
          <w:tcPr>
            <w:tcW w:w="77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center"/>
              <w:rPr>
                <w:rFonts w:ascii="Times New Roman" w:hAnsi="Times New Roman" w:cs="Times New Roman" w:eastAsia="Times New Roman" w:hint="default"/>
                <w:sz w:val="18"/>
                <w:szCs w:val="18"/>
              </w:rPr>
            </w:pPr>
            <w:r>
              <w:rPr>
                <w:rFonts w:ascii="Times New Roman"/>
                <w:sz w:val="18"/>
              </w:rPr>
              <w:t>119,143,</w:t>
            </w:r>
          </w:p>
          <w:p>
            <w:pPr>
              <w:pStyle w:val="TableParagraph"/>
              <w:spacing w:line="240" w:lineRule="auto" w:before="106"/>
              <w:ind w:left="212" w:right="0"/>
              <w:jc w:val="center"/>
              <w:rPr>
                <w:rFonts w:ascii="Times New Roman" w:hAnsi="Times New Roman" w:cs="Times New Roman" w:eastAsia="Times New Roman" w:hint="default"/>
                <w:sz w:val="18"/>
                <w:szCs w:val="18"/>
              </w:rPr>
            </w:pPr>
            <w:r>
              <w:rPr>
                <w:rFonts w:ascii="Times New Roman"/>
                <w:sz w:val="18"/>
              </w:rPr>
              <w:t>155.27</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99.79%</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21,739,7</w:t>
            </w:r>
          </w:p>
          <w:p>
            <w:pPr>
              <w:pStyle w:val="TableParagraph"/>
              <w:spacing w:line="240" w:lineRule="auto" w:before="106"/>
              <w:ind w:left="323" w:right="0"/>
              <w:jc w:val="left"/>
              <w:rPr>
                <w:rFonts w:ascii="Times New Roman" w:hAnsi="Times New Roman" w:cs="Times New Roman" w:eastAsia="Times New Roman" w:hint="default"/>
                <w:sz w:val="18"/>
                <w:szCs w:val="18"/>
              </w:rPr>
            </w:pPr>
            <w:r>
              <w:rPr>
                <w:rFonts w:ascii="Times New Roman"/>
                <w:sz w:val="18"/>
              </w:rPr>
              <w:t>47.27</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53" w:right="0"/>
              <w:jc w:val="center"/>
              <w:rPr>
                <w:rFonts w:ascii="Times New Roman" w:hAnsi="Times New Roman" w:cs="Times New Roman" w:eastAsia="Times New Roman" w:hint="default"/>
                <w:sz w:val="18"/>
                <w:szCs w:val="18"/>
              </w:rPr>
            </w:pPr>
            <w:r>
              <w:rPr>
                <w:rFonts w:ascii="Times New Roman"/>
                <w:sz w:val="18"/>
              </w:rPr>
              <w:t>18.25%</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97,403,40</w:t>
            </w:r>
          </w:p>
          <w:p>
            <w:pPr>
              <w:pStyle w:val="TableParagraph"/>
              <w:spacing w:line="240" w:lineRule="auto" w:before="106"/>
              <w:ind w:left="442" w:right="0"/>
              <w:jc w:val="left"/>
              <w:rPr>
                <w:rFonts w:ascii="Times New Roman" w:hAnsi="Times New Roman" w:cs="Times New Roman" w:eastAsia="Times New Roman" w:hint="default"/>
                <w:sz w:val="18"/>
                <w:szCs w:val="18"/>
              </w:rPr>
            </w:pPr>
            <w:r>
              <w:rPr>
                <w:rFonts w:ascii="Times New Roman"/>
                <w:sz w:val="18"/>
              </w:rPr>
              <w:t>8.00</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0" w:right="0"/>
              <w:jc w:val="left"/>
              <w:rPr>
                <w:rFonts w:ascii="Times New Roman" w:hAnsi="Times New Roman" w:cs="Times New Roman" w:eastAsia="Times New Roman" w:hint="default"/>
                <w:sz w:val="18"/>
                <w:szCs w:val="18"/>
              </w:rPr>
            </w:pPr>
            <w:r>
              <w:rPr>
                <w:rFonts w:ascii="Times New Roman"/>
                <w:sz w:val="18"/>
              </w:rPr>
              <w:t>81,589,</w:t>
            </w:r>
          </w:p>
          <w:p>
            <w:pPr>
              <w:pStyle w:val="TableParagraph"/>
              <w:spacing w:line="240" w:lineRule="auto" w:before="106"/>
              <w:ind w:left="125" w:right="0"/>
              <w:jc w:val="left"/>
              <w:rPr>
                <w:rFonts w:ascii="Times New Roman" w:hAnsi="Times New Roman" w:cs="Times New Roman" w:eastAsia="Times New Roman" w:hint="default"/>
                <w:sz w:val="18"/>
                <w:szCs w:val="18"/>
              </w:rPr>
            </w:pPr>
            <w:r>
              <w:rPr>
                <w:rFonts w:ascii="Times New Roman"/>
                <w:sz w:val="18"/>
              </w:rPr>
              <w:t>756.50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0" w:right="0"/>
              <w:jc w:val="left"/>
              <w:rPr>
                <w:rFonts w:ascii="Times New Roman" w:hAnsi="Times New Roman" w:cs="Times New Roman" w:eastAsia="Times New Roman" w:hint="default"/>
                <w:sz w:val="18"/>
                <w:szCs w:val="18"/>
              </w:rPr>
            </w:pPr>
            <w:r>
              <w:rPr>
                <w:rFonts w:ascii="Times New Roman"/>
                <w:sz w:val="18"/>
              </w:rPr>
              <w:t>14,540,98</w:t>
            </w:r>
          </w:p>
          <w:p>
            <w:pPr>
              <w:pStyle w:val="TableParagraph"/>
              <w:spacing w:line="240" w:lineRule="auto" w:before="106"/>
              <w:ind w:left="466" w:right="0"/>
              <w:jc w:val="left"/>
              <w:rPr>
                <w:rFonts w:ascii="Times New Roman" w:hAnsi="Times New Roman" w:cs="Times New Roman" w:eastAsia="Times New Roman" w:hint="default"/>
                <w:sz w:val="18"/>
                <w:szCs w:val="18"/>
              </w:rPr>
            </w:pPr>
            <w:r>
              <w:rPr>
                <w:rFonts w:ascii="Times New Roman"/>
                <w:sz w:val="18"/>
              </w:rPr>
              <w:t>5.13</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45" w:right="0"/>
              <w:jc w:val="left"/>
              <w:rPr>
                <w:rFonts w:ascii="Times New Roman" w:hAnsi="Times New Roman" w:cs="Times New Roman" w:eastAsia="Times New Roman" w:hint="default"/>
                <w:sz w:val="18"/>
                <w:szCs w:val="18"/>
              </w:rPr>
            </w:pPr>
            <w:r>
              <w:rPr>
                <w:rFonts w:ascii="Times New Roman"/>
                <w:sz w:val="18"/>
              </w:rPr>
              <w:t>17.82%</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67,048,771.</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37</w:t>
            </w:r>
          </w:p>
        </w:tc>
      </w:tr>
      <w:tr>
        <w:trPr>
          <w:trHeight w:val="1026" w:hRule="exact"/>
        </w:trPr>
        <w:tc>
          <w:tcPr>
            <w:tcW w:w="16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48"/>
              <w:jc w:val="both"/>
              <w:rPr>
                <w:rFonts w:ascii="宋体" w:hAnsi="宋体" w:cs="宋体" w:eastAsia="宋体" w:hint="default"/>
                <w:sz w:val="18"/>
                <w:szCs w:val="18"/>
              </w:rPr>
            </w:pPr>
            <w:r>
              <w:rPr>
                <w:rFonts w:ascii="宋体" w:hAnsi="宋体" w:cs="宋体" w:eastAsia="宋体" w:hint="default"/>
                <w:sz w:val="18"/>
                <w:szCs w:val="18"/>
              </w:rPr>
              <w:t>单项金额不重大但 单独计提坏账准备 的其他应收款</w:t>
            </w:r>
          </w:p>
        </w:tc>
        <w:tc>
          <w:tcPr>
            <w:tcW w:w="77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248,735.</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60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0.21%</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248,735.</w:t>
            </w:r>
          </w:p>
          <w:p>
            <w:pPr>
              <w:pStyle w:val="TableParagraph"/>
              <w:spacing w:line="240" w:lineRule="auto" w:before="106"/>
              <w:ind w:right="22"/>
              <w:jc w:val="right"/>
              <w:rPr>
                <w:rFonts w:ascii="Times New Roman" w:hAnsi="Times New Roman" w:cs="Times New Roman" w:eastAsia="Times New Roman" w:hint="default"/>
                <w:sz w:val="18"/>
                <w:szCs w:val="18"/>
              </w:rPr>
            </w:pPr>
            <w:r>
              <w:rPr>
                <w:rFonts w:ascii="Times New Roman"/>
                <w:sz w:val="18"/>
              </w:rPr>
              <w:t>60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3" w:right="0"/>
              <w:jc w:val="center"/>
              <w:rPr>
                <w:rFonts w:ascii="Times New Roman" w:hAnsi="Times New Roman" w:cs="Times New Roman" w:eastAsia="Times New Roman" w:hint="default"/>
                <w:sz w:val="18"/>
                <w:szCs w:val="18"/>
              </w:rPr>
            </w:pPr>
            <w:r>
              <w:rPr>
                <w:rFonts w:ascii="Times New Roman"/>
                <w:sz w:val="18"/>
              </w:rPr>
              <w:t>100.00%</w:t>
            </w:r>
          </w:p>
        </w:tc>
        <w:tc>
          <w:tcPr>
            <w:tcW w:w="790" w:type="dxa"/>
            <w:tcBorders>
              <w:top w:val="single" w:sz="4" w:space="0" w:color="000000"/>
              <w:left w:val="single" w:sz="4" w:space="0" w:color="000000"/>
              <w:bottom w:val="single" w:sz="4" w:space="0" w:color="000000"/>
              <w:right w:val="single" w:sz="4" w:space="0" w:color="000000"/>
            </w:tcBorders>
          </w:tcPr>
          <w:p>
            <w:pPr/>
          </w:p>
        </w:tc>
        <w:tc>
          <w:tcPr>
            <w:tcW w:w="654"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813"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611" w:type="dxa"/>
            <w:tcBorders>
              <w:top w:val="single" w:sz="4" w:space="0" w:color="000000"/>
              <w:left w:val="single" w:sz="4" w:space="0" w:color="000000"/>
              <w:bottom w:val="nil" w:sz="6" w:space="0" w:color="auto"/>
              <w:right w:val="single" w:sz="4" w:space="0" w:color="000000"/>
            </w:tcBorders>
            <w:shd w:val="clear" w:color="auto" w:fill="D2D2D2"/>
          </w:tcPr>
          <w:p>
            <w:pPr/>
          </w:p>
        </w:tc>
        <w:tc>
          <w:tcPr>
            <w:tcW w:w="775" w:type="dxa"/>
            <w:vMerge w:val="restart"/>
            <w:tcBorders>
              <w:top w:val="single" w:sz="4" w:space="0" w:color="000000"/>
              <w:left w:val="single" w:sz="9" w:space="0" w:color="D2D2D2"/>
              <w:right w:val="single" w:sz="4" w:space="0" w:color="000000"/>
            </w:tcBorders>
          </w:tcPr>
          <w:p>
            <w:pPr>
              <w:pStyle w:val="TableParagraph"/>
              <w:spacing w:line="240" w:lineRule="auto" w:before="91"/>
              <w:ind w:left="88" w:right="0"/>
              <w:jc w:val="center"/>
              <w:rPr>
                <w:rFonts w:ascii="Times New Roman" w:hAnsi="Times New Roman" w:cs="Times New Roman" w:eastAsia="Times New Roman" w:hint="default"/>
                <w:sz w:val="18"/>
                <w:szCs w:val="18"/>
              </w:rPr>
            </w:pPr>
            <w:r>
              <w:rPr>
                <w:rFonts w:ascii="Times New Roman"/>
                <w:sz w:val="18"/>
              </w:rPr>
              <w:t>119,391,</w:t>
            </w:r>
          </w:p>
          <w:p>
            <w:pPr>
              <w:pStyle w:val="TableParagraph"/>
              <w:spacing w:line="240" w:lineRule="auto" w:before="106"/>
              <w:ind w:left="217" w:right="0"/>
              <w:jc w:val="center"/>
              <w:rPr>
                <w:rFonts w:ascii="Times New Roman" w:hAnsi="Times New Roman" w:cs="Times New Roman" w:eastAsia="Times New Roman" w:hint="default"/>
                <w:sz w:val="18"/>
                <w:szCs w:val="18"/>
              </w:rPr>
            </w:pPr>
            <w:r>
              <w:rPr>
                <w:rFonts w:ascii="Times New Roman"/>
                <w:sz w:val="18"/>
              </w:rPr>
              <w:t>890.87</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21,988,4</w:t>
            </w:r>
          </w:p>
          <w:p>
            <w:pPr>
              <w:pStyle w:val="TableParagraph"/>
              <w:spacing w:line="240" w:lineRule="auto" w:before="106"/>
              <w:ind w:left="323" w:right="0"/>
              <w:jc w:val="left"/>
              <w:rPr>
                <w:rFonts w:ascii="Times New Roman" w:hAnsi="Times New Roman" w:cs="Times New Roman" w:eastAsia="Times New Roman" w:hint="default"/>
                <w:sz w:val="18"/>
                <w:szCs w:val="18"/>
              </w:rPr>
            </w:pPr>
            <w:r>
              <w:rPr>
                <w:rFonts w:ascii="Times New Roman"/>
                <w:sz w:val="18"/>
              </w:rPr>
              <w:t>82.87</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75" w:right="0"/>
              <w:jc w:val="left"/>
              <w:rPr>
                <w:rFonts w:ascii="Times New Roman" w:hAnsi="Times New Roman" w:cs="Times New Roman" w:eastAsia="Times New Roman" w:hint="default"/>
                <w:sz w:val="18"/>
                <w:szCs w:val="18"/>
              </w:rPr>
            </w:pPr>
            <w:r>
              <w:rPr>
                <w:rFonts w:ascii="Times New Roman"/>
                <w:sz w:val="18"/>
              </w:rPr>
              <w:t>18.42%</w:t>
            </w:r>
          </w:p>
        </w:tc>
        <w:tc>
          <w:tcPr>
            <w:tcW w:w="790" w:type="dxa"/>
            <w:vMerge w:val="restart"/>
            <w:tcBorders>
              <w:top w:val="single" w:sz="4" w:space="0" w:color="000000"/>
              <w:left w:val="single" w:sz="4" w:space="0" w:color="000000"/>
              <w:right w:val="single" w:sz="4" w:space="0" w:color="000000"/>
            </w:tcBorders>
          </w:tcPr>
          <w:p>
            <w:pPr>
              <w:pStyle w:val="TableParagraph"/>
              <w:spacing w:line="240" w:lineRule="auto" w:before="91"/>
              <w:ind w:left="37" w:right="0"/>
              <w:jc w:val="left"/>
              <w:rPr>
                <w:rFonts w:ascii="Times New Roman" w:hAnsi="Times New Roman" w:cs="Times New Roman" w:eastAsia="Times New Roman" w:hint="default"/>
                <w:sz w:val="18"/>
                <w:szCs w:val="18"/>
              </w:rPr>
            </w:pPr>
            <w:r>
              <w:rPr>
                <w:rFonts w:ascii="Times New Roman"/>
                <w:sz w:val="18"/>
              </w:rPr>
              <w:t>97,403,40</w:t>
            </w:r>
          </w:p>
          <w:p>
            <w:pPr>
              <w:pStyle w:val="TableParagraph"/>
              <w:spacing w:line="240" w:lineRule="auto" w:before="106"/>
              <w:ind w:left="442" w:right="0"/>
              <w:jc w:val="left"/>
              <w:rPr>
                <w:rFonts w:ascii="Times New Roman" w:hAnsi="Times New Roman" w:cs="Times New Roman" w:eastAsia="Times New Roman" w:hint="default"/>
                <w:sz w:val="18"/>
                <w:szCs w:val="18"/>
              </w:rPr>
            </w:pPr>
            <w:r>
              <w:rPr>
                <w:rFonts w:ascii="Times New Roman"/>
                <w:sz w:val="18"/>
              </w:rPr>
              <w:t>8.00</w:t>
            </w:r>
          </w:p>
        </w:tc>
        <w:tc>
          <w:tcPr>
            <w:tcW w:w="654" w:type="dxa"/>
            <w:vMerge w:val="restart"/>
            <w:tcBorders>
              <w:top w:val="single" w:sz="4" w:space="0" w:color="000000"/>
              <w:left w:val="single" w:sz="4" w:space="0" w:color="000000"/>
              <w:right w:val="single" w:sz="4" w:space="0" w:color="000000"/>
            </w:tcBorders>
          </w:tcPr>
          <w:p>
            <w:pPr>
              <w:pStyle w:val="TableParagraph"/>
              <w:spacing w:line="240" w:lineRule="auto" w:before="91"/>
              <w:ind w:left="80" w:right="0"/>
              <w:jc w:val="left"/>
              <w:rPr>
                <w:rFonts w:ascii="Times New Roman" w:hAnsi="Times New Roman" w:cs="Times New Roman" w:eastAsia="Times New Roman" w:hint="default"/>
                <w:sz w:val="18"/>
                <w:szCs w:val="18"/>
              </w:rPr>
            </w:pPr>
            <w:r>
              <w:rPr>
                <w:rFonts w:ascii="Times New Roman"/>
                <w:sz w:val="18"/>
              </w:rPr>
              <w:t>81,589,</w:t>
            </w:r>
          </w:p>
          <w:p>
            <w:pPr>
              <w:pStyle w:val="TableParagraph"/>
              <w:spacing w:line="240" w:lineRule="auto" w:before="106"/>
              <w:ind w:left="125" w:right="0"/>
              <w:jc w:val="left"/>
              <w:rPr>
                <w:rFonts w:ascii="Times New Roman" w:hAnsi="Times New Roman" w:cs="Times New Roman" w:eastAsia="Times New Roman" w:hint="default"/>
                <w:sz w:val="18"/>
                <w:szCs w:val="18"/>
              </w:rPr>
            </w:pPr>
            <w:r>
              <w:rPr>
                <w:rFonts w:ascii="Times New Roman"/>
                <w:sz w:val="18"/>
              </w:rPr>
              <w:t>756.50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vMerge w:val="restart"/>
            <w:tcBorders>
              <w:top w:val="single" w:sz="4" w:space="0" w:color="000000"/>
              <w:left w:val="single" w:sz="4" w:space="0" w:color="000000"/>
              <w:right w:val="single" w:sz="4" w:space="0" w:color="000000"/>
            </w:tcBorders>
          </w:tcPr>
          <w:p>
            <w:pPr>
              <w:pStyle w:val="TableParagraph"/>
              <w:spacing w:line="240" w:lineRule="auto" w:before="91"/>
              <w:ind w:left="60" w:right="0"/>
              <w:jc w:val="left"/>
              <w:rPr>
                <w:rFonts w:ascii="Times New Roman" w:hAnsi="Times New Roman" w:cs="Times New Roman" w:eastAsia="Times New Roman" w:hint="default"/>
                <w:sz w:val="18"/>
                <w:szCs w:val="18"/>
              </w:rPr>
            </w:pPr>
            <w:r>
              <w:rPr>
                <w:rFonts w:ascii="Times New Roman"/>
                <w:sz w:val="18"/>
              </w:rPr>
              <w:t>14,540,98</w:t>
            </w:r>
          </w:p>
          <w:p>
            <w:pPr>
              <w:pStyle w:val="TableParagraph"/>
              <w:spacing w:line="240" w:lineRule="auto" w:before="106"/>
              <w:ind w:left="466" w:right="0"/>
              <w:jc w:val="left"/>
              <w:rPr>
                <w:rFonts w:ascii="Times New Roman" w:hAnsi="Times New Roman" w:cs="Times New Roman" w:eastAsia="Times New Roman" w:hint="default"/>
                <w:sz w:val="18"/>
                <w:szCs w:val="18"/>
              </w:rPr>
            </w:pPr>
            <w:r>
              <w:rPr>
                <w:rFonts w:ascii="Times New Roman"/>
                <w:sz w:val="18"/>
              </w:rPr>
              <w:t>5.13</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45" w:right="0"/>
              <w:jc w:val="left"/>
              <w:rPr>
                <w:rFonts w:ascii="Times New Roman" w:hAnsi="Times New Roman" w:cs="Times New Roman" w:eastAsia="Times New Roman" w:hint="default"/>
                <w:sz w:val="18"/>
                <w:szCs w:val="18"/>
              </w:rPr>
            </w:pPr>
            <w:r>
              <w:rPr>
                <w:rFonts w:ascii="Times New Roman"/>
                <w:sz w:val="18"/>
              </w:rPr>
              <w:t>17.82%</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67,048,771.</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37</w:t>
            </w:r>
          </w:p>
        </w:tc>
      </w:tr>
      <w:tr>
        <w:trPr>
          <w:trHeight w:val="392" w:hRule="exact"/>
        </w:trPr>
        <w:tc>
          <w:tcPr>
            <w:tcW w:w="161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75" w:type="dxa"/>
            <w:vMerge/>
            <w:tcBorders>
              <w:left w:val="single" w:sz="9" w:space="0" w:color="D2D2D2"/>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90" w:type="dxa"/>
            <w:vMerge/>
            <w:tcBorders>
              <w:left w:val="single" w:sz="4" w:space="0" w:color="000000"/>
              <w:right w:val="single" w:sz="4" w:space="0" w:color="000000"/>
            </w:tcBorders>
          </w:tcPr>
          <w:p>
            <w:pPr/>
          </w:p>
        </w:tc>
        <w:tc>
          <w:tcPr>
            <w:tcW w:w="654"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813"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r>
      <w:tr>
        <w:trPr>
          <w:trHeight w:val="161" w:hRule="exact"/>
        </w:trPr>
        <w:tc>
          <w:tcPr>
            <w:tcW w:w="1611" w:type="dxa"/>
            <w:tcBorders>
              <w:top w:val="nil" w:sz="6" w:space="0" w:color="auto"/>
              <w:left w:val="single" w:sz="4" w:space="0" w:color="000000"/>
              <w:bottom w:val="single" w:sz="4" w:space="0" w:color="000000"/>
              <w:right w:val="single" w:sz="4" w:space="0" w:color="000000"/>
            </w:tcBorders>
            <w:shd w:val="clear" w:color="auto" w:fill="D2D2D2"/>
          </w:tcPr>
          <w:p>
            <w:pPr/>
          </w:p>
        </w:tc>
        <w:tc>
          <w:tcPr>
            <w:tcW w:w="775" w:type="dxa"/>
            <w:vMerge/>
            <w:tcBorders>
              <w:left w:val="single" w:sz="9" w:space="0" w:color="D2D2D2"/>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90" w:type="dxa"/>
            <w:vMerge/>
            <w:tcBorders>
              <w:left w:val="single" w:sz="4" w:space="0" w:color="000000"/>
              <w:bottom w:val="single" w:sz="4" w:space="0" w:color="000000"/>
              <w:right w:val="single" w:sz="4" w:space="0" w:color="000000"/>
            </w:tcBorders>
          </w:tcPr>
          <w:p>
            <w:pPr/>
          </w:p>
        </w:tc>
        <w:tc>
          <w:tcPr>
            <w:tcW w:w="654"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813"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13"/>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747" w:footer="979" w:top="1060" w:bottom="1160" w:left="0" w:right="0"/>
        </w:sectPr>
      </w:pPr>
    </w:p>
    <w:p>
      <w:pPr>
        <w:pStyle w:val="BodyText"/>
        <w:spacing w:line="240" w:lineRule="auto" w:before="44"/>
        <w:ind w:right="-19"/>
        <w:jc w:val="left"/>
      </w:pPr>
      <w:r>
        <w:rPr/>
        <w:t>期末单项金额重大并单项计提坏账准备的其他应收款：</w:t>
      </w:r>
    </w:p>
    <w:p>
      <w:pPr>
        <w:pStyle w:val="BodyText"/>
        <w:spacing w:line="340" w:lineRule="auto" w:before="116"/>
        <w:ind w:right="16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组合中，按账龄分析法计提坏账准备的其他应收款：</w:t>
      </w:r>
    </w:p>
    <w:p>
      <w:pPr>
        <w:pStyle w:val="BodyText"/>
        <w:spacing w:line="240" w:lineRule="auto" w:before="40"/>
        <w:ind w:left="1134" w:right="-1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3"/>
        <w:rPr>
          <w:rFonts w:ascii="宋体" w:hAnsi="宋体" w:cs="宋体" w:eastAsia="宋体" w:hint="default"/>
          <w:sz w:val="20"/>
          <w:szCs w:val="20"/>
        </w:rPr>
      </w:pPr>
    </w:p>
    <w:p>
      <w:pPr>
        <w:pStyle w:val="BodyText"/>
        <w:spacing w:line="240" w:lineRule="auto"/>
        <w:ind w:left="1113" w:right="1112"/>
        <w:jc w:val="center"/>
      </w:pPr>
      <w:r>
        <w:rPr/>
        <w:t>单位： 元</w:t>
      </w:r>
    </w:p>
    <w:p>
      <w:pPr>
        <w:spacing w:after="0" w:line="240" w:lineRule="auto"/>
        <w:jc w:val="center"/>
        <w:sectPr>
          <w:type w:val="continuous"/>
          <w:pgSz w:w="11910" w:h="16840"/>
          <w:pgMar w:top="1060" w:bottom="1160" w:left="0" w:right="0"/>
          <w:cols w:num="2" w:equalWidth="0">
            <w:col w:w="5455" w:space="3375"/>
            <w:col w:w="3080"/>
          </w:cols>
        </w:sectPr>
      </w:pPr>
    </w:p>
    <w:p>
      <w:pPr>
        <w:spacing w:line="240" w:lineRule="auto" w:before="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2374"/>
        <w:gridCol w:w="2399"/>
        <w:gridCol w:w="2392"/>
        <w:gridCol w:w="2392"/>
      </w:tblGrid>
      <w:tr>
        <w:trPr>
          <w:trHeight w:val="205" w:hRule="exact"/>
        </w:trPr>
        <w:tc>
          <w:tcPr>
            <w:tcW w:w="2374" w:type="dxa"/>
            <w:tcBorders>
              <w:top w:val="single" w:sz="4" w:space="0" w:color="000000"/>
              <w:left w:val="single" w:sz="4" w:space="0" w:color="000000"/>
              <w:bottom w:val="nil" w:sz="6" w:space="0" w:color="auto"/>
              <w:right w:val="single" w:sz="4" w:space="0" w:color="000000"/>
            </w:tcBorders>
            <w:shd w:val="clear" w:color="auto" w:fill="D2D2D2"/>
          </w:tcPr>
          <w:p>
            <w:pPr/>
          </w:p>
        </w:tc>
        <w:tc>
          <w:tcPr>
            <w:tcW w:w="7183"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6"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2" w:hRule="exact"/>
        </w:trPr>
        <w:tc>
          <w:tcPr>
            <w:tcW w:w="237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3"/>
              <w:jc w:val="center"/>
              <w:rPr>
                <w:rFonts w:ascii="宋体" w:hAnsi="宋体" w:cs="宋体" w:eastAsia="宋体" w:hint="default"/>
                <w:sz w:val="18"/>
                <w:szCs w:val="18"/>
              </w:rPr>
            </w:pPr>
            <w:r>
              <w:rPr>
                <w:rFonts w:ascii="宋体" w:hAnsi="宋体" w:cs="宋体" w:eastAsia="宋体" w:hint="default"/>
                <w:sz w:val="18"/>
                <w:szCs w:val="18"/>
              </w:rPr>
              <w:t>账龄</w:t>
            </w:r>
          </w:p>
        </w:tc>
        <w:tc>
          <w:tcPr>
            <w:tcW w:w="7183" w:type="dxa"/>
            <w:gridSpan w:val="3"/>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2374" w:type="dxa"/>
            <w:vMerge/>
            <w:tcBorders>
              <w:left w:val="single" w:sz="4" w:space="0" w:color="000000"/>
              <w:bottom w:val="nil" w:sz="6" w:space="0" w:color="auto"/>
              <w:right w:val="single" w:sz="4" w:space="0" w:color="000000"/>
            </w:tcBorders>
            <w:shd w:val="clear" w:color="auto" w:fill="D2D2D2"/>
          </w:tcPr>
          <w:p>
            <w:pPr/>
          </w:p>
        </w:tc>
        <w:tc>
          <w:tcPr>
            <w:tcW w:w="239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747"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211" w:hRule="exact"/>
        </w:trPr>
        <w:tc>
          <w:tcPr>
            <w:tcW w:w="2374"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9" w:type="dxa"/>
            <w:vMerge/>
            <w:tcBorders>
              <w:left w:val="single" w:sz="4" w:space="0" w:color="000000"/>
              <w:bottom w:val="single" w:sz="4" w:space="0" w:color="000000"/>
              <w:right w:val="single" w:sz="4" w:space="0" w:color="000000"/>
            </w:tcBorders>
            <w:shd w:val="clear" w:color="auto" w:fill="D2D2D2"/>
          </w:tcPr>
          <w:p>
            <w:pPr/>
          </w:p>
        </w:tc>
        <w:tc>
          <w:tcPr>
            <w:tcW w:w="2392" w:type="dxa"/>
            <w:vMerge/>
            <w:tcBorders>
              <w:left w:val="single" w:sz="4" w:space="0" w:color="000000"/>
              <w:bottom w:val="single" w:sz="4" w:space="0" w:color="000000"/>
              <w:right w:val="single" w:sz="4" w:space="0" w:color="000000"/>
            </w:tcBorders>
            <w:shd w:val="clear" w:color="auto" w:fill="D2D2D2"/>
          </w:tcPr>
          <w:p>
            <w:pPr/>
          </w:p>
        </w:tc>
        <w:tc>
          <w:tcPr>
            <w:tcW w:w="2392" w:type="dxa"/>
            <w:vMerge/>
            <w:tcBorders>
              <w:left w:val="single" w:sz="4" w:space="0" w:color="000000"/>
              <w:bottom w:val="single" w:sz="4" w:space="0" w:color="000000"/>
              <w:right w:val="single" w:sz="4" w:space="0" w:color="000000"/>
            </w:tcBorders>
            <w:shd w:val="clear" w:color="auto" w:fill="D2D2D2"/>
          </w:tcPr>
          <w:p>
            <w:pPr/>
          </w:p>
        </w:tc>
      </w:tr>
      <w:tr>
        <w:trPr>
          <w:trHeight w:val="397" w:hRule="exact"/>
        </w:trPr>
        <w:tc>
          <w:tcPr>
            <w:tcW w:w="9557"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3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39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77,479,031.86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3,873,951.59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23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16,719,856.49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1,671,985.65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23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12,500,652.71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3,750,195.82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30.00%</w:t>
            </w:r>
          </w:p>
        </w:tc>
      </w:tr>
      <w:tr>
        <w:trPr>
          <w:trHeight w:val="402" w:hRule="exact"/>
        </w:trPr>
        <w:tc>
          <w:tcPr>
            <w:tcW w:w="23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9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12,443,614.21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12,443,614.21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23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119,143,155.27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21,739,747.27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18.25%</w:t>
            </w:r>
          </w:p>
        </w:tc>
      </w:tr>
    </w:tbl>
    <w:p>
      <w:pPr>
        <w:pStyle w:val="BodyText"/>
        <w:spacing w:line="357" w:lineRule="auto" w:before="51"/>
        <w:ind w:left="1557" w:right="0" w:hanging="424"/>
        <w:jc w:val="left"/>
      </w:pPr>
      <w:r>
        <w:rPr/>
        <w:t>确定该组合依据的说明： 已单独计提减值准备的其他应收款除外，公司根据以前年度与之相同或相类似的、按账龄段划分的具有类似信用风险</w:t>
      </w:r>
    </w:p>
    <w:p>
      <w:pPr>
        <w:pStyle w:val="BodyText"/>
        <w:spacing w:line="224" w:lineRule="exact"/>
        <w:ind w:right="0"/>
        <w:jc w:val="left"/>
      </w:pPr>
      <w:r>
        <w:rPr/>
        <w:t>特征的其他应收款组合的实际损失率为基础，结合现时情况分析法确定坏账准备计提的比例。</w:t>
      </w:r>
    </w:p>
    <w:p>
      <w:pPr>
        <w:pStyle w:val="BodyText"/>
        <w:spacing w:line="240" w:lineRule="auto" w:before="117"/>
        <w:ind w:right="0"/>
        <w:jc w:val="left"/>
      </w:pPr>
      <w:r>
        <w:rPr/>
        <w:t>组合中，采用余额百分比法计提坏账准备的其他应收款：</w:t>
      </w:r>
    </w:p>
    <w:p>
      <w:pPr>
        <w:pStyle w:val="BodyText"/>
        <w:spacing w:line="340" w:lineRule="auto" w:before="116"/>
        <w:ind w:right="66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组合中，采用其他方法计提坏账准备的其他应收款：</w:t>
      </w:r>
    </w:p>
    <w:p>
      <w:pPr>
        <w:pStyle w:val="BodyText"/>
        <w:spacing w:line="240" w:lineRule="auto" w:before="41"/>
        <w:ind w:left="113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2）本期计提、收回或转回的坏账准备情况" w:id="240"/>
      <w:bookmarkEnd w:id="240"/>
      <w:r>
        <w:rPr>
          <w:b w:val="0"/>
          <w:bCs w:val="0"/>
        </w:rPr>
      </w: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4"/>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type w:val="continuous"/>
          <w:pgSz w:w="11910" w:h="16840"/>
          <w:pgMar w:top="1060" w:bottom="1160" w:left="0" w:right="0"/>
        </w:sectPr>
      </w:pPr>
    </w:p>
    <w:p>
      <w:pPr>
        <w:pStyle w:val="BodyText"/>
        <w:spacing w:line="338" w:lineRule="auto" w:before="44"/>
        <w:ind w:right="-12"/>
        <w:jc w:val="left"/>
      </w:pPr>
      <w:r>
        <w:rPr/>
        <w:t>本期计提坏账准备金额</w:t>
      </w:r>
      <w:r>
        <w:rPr>
          <w:spacing w:val="-47"/>
        </w:rPr>
        <w:t> </w:t>
      </w:r>
      <w:r>
        <w:rPr>
          <w:rFonts w:ascii="Times New Roman" w:hAnsi="Times New Roman" w:cs="Times New Roman" w:eastAsia="Times New Roman" w:hint="default"/>
        </w:rPr>
        <w:t>7,448,470.56</w:t>
      </w:r>
      <w:r>
        <w:rPr>
          <w:rFonts w:ascii="Times New Roman" w:hAnsi="Times New Roman" w:cs="Times New Roman" w:eastAsia="Times New Roman" w:hint="default"/>
          <w:spacing w:val="-2"/>
        </w:rPr>
        <w:t> </w:t>
      </w:r>
      <w:r>
        <w:rPr/>
        <w:t>元；本期收回或转回坏账准备金额</w:t>
      </w:r>
      <w:r>
        <w:rPr>
          <w:spacing w:val="-47"/>
        </w:rPr>
        <w:t> </w:t>
      </w:r>
      <w:r>
        <w:rPr>
          <w:rFonts w:ascii="Times New Roman" w:hAnsi="Times New Roman" w:cs="Times New Roman" w:eastAsia="Times New Roman" w:hint="default"/>
        </w:rPr>
        <w:t>0.00</w:t>
      </w:r>
      <w:r>
        <w:rPr>
          <w:rFonts w:ascii="Times New Roman" w:hAnsi="Times New Roman" w:cs="Times New Roman" w:eastAsia="Times New Roman" w:hint="default"/>
          <w:spacing w:val="-2"/>
        </w:rPr>
        <w:t> </w:t>
      </w:r>
      <w:r>
        <w:rPr/>
        <w:t>元。 其中本期坏账准备转回或收回金额重要的：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ind w:left="1113" w:right="1112"/>
        <w:jc w:val="center"/>
      </w:pPr>
      <w:r>
        <w:rPr/>
        <w:t>单位： 元</w:t>
      </w:r>
    </w:p>
    <w:p>
      <w:pPr>
        <w:spacing w:after="0" w:line="240" w:lineRule="auto"/>
        <w:jc w:val="center"/>
        <w:sectPr>
          <w:type w:val="continuous"/>
          <w:pgSz w:w="11910" w:h="16840"/>
          <w:pgMar w:top="1060" w:bottom="1160" w:left="0" w:right="0"/>
          <w:cols w:num="2" w:equalWidth="0">
            <w:col w:w="7434" w:space="1395"/>
            <w:col w:w="3081"/>
          </w:cols>
        </w:sectPr>
      </w:pP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3188"/>
        <w:gridCol w:w="3191"/>
        <w:gridCol w:w="3180"/>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60" w:right="0"/>
              <w:jc w:val="left"/>
              <w:rPr>
                <w:rFonts w:ascii="宋体" w:hAnsi="宋体" w:cs="宋体" w:eastAsia="宋体" w:hint="default"/>
                <w:sz w:val="18"/>
                <w:szCs w:val="18"/>
              </w:rPr>
            </w:pPr>
            <w:r>
              <w:rPr>
                <w:rFonts w:ascii="宋体" w:hAnsi="宋体" w:cs="宋体" w:eastAsia="宋体" w:hint="default"/>
                <w:sz w:val="18"/>
                <w:szCs w:val="18"/>
              </w:rPr>
              <w:t>转回或收回金额</w:t>
            </w:r>
          </w:p>
        </w:tc>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spacing w:line="240" w:lineRule="auto" w:before="2"/>
        <w:rPr>
          <w:rFonts w:ascii="宋体" w:hAnsi="宋体" w:cs="宋体" w:eastAsia="宋体" w:hint="default"/>
          <w:sz w:val="19"/>
          <w:szCs w:val="19"/>
        </w:rPr>
      </w:pPr>
    </w:p>
    <w:p>
      <w:pPr>
        <w:pStyle w:val="Heading3"/>
        <w:spacing w:line="240" w:lineRule="auto" w:before="35"/>
        <w:ind w:left="1134" w:right="0"/>
        <w:jc w:val="left"/>
        <w:rPr>
          <w:b w:val="0"/>
          <w:bCs w:val="0"/>
        </w:rPr>
      </w:pPr>
      <w:bookmarkStart w:name="（3）本期实际核销的其他应收款情况" w:id="241"/>
      <w:bookmarkEnd w:id="241"/>
      <w:r>
        <w:rPr>
          <w:b w:val="0"/>
          <w:bCs w:val="0"/>
        </w:rPr>
      </w:r>
      <w:r>
        <w:rPr/>
        <w:t>（</w:t>
      </w:r>
      <w:r>
        <w:rPr>
          <w:rFonts w:ascii="Times New Roman" w:hAnsi="Times New Roman" w:cs="Times New Roman" w:eastAsia="Times New Roman" w:hint="default"/>
        </w:rPr>
        <w:t>3</w:t>
      </w:r>
      <w:r>
        <w:rPr/>
        <w:t>）本期实际核销的其他应收款情况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4780"/>
        <w:gridCol w:w="4788"/>
      </w:tblGrid>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r>
        <w:trPr>
          <w:trHeight w:val="402" w:hRule="exact"/>
        </w:trPr>
        <w:tc>
          <w:tcPr>
            <w:tcW w:w="4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实际核销的其他应收款</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972.82</w:t>
            </w:r>
          </w:p>
        </w:tc>
      </w:tr>
    </w:tbl>
    <w:p>
      <w:pPr>
        <w:pStyle w:val="BodyText"/>
        <w:spacing w:line="240" w:lineRule="auto" w:before="51"/>
        <w:ind w:left="1134" w:right="0"/>
        <w:jc w:val="left"/>
      </w:pPr>
      <w:r>
        <w:rPr/>
        <w:t>其中重要的其他应收款核销情况：</w:t>
      </w:r>
    </w:p>
    <w:p>
      <w:pPr>
        <w:pStyle w:val="BodyText"/>
        <w:spacing w:line="240" w:lineRule="auto" w:before="117"/>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594"/>
        <w:gridCol w:w="1595"/>
        <w:gridCol w:w="1594"/>
        <w:gridCol w:w="1594"/>
        <w:gridCol w:w="1596"/>
        <w:gridCol w:w="1595"/>
      </w:tblGrid>
      <w:tr>
        <w:trPr>
          <w:trHeight w:val="71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其他应收款性质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521" w:right="71" w:hanging="450"/>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96"/>
              <w:jc w:val="center"/>
              <w:rPr>
                <w:rFonts w:ascii="宋体" w:hAnsi="宋体" w:cs="宋体" w:eastAsia="宋体" w:hint="default"/>
                <w:sz w:val="18"/>
                <w:szCs w:val="18"/>
              </w:rPr>
            </w:pPr>
            <w:r>
              <w:rPr>
                <w:rFonts w:ascii="宋体" w:hAnsi="宋体" w:cs="宋体" w:eastAsia="宋体" w:hint="default"/>
                <w:sz w:val="18"/>
                <w:szCs w:val="18"/>
              </w:rPr>
              <w:t>广州市镁图办公设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押金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972.82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不再退还</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审批</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type w:val="continuous"/>
          <w:pgSz w:w="11910" w:h="16840"/>
          <w:pgMar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1594"/>
        <w:gridCol w:w="1595"/>
        <w:gridCol w:w="1594"/>
        <w:gridCol w:w="1594"/>
        <w:gridCol w:w="1596"/>
        <w:gridCol w:w="1595"/>
      </w:tblGrid>
      <w:tr>
        <w:trPr>
          <w:trHeight w:val="36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备有限公司</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9" w:space="0" w:color="D2D2D2"/>
            </w:tcBorders>
          </w:tcPr>
          <w:p>
            <w:pPr>
              <w:pStyle w:val="TableParagraph"/>
              <w:spacing w:line="240" w:lineRule="auto" w:before="91"/>
              <w:ind w:right="13"/>
              <w:jc w:val="right"/>
              <w:rPr>
                <w:rFonts w:ascii="Times New Roman" w:hAnsi="Times New Roman" w:cs="Times New Roman" w:eastAsia="Times New Roman" w:hint="default"/>
                <w:sz w:val="18"/>
                <w:szCs w:val="18"/>
              </w:rPr>
            </w:pPr>
            <w:r>
              <w:rPr>
                <w:rFonts w:ascii="Times New Roman"/>
                <w:sz w:val="18"/>
              </w:rPr>
              <w:t>972.82</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left="1134" w:right="0"/>
        <w:jc w:val="left"/>
      </w:pPr>
      <w:r>
        <w:rPr/>
        <w:t>其他应收款核销说明：</w:t>
      </w:r>
    </w:p>
    <w:p>
      <w:pPr>
        <w:spacing w:line="240" w:lineRule="auto" w:before="11"/>
        <w:rPr>
          <w:rFonts w:ascii="宋体" w:hAnsi="宋体" w:cs="宋体" w:eastAsia="宋体" w:hint="default"/>
          <w:sz w:val="26"/>
          <w:szCs w:val="26"/>
        </w:rPr>
      </w:pPr>
    </w:p>
    <w:p>
      <w:pPr>
        <w:pStyle w:val="Heading3"/>
        <w:spacing w:line="240" w:lineRule="auto"/>
        <w:ind w:left="1134" w:right="0"/>
        <w:jc w:val="left"/>
        <w:rPr>
          <w:b w:val="0"/>
          <w:bCs w:val="0"/>
        </w:rPr>
      </w:pPr>
      <w:bookmarkStart w:name="（4）其他应收款按款项性质分类情况" w:id="242"/>
      <w:bookmarkEnd w:id="242"/>
      <w:r>
        <w:rPr>
          <w:b w:val="0"/>
          <w:bCs w:val="0"/>
        </w:rPr>
      </w:r>
      <w:r>
        <w:rPr/>
        <w:t>（</w:t>
      </w:r>
      <w:r>
        <w:rPr>
          <w:rFonts w:ascii="Times New Roman" w:hAnsi="Times New Roman" w:cs="Times New Roman" w:eastAsia="Times New Roman" w:hint="default"/>
        </w:rPr>
        <w:t>4</w:t>
      </w:r>
      <w:r>
        <w:rPr/>
        <w:t>）其他应收款按款项性质分类情况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1"/>
        <w:gridCol w:w="3191"/>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50"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50"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79,048,227.93</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49,227,224.55</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备用金借款</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22,952,879.93</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16,855,201.80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17,390,783.01</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15,507,330.15</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119,391,890.87</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81,589,756.50</w:t>
            </w:r>
          </w:p>
        </w:tc>
      </w:tr>
    </w:tbl>
    <w:p>
      <w:pPr>
        <w:spacing w:line="240" w:lineRule="auto" w:before="2"/>
        <w:rPr>
          <w:rFonts w:ascii="宋体" w:hAnsi="宋体" w:cs="宋体" w:eastAsia="宋体" w:hint="default"/>
          <w:sz w:val="19"/>
          <w:szCs w:val="19"/>
        </w:rPr>
      </w:pPr>
    </w:p>
    <w:p>
      <w:pPr>
        <w:pStyle w:val="Heading3"/>
        <w:spacing w:line="240" w:lineRule="auto" w:before="35"/>
        <w:ind w:left="1134" w:right="0"/>
        <w:jc w:val="left"/>
        <w:rPr>
          <w:b w:val="0"/>
          <w:bCs w:val="0"/>
        </w:rPr>
      </w:pPr>
      <w:bookmarkStart w:name="（5）按欠款方归集的期末余额前五名的其他应收款情况" w:id="243"/>
      <w:bookmarkEnd w:id="243"/>
      <w:r>
        <w:rPr>
          <w:b w:val="0"/>
          <w:bCs w:val="0"/>
        </w:rPr>
      </w:r>
      <w:r>
        <w:rPr/>
        <w:t>（</w:t>
      </w:r>
      <w:r>
        <w:rPr>
          <w:rFonts w:ascii="Times New Roman" w:hAnsi="Times New Roman" w:cs="Times New Roman" w:eastAsia="Times New Roman" w:hint="default"/>
        </w:rPr>
        <w:t>5</w:t>
      </w:r>
      <w:r>
        <w:rPr/>
        <w:t>）按欠款方归集的期末余额前五名的其他应收款情况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pict>
          <v:group style="position:absolute;margin-left:397.179993pt;margin-top:55.431705pt;width:84.6pt;height:27.95pt;mso-position-horizontal-relative:page;mso-position-vertical-relative:paragraph;z-index:-985336" coordorigin="7944,1109" coordsize="1692,559">
            <v:group style="position:absolute;left:7944;top:1109;width:1692;height:156" coordorigin="7944,1109" coordsize="1692,156">
              <v:shape style="position:absolute;left:7944;top:1109;width:1692;height:156" coordorigin="7944,1109" coordsize="1692,156" path="m7944,1265l9635,1265,9635,1109,7944,1109,7944,1265xe" filled="true" fillcolor="#ffffff" stroked="false">
                <v:path arrowok="t"/>
                <v:fill type="solid"/>
              </v:shape>
            </v:group>
            <v:group style="position:absolute;left:7955;top:1265;width:2;height:392" coordorigin="7955,1265" coordsize="2,392">
              <v:shape style="position:absolute;left:7955;top:1265;width:2;height:392" coordorigin="7955,1265" coordsize="0,392" path="m7955,1265l7955,1656e" filled="false" stroked="true" strokeweight="1.140pt" strokecolor="#ffffff">
                <v:path arrowok="t"/>
              </v:shape>
            </v:group>
            <v:group style="position:absolute;left:7966;top:1265;width:1646;height:392" coordorigin="7966,1265" coordsize="1646,392">
              <v:shape style="position:absolute;left:7966;top:1265;width:1646;height:392" coordorigin="7966,1265" coordsize="1646,392" path="m7966,1656l9612,1656,9612,1265,7966,1265,7966,1656xe" filled="true" fillcolor="#ffffff" stroked="false">
                <v:path arrowok="t"/>
                <v:fill type="solid"/>
              </v:shape>
            </v:group>
            <w10:wrap type="none"/>
          </v:group>
        </w:pict>
      </w: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2268"/>
        <w:gridCol w:w="1276"/>
        <w:gridCol w:w="1239"/>
        <w:gridCol w:w="2022"/>
        <w:gridCol w:w="1702"/>
        <w:gridCol w:w="1061"/>
      </w:tblGrid>
      <w:tr>
        <w:trPr>
          <w:trHeight w:val="713" w:hRule="exact"/>
        </w:trPr>
        <w:tc>
          <w:tcPr>
            <w:tcW w:w="2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82"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2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54"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20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15" w:right="35" w:hanging="181"/>
              <w:jc w:val="left"/>
              <w:rPr>
                <w:rFonts w:ascii="宋体" w:hAnsi="宋体" w:cs="宋体" w:eastAsia="宋体" w:hint="default"/>
                <w:sz w:val="18"/>
                <w:szCs w:val="18"/>
              </w:rPr>
            </w:pPr>
            <w:r>
              <w:rPr>
                <w:rFonts w:ascii="宋体" w:hAnsi="宋体" w:cs="宋体" w:eastAsia="宋体" w:hint="default"/>
                <w:sz w:val="18"/>
                <w:szCs w:val="18"/>
              </w:rPr>
              <w:t>占其他应收款期末余 额合计数的比例</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55" w:right="73" w:hanging="180"/>
              <w:jc w:val="left"/>
              <w:rPr>
                <w:rFonts w:ascii="宋体" w:hAnsi="宋体" w:cs="宋体" w:eastAsia="宋体" w:hint="default"/>
                <w:sz w:val="18"/>
                <w:szCs w:val="18"/>
              </w:rPr>
            </w:pPr>
            <w:r>
              <w:rPr>
                <w:rFonts w:ascii="宋体" w:hAnsi="宋体" w:cs="宋体" w:eastAsia="宋体" w:hint="default"/>
                <w:sz w:val="18"/>
                <w:szCs w:val="18"/>
              </w:rPr>
              <w:t>坏账准备期 末余额</w:t>
            </w:r>
          </w:p>
        </w:tc>
      </w:tr>
      <w:tr>
        <w:trPr>
          <w:trHeight w:val="714"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河北省公共资源交易中心</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2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22,332,720.00</w:t>
            </w:r>
          </w:p>
        </w:tc>
        <w:tc>
          <w:tcPr>
            <w:tcW w:w="2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6"/>
                <w:sz w:val="18"/>
                <w:szCs w:val="18"/>
              </w:rPr>
              <w:t> </w:t>
            </w:r>
            <w:r>
              <w:rPr>
                <w:rFonts w:ascii="宋体" w:hAnsi="宋体" w:cs="宋体" w:eastAsia="宋体" w:hint="default"/>
                <w:sz w:val="18"/>
                <w:szCs w:val="18"/>
              </w:rPr>
              <w:t>年以内：</w:t>
            </w:r>
            <w:r>
              <w:rPr>
                <w:rFonts w:ascii="Times New Roman" w:hAnsi="Times New Roman" w:cs="Times New Roman" w:eastAsia="Times New Roman" w:hint="default"/>
                <w:sz w:val="18"/>
                <w:szCs w:val="18"/>
              </w:rPr>
              <w:t>22,248,720.00</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Times New Roman" w:hAnsi="Times New Roman" w:cs="Times New Roman" w:eastAsia="Times New Roman" w:hint="default"/>
                <w:sz w:val="18"/>
                <w:szCs w:val="18"/>
              </w:rPr>
              <w:t>84,000.00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16" w:lineRule="exact" w:before="52"/>
              <w:ind w:left="-123"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187" w:lineRule="exact"/>
              <w:ind w:left="1113" w:right="0"/>
              <w:jc w:val="left"/>
              <w:rPr>
                <w:rFonts w:ascii="Times New Roman" w:hAnsi="Times New Roman" w:cs="Times New Roman" w:eastAsia="Times New Roman" w:hint="default"/>
                <w:sz w:val="18"/>
                <w:szCs w:val="18"/>
              </w:rPr>
            </w:pPr>
            <w:r>
              <w:rPr>
                <w:rFonts w:ascii="Times New Roman"/>
                <w:sz w:val="18"/>
              </w:rPr>
              <w:t>18.71%</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61" w:right="0"/>
              <w:jc w:val="center"/>
              <w:rPr>
                <w:rFonts w:ascii="Times New Roman" w:hAnsi="Times New Roman" w:cs="Times New Roman" w:eastAsia="Times New Roman" w:hint="default"/>
                <w:sz w:val="18"/>
                <w:szCs w:val="18"/>
              </w:rPr>
            </w:pPr>
            <w:r>
              <w:rPr>
                <w:rFonts w:ascii="Times New Roman"/>
                <w:sz w:val="18"/>
              </w:rPr>
              <w:t>1,120,836.00</w:t>
            </w:r>
          </w:p>
        </w:tc>
      </w:tr>
      <w:tr>
        <w:trPr>
          <w:trHeight w:val="402"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重庆市生态环境监测中心</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2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11,039,000.00</w:t>
            </w:r>
          </w:p>
        </w:tc>
        <w:tc>
          <w:tcPr>
            <w:tcW w:w="2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9.25%</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96" w:right="0"/>
              <w:jc w:val="center"/>
              <w:rPr>
                <w:rFonts w:ascii="Times New Roman" w:hAnsi="Times New Roman" w:cs="Times New Roman" w:eastAsia="Times New Roman" w:hint="default"/>
                <w:sz w:val="18"/>
                <w:szCs w:val="18"/>
              </w:rPr>
            </w:pPr>
            <w:r>
              <w:rPr>
                <w:rFonts w:ascii="Times New Roman"/>
                <w:sz w:val="18"/>
              </w:rPr>
              <w:t>551,950.00</w:t>
            </w:r>
          </w:p>
        </w:tc>
      </w:tr>
      <w:tr>
        <w:trPr>
          <w:trHeight w:val="1026"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广州市环境监测中心站</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2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3,317,376.00</w:t>
            </w:r>
          </w:p>
        </w:tc>
        <w:tc>
          <w:tcPr>
            <w:tcW w:w="2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Times New Roman" w:hAnsi="Times New Roman" w:cs="Times New Roman" w:eastAsia="Times New Roman" w:hint="default"/>
                <w:sz w:val="18"/>
                <w:szCs w:val="18"/>
              </w:rPr>
              <w:t>870,064.50</w:t>
            </w:r>
            <w:r>
              <w:rPr>
                <w:rFonts w:ascii="宋体" w:hAnsi="宋体" w:cs="宋体" w:eastAsia="宋体" w:hint="default"/>
                <w:sz w:val="18"/>
                <w:szCs w:val="18"/>
              </w:rPr>
              <w:t>、</w:t>
            </w:r>
            <w:r>
              <w:rPr>
                <w:rFonts w:ascii="Times New Roman" w:hAnsi="Times New Roman" w:cs="Times New Roman" w:eastAsia="Times New Roman" w:hint="default"/>
                <w:sz w:val="18"/>
                <w:szCs w:val="18"/>
              </w:rPr>
              <w:t>2-3</w:t>
            </w:r>
          </w:p>
          <w:p>
            <w:pPr>
              <w:pStyle w:val="TableParagraph"/>
              <w:spacing w:line="240" w:lineRule="auto" w:before="61"/>
              <w:ind w:left="22"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75"/>
                <w:sz w:val="18"/>
                <w:szCs w:val="18"/>
              </w:rPr>
              <w:t>：</w:t>
            </w:r>
            <w:r>
              <w:rPr>
                <w:rFonts w:ascii="Times New Roman" w:hAnsi="Times New Roman" w:cs="Times New Roman" w:eastAsia="Times New Roman" w:hint="default"/>
                <w:sz w:val="18"/>
                <w:szCs w:val="18"/>
              </w:rPr>
              <w:t>227,300.00</w:t>
            </w:r>
            <w:r>
              <w:rPr>
                <w:rFonts w:ascii="宋体" w:hAnsi="宋体" w:cs="宋体" w:eastAsia="宋体" w:hint="default"/>
                <w:spacing w:val="-76"/>
                <w:sz w:val="18"/>
                <w:szCs w:val="18"/>
              </w:rPr>
              <w:t>、</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p>
            <w:pPr>
              <w:pStyle w:val="TableParagraph"/>
              <w:spacing w:line="240" w:lineRule="auto" w:before="104"/>
              <w:ind w:left="22" w:right="0"/>
              <w:jc w:val="left"/>
              <w:rPr>
                <w:rFonts w:ascii="Times New Roman" w:hAnsi="Times New Roman" w:cs="Times New Roman" w:eastAsia="Times New Roman" w:hint="default"/>
                <w:sz w:val="18"/>
                <w:szCs w:val="18"/>
              </w:rPr>
            </w:pPr>
            <w:r>
              <w:rPr>
                <w:rFonts w:ascii="Times New Roman"/>
                <w:sz w:val="18"/>
              </w:rPr>
              <w:t>2,220,011.50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tabs>
                <w:tab w:pos="1203" w:val="left" w:leader="none"/>
              </w:tabs>
              <w:spacing w:line="240" w:lineRule="auto" w:before="128"/>
              <w:ind w:left="-124" w:right="21"/>
              <w:jc w:val="right"/>
              <w:rPr>
                <w:rFonts w:ascii="Times New Roman" w:hAnsi="Times New Roman" w:cs="Times New Roman" w:eastAsia="Times New Roman" w:hint="default"/>
                <w:sz w:val="18"/>
                <w:szCs w:val="18"/>
              </w:rPr>
            </w:pPr>
            <w:r>
              <w:rPr>
                <w:rFonts w:ascii="宋体" w:hAnsi="宋体" w:cs="宋体" w:eastAsia="宋体" w:hint="default"/>
                <w:sz w:val="18"/>
                <w:szCs w:val="18"/>
              </w:rPr>
              <w:t>：</w:t>
              <w:tab/>
            </w:r>
            <w:r>
              <w:rPr>
                <w:rFonts w:ascii="Times New Roman" w:hAnsi="Times New Roman" w:cs="Times New Roman" w:eastAsia="Times New Roman" w:hint="default"/>
                <w:sz w:val="18"/>
                <w:szCs w:val="18"/>
              </w:rPr>
              <w:t>2.75%</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61" w:right="0"/>
              <w:jc w:val="center"/>
              <w:rPr>
                <w:rFonts w:ascii="Times New Roman" w:hAnsi="Times New Roman" w:cs="Times New Roman" w:eastAsia="Times New Roman" w:hint="default"/>
                <w:sz w:val="18"/>
                <w:szCs w:val="18"/>
              </w:rPr>
            </w:pPr>
            <w:r>
              <w:rPr>
                <w:rFonts w:ascii="Times New Roman"/>
                <w:sz w:val="18"/>
              </w:rPr>
              <w:t>2,375,207.95</w:t>
            </w:r>
          </w:p>
        </w:tc>
      </w:tr>
      <w:tr>
        <w:trPr>
          <w:trHeight w:val="402"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河南省环境保护厅</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2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2,361,462.00</w:t>
            </w:r>
          </w:p>
        </w:tc>
        <w:tc>
          <w:tcPr>
            <w:tcW w:w="2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1.98%</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61" w:right="0"/>
              <w:jc w:val="center"/>
              <w:rPr>
                <w:rFonts w:ascii="Times New Roman" w:hAnsi="Times New Roman" w:cs="Times New Roman" w:eastAsia="Times New Roman" w:hint="default"/>
                <w:sz w:val="18"/>
                <w:szCs w:val="18"/>
              </w:rPr>
            </w:pPr>
            <w:r>
              <w:rPr>
                <w:rFonts w:ascii="Times New Roman"/>
                <w:sz w:val="18"/>
              </w:rPr>
              <w:t>2,361,462.00</w:t>
            </w:r>
          </w:p>
        </w:tc>
      </w:tr>
      <w:tr>
        <w:trPr>
          <w:trHeight w:val="714"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沧州市政务服务管理办公室</w:t>
            </w:r>
          </w:p>
          <w:p>
            <w:pPr>
              <w:pStyle w:val="TableParagraph"/>
              <w:spacing w:line="240" w:lineRule="auto" w:before="7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269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项目</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2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1,762,200.00</w:t>
            </w:r>
          </w:p>
        </w:tc>
        <w:tc>
          <w:tcPr>
            <w:tcW w:w="2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1.48%</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96" w:right="0"/>
              <w:jc w:val="center"/>
              <w:rPr>
                <w:rFonts w:ascii="Times New Roman" w:hAnsi="Times New Roman" w:cs="Times New Roman" w:eastAsia="Times New Roman" w:hint="default"/>
                <w:sz w:val="18"/>
                <w:szCs w:val="18"/>
              </w:rPr>
            </w:pPr>
            <w:r>
              <w:rPr>
                <w:rFonts w:ascii="Times New Roman"/>
                <w:sz w:val="18"/>
              </w:rPr>
              <w:t>176,220.00</w:t>
            </w:r>
          </w:p>
        </w:tc>
      </w:tr>
      <w:tr>
        <w:trPr>
          <w:trHeight w:val="403" w:hRule="exact"/>
        </w:trPr>
        <w:tc>
          <w:tcPr>
            <w:tcW w:w="2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c>
          <w:tcPr>
            <w:tcW w:w="1239" w:type="dxa"/>
            <w:tcBorders>
              <w:top w:val="single" w:sz="4" w:space="0" w:color="000000"/>
              <w:left w:val="single" w:sz="4" w:space="0" w:color="000000"/>
              <w:bottom w:val="single" w:sz="4" w:space="0" w:color="000000"/>
              <w:right w:val="single" w:sz="9" w:space="0" w:color="D2D2D2"/>
            </w:tcBorders>
          </w:tcPr>
          <w:p>
            <w:pPr>
              <w:pStyle w:val="TableParagraph"/>
              <w:spacing w:line="240" w:lineRule="auto" w:before="92"/>
              <w:ind w:right="14"/>
              <w:jc w:val="right"/>
              <w:rPr>
                <w:rFonts w:ascii="Times New Roman" w:hAnsi="Times New Roman" w:cs="Times New Roman" w:eastAsia="Times New Roman" w:hint="default"/>
                <w:sz w:val="18"/>
                <w:szCs w:val="18"/>
              </w:rPr>
            </w:pPr>
            <w:r>
              <w:rPr>
                <w:rFonts w:ascii="Times New Roman"/>
                <w:spacing w:val="-1"/>
                <w:sz w:val="18"/>
              </w:rPr>
              <w:t>40,812,758.00</w:t>
            </w:r>
          </w:p>
        </w:tc>
        <w:tc>
          <w:tcPr>
            <w:tcW w:w="20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34.17%</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61" w:right="0"/>
              <w:jc w:val="center"/>
              <w:rPr>
                <w:rFonts w:ascii="Times New Roman" w:hAnsi="Times New Roman" w:cs="Times New Roman" w:eastAsia="Times New Roman" w:hint="default"/>
                <w:sz w:val="18"/>
                <w:szCs w:val="18"/>
              </w:rPr>
            </w:pPr>
            <w:r>
              <w:rPr>
                <w:rFonts w:ascii="Times New Roman"/>
                <w:sz w:val="18"/>
              </w:rPr>
              <w:t>6,585,675.95</w:t>
            </w:r>
          </w:p>
        </w:tc>
      </w:tr>
    </w:tbl>
    <w:p>
      <w:pPr>
        <w:spacing w:line="240" w:lineRule="auto" w:before="2"/>
        <w:rPr>
          <w:rFonts w:ascii="宋体" w:hAnsi="宋体" w:cs="宋体" w:eastAsia="宋体" w:hint="default"/>
          <w:sz w:val="19"/>
          <w:szCs w:val="19"/>
        </w:rPr>
      </w:pPr>
    </w:p>
    <w:p>
      <w:pPr>
        <w:pStyle w:val="Heading3"/>
        <w:spacing w:line="240" w:lineRule="auto" w:before="35"/>
        <w:ind w:left="1134" w:right="0"/>
        <w:jc w:val="left"/>
        <w:rPr>
          <w:b w:val="0"/>
          <w:bCs w:val="0"/>
        </w:rPr>
      </w:pPr>
      <w:bookmarkStart w:name="7、存货" w:id="244"/>
      <w:bookmarkEnd w:id="244"/>
      <w:r>
        <w:rPr>
          <w:b w:val="0"/>
          <w:bCs w:val="0"/>
        </w:rPr>
      </w:r>
      <w:r>
        <w:rPr>
          <w:rFonts w:ascii="Times New Roman" w:hAnsi="Times New Roman" w:cs="Times New Roman" w:eastAsia="Times New Roman" w:hint="default"/>
        </w:rPr>
        <w:t>7</w:t>
      </w:r>
      <w:r>
        <w:rPr/>
        <w:t>、存货</w:t>
      </w:r>
      <w:r>
        <w:rPr>
          <w:b w:val="0"/>
          <w:bCs w:val="0"/>
        </w:rPr>
      </w:r>
    </w:p>
    <w:p>
      <w:pPr>
        <w:spacing w:line="240" w:lineRule="auto" w:before="8"/>
        <w:rPr>
          <w:rFonts w:ascii="宋体" w:hAnsi="宋体" w:cs="宋体" w:eastAsia="宋体" w:hint="default"/>
          <w:b/>
          <w:bCs/>
          <w:sz w:val="26"/>
          <w:szCs w:val="26"/>
        </w:rPr>
      </w:pPr>
    </w:p>
    <w:p>
      <w:pPr>
        <w:pStyle w:val="BodyText"/>
        <w:spacing w:line="357" w:lineRule="auto"/>
        <w:ind w:left="1134" w:right="7512"/>
        <w:jc w:val="left"/>
      </w:pPr>
      <w:r>
        <w:rPr/>
        <w:t>公司是否需要遵守房地产行业的披露要求 是</w:t>
      </w:r>
    </w:p>
    <w:p>
      <w:pPr>
        <w:spacing w:line="240" w:lineRule="auto" w:before="1"/>
        <w:rPr>
          <w:rFonts w:ascii="宋体" w:hAnsi="宋体" w:cs="宋体" w:eastAsia="宋体" w:hint="default"/>
          <w:sz w:val="20"/>
          <w:szCs w:val="20"/>
        </w:rPr>
      </w:pPr>
    </w:p>
    <w:p>
      <w:pPr>
        <w:pStyle w:val="Heading3"/>
        <w:spacing w:line="240" w:lineRule="auto"/>
        <w:ind w:left="1134" w:right="0"/>
        <w:jc w:val="left"/>
        <w:rPr>
          <w:b w:val="0"/>
          <w:bCs w:val="0"/>
        </w:rPr>
      </w:pPr>
      <w:bookmarkStart w:name="（1）存货分类" w:id="245"/>
      <w:bookmarkEnd w:id="245"/>
      <w:r>
        <w:rPr>
          <w:b w:val="0"/>
          <w:bCs w:val="0"/>
        </w:rPr>
      </w:r>
      <w:r>
        <w:rPr/>
        <w:t>（</w:t>
      </w:r>
      <w:r>
        <w:rPr>
          <w:rFonts w:ascii="Times New Roman" w:hAnsi="Times New Roman" w:cs="Times New Roman" w:eastAsia="Times New Roman" w:hint="default"/>
        </w:rPr>
        <w:t>1</w:t>
      </w:r>
      <w:r>
        <w:rPr/>
        <w:t>）存货分类</w:t>
      </w:r>
      <w:r>
        <w:rPr>
          <w:b w:val="0"/>
          <w:bCs w:val="0"/>
        </w:rPr>
      </w:r>
    </w:p>
    <w:p>
      <w:pPr>
        <w:spacing w:line="240" w:lineRule="auto" w:before="3"/>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79" w:top="1060" w:bottom="1160" w:left="0" w:right="0"/>
        </w:sectPr>
      </w:pPr>
    </w:p>
    <w:p>
      <w:pPr>
        <w:pStyle w:val="BodyText"/>
        <w:spacing w:line="340" w:lineRule="auto" w:before="44"/>
        <w:ind w:right="-18"/>
        <w:jc w:val="left"/>
      </w:pPr>
      <w:r>
        <w:rPr/>
        <w:pict>
          <v:group style="position:absolute;margin-left:397.179993pt;margin-top:462.909973pt;width:83.45pt;height:20.7pt;mso-position-horizontal-relative:page;mso-position-vertical-relative:page;z-index:-985312" coordorigin="7944,9258" coordsize="1669,414">
            <v:group style="position:absolute;left:7955;top:9270;width:2;height:392" coordorigin="7955,9270" coordsize="2,392">
              <v:shape style="position:absolute;left:7955;top:9270;width:2;height:392" coordorigin="7955,9270" coordsize="0,392" path="m7955,9270l7955,9661e" filled="false" stroked="true" strokeweight="1.140pt" strokecolor="#ffffff">
                <v:path arrowok="t"/>
              </v:shape>
            </v:group>
            <v:group style="position:absolute;left:7966;top:9270;width:1646;height:392" coordorigin="7966,9270" coordsize="1646,392">
              <v:shape style="position:absolute;left:7966;top:9270;width:1646;height:392" coordorigin="7966,9270" coordsize="1646,392" path="m7966,9661l9612,9661,9612,9270,7966,9270,7966,9661xe" filled="true" fillcolor="#ffffff" stroked="false">
                <v:path arrowok="t"/>
                <v:fill type="solid"/>
              </v:shape>
            </v:group>
            <w10:wrap type="none"/>
          </v:group>
        </w:pict>
      </w:r>
      <w:r>
        <w:rPr/>
        <w:t>公司需遵守《深圳证券交易所行业信息披露指引第</w:t>
      </w:r>
      <w:r>
        <w:rPr>
          <w:spacing w:val="-45"/>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上市公司从事房地产业务》的披露要求 按性质分类：</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ind w:left="1113" w:right="1112"/>
        <w:jc w:val="center"/>
      </w:pPr>
      <w:r>
        <w:rPr/>
        <w:t>单位： 元</w:t>
      </w:r>
    </w:p>
    <w:p>
      <w:pPr>
        <w:spacing w:after="0" w:line="240" w:lineRule="auto"/>
        <w:jc w:val="center"/>
        <w:sectPr>
          <w:type w:val="continuous"/>
          <w:pgSz w:w="11910" w:h="16840"/>
          <w:pgMar w:top="1060" w:bottom="1160" w:left="0" w:right="0"/>
          <w:cols w:num="2" w:equalWidth="0">
            <w:col w:w="8695" w:space="134"/>
            <w:col w:w="3081"/>
          </w:cols>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8"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8"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78,329,461.91</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78,329,461.91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44,516,291.83</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44,516,291.83</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在产品</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13,309,297.60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13,309,297.60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12,239,664.24</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12,239,664.24</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322,830,951.31</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322,830,951.31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217,845,509.53</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217,845,509.53</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工程施工</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1,056,860.34</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1,056,860.34</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415,526,571.16</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415,526,571.16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274,601,465.60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274,601,465.60</w:t>
            </w:r>
          </w:p>
        </w:tc>
      </w:tr>
    </w:tbl>
    <w:p>
      <w:pPr>
        <w:pStyle w:val="BodyText"/>
        <w:spacing w:line="240" w:lineRule="auto" w:before="51"/>
        <w:ind w:left="1134" w:right="0"/>
        <w:jc w:val="left"/>
      </w:pPr>
      <w:r>
        <w:rPr/>
        <w:t>按下列格式披露</w:t>
      </w:r>
      <w:r>
        <w:rPr>
          <w:rFonts w:ascii="Times New Roman" w:hAnsi="Times New Roman" w:cs="Times New Roman" w:eastAsia="Times New Roman" w:hint="default"/>
        </w:rPr>
        <w:t>“</w:t>
      </w:r>
      <w:r>
        <w:rPr/>
        <w:t>开发成本</w:t>
      </w:r>
      <w:r>
        <w:rPr>
          <w:rFonts w:ascii="Times New Roman" w:hAnsi="Times New Roman" w:cs="Times New Roman" w:eastAsia="Times New Roman" w:hint="default"/>
        </w:rPr>
        <w:t>”</w:t>
      </w:r>
      <w:r>
        <w:rPr/>
        <w:t>主要项目及其利息资本化情况：</w:t>
      </w:r>
    </w:p>
    <w:p>
      <w:pPr>
        <w:pStyle w:val="BodyText"/>
        <w:spacing w:line="240" w:lineRule="auto" w:before="103"/>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798"/>
        <w:gridCol w:w="797"/>
        <w:gridCol w:w="797"/>
        <w:gridCol w:w="797"/>
        <w:gridCol w:w="798"/>
        <w:gridCol w:w="798"/>
        <w:gridCol w:w="798"/>
        <w:gridCol w:w="798"/>
        <w:gridCol w:w="798"/>
        <w:gridCol w:w="798"/>
        <w:gridCol w:w="798"/>
        <w:gridCol w:w="797"/>
      </w:tblGrid>
      <w:tr>
        <w:trPr>
          <w:trHeight w:val="1026" w:hRule="exact"/>
        </w:trPr>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3"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3" w:right="0"/>
              <w:jc w:val="left"/>
              <w:rPr>
                <w:rFonts w:ascii="宋体" w:hAnsi="宋体" w:cs="宋体" w:eastAsia="宋体" w:hint="default"/>
                <w:sz w:val="18"/>
                <w:szCs w:val="18"/>
              </w:rPr>
            </w:pPr>
            <w:r>
              <w:rPr>
                <w:rFonts w:ascii="宋体" w:hAnsi="宋体" w:cs="宋体" w:eastAsia="宋体" w:hint="default"/>
                <w:sz w:val="18"/>
                <w:szCs w:val="18"/>
              </w:rPr>
              <w:t>开工时间</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13" w:right="31" w:hanging="180"/>
              <w:jc w:val="left"/>
              <w:rPr>
                <w:rFonts w:ascii="宋体" w:hAnsi="宋体" w:cs="宋体" w:eastAsia="宋体" w:hint="default"/>
                <w:sz w:val="18"/>
                <w:szCs w:val="18"/>
              </w:rPr>
            </w:pPr>
            <w:r>
              <w:rPr>
                <w:rFonts w:ascii="宋体" w:hAnsi="宋体" w:cs="宋体" w:eastAsia="宋体" w:hint="default"/>
                <w:sz w:val="18"/>
                <w:szCs w:val="18"/>
              </w:rPr>
              <w:t>预计竣工 时间</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303" w:right="31" w:hanging="270"/>
              <w:jc w:val="left"/>
              <w:rPr>
                <w:rFonts w:ascii="宋体" w:hAnsi="宋体" w:cs="宋体" w:eastAsia="宋体" w:hint="default"/>
                <w:sz w:val="18"/>
                <w:szCs w:val="18"/>
              </w:rPr>
            </w:pPr>
            <w:r>
              <w:rPr>
                <w:rFonts w:ascii="宋体" w:hAnsi="宋体" w:cs="宋体" w:eastAsia="宋体" w:hint="default"/>
                <w:sz w:val="18"/>
                <w:szCs w:val="18"/>
              </w:rPr>
              <w:t>预计总投 资</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33" w:right="32"/>
              <w:jc w:val="left"/>
              <w:rPr>
                <w:rFonts w:ascii="宋体" w:hAnsi="宋体" w:cs="宋体" w:eastAsia="宋体" w:hint="default"/>
                <w:sz w:val="18"/>
                <w:szCs w:val="18"/>
              </w:rPr>
            </w:pPr>
            <w:r>
              <w:rPr>
                <w:rFonts w:ascii="宋体" w:hAnsi="宋体" w:cs="宋体" w:eastAsia="宋体" w:hint="default"/>
                <w:sz w:val="18"/>
                <w:szCs w:val="18"/>
              </w:rPr>
              <w:t>本期转入 开发产品</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33" w:right="32"/>
              <w:jc w:val="left"/>
              <w:rPr>
                <w:rFonts w:ascii="宋体" w:hAnsi="宋体" w:cs="宋体" w:eastAsia="宋体" w:hint="default"/>
                <w:sz w:val="18"/>
                <w:szCs w:val="18"/>
              </w:rPr>
            </w:pPr>
            <w:r>
              <w:rPr>
                <w:rFonts w:ascii="宋体" w:hAnsi="宋体" w:cs="宋体" w:eastAsia="宋体" w:hint="default"/>
                <w:sz w:val="18"/>
                <w:szCs w:val="18"/>
              </w:rPr>
              <w:t>本期其他 减少金额</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3" w:right="32"/>
              <w:jc w:val="center"/>
              <w:rPr>
                <w:rFonts w:ascii="宋体" w:hAnsi="宋体" w:cs="宋体" w:eastAsia="宋体" w:hint="default"/>
                <w:sz w:val="18"/>
                <w:szCs w:val="18"/>
              </w:rPr>
            </w:pPr>
            <w:r>
              <w:rPr>
                <w:rFonts w:ascii="宋体" w:hAnsi="宋体" w:cs="宋体" w:eastAsia="宋体" w:hint="default"/>
                <w:sz w:val="18"/>
                <w:szCs w:val="18"/>
              </w:rPr>
              <w:t>本期（开 发成本） 增加</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3" w:right="32"/>
              <w:jc w:val="center"/>
              <w:rPr>
                <w:rFonts w:ascii="宋体" w:hAnsi="宋体" w:cs="宋体" w:eastAsia="宋体" w:hint="default"/>
                <w:sz w:val="18"/>
                <w:szCs w:val="18"/>
              </w:rPr>
            </w:pPr>
            <w:r>
              <w:rPr>
                <w:rFonts w:ascii="宋体" w:hAnsi="宋体" w:cs="宋体" w:eastAsia="宋体" w:hint="default"/>
                <w:sz w:val="18"/>
                <w:szCs w:val="18"/>
              </w:rPr>
              <w:t>利息资本 化累计金 额</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3" w:right="32"/>
              <w:jc w:val="both"/>
              <w:rPr>
                <w:rFonts w:ascii="宋体" w:hAnsi="宋体" w:cs="宋体" w:eastAsia="宋体" w:hint="default"/>
                <w:sz w:val="18"/>
                <w:szCs w:val="18"/>
              </w:rPr>
            </w:pPr>
            <w:r>
              <w:rPr>
                <w:rFonts w:ascii="宋体" w:hAnsi="宋体" w:cs="宋体" w:eastAsia="宋体" w:hint="default"/>
                <w:sz w:val="18"/>
                <w:szCs w:val="18"/>
              </w:rPr>
              <w:t>其中：本 期利息资 本化金额</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3" w:right="0"/>
              <w:jc w:val="left"/>
              <w:rPr>
                <w:rFonts w:ascii="宋体" w:hAnsi="宋体" w:cs="宋体" w:eastAsia="宋体" w:hint="default"/>
                <w:sz w:val="18"/>
                <w:szCs w:val="18"/>
              </w:rPr>
            </w:pPr>
            <w:r>
              <w:rPr>
                <w:rFonts w:ascii="宋体" w:hAnsi="宋体" w:cs="宋体" w:eastAsia="宋体" w:hint="default"/>
                <w:sz w:val="18"/>
                <w:szCs w:val="18"/>
              </w:rPr>
              <w:t>资金来源</w:t>
            </w:r>
          </w:p>
        </w:tc>
      </w:tr>
    </w:tbl>
    <w:p>
      <w:pPr>
        <w:pStyle w:val="BodyText"/>
        <w:spacing w:line="240" w:lineRule="auto" w:before="52"/>
        <w:ind w:left="1134" w:right="0"/>
        <w:jc w:val="left"/>
      </w:pPr>
      <w:r>
        <w:rPr/>
        <w:t>按下列格式项目披露</w:t>
      </w:r>
      <w:r>
        <w:rPr>
          <w:rFonts w:ascii="Times New Roman" w:hAnsi="Times New Roman" w:cs="Times New Roman" w:eastAsia="Times New Roman" w:hint="default"/>
        </w:rPr>
        <w:t>“</w:t>
      </w:r>
      <w:r>
        <w:rPr/>
        <w:t>开发产品</w:t>
      </w:r>
      <w:r>
        <w:rPr>
          <w:rFonts w:ascii="Times New Roman" w:hAnsi="Times New Roman" w:cs="Times New Roman" w:eastAsia="Times New Roman" w:hint="default"/>
        </w:rPr>
        <w:t>”</w:t>
      </w:r>
      <w:r>
        <w:rPr/>
        <w:t>主要项目信息：</w:t>
      </w:r>
    </w:p>
    <w:p>
      <w:pPr>
        <w:pStyle w:val="BodyText"/>
        <w:spacing w:line="240" w:lineRule="auto" w:before="102"/>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940"/>
        <w:gridCol w:w="937"/>
        <w:gridCol w:w="1144"/>
        <w:gridCol w:w="1170"/>
        <w:gridCol w:w="1169"/>
        <w:gridCol w:w="1403"/>
        <w:gridCol w:w="1403"/>
        <w:gridCol w:w="1403"/>
      </w:tblGrid>
      <w:tr>
        <w:trPr>
          <w:trHeight w:val="714" w:hRule="exact"/>
        </w:trPr>
        <w:tc>
          <w:tcPr>
            <w:tcW w:w="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4"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9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4" w:right="0"/>
              <w:jc w:val="left"/>
              <w:rPr>
                <w:rFonts w:ascii="宋体" w:hAnsi="宋体" w:cs="宋体" w:eastAsia="宋体" w:hint="default"/>
                <w:sz w:val="18"/>
                <w:szCs w:val="18"/>
              </w:rPr>
            </w:pPr>
            <w:r>
              <w:rPr>
                <w:rFonts w:ascii="宋体" w:hAnsi="宋体" w:cs="宋体" w:eastAsia="宋体" w:hint="default"/>
                <w:sz w:val="18"/>
                <w:szCs w:val="18"/>
              </w:rPr>
              <w:t>竣工时间</w:t>
            </w:r>
          </w:p>
        </w:tc>
        <w:tc>
          <w:tcPr>
            <w:tcW w:w="11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06"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1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19"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1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18"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4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36"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4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516" w:right="65" w:hanging="451"/>
              <w:jc w:val="left"/>
              <w:rPr>
                <w:rFonts w:ascii="宋体" w:hAnsi="宋体" w:cs="宋体" w:eastAsia="宋体" w:hint="default"/>
                <w:sz w:val="18"/>
                <w:szCs w:val="18"/>
              </w:rPr>
            </w:pPr>
            <w:r>
              <w:rPr>
                <w:rFonts w:ascii="宋体" w:hAnsi="宋体" w:cs="宋体" w:eastAsia="宋体" w:hint="default"/>
                <w:sz w:val="18"/>
                <w:szCs w:val="18"/>
              </w:rPr>
              <w:t>利息资本化累计 金额</w:t>
            </w:r>
          </w:p>
        </w:tc>
        <w:tc>
          <w:tcPr>
            <w:tcW w:w="14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6" w:right="65" w:hanging="180"/>
              <w:jc w:val="left"/>
              <w:rPr>
                <w:rFonts w:ascii="宋体" w:hAnsi="宋体" w:cs="宋体" w:eastAsia="宋体" w:hint="default"/>
                <w:sz w:val="18"/>
                <w:szCs w:val="18"/>
              </w:rPr>
            </w:pPr>
            <w:r>
              <w:rPr>
                <w:rFonts w:ascii="宋体" w:hAnsi="宋体" w:cs="宋体" w:eastAsia="宋体" w:hint="default"/>
                <w:sz w:val="18"/>
                <w:szCs w:val="18"/>
              </w:rPr>
              <w:t>其中：本期利息 资本化金额</w:t>
            </w:r>
          </w:p>
        </w:tc>
      </w:tr>
    </w:tbl>
    <w:p>
      <w:pPr>
        <w:pStyle w:val="BodyText"/>
        <w:spacing w:line="240" w:lineRule="auto" w:before="51"/>
        <w:ind w:left="1134" w:right="0"/>
        <w:jc w:val="left"/>
      </w:pPr>
      <w:r>
        <w:rPr/>
        <w:t>按下列格式分项目披露</w:t>
      </w:r>
      <w:r>
        <w:rPr>
          <w:rFonts w:ascii="Times New Roman" w:hAnsi="Times New Roman" w:cs="Times New Roman" w:eastAsia="Times New Roman" w:hint="default"/>
        </w:rPr>
        <w:t>“</w:t>
      </w:r>
      <w:r>
        <w:rPr/>
        <w:t>分期收款开发产品</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出租开发产品</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周转房</w:t>
      </w:r>
      <w:r>
        <w:rPr>
          <w:rFonts w:ascii="Times New Roman" w:hAnsi="Times New Roman" w:cs="Times New Roman" w:eastAsia="Times New Roman" w:hint="default"/>
        </w:rPr>
        <w:t>”</w:t>
      </w:r>
      <w:r>
        <w:rPr/>
        <w:t>：</w:t>
      </w:r>
    </w:p>
    <w:p>
      <w:pPr>
        <w:pStyle w:val="BodyText"/>
        <w:spacing w:line="240" w:lineRule="auto" w:before="103"/>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329"/>
        <w:gridCol w:w="1783"/>
        <w:gridCol w:w="2154"/>
        <w:gridCol w:w="1655"/>
        <w:gridCol w:w="2637"/>
      </w:tblGrid>
      <w:tr>
        <w:trPr>
          <w:trHeight w:val="402" w:hRule="exact"/>
        </w:trPr>
        <w:tc>
          <w:tcPr>
            <w:tcW w:w="13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98"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1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26"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1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13"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6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2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r>
    </w:tbl>
    <w:p>
      <w:pPr>
        <w:spacing w:line="240" w:lineRule="auto" w:before="2"/>
        <w:rPr>
          <w:rFonts w:ascii="宋体" w:hAnsi="宋体" w:cs="宋体" w:eastAsia="宋体" w:hint="default"/>
          <w:sz w:val="19"/>
          <w:szCs w:val="19"/>
        </w:rPr>
      </w:pPr>
    </w:p>
    <w:p>
      <w:pPr>
        <w:pStyle w:val="Heading3"/>
        <w:spacing w:line="240" w:lineRule="auto" w:before="35"/>
        <w:ind w:left="1134" w:right="0"/>
        <w:jc w:val="left"/>
        <w:rPr>
          <w:b w:val="0"/>
          <w:bCs w:val="0"/>
        </w:rPr>
      </w:pPr>
      <w:bookmarkStart w:name="（2）存货跌价准备" w:id="246"/>
      <w:bookmarkEnd w:id="246"/>
      <w:r>
        <w:rPr>
          <w:b w:val="0"/>
          <w:bCs w:val="0"/>
        </w:rPr>
      </w:r>
      <w:r>
        <w:rPr/>
        <w:t>（</w:t>
      </w:r>
      <w:r>
        <w:rPr>
          <w:rFonts w:ascii="Times New Roman" w:hAnsi="Times New Roman" w:cs="Times New Roman" w:eastAsia="Times New Roman" w:hint="default"/>
        </w:rPr>
        <w:t>2</w:t>
      </w:r>
      <w:r>
        <w:rPr/>
        <w:t>）存货跌价准备</w:t>
      </w:r>
      <w:r>
        <w:rPr>
          <w:b w:val="0"/>
          <w:bCs w:val="0"/>
        </w:rPr>
      </w:r>
    </w:p>
    <w:p>
      <w:pPr>
        <w:spacing w:line="240" w:lineRule="auto" w:before="3"/>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79" w:top="1060" w:bottom="1160" w:left="0" w:right="0"/>
        </w:sectPr>
      </w:pPr>
    </w:p>
    <w:p>
      <w:pPr>
        <w:pStyle w:val="BodyText"/>
        <w:spacing w:line="360" w:lineRule="auto" w:before="44"/>
        <w:ind w:left="1134" w:right="-20"/>
        <w:jc w:val="left"/>
      </w:pPr>
      <w:r>
        <w:rPr/>
        <w:t>按下列格式披露存货跌价准备金计提情况： 按性质分类：</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ind w:left="1113" w:right="1112"/>
        <w:jc w:val="center"/>
      </w:pPr>
      <w:r>
        <w:rPr/>
        <w:t>单位： 元</w:t>
      </w:r>
    </w:p>
    <w:p>
      <w:pPr>
        <w:spacing w:after="0" w:line="240" w:lineRule="auto"/>
        <w:jc w:val="center"/>
        <w:sectPr>
          <w:type w:val="continuous"/>
          <w:pgSz w:w="11910" w:h="16840"/>
          <w:pgMar w:top="1060" w:bottom="1160" w:left="0" w:right="0"/>
          <w:cols w:num="2" w:equalWidth="0">
            <w:col w:w="4555" w:space="4275"/>
            <w:col w:w="3080"/>
          </w:cols>
        </w:sectPr>
      </w:pP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364"/>
        <w:gridCol w:w="898"/>
        <w:gridCol w:w="1196"/>
        <w:gridCol w:w="1064"/>
        <w:gridCol w:w="1327"/>
        <w:gridCol w:w="1463"/>
        <w:gridCol w:w="1195"/>
        <w:gridCol w:w="1062"/>
      </w:tblGrid>
      <w:tr>
        <w:trPr>
          <w:trHeight w:val="402" w:hRule="exact"/>
        </w:trPr>
        <w:tc>
          <w:tcPr>
            <w:tcW w:w="136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8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8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26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84"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279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849"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1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23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06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45" w:right="0"/>
              <w:jc w:val="left"/>
              <w:rPr>
                <w:rFonts w:ascii="宋体" w:hAnsi="宋体" w:cs="宋体" w:eastAsia="宋体" w:hint="default"/>
                <w:sz w:val="18"/>
                <w:szCs w:val="18"/>
              </w:rPr>
            </w:pPr>
            <w:r>
              <w:rPr>
                <w:rFonts w:ascii="宋体" w:hAnsi="宋体" w:cs="宋体" w:eastAsia="宋体" w:hint="default"/>
                <w:sz w:val="18"/>
                <w:szCs w:val="18"/>
              </w:rPr>
              <w:t>备注</w:t>
            </w:r>
          </w:p>
        </w:tc>
      </w:tr>
      <w:tr>
        <w:trPr>
          <w:trHeight w:val="402" w:hRule="exact"/>
        </w:trPr>
        <w:tc>
          <w:tcPr>
            <w:tcW w:w="1364" w:type="dxa"/>
            <w:vMerge/>
            <w:tcBorders>
              <w:left w:val="single" w:sz="4" w:space="0" w:color="000000"/>
              <w:bottom w:val="single" w:sz="4" w:space="0" w:color="000000"/>
              <w:right w:val="single" w:sz="4" w:space="0" w:color="000000"/>
            </w:tcBorders>
            <w:shd w:val="clear" w:color="auto" w:fill="D2D2D2"/>
          </w:tcPr>
          <w:p>
            <w:pPr/>
          </w:p>
        </w:tc>
        <w:tc>
          <w:tcPr>
            <w:tcW w:w="898" w:type="dxa"/>
            <w:vMerge/>
            <w:tcBorders>
              <w:left w:val="single" w:sz="4" w:space="0" w:color="000000"/>
              <w:bottom w:val="single" w:sz="4" w:space="0" w:color="000000"/>
              <w:right w:val="single" w:sz="4" w:space="0" w:color="000000"/>
            </w:tcBorders>
            <w:shd w:val="clear" w:color="auto" w:fill="D2D2D2"/>
          </w:tcPr>
          <w:p>
            <w:pP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计提</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4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08" w:right="0"/>
              <w:jc w:val="left"/>
              <w:rPr>
                <w:rFonts w:ascii="宋体" w:hAnsi="宋体" w:cs="宋体" w:eastAsia="宋体" w:hint="default"/>
                <w:sz w:val="18"/>
                <w:szCs w:val="18"/>
              </w:rPr>
            </w:pPr>
            <w:r>
              <w:rPr>
                <w:rFonts w:ascii="宋体" w:hAnsi="宋体" w:cs="宋体" w:eastAsia="宋体" w:hint="default"/>
                <w:sz w:val="18"/>
                <w:szCs w:val="18"/>
              </w:rPr>
              <w:t>转回或转销</w:t>
            </w:r>
          </w:p>
        </w:tc>
        <w:tc>
          <w:tcPr>
            <w:tcW w:w="14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195" w:type="dxa"/>
            <w:vMerge/>
            <w:tcBorders>
              <w:left w:val="single" w:sz="4" w:space="0" w:color="000000"/>
              <w:bottom w:val="single" w:sz="4" w:space="0" w:color="000000"/>
              <w:right w:val="single" w:sz="4" w:space="0" w:color="000000"/>
            </w:tcBorders>
            <w:shd w:val="clear" w:color="auto" w:fill="D2D2D2"/>
          </w:tcPr>
          <w:p>
            <w:pPr/>
          </w:p>
        </w:tc>
        <w:tc>
          <w:tcPr>
            <w:tcW w:w="1062" w:type="dxa"/>
            <w:vMerge/>
            <w:tcBorders>
              <w:left w:val="single" w:sz="4" w:space="0" w:color="000000"/>
              <w:bottom w:val="single" w:sz="4" w:space="0" w:color="000000"/>
              <w:right w:val="single" w:sz="4" w:space="0" w:color="000000"/>
            </w:tcBorders>
            <w:shd w:val="clear" w:color="auto" w:fill="D2D2D2"/>
          </w:tcPr>
          <w:p>
            <w:pPr/>
          </w:p>
        </w:tc>
      </w:tr>
    </w:tbl>
    <w:p>
      <w:pPr>
        <w:pStyle w:val="BodyText"/>
        <w:spacing w:line="240" w:lineRule="auto" w:before="52"/>
        <w:ind w:left="1134" w:right="0"/>
        <w:jc w:val="left"/>
      </w:pPr>
      <w:r>
        <w:rPr/>
        <w:t>按主要项目分类：</w:t>
      </w:r>
    </w:p>
    <w:p>
      <w:pPr>
        <w:pStyle w:val="BodyText"/>
        <w:spacing w:line="240" w:lineRule="auto" w:before="116"/>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364"/>
        <w:gridCol w:w="898"/>
        <w:gridCol w:w="1196"/>
        <w:gridCol w:w="1064"/>
        <w:gridCol w:w="1327"/>
        <w:gridCol w:w="1463"/>
        <w:gridCol w:w="1195"/>
        <w:gridCol w:w="1062"/>
      </w:tblGrid>
      <w:tr>
        <w:trPr>
          <w:trHeight w:val="402" w:hRule="exact"/>
        </w:trPr>
        <w:tc>
          <w:tcPr>
            <w:tcW w:w="136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5"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8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8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26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84"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279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49"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1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23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06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45" w:right="0"/>
              <w:jc w:val="left"/>
              <w:rPr>
                <w:rFonts w:ascii="宋体" w:hAnsi="宋体" w:cs="宋体" w:eastAsia="宋体" w:hint="default"/>
                <w:sz w:val="18"/>
                <w:szCs w:val="18"/>
              </w:rPr>
            </w:pPr>
            <w:r>
              <w:rPr>
                <w:rFonts w:ascii="宋体" w:hAnsi="宋体" w:cs="宋体" w:eastAsia="宋体" w:hint="default"/>
                <w:sz w:val="18"/>
                <w:szCs w:val="18"/>
              </w:rPr>
              <w:t>备注</w:t>
            </w:r>
          </w:p>
        </w:tc>
      </w:tr>
      <w:tr>
        <w:trPr>
          <w:trHeight w:val="402" w:hRule="exact"/>
        </w:trPr>
        <w:tc>
          <w:tcPr>
            <w:tcW w:w="1364" w:type="dxa"/>
            <w:vMerge/>
            <w:tcBorders>
              <w:left w:val="single" w:sz="4" w:space="0" w:color="000000"/>
              <w:bottom w:val="single" w:sz="4" w:space="0" w:color="000000"/>
              <w:right w:val="single" w:sz="4" w:space="0" w:color="000000"/>
            </w:tcBorders>
            <w:shd w:val="clear" w:color="auto" w:fill="D2D2D2"/>
          </w:tcPr>
          <w:p>
            <w:pPr/>
          </w:p>
        </w:tc>
        <w:tc>
          <w:tcPr>
            <w:tcW w:w="898" w:type="dxa"/>
            <w:vMerge/>
            <w:tcBorders>
              <w:left w:val="single" w:sz="4" w:space="0" w:color="000000"/>
              <w:bottom w:val="single" w:sz="4" w:space="0" w:color="000000"/>
              <w:right w:val="single" w:sz="4" w:space="0" w:color="000000"/>
            </w:tcBorders>
            <w:shd w:val="clear" w:color="auto" w:fill="D2D2D2"/>
          </w:tcPr>
          <w:p>
            <w:pP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计提</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8" w:right="0"/>
              <w:jc w:val="left"/>
              <w:rPr>
                <w:rFonts w:ascii="宋体" w:hAnsi="宋体" w:cs="宋体" w:eastAsia="宋体" w:hint="default"/>
                <w:sz w:val="18"/>
                <w:szCs w:val="18"/>
              </w:rPr>
            </w:pPr>
            <w:r>
              <w:rPr>
                <w:rFonts w:ascii="宋体" w:hAnsi="宋体" w:cs="宋体" w:eastAsia="宋体" w:hint="default"/>
                <w:sz w:val="18"/>
                <w:szCs w:val="18"/>
              </w:rPr>
              <w:t>转回或转销</w:t>
            </w:r>
          </w:p>
        </w:tc>
        <w:tc>
          <w:tcPr>
            <w:tcW w:w="14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195" w:type="dxa"/>
            <w:vMerge/>
            <w:tcBorders>
              <w:left w:val="single" w:sz="4" w:space="0" w:color="000000"/>
              <w:bottom w:val="single" w:sz="4" w:space="0" w:color="000000"/>
              <w:right w:val="single" w:sz="4" w:space="0" w:color="000000"/>
            </w:tcBorders>
            <w:shd w:val="clear" w:color="auto" w:fill="D2D2D2"/>
          </w:tcPr>
          <w:p>
            <w:pPr/>
          </w:p>
        </w:tc>
        <w:tc>
          <w:tcPr>
            <w:tcW w:w="1062" w:type="dxa"/>
            <w:vMerge/>
            <w:tcBorders>
              <w:left w:val="single" w:sz="4" w:space="0" w:color="000000"/>
              <w:bottom w:val="single" w:sz="4" w:space="0" w:color="000000"/>
              <w:right w:val="single" w:sz="4" w:space="0" w:color="000000"/>
            </w:tcBorders>
            <w:shd w:val="clear" w:color="auto" w:fill="D2D2D2"/>
          </w:tcPr>
          <w:p>
            <w:pPr/>
          </w:p>
        </w:tc>
      </w:tr>
    </w:tbl>
    <w:p>
      <w:pPr>
        <w:spacing w:line="240" w:lineRule="auto" w:before="2"/>
        <w:rPr>
          <w:rFonts w:ascii="宋体" w:hAnsi="宋体" w:cs="宋体" w:eastAsia="宋体" w:hint="default"/>
          <w:sz w:val="19"/>
          <w:szCs w:val="19"/>
        </w:rPr>
      </w:pPr>
    </w:p>
    <w:p>
      <w:pPr>
        <w:pStyle w:val="Heading3"/>
        <w:spacing w:line="240" w:lineRule="auto" w:before="35"/>
        <w:ind w:left="1134" w:right="0"/>
        <w:jc w:val="left"/>
        <w:rPr>
          <w:b w:val="0"/>
          <w:bCs w:val="0"/>
        </w:rPr>
      </w:pPr>
      <w:bookmarkStart w:name="（3）存货期末余额中利息资本化率的情况" w:id="247"/>
      <w:bookmarkEnd w:id="247"/>
      <w:r>
        <w:rPr>
          <w:b w:val="0"/>
          <w:bCs w:val="0"/>
        </w:rPr>
      </w:r>
      <w:r>
        <w:rPr/>
        <w:t>（</w:t>
      </w:r>
      <w:r>
        <w:rPr>
          <w:rFonts w:ascii="Times New Roman" w:hAnsi="Times New Roman" w:cs="Times New Roman" w:eastAsia="Times New Roman" w:hint="default"/>
        </w:rPr>
        <w:t>3</w:t>
      </w:r>
      <w:r>
        <w:rPr/>
        <w:t>）存货期末余额中利息资本化率的情况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1134" w:right="0"/>
        <w:jc w:val="left"/>
        <w:rPr>
          <w:b w:val="0"/>
          <w:bCs w:val="0"/>
        </w:rPr>
      </w:pPr>
      <w:bookmarkStart w:name="（4）存货受限情况" w:id="248"/>
      <w:bookmarkEnd w:id="248"/>
      <w:r>
        <w:rPr>
          <w:b w:val="0"/>
          <w:bCs w:val="0"/>
        </w:rPr>
      </w:r>
      <w:r>
        <w:rPr/>
        <w:t>（</w:t>
      </w:r>
      <w:r>
        <w:rPr>
          <w:rFonts w:ascii="Times New Roman" w:hAnsi="Times New Roman" w:cs="Times New Roman" w:eastAsia="Times New Roman" w:hint="default"/>
        </w:rPr>
        <w:t>4</w:t>
      </w:r>
      <w:r>
        <w:rPr/>
        <w:t>）存货受限情况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1134" w:right="0"/>
        <w:jc w:val="left"/>
      </w:pPr>
      <w:r>
        <w:rPr/>
        <w:t>按项目披露受限存货情况：</w:t>
      </w:r>
    </w:p>
    <w:p>
      <w:pPr>
        <w:pStyle w:val="BodyText"/>
        <w:spacing w:line="240" w:lineRule="auto" w:before="117"/>
        <w:ind w:left="0" w:right="1130"/>
        <w:jc w:val="right"/>
      </w:pPr>
      <w:r>
        <w:rPr/>
        <w:t>单位： 元</w:t>
      </w:r>
    </w:p>
    <w:p>
      <w:pPr>
        <w:spacing w:after="0" w:line="240" w:lineRule="auto"/>
        <w:jc w:val="right"/>
        <w:sectPr>
          <w:type w:val="continuous"/>
          <w:pgSz w:w="11910" w:h="16840"/>
          <w:pgMar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2739"/>
        <w:gridCol w:w="1821"/>
        <w:gridCol w:w="2506"/>
        <w:gridCol w:w="2503"/>
      </w:tblGrid>
      <w:tr>
        <w:trPr>
          <w:trHeight w:val="764" w:hRule="exact"/>
        </w:trPr>
        <w:tc>
          <w:tcPr>
            <w:tcW w:w="27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项目名称</w:t>
            </w:r>
          </w:p>
        </w:tc>
        <w:tc>
          <w:tcPr>
            <w:tcW w:w="18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54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5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5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受限原因</w:t>
            </w:r>
          </w:p>
        </w:tc>
      </w:tr>
    </w:tbl>
    <w:p>
      <w:pPr>
        <w:spacing w:line="240" w:lineRule="auto" w:before="2"/>
        <w:rPr>
          <w:rFonts w:ascii="宋体" w:hAnsi="宋体" w:cs="宋体" w:eastAsia="宋体" w:hint="default"/>
          <w:sz w:val="19"/>
          <w:szCs w:val="19"/>
        </w:rPr>
      </w:pPr>
    </w:p>
    <w:p>
      <w:pPr>
        <w:pStyle w:val="Heading3"/>
        <w:spacing w:line="240" w:lineRule="auto" w:before="35"/>
        <w:ind w:left="1134" w:right="0"/>
        <w:jc w:val="left"/>
        <w:rPr>
          <w:b w:val="0"/>
          <w:bCs w:val="0"/>
        </w:rPr>
      </w:pPr>
      <w:bookmarkStart w:name="（5）期末建造合同形成的已完工未结算资产情况" w:id="249"/>
      <w:bookmarkEnd w:id="249"/>
      <w:r>
        <w:rPr>
          <w:b w:val="0"/>
          <w:bCs w:val="0"/>
        </w:rPr>
      </w:r>
      <w:r>
        <w:rPr/>
        <w:t>（</w:t>
      </w:r>
      <w:r>
        <w:rPr>
          <w:rFonts w:ascii="Times New Roman" w:hAnsi="Times New Roman" w:cs="Times New Roman" w:eastAsia="Times New Roman" w:hint="default"/>
        </w:rPr>
        <w:t>5</w:t>
      </w:r>
      <w:r>
        <w:rPr/>
        <w:t>）期末建造合同形成的已完工未结算资产情况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4784"/>
        <w:gridCol w:w="4785"/>
      </w:tblGrid>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金额</w:t>
            </w:r>
          </w:p>
        </w:tc>
      </w:tr>
    </w:tbl>
    <w:p>
      <w:pPr>
        <w:pStyle w:val="BodyText"/>
        <w:spacing w:line="345" w:lineRule="auto" w:before="52"/>
        <w:ind w:right="2413"/>
        <w:jc w:val="left"/>
      </w:pPr>
      <w:r>
        <w:rPr/>
        <w:t>其他说明： 存货期末余额较期初增加</w:t>
      </w:r>
      <w:r>
        <w:rPr>
          <w:rFonts w:ascii="Times New Roman" w:hAnsi="Times New Roman" w:cs="Times New Roman" w:eastAsia="Times New Roman" w:hint="default"/>
        </w:rPr>
        <w:t>140,925,105.56</w:t>
      </w:r>
      <w:r>
        <w:rPr/>
        <w:t>元，增幅</w:t>
      </w:r>
      <w:r>
        <w:rPr>
          <w:rFonts w:ascii="Times New Roman" w:hAnsi="Times New Roman" w:cs="Times New Roman" w:eastAsia="Times New Roman" w:hint="default"/>
        </w:rPr>
        <w:t>51.32%</w:t>
      </w:r>
      <w:r>
        <w:rPr/>
        <w:t>，主要原因是本期订单增加、存货存量增加所致。 公司是否需遵守《深圳证券交易所行业信息披露指引第</w:t>
      </w:r>
      <w:r>
        <w:rPr>
          <w:spacing w:val="-45"/>
        </w:rPr>
        <w:t> </w:t>
      </w:r>
      <w:r>
        <w:rPr>
          <w:rFonts w:ascii="Times New Roman" w:hAnsi="Times New Roman" w:cs="Times New Roman" w:eastAsia="Times New Roman" w:hint="default"/>
        </w:rPr>
        <w:t>4</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上市公司从事种业、种植业务》的披露要求 否</w:t>
      </w:r>
    </w:p>
    <w:p>
      <w:pPr>
        <w:pStyle w:val="BodyText"/>
        <w:spacing w:line="340" w:lineRule="auto" w:before="37"/>
        <w:ind w:right="1574"/>
        <w:jc w:val="left"/>
      </w:pPr>
      <w:r>
        <w:rPr/>
        <w:t>公司是否需遵守《深圳证券交易所创业板行业信息披露指引第</w:t>
      </w:r>
      <w:r>
        <w:rPr>
          <w:spacing w:val="-45"/>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上市公司从事广播电影电视业务》的披露要求 否</w:t>
      </w:r>
    </w:p>
    <w:p>
      <w:pPr>
        <w:pStyle w:val="BodyText"/>
        <w:spacing w:line="338" w:lineRule="auto" w:before="40"/>
        <w:ind w:right="1754"/>
        <w:jc w:val="left"/>
      </w:pPr>
      <w:r>
        <w:rPr/>
        <w:t>公司是否需遵守《深圳证券交易所创业板行业信息披露指引第</w:t>
      </w:r>
      <w:r>
        <w:rPr>
          <w:spacing w:val="-45"/>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上市公司从事互联网游戏业务》的披露要求 否</w:t>
      </w:r>
    </w:p>
    <w:p>
      <w:pPr>
        <w:spacing w:line="240" w:lineRule="auto" w:before="2"/>
        <w:rPr>
          <w:rFonts w:ascii="宋体" w:hAnsi="宋体" w:cs="宋体" w:eastAsia="宋体" w:hint="default"/>
          <w:sz w:val="21"/>
          <w:szCs w:val="21"/>
        </w:rPr>
      </w:pPr>
    </w:p>
    <w:p>
      <w:pPr>
        <w:pStyle w:val="Heading3"/>
        <w:spacing w:line="240" w:lineRule="auto"/>
        <w:ind w:left="1134" w:right="0"/>
        <w:jc w:val="left"/>
        <w:rPr>
          <w:b w:val="0"/>
          <w:bCs w:val="0"/>
        </w:rPr>
      </w:pPr>
      <w:bookmarkStart w:name="8、其他流动资产" w:id="250"/>
      <w:bookmarkEnd w:id="250"/>
      <w:r>
        <w:rPr>
          <w:b w:val="0"/>
          <w:bCs w:val="0"/>
        </w:rPr>
      </w:r>
      <w:r>
        <w:rPr>
          <w:rFonts w:ascii="Times New Roman" w:hAnsi="Times New Roman" w:cs="Times New Roman" w:eastAsia="Times New Roman" w:hint="default"/>
        </w:rPr>
        <w:t>8</w:t>
      </w:r>
      <w:r>
        <w:rPr/>
        <w:t>、其他流动资产</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1"/>
        <w:gridCol w:w="3191"/>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理财产品</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40,000,000.00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30,000,000.00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留抵增值税</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3,033,723.63</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1,759,869.35</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预缴税款</w:t>
            </w:r>
          </w:p>
        </w:tc>
        <w:tc>
          <w:tcPr>
            <w:tcW w:w="3191" w:type="dxa"/>
            <w:tcBorders>
              <w:top w:val="single" w:sz="4" w:space="0" w:color="000000"/>
              <w:left w:val="single" w:sz="4" w:space="0" w:color="000000"/>
              <w:bottom w:val="single" w:sz="4" w:space="0" w:color="000000"/>
              <w:right w:val="single" w:sz="4" w:space="0" w:color="000000"/>
            </w:tcBorders>
          </w:tcPr>
          <w:p>
            <w:pP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91,684.55</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43,033,723.63</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31,851,553.90</w:t>
            </w:r>
          </w:p>
        </w:tc>
      </w:tr>
    </w:tbl>
    <w:p>
      <w:pPr>
        <w:pStyle w:val="BodyText"/>
        <w:spacing w:line="357" w:lineRule="auto" w:before="51"/>
        <w:ind w:right="2323"/>
        <w:jc w:val="left"/>
      </w:pPr>
      <w:r>
        <w:rPr/>
        <w:t>其他说明： 其他流动资产期末余额较期初增加</w:t>
      </w:r>
      <w:r>
        <w:rPr>
          <w:rFonts w:ascii="Times New Roman" w:hAnsi="Times New Roman" w:cs="Times New Roman" w:eastAsia="Times New Roman" w:hint="default"/>
        </w:rPr>
        <w:t>11,182,169.73</w:t>
      </w:r>
      <w:r>
        <w:rPr/>
        <w:t>元，增幅</w:t>
      </w:r>
      <w:r>
        <w:rPr>
          <w:rFonts w:ascii="Times New Roman" w:hAnsi="Times New Roman" w:cs="Times New Roman" w:eastAsia="Times New Roman" w:hint="default"/>
        </w:rPr>
        <w:t>35.11%</w:t>
      </w:r>
      <w:r>
        <w:rPr/>
        <w:t>，主要原因是本期购买理财产品增加所致。</w:t>
      </w:r>
    </w:p>
    <w:p>
      <w:pPr>
        <w:spacing w:line="240" w:lineRule="auto" w:before="5"/>
        <w:rPr>
          <w:rFonts w:ascii="宋体" w:hAnsi="宋体" w:cs="宋体" w:eastAsia="宋体" w:hint="default"/>
          <w:sz w:val="18"/>
          <w:szCs w:val="18"/>
        </w:rPr>
      </w:pPr>
    </w:p>
    <w:p>
      <w:pPr>
        <w:pStyle w:val="Heading3"/>
        <w:spacing w:line="240" w:lineRule="auto"/>
        <w:ind w:left="1134" w:right="0"/>
        <w:jc w:val="left"/>
        <w:rPr>
          <w:b w:val="0"/>
          <w:bCs w:val="0"/>
        </w:rPr>
      </w:pPr>
      <w:bookmarkStart w:name="9、可供出售金融资产" w:id="251"/>
      <w:bookmarkEnd w:id="251"/>
      <w:r>
        <w:rPr>
          <w:b w:val="0"/>
          <w:bCs w:val="0"/>
        </w:rPr>
      </w:r>
      <w:r>
        <w:rPr>
          <w:rFonts w:ascii="Times New Roman" w:hAnsi="Times New Roman" w:cs="Times New Roman" w:eastAsia="Times New Roman" w:hint="default"/>
        </w:rPr>
        <w:t>9</w:t>
      </w:r>
      <w:r>
        <w:rPr/>
        <w:t>、可供出售金融资产</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34" w:right="0"/>
        <w:jc w:val="left"/>
        <w:rPr>
          <w:b w:val="0"/>
          <w:bCs w:val="0"/>
        </w:rPr>
      </w:pPr>
      <w:bookmarkStart w:name="（1）可供出售金融资产情况" w:id="252"/>
      <w:bookmarkEnd w:id="252"/>
      <w:r>
        <w:rPr>
          <w:b w:val="0"/>
          <w:bCs w:val="0"/>
        </w:rPr>
      </w:r>
      <w:r>
        <w:rPr/>
        <w:t>（</w:t>
      </w:r>
      <w:r>
        <w:rPr>
          <w:rFonts w:ascii="Times New Roman" w:hAnsi="Times New Roman" w:cs="Times New Roman" w:eastAsia="Times New Roman" w:hint="default"/>
        </w:rPr>
        <w:t>1</w:t>
      </w:r>
      <w:r>
        <w:rPr/>
        <w:t>）可供出售金融资产情况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1989"/>
        <w:gridCol w:w="1195"/>
        <w:gridCol w:w="1196"/>
        <w:gridCol w:w="1196"/>
        <w:gridCol w:w="1248"/>
        <w:gridCol w:w="1367"/>
        <w:gridCol w:w="1367"/>
      </w:tblGrid>
      <w:tr>
        <w:trPr>
          <w:trHeight w:val="206" w:hRule="exact"/>
        </w:trPr>
        <w:tc>
          <w:tcPr>
            <w:tcW w:w="1989" w:type="dxa"/>
            <w:tcBorders>
              <w:top w:val="single" w:sz="4" w:space="0" w:color="000000"/>
              <w:left w:val="single" w:sz="4" w:space="0" w:color="000000"/>
              <w:bottom w:val="nil" w:sz="6" w:space="0" w:color="auto"/>
              <w:right w:val="single" w:sz="4" w:space="0" w:color="000000"/>
            </w:tcBorders>
            <w:shd w:val="clear" w:color="auto" w:fill="D2D2D2"/>
          </w:tcPr>
          <w:p>
            <w:pPr/>
          </w:p>
        </w:tc>
        <w:tc>
          <w:tcPr>
            <w:tcW w:w="3587"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98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6" w:hRule="exact"/>
        </w:trPr>
        <w:tc>
          <w:tcPr>
            <w:tcW w:w="198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项目</w:t>
            </w:r>
          </w:p>
        </w:tc>
        <w:tc>
          <w:tcPr>
            <w:tcW w:w="3587" w:type="dxa"/>
            <w:gridSpan w:val="3"/>
            <w:vMerge/>
            <w:tcBorders>
              <w:left w:val="single" w:sz="4" w:space="0" w:color="000000"/>
              <w:bottom w:val="single" w:sz="4" w:space="0" w:color="000000"/>
              <w:right w:val="single" w:sz="4" w:space="0" w:color="000000"/>
            </w:tcBorders>
            <w:shd w:val="clear" w:color="auto" w:fill="D2D2D2"/>
          </w:tcPr>
          <w:p>
            <w:pPr/>
          </w:p>
        </w:tc>
        <w:tc>
          <w:tcPr>
            <w:tcW w:w="3982" w:type="dxa"/>
            <w:gridSpan w:val="3"/>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1989" w:type="dxa"/>
            <w:vMerge/>
            <w:tcBorders>
              <w:left w:val="single" w:sz="4" w:space="0" w:color="000000"/>
              <w:bottom w:val="nil" w:sz="6" w:space="0" w:color="auto"/>
              <w:right w:val="single" w:sz="4" w:space="0" w:color="000000"/>
            </w:tcBorders>
            <w:shd w:val="clear" w:color="auto" w:fill="D2D2D2"/>
          </w:tcPr>
          <w:p>
            <w:pPr/>
          </w:p>
        </w:tc>
        <w:tc>
          <w:tcPr>
            <w:tcW w:w="11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23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232"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1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232"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24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25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5" w:hRule="exact"/>
        </w:trPr>
        <w:tc>
          <w:tcPr>
            <w:tcW w:w="1989" w:type="dxa"/>
            <w:tcBorders>
              <w:top w:val="nil" w:sz="6" w:space="0" w:color="auto"/>
              <w:left w:val="single" w:sz="4" w:space="0" w:color="000000"/>
              <w:bottom w:val="single" w:sz="4" w:space="0" w:color="000000"/>
              <w:right w:val="single" w:sz="4" w:space="0" w:color="000000"/>
            </w:tcBorders>
            <w:shd w:val="clear" w:color="auto" w:fill="D2D2D2"/>
          </w:tcPr>
          <w:p>
            <w:pPr/>
          </w:p>
        </w:tc>
        <w:tc>
          <w:tcPr>
            <w:tcW w:w="1195" w:type="dxa"/>
            <w:vMerge/>
            <w:tcBorders>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24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可供出售权益工具：</w:t>
            </w:r>
          </w:p>
        </w:tc>
        <w:tc>
          <w:tcPr>
            <w:tcW w:w="11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0.00</w:t>
            </w:r>
          </w:p>
        </w:tc>
        <w:tc>
          <w:tcPr>
            <w:tcW w:w="124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按成本计量的</w:t>
            </w:r>
          </w:p>
        </w:tc>
        <w:tc>
          <w:tcPr>
            <w:tcW w:w="11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0.00</w:t>
            </w:r>
          </w:p>
        </w:tc>
        <w:tc>
          <w:tcPr>
            <w:tcW w:w="124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left="1134" w:right="0"/>
        <w:jc w:val="left"/>
        <w:rPr>
          <w:b w:val="0"/>
          <w:bCs w:val="0"/>
        </w:rPr>
      </w:pPr>
      <w:bookmarkStart w:name="（2）期末按成本计量的可供出售金融资产" w:id="253"/>
      <w:bookmarkEnd w:id="253"/>
      <w:r>
        <w:rPr>
          <w:b w:val="0"/>
          <w:bCs w:val="0"/>
        </w:rPr>
      </w:r>
      <w:r>
        <w:rPr/>
        <w:t>（</w:t>
      </w:r>
      <w:r>
        <w:rPr>
          <w:rFonts w:ascii="Times New Roman" w:hAnsi="Times New Roman" w:cs="Times New Roman" w:eastAsia="Times New Roman" w:hint="default"/>
        </w:rPr>
        <w:t>2</w:t>
      </w:r>
      <w:r>
        <w:rPr/>
        <w:t>）期末按成本计量的可供出售金融资产</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after="0" w:line="240" w:lineRule="auto"/>
        <w:jc w:val="right"/>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863"/>
        <w:gridCol w:w="870"/>
        <w:gridCol w:w="870"/>
        <w:gridCol w:w="870"/>
        <w:gridCol w:w="870"/>
        <w:gridCol w:w="870"/>
        <w:gridCol w:w="870"/>
        <w:gridCol w:w="870"/>
        <w:gridCol w:w="870"/>
        <w:gridCol w:w="870"/>
        <w:gridCol w:w="870"/>
      </w:tblGrid>
      <w:tr>
        <w:trPr>
          <w:trHeight w:val="402" w:hRule="exact"/>
        </w:trPr>
        <w:tc>
          <w:tcPr>
            <w:tcW w:w="86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335" w:right="65" w:hanging="270"/>
              <w:jc w:val="left"/>
              <w:rPr>
                <w:rFonts w:ascii="宋体" w:hAnsi="宋体" w:cs="宋体" w:eastAsia="宋体" w:hint="default"/>
                <w:sz w:val="18"/>
                <w:szCs w:val="18"/>
              </w:rPr>
            </w:pPr>
            <w:r>
              <w:rPr>
                <w:rFonts w:ascii="宋体" w:hAnsi="宋体" w:cs="宋体" w:eastAsia="宋体" w:hint="default"/>
                <w:sz w:val="18"/>
                <w:szCs w:val="18"/>
              </w:rPr>
              <w:t>被投资单 位</w:t>
            </w:r>
          </w:p>
        </w:tc>
        <w:tc>
          <w:tcPr>
            <w:tcW w:w="348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348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减值准备</w:t>
            </w:r>
          </w:p>
        </w:tc>
        <w:tc>
          <w:tcPr>
            <w:tcW w:w="870"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69" w:right="68"/>
              <w:jc w:val="center"/>
              <w:rPr>
                <w:rFonts w:ascii="宋体" w:hAnsi="宋体" w:cs="宋体" w:eastAsia="宋体" w:hint="default"/>
                <w:sz w:val="18"/>
                <w:szCs w:val="18"/>
              </w:rPr>
            </w:pPr>
            <w:r>
              <w:rPr>
                <w:rFonts w:ascii="宋体" w:hAnsi="宋体" w:cs="宋体" w:eastAsia="宋体" w:hint="default"/>
                <w:sz w:val="18"/>
                <w:szCs w:val="18"/>
              </w:rPr>
              <w:t>在被投资 单位持股 比例</w:t>
            </w:r>
          </w:p>
        </w:tc>
        <w:tc>
          <w:tcPr>
            <w:tcW w:w="8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49" w:right="68" w:hanging="180"/>
              <w:jc w:val="left"/>
              <w:rPr>
                <w:rFonts w:ascii="宋体" w:hAnsi="宋体" w:cs="宋体" w:eastAsia="宋体" w:hint="default"/>
                <w:sz w:val="18"/>
                <w:szCs w:val="18"/>
              </w:rPr>
            </w:pPr>
            <w:r>
              <w:rPr>
                <w:rFonts w:ascii="宋体" w:hAnsi="宋体" w:cs="宋体" w:eastAsia="宋体" w:hint="default"/>
                <w:sz w:val="18"/>
                <w:szCs w:val="18"/>
              </w:rPr>
              <w:t>本期现金 红利</w:t>
            </w:r>
          </w:p>
        </w:tc>
      </w:tr>
      <w:tr>
        <w:trPr>
          <w:trHeight w:val="624" w:hRule="exact"/>
        </w:trPr>
        <w:tc>
          <w:tcPr>
            <w:tcW w:w="863" w:type="dxa"/>
            <w:vMerge/>
            <w:tcBorders>
              <w:left w:val="single" w:sz="4" w:space="0" w:color="000000"/>
              <w:bottom w:val="single" w:sz="4" w:space="0" w:color="000000"/>
              <w:right w:val="single" w:sz="4" w:space="0" w:color="000000"/>
            </w:tcBorders>
            <w:shd w:val="clear" w:color="auto" w:fill="D2D2D2"/>
          </w:tcPr>
          <w:p>
            <w:pP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249" w:right="0"/>
              <w:jc w:val="left"/>
              <w:rPr>
                <w:rFonts w:ascii="宋体" w:hAnsi="宋体" w:cs="宋体" w:eastAsia="宋体" w:hint="default"/>
                <w:sz w:val="18"/>
                <w:szCs w:val="18"/>
              </w:rPr>
            </w:pPr>
            <w:r>
              <w:rPr>
                <w:rFonts w:ascii="宋体" w:hAnsi="宋体" w:cs="宋体" w:eastAsia="宋体" w:hint="default"/>
                <w:sz w:val="18"/>
                <w:szCs w:val="18"/>
              </w:rPr>
              <w:t>期初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249" w:right="0"/>
              <w:jc w:val="left"/>
              <w:rPr>
                <w:rFonts w:ascii="宋体" w:hAnsi="宋体" w:cs="宋体" w:eastAsia="宋体" w:hint="default"/>
                <w:sz w:val="18"/>
                <w:szCs w:val="18"/>
              </w:rPr>
            </w:pPr>
            <w:r>
              <w:rPr>
                <w:rFonts w:ascii="宋体" w:hAnsi="宋体" w:cs="宋体" w:eastAsia="宋体" w:hint="default"/>
                <w:sz w:val="18"/>
                <w:szCs w:val="18"/>
              </w:rPr>
              <w:t>期末</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249" w:right="0"/>
              <w:jc w:val="left"/>
              <w:rPr>
                <w:rFonts w:ascii="宋体" w:hAnsi="宋体" w:cs="宋体" w:eastAsia="宋体" w:hint="default"/>
                <w:sz w:val="18"/>
                <w:szCs w:val="18"/>
              </w:rPr>
            </w:pPr>
            <w:r>
              <w:rPr>
                <w:rFonts w:ascii="宋体" w:hAnsi="宋体" w:cs="宋体" w:eastAsia="宋体" w:hint="default"/>
                <w:sz w:val="18"/>
                <w:szCs w:val="18"/>
              </w:rPr>
              <w:t>期初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250" w:right="0"/>
              <w:jc w:val="left"/>
              <w:rPr>
                <w:rFonts w:ascii="宋体" w:hAnsi="宋体" w:cs="宋体" w:eastAsia="宋体" w:hint="default"/>
                <w:sz w:val="18"/>
                <w:szCs w:val="18"/>
              </w:rPr>
            </w:pPr>
            <w:r>
              <w:rPr>
                <w:rFonts w:ascii="宋体" w:hAnsi="宋体" w:cs="宋体" w:eastAsia="宋体" w:hint="default"/>
                <w:sz w:val="18"/>
                <w:szCs w:val="18"/>
              </w:rPr>
              <w:t>期末</w:t>
            </w:r>
          </w:p>
        </w:tc>
        <w:tc>
          <w:tcPr>
            <w:tcW w:w="870" w:type="dxa"/>
            <w:vMerge/>
            <w:tcBorders>
              <w:left w:val="single" w:sz="4" w:space="0" w:color="000000"/>
              <w:bottom w:val="single" w:sz="4" w:space="0" w:color="000000"/>
              <w:right w:val="single" w:sz="4" w:space="0" w:color="000000"/>
            </w:tcBorders>
            <w:shd w:val="clear" w:color="auto" w:fill="D2D2D2"/>
          </w:tcPr>
          <w:p>
            <w:pPr/>
          </w:p>
        </w:tc>
        <w:tc>
          <w:tcPr>
            <w:tcW w:w="870" w:type="dxa"/>
            <w:vMerge/>
            <w:tcBorders>
              <w:left w:val="single" w:sz="4" w:space="0" w:color="000000"/>
              <w:bottom w:val="single" w:sz="4" w:space="0" w:color="000000"/>
              <w:right w:val="single" w:sz="4" w:space="0" w:color="000000"/>
            </w:tcBorders>
            <w:shd w:val="clear" w:color="auto" w:fill="D2D2D2"/>
          </w:tcPr>
          <w:p>
            <w:pPr/>
          </w:p>
        </w:tc>
      </w:tr>
      <w:tr>
        <w:trPr>
          <w:trHeight w:val="1338" w:hRule="exact"/>
        </w:trPr>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08"/>
              <w:jc w:val="both"/>
              <w:rPr>
                <w:rFonts w:ascii="宋体" w:hAnsi="宋体" w:cs="宋体" w:eastAsia="宋体" w:hint="default"/>
                <w:sz w:val="18"/>
                <w:szCs w:val="18"/>
              </w:rPr>
            </w:pPr>
            <w:r>
              <w:rPr>
                <w:rFonts w:ascii="宋体" w:hAnsi="宋体" w:cs="宋体" w:eastAsia="宋体" w:hint="default"/>
                <w:sz w:val="18"/>
                <w:szCs w:val="18"/>
              </w:rPr>
              <w:t>内蒙古先 河环保技 术有限公 司</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81" w:right="0"/>
              <w:jc w:val="left"/>
              <w:rPr>
                <w:rFonts w:ascii="Times New Roman" w:hAnsi="Times New Roman" w:cs="Times New Roman" w:eastAsia="Times New Roman" w:hint="default"/>
                <w:sz w:val="18"/>
                <w:szCs w:val="18"/>
              </w:rPr>
            </w:pPr>
            <w:r>
              <w:rPr>
                <w:rFonts w:ascii="Times New Roman"/>
                <w:sz w:val="18"/>
              </w:rPr>
              <w:t>30.00%</w:t>
            </w:r>
          </w:p>
        </w:tc>
        <w:tc>
          <w:tcPr>
            <w:tcW w:w="87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left="1134" w:right="0"/>
        <w:jc w:val="left"/>
        <w:rPr>
          <w:b w:val="0"/>
          <w:bCs w:val="0"/>
        </w:rPr>
      </w:pPr>
      <w:bookmarkStart w:name="10、固定资产" w:id="254"/>
      <w:bookmarkEnd w:id="254"/>
      <w:r>
        <w:rPr>
          <w:b w:val="0"/>
          <w:bCs w:val="0"/>
        </w:rPr>
      </w:r>
      <w:r>
        <w:rPr>
          <w:rFonts w:ascii="Times New Roman" w:hAnsi="Times New Roman" w:cs="Times New Roman" w:eastAsia="Times New Roman" w:hint="default"/>
        </w:rPr>
        <w:t>10</w:t>
      </w:r>
      <w:r>
        <w:rPr/>
        <w:t>、固定资产</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34" w:right="0"/>
        <w:jc w:val="left"/>
        <w:rPr>
          <w:b w:val="0"/>
          <w:bCs w:val="0"/>
        </w:rPr>
      </w:pPr>
      <w:bookmarkStart w:name="（1）固定资产情况" w:id="255"/>
      <w:bookmarkEnd w:id="255"/>
      <w:r>
        <w:rPr>
          <w:b w:val="0"/>
          <w:bCs w:val="0"/>
        </w:rPr>
      </w:r>
      <w:r>
        <w:rPr/>
        <w:t>（</w:t>
      </w:r>
      <w:r>
        <w:rPr>
          <w:rFonts w:ascii="Times New Roman" w:hAnsi="Times New Roman" w:cs="Times New Roman" w:eastAsia="Times New Roman" w:hint="default"/>
        </w:rPr>
        <w:t>1</w:t>
      </w:r>
      <w:r>
        <w:rPr/>
        <w:t>）固定资产情况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356"/>
        <w:gridCol w:w="1378"/>
        <w:gridCol w:w="1368"/>
        <w:gridCol w:w="1367"/>
        <w:gridCol w:w="1367"/>
        <w:gridCol w:w="1367"/>
        <w:gridCol w:w="1367"/>
      </w:tblGrid>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78" w:type="dxa"/>
            <w:tcBorders>
              <w:top w:val="single" w:sz="4" w:space="0" w:color="000000"/>
              <w:left w:val="single" w:sz="13" w:space="0" w:color="D2D2D2"/>
              <w:bottom w:val="single" w:sz="4" w:space="0" w:color="000000"/>
              <w:right w:val="single" w:sz="4" w:space="0" w:color="000000"/>
            </w:tcBorders>
            <w:shd w:val="clear" w:color="auto" w:fill="E0FFFF"/>
          </w:tcPr>
          <w:p>
            <w:pPr>
              <w:pStyle w:val="TableParagraph"/>
              <w:spacing w:line="240" w:lineRule="auto" w:before="51"/>
              <w:ind w:left="137"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368"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319"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367"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1367"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367"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tabs>
                <w:tab w:pos="858" w:val="left" w:leader="none"/>
              </w:tabs>
              <w:spacing w:line="240" w:lineRule="auto" w:before="51"/>
              <w:ind w:left="318" w:right="0"/>
              <w:jc w:val="left"/>
              <w:rPr>
                <w:rFonts w:ascii="宋体" w:hAnsi="宋体" w:cs="宋体" w:eastAsia="宋体" w:hint="default"/>
                <w:sz w:val="18"/>
                <w:szCs w:val="18"/>
              </w:rPr>
            </w:pPr>
            <w:r>
              <w:rPr>
                <w:rFonts w:ascii="宋体" w:hAnsi="宋体" w:cs="宋体" w:eastAsia="宋体" w:hint="default"/>
                <w:sz w:val="18"/>
                <w:szCs w:val="18"/>
              </w:rPr>
              <w:t>其</w:t>
              <w:tab/>
              <w:t>他</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203,170,772.67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73,385,548.52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9,139,724.84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19,841,393.85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7,466,068.77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313,003,508.65</w:t>
            </w: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105"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 额</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4,896,837.80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19,556,507.93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1,749,225.43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2,041,329.67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1,073,391.44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29,317,292.27</w:t>
            </w: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）购置</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4,896,837.80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16,499,670.00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1,749,225.43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2,041,329.67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1,073,391.44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26,260,454.34</w:t>
            </w: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10" w:firstLine="340"/>
              <w:jc w:val="lef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2</w:t>
            </w:r>
            <w:r>
              <w:rPr>
                <w:rFonts w:ascii="宋体" w:hAnsi="宋体" w:cs="宋体" w:eastAsia="宋体" w:hint="default"/>
                <w:spacing w:val="-4"/>
                <w:sz w:val="18"/>
                <w:szCs w:val="18"/>
              </w:rPr>
              <w:t>）在建工</w:t>
            </w:r>
            <w:r>
              <w:rPr>
                <w:rFonts w:ascii="宋体" w:hAnsi="宋体" w:cs="宋体" w:eastAsia="宋体" w:hint="default"/>
                <w:sz w:val="18"/>
                <w:szCs w:val="18"/>
              </w:rPr>
              <w:t> 程转入</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3,392,722.13</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3,392,722.13</w:t>
            </w: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10" w:firstLine="340"/>
              <w:jc w:val="lef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3</w:t>
            </w:r>
            <w:r>
              <w:rPr>
                <w:rFonts w:ascii="宋体" w:hAnsi="宋体" w:cs="宋体" w:eastAsia="宋体" w:hint="default"/>
                <w:spacing w:val="-4"/>
                <w:sz w:val="18"/>
                <w:szCs w:val="18"/>
              </w:rPr>
              <w:t>）企业合</w:t>
            </w:r>
            <w:r>
              <w:rPr>
                <w:rFonts w:ascii="宋体" w:hAnsi="宋体" w:cs="宋体" w:eastAsia="宋体" w:hint="default"/>
                <w:sz w:val="18"/>
                <w:szCs w:val="18"/>
              </w:rPr>
              <w:t> 并增加</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汇率变动</w:t>
            </w:r>
          </w:p>
        </w:tc>
        <w:tc>
          <w:tcPr>
            <w:tcW w:w="1378" w:type="dxa"/>
            <w:tcBorders>
              <w:top w:val="single" w:sz="4" w:space="0" w:color="000000"/>
              <w:left w:val="single" w:sz="13" w:space="0" w:color="E0FFFF"/>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-335,884.20</w:t>
            </w:r>
            <w:r>
              <w:rPr>
                <w:rFonts w:ascii="Times New Roman"/>
                <w:sz w:val="18"/>
              </w:rPr>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-335,884.20</w:t>
            </w:r>
            <w:r>
              <w:rPr>
                <w:rFonts w:ascii="Times New Roman"/>
                <w:sz w:val="18"/>
              </w:rPr>
            </w: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105"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 额</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2,018,882.36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17,290.60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123,375.55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6,623.93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2,166,172.44</w:t>
            </w: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10" w:firstLine="340"/>
              <w:jc w:val="lef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）处置或</w:t>
            </w:r>
            <w:r>
              <w:rPr>
                <w:rFonts w:ascii="宋体" w:hAnsi="宋体" w:cs="宋体" w:eastAsia="宋体" w:hint="default"/>
                <w:sz w:val="18"/>
                <w:szCs w:val="18"/>
              </w:rPr>
              <w:t> 报废</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2,018,882.36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17,290.60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123,375.55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6,623.93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2,166,172.44</w:t>
            </w: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378" w:type="dxa"/>
            <w:tcBorders>
              <w:top w:val="single" w:sz="4" w:space="0" w:color="000000"/>
              <w:left w:val="single" w:sz="13" w:space="0" w:color="E0FFFF"/>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208,067,610.47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90,923,174.09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10,871,659.67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21,759,347.97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8,532,836.28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340,154,628.48</w:t>
            </w: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二、累计折旧</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22,621,123.61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30,209,396.77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5,146,854.38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10,225,517.95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3,224,819.49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71,427,712.20</w:t>
            </w: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105"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 额</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6,879,964.57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11,350,571.20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1,491,051.63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2,660,252.70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1,137,427.64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23,519,267.74</w:t>
            </w: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6,879,964.57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11,548,205.24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1,491,051.63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2,660,252.70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1,137,427.64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23,716,901.78</w:t>
            </w: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汇率变动</w:t>
            </w:r>
          </w:p>
        </w:tc>
        <w:tc>
          <w:tcPr>
            <w:tcW w:w="1378" w:type="dxa"/>
            <w:tcBorders>
              <w:top w:val="single" w:sz="4" w:space="0" w:color="000000"/>
              <w:left w:val="single" w:sz="13" w:space="0" w:color="E0FFFF"/>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-197,634.04</w:t>
            </w:r>
            <w:r>
              <w:rPr>
                <w:rFonts w:ascii="Times New Roman"/>
                <w:sz w:val="18"/>
              </w:rPr>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-197,634.04</w:t>
            </w:r>
            <w:r>
              <w:rPr>
                <w:rFonts w:ascii="Times New Roman"/>
                <w:sz w:val="18"/>
              </w:rPr>
            </w: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105"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 额</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1,949,308.75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6,387.92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117,206.77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6,292.73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2,079,196.17</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1356"/>
        <w:gridCol w:w="1378"/>
        <w:gridCol w:w="1368"/>
        <w:gridCol w:w="1367"/>
        <w:gridCol w:w="1367"/>
        <w:gridCol w:w="1367"/>
        <w:gridCol w:w="1367"/>
      </w:tblGrid>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10" w:firstLine="340"/>
              <w:jc w:val="lef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）处置或</w:t>
            </w:r>
            <w:r>
              <w:rPr>
                <w:rFonts w:ascii="宋体" w:hAnsi="宋体" w:cs="宋体" w:eastAsia="宋体" w:hint="default"/>
                <w:sz w:val="18"/>
                <w:szCs w:val="18"/>
              </w:rPr>
              <w:t> 报废</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1,949,308.75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6,387.92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117,206.77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6,292.73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2,079,196.17</w:t>
            </w: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378" w:type="dxa"/>
            <w:tcBorders>
              <w:top w:val="single" w:sz="4" w:space="0" w:color="000000"/>
              <w:left w:val="single" w:sz="13" w:space="0" w:color="E0FFFF"/>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29,501,088.18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39,610,659.22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6,631,518.09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12,768,563.88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4,355,954.40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92,867,783.77</w:t>
            </w: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105"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 额</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378" w:type="dxa"/>
            <w:tcBorders>
              <w:top w:val="single" w:sz="4" w:space="0" w:color="000000"/>
              <w:left w:val="single" w:sz="13" w:space="0" w:color="E0FFFF"/>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105"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 额</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10" w:firstLine="340"/>
              <w:jc w:val="lef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）处置或</w:t>
            </w:r>
            <w:r>
              <w:rPr>
                <w:rFonts w:ascii="宋体" w:hAnsi="宋体" w:cs="宋体" w:eastAsia="宋体" w:hint="default"/>
                <w:sz w:val="18"/>
                <w:szCs w:val="18"/>
              </w:rPr>
              <w:t> 报废</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378" w:type="dxa"/>
            <w:tcBorders>
              <w:top w:val="single" w:sz="4" w:space="0" w:color="000000"/>
              <w:left w:val="single" w:sz="13" w:space="0" w:color="E0FFFF"/>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105"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 值</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178,566,522.29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51,312,514.87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4,240,141.58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8,990,784.09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4,176,881.88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247,286,844.71</w:t>
            </w: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105"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 值</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180,549,649.06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43,176,151.75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3,992,870.46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9,615,875.90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4,241,249.28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241,575,796.45</w:t>
            </w:r>
          </w:p>
        </w:tc>
      </w:tr>
    </w:tbl>
    <w:p>
      <w:pPr>
        <w:spacing w:line="240" w:lineRule="auto" w:before="2"/>
        <w:rPr>
          <w:rFonts w:ascii="宋体" w:hAnsi="宋体" w:cs="宋体" w:eastAsia="宋体" w:hint="default"/>
          <w:sz w:val="19"/>
          <w:szCs w:val="19"/>
        </w:rPr>
      </w:pPr>
    </w:p>
    <w:p>
      <w:pPr>
        <w:pStyle w:val="Heading3"/>
        <w:spacing w:line="240" w:lineRule="auto" w:before="35"/>
        <w:ind w:left="1134" w:right="0"/>
        <w:jc w:val="left"/>
        <w:rPr>
          <w:b w:val="0"/>
          <w:bCs w:val="0"/>
        </w:rPr>
      </w:pPr>
      <w:bookmarkStart w:name="（2）通过经营租赁租出的固定资产" w:id="256"/>
      <w:bookmarkEnd w:id="256"/>
      <w:r>
        <w:rPr>
          <w:b w:val="0"/>
          <w:bCs w:val="0"/>
        </w:rPr>
      </w:r>
      <w:r>
        <w:rPr/>
        <w:t>（</w:t>
      </w:r>
      <w:r>
        <w:rPr>
          <w:rFonts w:ascii="Times New Roman" w:hAnsi="Times New Roman" w:cs="Times New Roman" w:eastAsia="Times New Roman" w:hint="default"/>
        </w:rPr>
        <w:t>2</w:t>
      </w:r>
      <w:r>
        <w:rPr/>
        <w:t>）通过经营租赁租出的固定资产</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4780"/>
        <w:gridCol w:w="4788"/>
      </w:tblGrid>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期末账面价值</w:t>
            </w:r>
          </w:p>
        </w:tc>
      </w:tr>
      <w:tr>
        <w:trPr>
          <w:trHeight w:val="402" w:hRule="exact"/>
        </w:trPr>
        <w:tc>
          <w:tcPr>
            <w:tcW w:w="4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9,800,518.21</w:t>
            </w:r>
          </w:p>
        </w:tc>
      </w:tr>
    </w:tbl>
    <w:p>
      <w:pPr>
        <w:spacing w:line="240" w:lineRule="auto" w:before="2"/>
        <w:rPr>
          <w:rFonts w:ascii="宋体" w:hAnsi="宋体" w:cs="宋体" w:eastAsia="宋体" w:hint="default"/>
          <w:sz w:val="19"/>
          <w:szCs w:val="19"/>
        </w:rPr>
      </w:pPr>
    </w:p>
    <w:p>
      <w:pPr>
        <w:pStyle w:val="Heading3"/>
        <w:spacing w:line="240" w:lineRule="auto" w:before="35"/>
        <w:ind w:left="1134" w:right="0"/>
        <w:jc w:val="left"/>
        <w:rPr>
          <w:b w:val="0"/>
          <w:bCs w:val="0"/>
        </w:rPr>
      </w:pPr>
      <w:bookmarkStart w:name="（3）未办妥产权证书的固定资产情况" w:id="257"/>
      <w:bookmarkEnd w:id="257"/>
      <w:r>
        <w:rPr>
          <w:b w:val="0"/>
          <w:bCs w:val="0"/>
        </w:rPr>
      </w:r>
      <w:r>
        <w:rPr/>
        <w:t>（</w:t>
      </w:r>
      <w:r>
        <w:rPr>
          <w:rFonts w:ascii="Times New Roman" w:hAnsi="Times New Roman" w:cs="Times New Roman" w:eastAsia="Times New Roman" w:hint="default"/>
        </w:rPr>
        <w:t>3</w:t>
      </w:r>
      <w:r>
        <w:rPr/>
        <w:t>）未办妥产权证书的固定资产情况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89" w:right="0"/>
              <w:jc w:val="left"/>
              <w:rPr>
                <w:rFonts w:ascii="宋体" w:hAnsi="宋体" w:cs="宋体" w:eastAsia="宋体" w:hint="default"/>
                <w:sz w:val="18"/>
                <w:szCs w:val="18"/>
              </w:rPr>
            </w:pPr>
            <w:r>
              <w:rPr>
                <w:rFonts w:ascii="宋体" w:hAnsi="宋体" w:cs="宋体" w:eastAsia="宋体" w:hint="default"/>
                <w:sz w:val="18"/>
                <w:szCs w:val="18"/>
              </w:rPr>
              <w:t>未办妥产权证书的原因</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综合车间</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58,279,633.10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产权证尚在办理中</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综合楼</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18,157,673.99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产权证尚在办理中</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生产车间</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16,391,584.77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产权证尚在办理中</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检测中心</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7,160,244.31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产权证尚在办理中</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产品演示及商务洽谈中心</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8,661,546.07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产权证尚在办理中</w:t>
            </w:r>
          </w:p>
        </w:tc>
      </w:tr>
    </w:tbl>
    <w:p>
      <w:pPr>
        <w:spacing w:after="0" w:line="240"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员工餐厅和活动中心等</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4,460,023.84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产权证尚在办理中</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海南保亭房产</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2,406,905.41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产权证尚在办理中</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tabs>
                <w:tab w:pos="472" w:val="left" w:leader="none"/>
              </w:tabs>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w:t>
              <w:tab/>
              <w:t>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115,517,611.49</w:t>
            </w:r>
          </w:p>
        </w:tc>
        <w:tc>
          <w:tcPr>
            <w:tcW w:w="3189"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left="1134"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11、在建工程" w:id="258"/>
      <w:bookmarkEnd w:id="258"/>
      <w:r>
        <w:rPr>
          <w:b w:val="0"/>
          <w:bCs w:val="0"/>
        </w:rPr>
      </w:r>
      <w:r>
        <w:rPr>
          <w:rFonts w:ascii="Times New Roman" w:hAnsi="Times New Roman" w:cs="Times New Roman" w:eastAsia="Times New Roman" w:hint="default"/>
        </w:rPr>
        <w:t>11</w:t>
      </w:r>
      <w:r>
        <w:rPr/>
        <w:t>、在建工程</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134" w:right="0"/>
        <w:jc w:val="left"/>
        <w:rPr>
          <w:b w:val="0"/>
          <w:bCs w:val="0"/>
        </w:rPr>
      </w:pPr>
      <w:bookmarkStart w:name="（1）在建工程情况" w:id="259"/>
      <w:bookmarkEnd w:id="259"/>
      <w:r>
        <w:rPr>
          <w:b w:val="0"/>
          <w:bCs w:val="0"/>
        </w:rPr>
      </w:r>
      <w:r>
        <w:rPr/>
        <w:t>（</w:t>
      </w:r>
      <w:r>
        <w:rPr>
          <w:rFonts w:ascii="Times New Roman" w:hAnsi="Times New Roman" w:cs="Times New Roman" w:eastAsia="Times New Roman" w:hint="default"/>
        </w:rPr>
        <w:t>1</w:t>
      </w:r>
      <w:r>
        <w:rPr/>
        <w:t>）在建工程情况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2268"/>
        <w:gridCol w:w="1560"/>
        <w:gridCol w:w="1134"/>
        <w:gridCol w:w="1134"/>
        <w:gridCol w:w="1276"/>
        <w:gridCol w:w="992"/>
        <w:gridCol w:w="1207"/>
      </w:tblGrid>
      <w:tr>
        <w:trPr>
          <w:trHeight w:val="402" w:hRule="exact"/>
        </w:trPr>
        <w:tc>
          <w:tcPr>
            <w:tcW w:w="22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82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476"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2268" w:type="dxa"/>
            <w:vMerge/>
            <w:tcBorders>
              <w:left w:val="single" w:sz="4" w:space="0" w:color="000000"/>
              <w:bottom w:val="single" w:sz="4" w:space="0" w:color="000000"/>
              <w:right w:val="single" w:sz="4" w:space="0" w:color="000000"/>
            </w:tcBorders>
            <w:shd w:val="clear" w:color="auto" w:fill="D2D2D2"/>
          </w:tcPr>
          <w:p>
            <w:pPr/>
          </w:p>
        </w:tc>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1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1"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1"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7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30"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2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714"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石家庄鸿锐</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PVC</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手套尾气治 理</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BOT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项目</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18,306.87</w:t>
            </w: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18,306.87</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3,808,096.35</w:t>
            </w:r>
          </w:p>
        </w:tc>
        <w:tc>
          <w:tcPr>
            <w:tcW w:w="992" w:type="dxa"/>
            <w:tcBorders>
              <w:top w:val="single" w:sz="4" w:space="0" w:color="000000"/>
              <w:left w:val="single" w:sz="4" w:space="0" w:color="000000"/>
              <w:bottom w:val="single" w:sz="4" w:space="0" w:color="000000"/>
              <w:right w:val="single" w:sz="4" w:space="0" w:color="000000"/>
            </w:tcBorders>
          </w:tcPr>
          <w:p>
            <w:pP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3,808,096.35</w:t>
            </w:r>
          </w:p>
        </w:tc>
      </w:tr>
      <w:tr>
        <w:trPr>
          <w:trHeight w:val="714"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74"/>
              <w:jc w:val="left"/>
              <w:rPr>
                <w:rFonts w:ascii="宋体" w:hAnsi="宋体" w:cs="宋体" w:eastAsia="宋体" w:hint="default"/>
                <w:sz w:val="18"/>
                <w:szCs w:val="18"/>
              </w:rPr>
            </w:pPr>
            <w:r>
              <w:rPr>
                <w:rFonts w:ascii="宋体" w:hAnsi="宋体" w:cs="宋体" w:eastAsia="宋体" w:hint="default"/>
                <w:sz w:val="18"/>
                <w:szCs w:val="18"/>
              </w:rPr>
              <w:t>河北志腾</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VOCs</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资源化利用 治理项目</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78,337.91</w:t>
            </w: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78,337.91</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3,893,796.27</w:t>
            </w:r>
          </w:p>
        </w:tc>
        <w:tc>
          <w:tcPr>
            <w:tcW w:w="992" w:type="dxa"/>
            <w:tcBorders>
              <w:top w:val="single" w:sz="4" w:space="0" w:color="000000"/>
              <w:left w:val="single" w:sz="4" w:space="0" w:color="000000"/>
              <w:bottom w:val="single" w:sz="4" w:space="0" w:color="000000"/>
              <w:right w:val="single" w:sz="4" w:space="0" w:color="000000"/>
            </w:tcBorders>
          </w:tcPr>
          <w:p>
            <w:pP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3,893,796.27</w:t>
            </w:r>
          </w:p>
        </w:tc>
      </w:tr>
      <w:tr>
        <w:trPr>
          <w:trHeight w:val="1026"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23"/>
              <w:jc w:val="both"/>
              <w:rPr>
                <w:rFonts w:ascii="宋体" w:hAnsi="宋体" w:cs="宋体" w:eastAsia="宋体" w:hint="default"/>
                <w:sz w:val="18"/>
                <w:szCs w:val="18"/>
              </w:rPr>
            </w:pPr>
            <w:r>
              <w:rPr>
                <w:rFonts w:ascii="宋体" w:hAnsi="宋体" w:cs="宋体" w:eastAsia="宋体" w:hint="default"/>
                <w:sz w:val="18"/>
                <w:szCs w:val="18"/>
              </w:rPr>
              <w:t>石家庄鸿业</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PVC</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手套生产线 给排风改造及生产废气回收 与治理项目</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2,015,072.09</w:t>
            </w: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2,015,072.09</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962,236.53</w:t>
            </w:r>
          </w:p>
        </w:tc>
        <w:tc>
          <w:tcPr>
            <w:tcW w:w="992" w:type="dxa"/>
            <w:tcBorders>
              <w:top w:val="single" w:sz="4" w:space="0" w:color="000000"/>
              <w:left w:val="single" w:sz="4" w:space="0" w:color="000000"/>
              <w:bottom w:val="single" w:sz="4" w:space="0" w:color="000000"/>
              <w:right w:val="single" w:sz="4" w:space="0" w:color="000000"/>
            </w:tcBorders>
          </w:tcPr>
          <w:p>
            <w:pP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962,236.53</w:t>
            </w:r>
          </w:p>
        </w:tc>
      </w:tr>
      <w:tr>
        <w:trPr>
          <w:trHeight w:val="714"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5"/>
              <w:jc w:val="left"/>
              <w:rPr>
                <w:rFonts w:ascii="宋体" w:hAnsi="宋体" w:cs="宋体" w:eastAsia="宋体" w:hint="default"/>
                <w:sz w:val="18"/>
                <w:szCs w:val="18"/>
              </w:rPr>
            </w:pPr>
            <w:r>
              <w:rPr>
                <w:rFonts w:ascii="宋体" w:hAnsi="宋体" w:cs="宋体" w:eastAsia="宋体" w:hint="default"/>
                <w:sz w:val="18"/>
                <w:szCs w:val="18"/>
              </w:rPr>
              <w:t>山东承相印刷机生产废气回 收与处理项目</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1,642.81</w:t>
            </w: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1,642.81</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562,724.31</w:t>
            </w:r>
          </w:p>
        </w:tc>
        <w:tc>
          <w:tcPr>
            <w:tcW w:w="992" w:type="dxa"/>
            <w:tcBorders>
              <w:top w:val="single" w:sz="4" w:space="0" w:color="000000"/>
              <w:left w:val="single" w:sz="4" w:space="0" w:color="000000"/>
              <w:bottom w:val="single" w:sz="4" w:space="0" w:color="000000"/>
              <w:right w:val="single" w:sz="4" w:space="0" w:color="000000"/>
            </w:tcBorders>
          </w:tcPr>
          <w:p>
            <w:pP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562,724.31</w:t>
            </w:r>
          </w:p>
        </w:tc>
      </w:tr>
      <w:tr>
        <w:trPr>
          <w:trHeight w:val="402"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雄县脱附项目</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1,480,080.00</w:t>
            </w: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1,480,080.00</w:t>
            </w:r>
          </w:p>
        </w:tc>
        <w:tc>
          <w:tcPr>
            <w:tcW w:w="1276"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20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实验舱</w:t>
            </w:r>
          </w:p>
        </w:tc>
        <w:tc>
          <w:tcPr>
            <w:tcW w:w="1560"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993,431.07</w:t>
            </w:r>
          </w:p>
        </w:tc>
        <w:tc>
          <w:tcPr>
            <w:tcW w:w="992" w:type="dxa"/>
            <w:tcBorders>
              <w:top w:val="single" w:sz="4" w:space="0" w:color="000000"/>
              <w:left w:val="single" w:sz="4" w:space="0" w:color="000000"/>
              <w:bottom w:val="single" w:sz="4" w:space="0" w:color="000000"/>
              <w:right w:val="single" w:sz="4" w:space="0" w:color="000000"/>
            </w:tcBorders>
          </w:tcPr>
          <w:p>
            <w:pP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993,431.07</w:t>
            </w:r>
          </w:p>
        </w:tc>
      </w:tr>
      <w:tr>
        <w:trPr>
          <w:trHeight w:val="402"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网格化大数据中心项目</w:t>
            </w:r>
          </w:p>
        </w:tc>
        <w:tc>
          <w:tcPr>
            <w:tcW w:w="1560"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1,529,548.00</w:t>
            </w:r>
          </w:p>
        </w:tc>
        <w:tc>
          <w:tcPr>
            <w:tcW w:w="992" w:type="dxa"/>
            <w:tcBorders>
              <w:top w:val="single" w:sz="4" w:space="0" w:color="000000"/>
              <w:left w:val="single" w:sz="4" w:space="0" w:color="000000"/>
              <w:bottom w:val="single" w:sz="4" w:space="0" w:color="000000"/>
              <w:right w:val="single" w:sz="4" w:space="0" w:color="000000"/>
            </w:tcBorders>
          </w:tcPr>
          <w:p>
            <w:pP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1,529,548.00</w:t>
            </w:r>
          </w:p>
        </w:tc>
      </w:tr>
      <w:tr>
        <w:trPr>
          <w:trHeight w:val="402"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其他零星工程</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128,988.92</w:t>
            </w: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128,988.92</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702,216.81</w:t>
            </w:r>
          </w:p>
        </w:tc>
        <w:tc>
          <w:tcPr>
            <w:tcW w:w="992" w:type="dxa"/>
            <w:tcBorders>
              <w:top w:val="single" w:sz="4" w:space="0" w:color="000000"/>
              <w:left w:val="single" w:sz="4" w:space="0" w:color="000000"/>
              <w:bottom w:val="single" w:sz="4" w:space="0" w:color="000000"/>
              <w:right w:val="single" w:sz="4" w:space="0" w:color="000000"/>
            </w:tcBorders>
          </w:tcPr>
          <w:p>
            <w:pP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702,216.81</w:t>
            </w:r>
          </w:p>
        </w:tc>
      </w:tr>
      <w:tr>
        <w:trPr>
          <w:trHeight w:val="402" w:hRule="exact"/>
        </w:trPr>
        <w:tc>
          <w:tcPr>
            <w:tcW w:w="2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3,722,428.60</w:t>
            </w: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3,722,428.60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12,452,049.34</w:t>
            </w:r>
          </w:p>
        </w:tc>
        <w:tc>
          <w:tcPr>
            <w:tcW w:w="992" w:type="dxa"/>
            <w:tcBorders>
              <w:top w:val="single" w:sz="4" w:space="0" w:color="000000"/>
              <w:left w:val="single" w:sz="4" w:space="0" w:color="000000"/>
              <w:bottom w:val="single" w:sz="4" w:space="0" w:color="000000"/>
              <w:right w:val="single" w:sz="4" w:space="0" w:color="000000"/>
            </w:tcBorders>
          </w:tcPr>
          <w:p>
            <w:pP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12,452,049.34</w:t>
            </w:r>
          </w:p>
        </w:tc>
      </w:tr>
    </w:tbl>
    <w:p>
      <w:pPr>
        <w:spacing w:line="240" w:lineRule="auto" w:before="2"/>
        <w:rPr>
          <w:rFonts w:ascii="宋体" w:hAnsi="宋体" w:cs="宋体" w:eastAsia="宋体" w:hint="default"/>
          <w:sz w:val="19"/>
          <w:szCs w:val="19"/>
        </w:rPr>
      </w:pPr>
    </w:p>
    <w:p>
      <w:pPr>
        <w:pStyle w:val="Heading3"/>
        <w:spacing w:line="240" w:lineRule="auto" w:before="35"/>
        <w:ind w:left="1134" w:right="0"/>
        <w:jc w:val="left"/>
        <w:rPr>
          <w:b w:val="0"/>
          <w:bCs w:val="0"/>
        </w:rPr>
      </w:pPr>
      <w:bookmarkStart w:name="（2）重要在建工程项目本期变动情况" w:id="260"/>
      <w:bookmarkEnd w:id="260"/>
      <w:r>
        <w:rPr>
          <w:b w:val="0"/>
          <w:bCs w:val="0"/>
        </w:rPr>
      </w:r>
      <w:r>
        <w:rPr/>
        <w:t>（</w:t>
      </w:r>
      <w:r>
        <w:rPr>
          <w:rFonts w:ascii="Times New Roman" w:hAnsi="Times New Roman" w:cs="Times New Roman" w:eastAsia="Times New Roman" w:hint="default"/>
        </w:rPr>
        <w:t>2</w:t>
      </w:r>
      <w:r>
        <w:rPr/>
        <w:t>）重要在建工程项目本期变动情况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732"/>
        <w:gridCol w:w="736"/>
        <w:gridCol w:w="737"/>
        <w:gridCol w:w="736"/>
        <w:gridCol w:w="736"/>
        <w:gridCol w:w="737"/>
        <w:gridCol w:w="736"/>
        <w:gridCol w:w="736"/>
        <w:gridCol w:w="737"/>
        <w:gridCol w:w="736"/>
        <w:gridCol w:w="736"/>
        <w:gridCol w:w="737"/>
        <w:gridCol w:w="736"/>
      </w:tblGrid>
      <w:tr>
        <w:trPr>
          <w:trHeight w:val="1338" w:hRule="exact"/>
        </w:trPr>
        <w:tc>
          <w:tcPr>
            <w:tcW w:w="7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70" w:right="90" w:hanging="180"/>
              <w:jc w:val="left"/>
              <w:rPr>
                <w:rFonts w:ascii="宋体" w:hAnsi="宋体" w:cs="宋体" w:eastAsia="宋体" w:hint="default"/>
                <w:sz w:val="18"/>
                <w:szCs w:val="18"/>
              </w:rPr>
            </w:pPr>
            <w:r>
              <w:rPr>
                <w:rFonts w:ascii="宋体" w:hAnsi="宋体" w:cs="宋体" w:eastAsia="宋体" w:hint="default"/>
                <w:sz w:val="18"/>
                <w:szCs w:val="18"/>
              </w:rPr>
              <w:t>项目名 称</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92" w:right="0"/>
              <w:jc w:val="left"/>
              <w:rPr>
                <w:rFonts w:ascii="宋体" w:hAnsi="宋体" w:cs="宋体" w:eastAsia="宋体" w:hint="default"/>
                <w:sz w:val="18"/>
                <w:szCs w:val="18"/>
              </w:rPr>
            </w:pPr>
            <w:r>
              <w:rPr>
                <w:rFonts w:ascii="宋体" w:hAnsi="宋体" w:cs="宋体" w:eastAsia="宋体" w:hint="default"/>
                <w:sz w:val="18"/>
                <w:szCs w:val="18"/>
              </w:rPr>
              <w:t>预算数</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73" w:right="91" w:hanging="180"/>
              <w:jc w:val="left"/>
              <w:rPr>
                <w:rFonts w:ascii="宋体" w:hAnsi="宋体" w:cs="宋体" w:eastAsia="宋体" w:hint="default"/>
                <w:sz w:val="18"/>
                <w:szCs w:val="18"/>
              </w:rPr>
            </w:pPr>
            <w:r>
              <w:rPr>
                <w:rFonts w:ascii="宋体" w:hAnsi="宋体" w:cs="宋体" w:eastAsia="宋体" w:hint="default"/>
                <w:sz w:val="18"/>
                <w:szCs w:val="18"/>
              </w:rPr>
              <w:t>期初余 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92" w:right="91"/>
              <w:jc w:val="left"/>
              <w:rPr>
                <w:rFonts w:ascii="宋体" w:hAnsi="宋体" w:cs="宋体" w:eastAsia="宋体" w:hint="default"/>
                <w:sz w:val="18"/>
                <w:szCs w:val="18"/>
              </w:rPr>
            </w:pPr>
            <w:r>
              <w:rPr>
                <w:rFonts w:ascii="宋体" w:hAnsi="宋体" w:cs="宋体" w:eastAsia="宋体" w:hint="default"/>
                <w:sz w:val="18"/>
                <w:szCs w:val="18"/>
              </w:rPr>
              <w:t>本期增 加金额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92" w:right="91"/>
              <w:jc w:val="center"/>
              <w:rPr>
                <w:rFonts w:ascii="宋体" w:hAnsi="宋体" w:cs="宋体" w:eastAsia="宋体" w:hint="default"/>
                <w:sz w:val="18"/>
                <w:szCs w:val="18"/>
              </w:rPr>
            </w:pPr>
            <w:r>
              <w:rPr>
                <w:rFonts w:ascii="宋体" w:hAnsi="宋体" w:cs="宋体" w:eastAsia="宋体" w:hint="default"/>
                <w:sz w:val="18"/>
                <w:szCs w:val="18"/>
              </w:rPr>
              <w:t>本期转 入固定 资产金 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93" w:right="91"/>
              <w:jc w:val="both"/>
              <w:rPr>
                <w:rFonts w:ascii="宋体" w:hAnsi="宋体" w:cs="宋体" w:eastAsia="宋体" w:hint="default"/>
                <w:sz w:val="18"/>
                <w:szCs w:val="18"/>
              </w:rPr>
            </w:pPr>
            <w:r>
              <w:rPr>
                <w:rFonts w:ascii="宋体" w:hAnsi="宋体" w:cs="宋体" w:eastAsia="宋体" w:hint="default"/>
                <w:sz w:val="18"/>
                <w:szCs w:val="18"/>
              </w:rPr>
              <w:t>本期其 他减少 金额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72" w:right="91" w:hanging="180"/>
              <w:jc w:val="left"/>
              <w:rPr>
                <w:rFonts w:ascii="宋体" w:hAnsi="宋体" w:cs="宋体" w:eastAsia="宋体" w:hint="default"/>
                <w:sz w:val="18"/>
                <w:szCs w:val="18"/>
              </w:rPr>
            </w:pPr>
            <w:r>
              <w:rPr>
                <w:rFonts w:ascii="宋体" w:hAnsi="宋体" w:cs="宋体" w:eastAsia="宋体" w:hint="default"/>
                <w:sz w:val="18"/>
                <w:szCs w:val="18"/>
              </w:rPr>
              <w:t>期末余 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92" w:right="91"/>
              <w:jc w:val="both"/>
              <w:rPr>
                <w:rFonts w:ascii="宋体" w:hAnsi="宋体" w:cs="宋体" w:eastAsia="宋体" w:hint="default"/>
                <w:sz w:val="18"/>
                <w:szCs w:val="18"/>
              </w:rPr>
            </w:pPr>
            <w:r>
              <w:rPr>
                <w:rFonts w:ascii="宋体" w:hAnsi="宋体" w:cs="宋体" w:eastAsia="宋体" w:hint="default"/>
                <w:sz w:val="18"/>
                <w:szCs w:val="18"/>
              </w:rPr>
              <w:t>工程累 计投入 占预算 比例</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73" w:right="91" w:hanging="180"/>
              <w:jc w:val="left"/>
              <w:rPr>
                <w:rFonts w:ascii="宋体" w:hAnsi="宋体" w:cs="宋体" w:eastAsia="宋体" w:hint="default"/>
                <w:sz w:val="18"/>
                <w:szCs w:val="18"/>
              </w:rPr>
            </w:pPr>
            <w:r>
              <w:rPr>
                <w:rFonts w:ascii="宋体" w:hAnsi="宋体" w:cs="宋体" w:eastAsia="宋体" w:hint="default"/>
                <w:sz w:val="18"/>
                <w:szCs w:val="18"/>
              </w:rPr>
              <w:t>工程进 度</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92" w:right="93"/>
              <w:jc w:val="both"/>
              <w:rPr>
                <w:rFonts w:ascii="宋体" w:hAnsi="宋体" w:cs="宋体" w:eastAsia="宋体" w:hint="default"/>
                <w:sz w:val="18"/>
                <w:szCs w:val="18"/>
              </w:rPr>
            </w:pPr>
            <w:r>
              <w:rPr>
                <w:rFonts w:ascii="宋体" w:hAnsi="宋体" w:cs="宋体" w:eastAsia="宋体" w:hint="default"/>
                <w:sz w:val="18"/>
                <w:szCs w:val="18"/>
              </w:rPr>
              <w:t>利息资 本化累 计金额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0"/>
              <w:jc w:val="center"/>
              <w:rPr>
                <w:rFonts w:ascii="宋体" w:hAnsi="宋体" w:cs="宋体" w:eastAsia="宋体" w:hint="default"/>
                <w:sz w:val="18"/>
                <w:szCs w:val="18"/>
              </w:rPr>
            </w:pPr>
            <w:r>
              <w:rPr>
                <w:rFonts w:ascii="宋体" w:hAnsi="宋体" w:cs="宋体" w:eastAsia="宋体" w:hint="default"/>
                <w:spacing w:val="-10"/>
                <w:sz w:val="18"/>
                <w:szCs w:val="18"/>
              </w:rPr>
              <w:t>其中：本</w:t>
            </w:r>
            <w:r>
              <w:rPr>
                <w:rFonts w:ascii="宋体" w:hAnsi="宋体" w:cs="宋体" w:eastAsia="宋体" w:hint="default"/>
                <w:sz w:val="18"/>
                <w:szCs w:val="18"/>
              </w:rPr>
              <w:t> 期利息 资本化 金额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93" w:right="91"/>
              <w:jc w:val="both"/>
              <w:rPr>
                <w:rFonts w:ascii="宋体" w:hAnsi="宋体" w:cs="宋体" w:eastAsia="宋体" w:hint="default"/>
                <w:sz w:val="18"/>
                <w:szCs w:val="18"/>
              </w:rPr>
            </w:pPr>
            <w:r>
              <w:rPr>
                <w:rFonts w:ascii="宋体" w:hAnsi="宋体" w:cs="宋体" w:eastAsia="宋体" w:hint="default"/>
                <w:sz w:val="18"/>
                <w:szCs w:val="18"/>
              </w:rPr>
              <w:t>本期利 息资本 化率</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72" w:right="91" w:hanging="180"/>
              <w:jc w:val="left"/>
              <w:rPr>
                <w:rFonts w:ascii="宋体" w:hAnsi="宋体" w:cs="宋体" w:eastAsia="宋体" w:hint="default"/>
                <w:sz w:val="18"/>
                <w:szCs w:val="18"/>
              </w:rPr>
            </w:pPr>
            <w:r>
              <w:rPr>
                <w:rFonts w:ascii="宋体" w:hAnsi="宋体" w:cs="宋体" w:eastAsia="宋体" w:hint="default"/>
                <w:sz w:val="18"/>
                <w:szCs w:val="18"/>
              </w:rPr>
              <w:t>资金来 源</w:t>
            </w:r>
          </w:p>
        </w:tc>
      </w:tr>
      <w:tr>
        <w:trPr>
          <w:trHeight w:val="1611"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4"/>
              <w:jc w:val="left"/>
              <w:rPr>
                <w:rFonts w:ascii="宋体" w:hAnsi="宋体" w:cs="宋体" w:eastAsia="宋体" w:hint="default"/>
                <w:sz w:val="18"/>
                <w:szCs w:val="18"/>
              </w:rPr>
            </w:pPr>
            <w:r>
              <w:rPr>
                <w:rFonts w:ascii="宋体" w:hAnsi="宋体" w:cs="宋体" w:eastAsia="宋体" w:hint="default"/>
                <w:sz w:val="18"/>
                <w:szCs w:val="18"/>
              </w:rPr>
              <w:t>石家庄 鸿锐 </w:t>
            </w:r>
            <w:r>
              <w:rPr>
                <w:rFonts w:ascii="Times New Roman" w:hAnsi="Times New Roman" w:cs="Times New Roman" w:eastAsia="Times New Roman" w:hint="default"/>
                <w:sz w:val="18"/>
                <w:szCs w:val="18"/>
              </w:rPr>
              <w:t>PVC</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手</w:t>
            </w:r>
          </w:p>
          <w:p>
            <w:pPr>
              <w:pStyle w:val="TableParagraph"/>
              <w:spacing w:line="316" w:lineRule="auto"/>
              <w:ind w:left="22" w:right="159"/>
              <w:jc w:val="left"/>
              <w:rPr>
                <w:rFonts w:ascii="宋体" w:hAnsi="宋体" w:cs="宋体" w:eastAsia="宋体" w:hint="default"/>
                <w:sz w:val="18"/>
                <w:szCs w:val="18"/>
              </w:rPr>
            </w:pPr>
            <w:r>
              <w:rPr>
                <w:rFonts w:ascii="宋体" w:hAnsi="宋体" w:cs="宋体" w:eastAsia="宋体" w:hint="default"/>
                <w:sz w:val="18"/>
                <w:szCs w:val="18"/>
              </w:rPr>
              <w:t>套尾气 治理</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3"/>
                <w:szCs w:val="23"/>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4,400,00</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3"/>
                <w:szCs w:val="23"/>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3,808,09</w:t>
            </w:r>
          </w:p>
          <w:p>
            <w:pPr>
              <w:pStyle w:val="TableParagraph"/>
              <w:spacing w:line="240" w:lineRule="auto" w:before="105"/>
              <w:ind w:left="389" w:right="0"/>
              <w:jc w:val="left"/>
              <w:rPr>
                <w:rFonts w:ascii="Times New Roman" w:hAnsi="Times New Roman" w:cs="Times New Roman" w:eastAsia="Times New Roman" w:hint="default"/>
                <w:sz w:val="18"/>
                <w:szCs w:val="18"/>
              </w:rPr>
            </w:pPr>
            <w:r>
              <w:rPr>
                <w:rFonts w:ascii="Times New Roman"/>
                <w:sz w:val="18"/>
              </w:rPr>
              <w:t>6.35</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3"/>
                <w:szCs w:val="2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19,461.4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w:t>
            </w: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3"/>
                <w:szCs w:val="23"/>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3,809,25</w:t>
            </w:r>
          </w:p>
          <w:p>
            <w:pPr>
              <w:pStyle w:val="TableParagraph"/>
              <w:spacing w:line="240" w:lineRule="auto" w:before="105"/>
              <w:ind w:left="390" w:right="0"/>
              <w:jc w:val="left"/>
              <w:rPr>
                <w:rFonts w:ascii="Times New Roman" w:hAnsi="Times New Roman" w:cs="Times New Roman" w:eastAsia="Times New Roman" w:hint="default"/>
                <w:sz w:val="18"/>
                <w:szCs w:val="18"/>
              </w:rPr>
            </w:pPr>
            <w:r>
              <w:rPr>
                <w:rFonts w:ascii="Times New Roman"/>
                <w:sz w:val="18"/>
              </w:rPr>
              <w:t>0.96</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3"/>
                <w:szCs w:val="2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18,306.8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left="148" w:right="0"/>
              <w:jc w:val="left"/>
              <w:rPr>
                <w:rFonts w:ascii="Times New Roman" w:hAnsi="Times New Roman" w:cs="Times New Roman" w:eastAsia="Times New Roman" w:hint="default"/>
                <w:sz w:val="18"/>
                <w:szCs w:val="18"/>
              </w:rPr>
            </w:pPr>
            <w:r>
              <w:rPr>
                <w:rFonts w:ascii="Times New Roman"/>
                <w:sz w:val="18"/>
              </w:rPr>
              <w:t>86.99%</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r>
    </w:tbl>
    <w:p>
      <w:pPr>
        <w:spacing w:after="0" w:line="240"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732"/>
        <w:gridCol w:w="736"/>
        <w:gridCol w:w="737"/>
        <w:gridCol w:w="736"/>
        <w:gridCol w:w="736"/>
        <w:gridCol w:w="737"/>
        <w:gridCol w:w="736"/>
        <w:gridCol w:w="736"/>
        <w:gridCol w:w="737"/>
        <w:gridCol w:w="736"/>
        <w:gridCol w:w="736"/>
        <w:gridCol w:w="737"/>
        <w:gridCol w:w="736"/>
      </w:tblGrid>
      <w:tr>
        <w:trPr>
          <w:trHeight w:val="674"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BOT</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项</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目</w:t>
            </w: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r>
      <w:tr>
        <w:trPr>
          <w:trHeight w:val="1650"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河北志 腾</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VOCs</w:t>
            </w:r>
            <w:r>
              <w:rPr>
                <w:rFonts w:ascii="Times New Roman" w:hAnsi="Times New Roman" w:cs="Times New Roman" w:eastAsia="Times New Roman" w:hint="default"/>
                <w:w w:val="99"/>
                <w:sz w:val="18"/>
                <w:szCs w:val="18"/>
              </w:rPr>
              <w:t> </w:t>
            </w:r>
            <w:r>
              <w:rPr>
                <w:rFonts w:ascii="宋体" w:hAnsi="宋体" w:cs="宋体" w:eastAsia="宋体" w:hint="default"/>
                <w:sz w:val="18"/>
                <w:szCs w:val="18"/>
              </w:rPr>
              <w:t>资源化 利用治 理项目</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4,753,00</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3,893,79</w:t>
            </w:r>
          </w:p>
          <w:p>
            <w:pPr>
              <w:pStyle w:val="TableParagraph"/>
              <w:spacing w:line="240" w:lineRule="auto" w:before="105"/>
              <w:ind w:left="389" w:right="0"/>
              <w:jc w:val="left"/>
              <w:rPr>
                <w:rFonts w:ascii="Times New Roman" w:hAnsi="Times New Roman" w:cs="Times New Roman" w:eastAsia="Times New Roman" w:hint="default"/>
                <w:sz w:val="18"/>
                <w:szCs w:val="18"/>
              </w:rPr>
            </w:pPr>
            <w:r>
              <w:rPr>
                <w:rFonts w:ascii="Times New Roman"/>
                <w:sz w:val="18"/>
              </w:rPr>
              <w:t>6.27</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30,132.7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w:t>
            </w: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3,845,59</w:t>
            </w:r>
          </w:p>
          <w:p>
            <w:pPr>
              <w:pStyle w:val="TableParagraph"/>
              <w:spacing w:line="240" w:lineRule="auto" w:before="105"/>
              <w:ind w:left="390" w:right="0"/>
              <w:jc w:val="left"/>
              <w:rPr>
                <w:rFonts w:ascii="Times New Roman" w:hAnsi="Times New Roman" w:cs="Times New Roman" w:eastAsia="Times New Roman" w:hint="default"/>
                <w:sz w:val="18"/>
                <w:szCs w:val="18"/>
              </w:rPr>
            </w:pPr>
            <w:r>
              <w:rPr>
                <w:rFonts w:ascii="Times New Roman"/>
                <w:sz w:val="18"/>
              </w:rPr>
              <w:t>1.15</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78,337.9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126" w:right="0"/>
              <w:jc w:val="center"/>
              <w:rPr>
                <w:rFonts w:ascii="Times New Roman" w:hAnsi="Times New Roman" w:cs="Times New Roman" w:eastAsia="Times New Roman" w:hint="default"/>
                <w:sz w:val="18"/>
                <w:szCs w:val="18"/>
              </w:rPr>
            </w:pPr>
            <w:r>
              <w:rPr>
                <w:rFonts w:ascii="Times New Roman"/>
                <w:sz w:val="18"/>
              </w:rPr>
              <w:t>82.56%</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341"/>
              <w:jc w:val="right"/>
              <w:rPr>
                <w:rFonts w:ascii="宋体" w:hAnsi="宋体" w:cs="宋体" w:eastAsia="宋体" w:hint="default"/>
                <w:sz w:val="18"/>
                <w:szCs w:val="18"/>
              </w:rPr>
            </w:pPr>
            <w:r>
              <w:rPr>
                <w:rFonts w:ascii="宋体" w:hAnsi="宋体" w:cs="宋体" w:eastAsia="宋体" w:hint="default"/>
                <w:sz w:val="18"/>
                <w:szCs w:val="18"/>
              </w:rPr>
              <w:t>其他</w:t>
            </w:r>
          </w:p>
        </w:tc>
      </w:tr>
      <w:tr>
        <w:trPr>
          <w:trHeight w:val="3210"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4"/>
              <w:jc w:val="left"/>
              <w:rPr>
                <w:rFonts w:ascii="宋体" w:hAnsi="宋体" w:cs="宋体" w:eastAsia="宋体" w:hint="default"/>
                <w:sz w:val="18"/>
                <w:szCs w:val="18"/>
              </w:rPr>
            </w:pPr>
            <w:r>
              <w:rPr>
                <w:rFonts w:ascii="宋体" w:hAnsi="宋体" w:cs="宋体" w:eastAsia="宋体" w:hint="default"/>
                <w:sz w:val="18"/>
                <w:szCs w:val="18"/>
              </w:rPr>
              <w:t>石家庄 鸿业 </w:t>
            </w:r>
            <w:r>
              <w:rPr>
                <w:rFonts w:ascii="Times New Roman" w:hAnsi="Times New Roman" w:cs="Times New Roman" w:eastAsia="Times New Roman" w:hint="default"/>
                <w:sz w:val="18"/>
                <w:szCs w:val="18"/>
              </w:rPr>
              <w:t>PVC</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手</w:t>
            </w:r>
          </w:p>
          <w:p>
            <w:pPr>
              <w:pStyle w:val="TableParagraph"/>
              <w:spacing w:line="319" w:lineRule="auto"/>
              <w:ind w:left="22" w:right="159"/>
              <w:jc w:val="both"/>
              <w:rPr>
                <w:rFonts w:ascii="宋体" w:hAnsi="宋体" w:cs="宋体" w:eastAsia="宋体" w:hint="default"/>
                <w:sz w:val="18"/>
                <w:szCs w:val="18"/>
              </w:rPr>
            </w:pPr>
            <w:r>
              <w:rPr>
                <w:rFonts w:ascii="宋体" w:hAnsi="宋体" w:cs="宋体" w:eastAsia="宋体" w:hint="default"/>
                <w:sz w:val="18"/>
                <w:szCs w:val="18"/>
              </w:rPr>
              <w:t>套生产 线给排 风改造 及生产 废气回 收与治 理项目</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1"/>
              <w:ind w:left="73" w:right="0"/>
              <w:jc w:val="left"/>
              <w:rPr>
                <w:rFonts w:ascii="Times New Roman" w:hAnsi="Times New Roman" w:cs="Times New Roman" w:eastAsia="Times New Roman" w:hint="default"/>
                <w:sz w:val="18"/>
                <w:szCs w:val="18"/>
              </w:rPr>
            </w:pPr>
            <w:r>
              <w:rPr>
                <w:rFonts w:ascii="Times New Roman"/>
                <w:sz w:val="18"/>
              </w:rPr>
              <w:t>5,170,00</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1"/>
              <w:ind w:right="20"/>
              <w:jc w:val="right"/>
              <w:rPr>
                <w:rFonts w:ascii="Times New Roman" w:hAnsi="Times New Roman" w:cs="Times New Roman" w:eastAsia="Times New Roman" w:hint="default"/>
                <w:sz w:val="18"/>
                <w:szCs w:val="18"/>
              </w:rPr>
            </w:pPr>
            <w:r>
              <w:rPr>
                <w:rFonts w:ascii="Times New Roman"/>
                <w:sz w:val="18"/>
              </w:rPr>
              <w:t>962,236.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53</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1"/>
              <w:ind w:left="73" w:right="0"/>
              <w:jc w:val="left"/>
              <w:rPr>
                <w:rFonts w:ascii="Times New Roman" w:hAnsi="Times New Roman" w:cs="Times New Roman" w:eastAsia="Times New Roman" w:hint="default"/>
                <w:sz w:val="18"/>
                <w:szCs w:val="18"/>
              </w:rPr>
            </w:pPr>
            <w:r>
              <w:rPr>
                <w:rFonts w:ascii="Times New Roman"/>
                <w:sz w:val="18"/>
              </w:rPr>
              <w:t>2,644,83</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4.04</w:t>
            </w: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1"/>
              <w:ind w:left="74" w:right="0"/>
              <w:jc w:val="left"/>
              <w:rPr>
                <w:rFonts w:ascii="Times New Roman" w:hAnsi="Times New Roman" w:cs="Times New Roman" w:eastAsia="Times New Roman" w:hint="default"/>
                <w:sz w:val="18"/>
                <w:szCs w:val="18"/>
              </w:rPr>
            </w:pPr>
            <w:r>
              <w:rPr>
                <w:rFonts w:ascii="Times New Roman"/>
                <w:sz w:val="18"/>
              </w:rPr>
              <w:t>1,591,99</w:t>
            </w:r>
          </w:p>
          <w:p>
            <w:pPr>
              <w:pStyle w:val="TableParagraph"/>
              <w:spacing w:line="240" w:lineRule="auto" w:before="105"/>
              <w:ind w:left="390" w:right="0"/>
              <w:jc w:val="left"/>
              <w:rPr>
                <w:rFonts w:ascii="Times New Roman" w:hAnsi="Times New Roman" w:cs="Times New Roman" w:eastAsia="Times New Roman" w:hint="default"/>
                <w:sz w:val="18"/>
                <w:szCs w:val="18"/>
              </w:rPr>
            </w:pPr>
            <w:r>
              <w:rPr>
                <w:rFonts w:ascii="Times New Roman"/>
                <w:sz w:val="18"/>
              </w:rPr>
              <w:t>8.48</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1"/>
              <w:ind w:left="73" w:right="0"/>
              <w:jc w:val="left"/>
              <w:rPr>
                <w:rFonts w:ascii="Times New Roman" w:hAnsi="Times New Roman" w:cs="Times New Roman" w:eastAsia="Times New Roman" w:hint="default"/>
                <w:sz w:val="18"/>
                <w:szCs w:val="18"/>
              </w:rPr>
            </w:pPr>
            <w:r>
              <w:rPr>
                <w:rFonts w:ascii="Times New Roman"/>
                <w:sz w:val="18"/>
              </w:rPr>
              <w:t>2,015,07</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2.09</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left="126" w:right="0"/>
              <w:jc w:val="center"/>
              <w:rPr>
                <w:rFonts w:ascii="Times New Roman" w:hAnsi="Times New Roman" w:cs="Times New Roman" w:eastAsia="Times New Roman" w:hint="default"/>
                <w:sz w:val="18"/>
                <w:szCs w:val="18"/>
              </w:rPr>
            </w:pPr>
            <w:r>
              <w:rPr>
                <w:rFonts w:ascii="Times New Roman"/>
                <w:sz w:val="18"/>
              </w:rPr>
              <w:t>69.77%</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right="341"/>
              <w:jc w:val="right"/>
              <w:rPr>
                <w:rFonts w:ascii="宋体" w:hAnsi="宋体" w:cs="宋体" w:eastAsia="宋体" w:hint="default"/>
                <w:sz w:val="18"/>
                <w:szCs w:val="18"/>
              </w:rPr>
            </w:pPr>
            <w:r>
              <w:rPr>
                <w:rFonts w:ascii="宋体" w:hAnsi="宋体" w:cs="宋体" w:eastAsia="宋体" w:hint="default"/>
                <w:sz w:val="18"/>
                <w:szCs w:val="18"/>
              </w:rPr>
              <w:t>其他</w:t>
            </w:r>
          </w:p>
        </w:tc>
      </w:tr>
      <w:tr>
        <w:trPr>
          <w:trHeight w:val="1962"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9"/>
              <w:jc w:val="both"/>
              <w:rPr>
                <w:rFonts w:ascii="宋体" w:hAnsi="宋体" w:cs="宋体" w:eastAsia="宋体" w:hint="default"/>
                <w:sz w:val="18"/>
                <w:szCs w:val="18"/>
              </w:rPr>
            </w:pPr>
            <w:r>
              <w:rPr>
                <w:rFonts w:ascii="宋体" w:hAnsi="宋体" w:cs="宋体" w:eastAsia="宋体" w:hint="default"/>
                <w:sz w:val="18"/>
                <w:szCs w:val="18"/>
              </w:rPr>
              <w:t>山东承 相印刷 机生产 废气回 收与处 理项目</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3,300,00</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562,724.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31</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99,984.7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w:t>
            </w: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661,066.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22</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1,642.81</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26" w:right="0"/>
              <w:jc w:val="center"/>
              <w:rPr>
                <w:rFonts w:ascii="Times New Roman" w:hAnsi="Times New Roman" w:cs="Times New Roman" w:eastAsia="Times New Roman" w:hint="default"/>
                <w:sz w:val="18"/>
                <w:szCs w:val="18"/>
              </w:rPr>
            </w:pPr>
            <w:r>
              <w:rPr>
                <w:rFonts w:ascii="Times New Roman"/>
                <w:sz w:val="18"/>
              </w:rPr>
              <w:t>20.08%</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right="341"/>
              <w:jc w:val="right"/>
              <w:rPr>
                <w:rFonts w:ascii="宋体" w:hAnsi="宋体" w:cs="宋体" w:eastAsia="宋体" w:hint="default"/>
                <w:sz w:val="18"/>
                <w:szCs w:val="18"/>
              </w:rPr>
            </w:pPr>
            <w:r>
              <w:rPr>
                <w:rFonts w:ascii="宋体" w:hAnsi="宋体" w:cs="宋体" w:eastAsia="宋体" w:hint="default"/>
                <w:sz w:val="18"/>
                <w:szCs w:val="18"/>
              </w:rPr>
              <w:t>其他</w:t>
            </w:r>
          </w:p>
        </w:tc>
      </w:tr>
      <w:tr>
        <w:trPr>
          <w:trHeight w:val="714"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9"/>
              <w:jc w:val="left"/>
              <w:rPr>
                <w:rFonts w:ascii="宋体" w:hAnsi="宋体" w:cs="宋体" w:eastAsia="宋体" w:hint="default"/>
                <w:sz w:val="18"/>
                <w:szCs w:val="18"/>
              </w:rPr>
            </w:pPr>
            <w:r>
              <w:rPr>
                <w:rFonts w:ascii="宋体" w:hAnsi="宋体" w:cs="宋体" w:eastAsia="宋体" w:hint="default"/>
                <w:sz w:val="18"/>
                <w:szCs w:val="18"/>
              </w:rPr>
              <w:t>雄县脱 附项目</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left"/>
              <w:rPr>
                <w:rFonts w:ascii="Times New Roman" w:hAnsi="Times New Roman" w:cs="Times New Roman" w:eastAsia="Times New Roman" w:hint="default"/>
                <w:sz w:val="18"/>
                <w:szCs w:val="18"/>
              </w:rPr>
            </w:pPr>
            <w:r>
              <w:rPr>
                <w:rFonts w:ascii="Times New Roman"/>
                <w:sz w:val="18"/>
              </w:rPr>
              <w:t>2,660,00</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0.00</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left"/>
              <w:rPr>
                <w:rFonts w:ascii="Times New Roman" w:hAnsi="Times New Roman" w:cs="Times New Roman" w:eastAsia="Times New Roman" w:hint="default"/>
                <w:sz w:val="18"/>
                <w:szCs w:val="18"/>
              </w:rPr>
            </w:pPr>
            <w:r>
              <w:rPr>
                <w:rFonts w:ascii="Times New Roman"/>
                <w:sz w:val="18"/>
              </w:rPr>
              <w:t>1,480,08</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0.00</w:t>
            </w: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left"/>
              <w:rPr>
                <w:rFonts w:ascii="Times New Roman" w:hAnsi="Times New Roman" w:cs="Times New Roman" w:eastAsia="Times New Roman" w:hint="default"/>
                <w:sz w:val="18"/>
                <w:szCs w:val="18"/>
              </w:rPr>
            </w:pPr>
            <w:r>
              <w:rPr>
                <w:rFonts w:ascii="Times New Roman"/>
                <w:sz w:val="18"/>
              </w:rPr>
              <w:t>1,480,08</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0.00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26" w:right="0"/>
              <w:jc w:val="center"/>
              <w:rPr>
                <w:rFonts w:ascii="Times New Roman" w:hAnsi="Times New Roman" w:cs="Times New Roman" w:eastAsia="Times New Roman" w:hint="default"/>
                <w:sz w:val="18"/>
                <w:szCs w:val="18"/>
              </w:rPr>
            </w:pPr>
            <w:r>
              <w:rPr>
                <w:rFonts w:ascii="Times New Roman"/>
                <w:sz w:val="18"/>
              </w:rPr>
              <w:t>55.64%</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341"/>
              <w:jc w:val="right"/>
              <w:rPr>
                <w:rFonts w:ascii="宋体" w:hAnsi="宋体" w:cs="宋体" w:eastAsia="宋体" w:hint="default"/>
                <w:sz w:val="18"/>
                <w:szCs w:val="18"/>
              </w:rPr>
            </w:pPr>
            <w:r>
              <w:rPr>
                <w:rFonts w:ascii="宋体" w:hAnsi="宋体" w:cs="宋体" w:eastAsia="宋体" w:hint="default"/>
                <w:sz w:val="18"/>
                <w:szCs w:val="18"/>
              </w:rPr>
              <w:t>其他</w:t>
            </w:r>
          </w:p>
        </w:tc>
      </w:tr>
      <w:tr>
        <w:trPr>
          <w:trHeight w:val="714"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实验舱</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left"/>
              <w:rPr>
                <w:rFonts w:ascii="Times New Roman" w:hAnsi="Times New Roman" w:cs="Times New Roman" w:eastAsia="Times New Roman" w:hint="default"/>
                <w:sz w:val="18"/>
                <w:szCs w:val="18"/>
              </w:rPr>
            </w:pPr>
            <w:r>
              <w:rPr>
                <w:rFonts w:ascii="Times New Roman"/>
                <w:sz w:val="18"/>
              </w:rPr>
              <w:t>1,426,30</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993,431.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07</w:t>
            </w: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993,431.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07</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341"/>
              <w:jc w:val="right"/>
              <w:rPr>
                <w:rFonts w:ascii="宋体" w:hAnsi="宋体" w:cs="宋体" w:eastAsia="宋体" w:hint="default"/>
                <w:sz w:val="18"/>
                <w:szCs w:val="18"/>
              </w:rPr>
            </w:pPr>
            <w:r>
              <w:rPr>
                <w:rFonts w:ascii="宋体" w:hAnsi="宋体" w:cs="宋体" w:eastAsia="宋体" w:hint="default"/>
                <w:sz w:val="18"/>
                <w:szCs w:val="18"/>
              </w:rPr>
              <w:t>完工</w:t>
            </w: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341"/>
              <w:jc w:val="right"/>
              <w:rPr>
                <w:rFonts w:ascii="宋体" w:hAnsi="宋体" w:cs="宋体" w:eastAsia="宋体" w:hint="default"/>
                <w:sz w:val="18"/>
                <w:szCs w:val="18"/>
              </w:rPr>
            </w:pPr>
            <w:r>
              <w:rPr>
                <w:rFonts w:ascii="宋体" w:hAnsi="宋体" w:cs="宋体" w:eastAsia="宋体" w:hint="default"/>
                <w:sz w:val="18"/>
                <w:szCs w:val="18"/>
              </w:rPr>
              <w:t>其他</w:t>
            </w:r>
          </w:p>
        </w:tc>
      </w:tr>
      <w:tr>
        <w:trPr>
          <w:trHeight w:val="1338"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9"/>
              <w:jc w:val="both"/>
              <w:rPr>
                <w:rFonts w:ascii="宋体" w:hAnsi="宋体" w:cs="宋体" w:eastAsia="宋体" w:hint="default"/>
                <w:sz w:val="18"/>
                <w:szCs w:val="18"/>
              </w:rPr>
            </w:pPr>
            <w:r>
              <w:rPr>
                <w:rFonts w:ascii="宋体" w:hAnsi="宋体" w:cs="宋体" w:eastAsia="宋体" w:hint="default"/>
                <w:sz w:val="18"/>
                <w:szCs w:val="18"/>
              </w:rPr>
              <w:t>网格化 大数据 中心项 目</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1,997,20</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1,529,54</w:t>
            </w:r>
          </w:p>
          <w:p>
            <w:pPr>
              <w:pStyle w:val="TableParagraph"/>
              <w:spacing w:line="240" w:lineRule="auto" w:before="105"/>
              <w:ind w:left="389" w:right="0"/>
              <w:jc w:val="left"/>
              <w:rPr>
                <w:rFonts w:ascii="Times New Roman" w:hAnsi="Times New Roman" w:cs="Times New Roman" w:eastAsia="Times New Roman" w:hint="default"/>
                <w:sz w:val="18"/>
                <w:szCs w:val="18"/>
              </w:rPr>
            </w:pPr>
            <w:r>
              <w:rPr>
                <w:rFonts w:ascii="Times New Roman"/>
                <w:sz w:val="18"/>
              </w:rPr>
              <w:t>8.00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167,526.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25</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1,697,07</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4.25</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341"/>
              <w:jc w:val="right"/>
              <w:rPr>
                <w:rFonts w:ascii="宋体" w:hAnsi="宋体" w:cs="宋体" w:eastAsia="宋体" w:hint="default"/>
                <w:sz w:val="18"/>
                <w:szCs w:val="18"/>
              </w:rPr>
            </w:pPr>
            <w:r>
              <w:rPr>
                <w:rFonts w:ascii="宋体" w:hAnsi="宋体" w:cs="宋体" w:eastAsia="宋体" w:hint="default"/>
                <w:sz w:val="18"/>
                <w:szCs w:val="18"/>
              </w:rPr>
              <w:t>完工</w:t>
            </w: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341"/>
              <w:jc w:val="right"/>
              <w:rPr>
                <w:rFonts w:ascii="宋体" w:hAnsi="宋体" w:cs="宋体" w:eastAsia="宋体" w:hint="default"/>
                <w:sz w:val="18"/>
                <w:szCs w:val="18"/>
              </w:rPr>
            </w:pPr>
            <w:r>
              <w:rPr>
                <w:rFonts w:ascii="宋体" w:hAnsi="宋体" w:cs="宋体" w:eastAsia="宋体" w:hint="default"/>
                <w:sz w:val="18"/>
                <w:szCs w:val="18"/>
              </w:rPr>
              <w:t>其他</w:t>
            </w:r>
          </w:p>
        </w:tc>
      </w:tr>
      <w:tr>
        <w:trPr>
          <w:trHeight w:val="714"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9"/>
              <w:jc w:val="left"/>
              <w:rPr>
                <w:rFonts w:ascii="宋体" w:hAnsi="宋体" w:cs="宋体" w:eastAsia="宋体" w:hint="default"/>
                <w:sz w:val="18"/>
                <w:szCs w:val="18"/>
              </w:rPr>
            </w:pPr>
            <w:r>
              <w:rPr>
                <w:rFonts w:ascii="宋体" w:hAnsi="宋体" w:cs="宋体" w:eastAsia="宋体" w:hint="default"/>
                <w:sz w:val="18"/>
                <w:szCs w:val="18"/>
              </w:rPr>
              <w:t>其他零 星工程</w:t>
            </w: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702,216.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81</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128,988.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92</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702,216.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81</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128,988.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92</w:t>
            </w: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341"/>
              <w:jc w:val="right"/>
              <w:rPr>
                <w:rFonts w:ascii="宋体" w:hAnsi="宋体" w:cs="宋体" w:eastAsia="宋体" w:hint="default"/>
                <w:sz w:val="18"/>
                <w:szCs w:val="18"/>
              </w:rPr>
            </w:pPr>
            <w:r>
              <w:rPr>
                <w:rFonts w:ascii="宋体" w:hAnsi="宋体" w:cs="宋体" w:eastAsia="宋体" w:hint="default"/>
                <w:sz w:val="18"/>
                <w:szCs w:val="18"/>
              </w:rPr>
              <w:t>其他</w:t>
            </w:r>
          </w:p>
        </w:tc>
      </w:tr>
      <w:tr>
        <w:trPr>
          <w:trHeight w:val="402" w:hRule="exact"/>
        </w:trPr>
        <w:tc>
          <w:tcPr>
            <w:tcW w:w="732"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41"/>
              <w:jc w:val="right"/>
              <w:rPr>
                <w:rFonts w:ascii="宋体" w:hAnsi="宋体" w:cs="宋体" w:eastAsia="宋体" w:hint="default"/>
                <w:sz w:val="18"/>
                <w:szCs w:val="18"/>
              </w:rPr>
            </w:pPr>
            <w:r>
              <w:rPr>
                <w:rFonts w:ascii="宋体" w:hAnsi="宋体" w:cs="宋体" w:eastAsia="宋体" w:hint="default"/>
                <w:sz w:val="18"/>
                <w:szCs w:val="18"/>
              </w:rPr>
              <w:t>其他</w:t>
            </w:r>
          </w:p>
        </w:tc>
      </w:tr>
      <w:tr>
        <w:trPr>
          <w:trHeight w:val="714" w:hRule="exact"/>
        </w:trPr>
        <w:tc>
          <w:tcPr>
            <w:tcW w:w="7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left"/>
              <w:rPr>
                <w:rFonts w:ascii="Times New Roman" w:hAnsi="Times New Roman" w:cs="Times New Roman" w:eastAsia="Times New Roman" w:hint="default"/>
                <w:sz w:val="18"/>
                <w:szCs w:val="18"/>
              </w:rPr>
            </w:pPr>
            <w:r>
              <w:rPr>
                <w:rFonts w:ascii="Times New Roman"/>
                <w:sz w:val="18"/>
              </w:rPr>
              <w:t>23,706,5</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00.00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12,452,0</w:t>
            </w:r>
          </w:p>
          <w:p>
            <w:pPr>
              <w:pStyle w:val="TableParagraph"/>
              <w:spacing w:line="240" w:lineRule="auto" w:before="105"/>
              <w:ind w:left="299" w:right="0"/>
              <w:jc w:val="left"/>
              <w:rPr>
                <w:rFonts w:ascii="Times New Roman" w:hAnsi="Times New Roman" w:cs="Times New Roman" w:eastAsia="Times New Roman" w:hint="default"/>
                <w:sz w:val="18"/>
                <w:szCs w:val="18"/>
              </w:rPr>
            </w:pPr>
            <w:r>
              <w:rPr>
                <w:rFonts w:ascii="Times New Roman"/>
                <w:sz w:val="18"/>
              </w:rPr>
              <w:t>49.34</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left"/>
              <w:rPr>
                <w:rFonts w:ascii="Times New Roman" w:hAnsi="Times New Roman" w:cs="Times New Roman" w:eastAsia="Times New Roman" w:hint="default"/>
                <w:sz w:val="18"/>
                <w:szCs w:val="18"/>
              </w:rPr>
            </w:pPr>
            <w:r>
              <w:rPr>
                <w:rFonts w:ascii="Times New Roman"/>
                <w:sz w:val="18"/>
              </w:rPr>
              <w:t>4,571,00</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8.20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left"/>
              <w:rPr>
                <w:rFonts w:ascii="Times New Roman" w:hAnsi="Times New Roman" w:cs="Times New Roman" w:eastAsia="Times New Roman" w:hint="default"/>
                <w:sz w:val="18"/>
                <w:szCs w:val="18"/>
              </w:rPr>
            </w:pPr>
            <w:r>
              <w:rPr>
                <w:rFonts w:ascii="Times New Roman"/>
                <w:sz w:val="18"/>
              </w:rPr>
              <w:t>3,392,72</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2.13</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9,907,90</w:t>
            </w:r>
          </w:p>
          <w:p>
            <w:pPr>
              <w:pStyle w:val="TableParagraph"/>
              <w:spacing w:line="240" w:lineRule="auto" w:before="105"/>
              <w:ind w:left="390" w:right="0"/>
              <w:jc w:val="left"/>
              <w:rPr>
                <w:rFonts w:ascii="Times New Roman" w:hAnsi="Times New Roman" w:cs="Times New Roman" w:eastAsia="Times New Roman" w:hint="default"/>
                <w:sz w:val="18"/>
                <w:szCs w:val="18"/>
              </w:rPr>
            </w:pPr>
            <w:r>
              <w:rPr>
                <w:rFonts w:ascii="Times New Roman"/>
                <w:sz w:val="18"/>
              </w:rPr>
              <w:t>6.81</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left"/>
              <w:rPr>
                <w:rFonts w:ascii="Times New Roman" w:hAnsi="Times New Roman" w:cs="Times New Roman" w:eastAsia="Times New Roman" w:hint="default"/>
                <w:sz w:val="18"/>
                <w:szCs w:val="18"/>
              </w:rPr>
            </w:pPr>
            <w:r>
              <w:rPr>
                <w:rFonts w:ascii="Times New Roman"/>
                <w:sz w:val="18"/>
              </w:rPr>
              <w:t>3,722,42</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8.60</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301"/>
              <w:jc w:val="right"/>
              <w:rPr>
                <w:rFonts w:ascii="Times New Roman" w:hAnsi="Times New Roman" w:cs="Times New Roman" w:eastAsia="Times New Roman" w:hint="default"/>
                <w:sz w:val="18"/>
                <w:szCs w:val="18"/>
              </w:rPr>
            </w:pPr>
            <w:r>
              <w:rPr>
                <w:rFonts w:ascii="Times New Roman"/>
                <w:sz w:val="18"/>
              </w:rPr>
              <w:t>--</w:t>
            </w: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301"/>
              <w:jc w:val="right"/>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9"/>
          <w:szCs w:val="19"/>
        </w:rPr>
      </w:pPr>
    </w:p>
    <w:p>
      <w:pPr>
        <w:pStyle w:val="Heading3"/>
        <w:spacing w:line="240" w:lineRule="auto" w:before="35"/>
        <w:ind w:left="1134" w:right="0"/>
        <w:jc w:val="left"/>
        <w:rPr>
          <w:b w:val="0"/>
          <w:bCs w:val="0"/>
        </w:rPr>
      </w:pPr>
      <w:bookmarkStart w:name="（3）本期计提在建工程减值准备情况" w:id="261"/>
      <w:bookmarkEnd w:id="261"/>
      <w:r>
        <w:rPr>
          <w:b w:val="0"/>
          <w:bCs w:val="0"/>
        </w:rPr>
      </w:r>
      <w:r>
        <w:rPr/>
        <w:t>（</w:t>
      </w:r>
      <w:r>
        <w:rPr>
          <w:rFonts w:ascii="Times New Roman" w:hAnsi="Times New Roman" w:cs="Times New Roman" w:eastAsia="Times New Roman" w:hint="default"/>
        </w:rPr>
        <w:t>3</w:t>
      </w:r>
      <w:r>
        <w:rPr/>
        <w:t>）本期计提在建工程减值准备情况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9"/>
        <w:gridCol w:w="3191"/>
        <w:gridCol w:w="3179"/>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50" w:right="0"/>
              <w:jc w:val="left"/>
              <w:rPr>
                <w:rFonts w:ascii="宋体" w:hAnsi="宋体" w:cs="宋体" w:eastAsia="宋体" w:hint="default"/>
                <w:sz w:val="18"/>
                <w:szCs w:val="18"/>
              </w:rPr>
            </w:pPr>
            <w:r>
              <w:rPr>
                <w:rFonts w:ascii="宋体" w:hAnsi="宋体" w:cs="宋体" w:eastAsia="宋体" w:hint="default"/>
                <w:sz w:val="18"/>
                <w:szCs w:val="18"/>
              </w:rPr>
              <w:t>本期计提金额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计提原因</w:t>
            </w:r>
          </w:p>
        </w:tc>
      </w:tr>
    </w:tbl>
    <w:p>
      <w:pPr>
        <w:spacing w:after="0" w:line="240" w:lineRule="auto"/>
        <w:jc w:val="center"/>
        <w:rPr>
          <w:rFonts w:ascii="宋体" w:hAnsi="宋体" w:cs="宋体" w:eastAsia="宋体" w:hint="default"/>
          <w:sz w:val="18"/>
          <w:szCs w:val="18"/>
        </w:rPr>
        <w:sectPr>
          <w:pgSz w:w="11910" w:h="16840"/>
          <w:pgMar w:header="747" w:footer="979" w:top="1060" w:bottom="1160" w:left="0" w:right="0"/>
        </w:sectPr>
      </w:pPr>
    </w:p>
    <w:p>
      <w:pPr>
        <w:spacing w:line="240" w:lineRule="auto" w:before="13"/>
        <w:rPr>
          <w:rFonts w:ascii="宋体" w:hAnsi="宋体" w:cs="宋体" w:eastAsia="宋体" w:hint="default"/>
          <w:sz w:val="25"/>
          <w:szCs w:val="25"/>
        </w:rPr>
      </w:pPr>
    </w:p>
    <w:p>
      <w:pPr>
        <w:pStyle w:val="BodyText"/>
        <w:spacing w:line="240" w:lineRule="auto" w:before="44"/>
        <w:ind w:right="0"/>
        <w:jc w:val="left"/>
      </w:pPr>
      <w:r>
        <w:rPr/>
        <w:t>其他说明</w:t>
      </w:r>
    </w:p>
    <w:p>
      <w:pPr>
        <w:pStyle w:val="BodyText"/>
        <w:spacing w:line="300" w:lineRule="auto" w:before="115"/>
        <w:ind w:right="1153" w:firstLine="360"/>
        <w:jc w:val="left"/>
      </w:pPr>
      <w:r>
        <w:rPr/>
        <w:t>在建工程期末余额较期初减少</w:t>
      </w:r>
      <w:r>
        <w:rPr>
          <w:rFonts w:ascii="Times New Roman" w:hAnsi="Times New Roman" w:cs="Times New Roman" w:eastAsia="Times New Roman" w:hint="default"/>
        </w:rPr>
        <w:t>8,729,620.74</w:t>
      </w:r>
      <w:r>
        <w:rPr/>
        <w:t>元，降幅</w:t>
      </w:r>
      <w:r>
        <w:rPr>
          <w:rFonts w:ascii="Times New Roman" w:hAnsi="Times New Roman" w:cs="Times New Roman" w:eastAsia="Times New Roman" w:hint="default"/>
        </w:rPr>
        <w:t>70.11%</w:t>
      </w:r>
      <w:r>
        <w:rPr/>
        <w:t>，主要原因是本公司下属子公司河北正源对资源化利用治理 项目完工结转所致</w:t>
      </w:r>
    </w:p>
    <w:p>
      <w:pPr>
        <w:spacing w:line="240" w:lineRule="auto" w:before="7"/>
        <w:rPr>
          <w:rFonts w:ascii="宋体" w:hAnsi="宋体" w:cs="宋体" w:eastAsia="宋体" w:hint="default"/>
          <w:sz w:val="23"/>
          <w:szCs w:val="23"/>
        </w:rPr>
      </w:pPr>
    </w:p>
    <w:p>
      <w:pPr>
        <w:pStyle w:val="Heading3"/>
        <w:spacing w:line="240" w:lineRule="auto"/>
        <w:ind w:right="0"/>
        <w:jc w:val="left"/>
        <w:rPr>
          <w:b w:val="0"/>
          <w:bCs w:val="0"/>
        </w:rPr>
      </w:pPr>
      <w:bookmarkStart w:name="12、无形资产" w:id="262"/>
      <w:bookmarkEnd w:id="262"/>
      <w:r>
        <w:rPr>
          <w:b w:val="0"/>
          <w:bCs w:val="0"/>
        </w:rPr>
      </w:r>
      <w:r>
        <w:rPr>
          <w:rFonts w:ascii="Times New Roman" w:hAnsi="Times New Roman" w:cs="Times New Roman" w:eastAsia="Times New Roman" w:hint="default"/>
        </w:rPr>
        <w:t>12</w:t>
      </w:r>
      <w:r>
        <w:rPr/>
        <w:t>、无形资产</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34" w:right="0"/>
        <w:jc w:val="left"/>
        <w:rPr>
          <w:b w:val="0"/>
          <w:bCs w:val="0"/>
        </w:rPr>
      </w:pPr>
      <w:bookmarkStart w:name="（1）无形资产情况" w:id="263"/>
      <w:bookmarkEnd w:id="263"/>
      <w:r>
        <w:rPr>
          <w:b w:val="0"/>
          <w:bCs w:val="0"/>
        </w:rPr>
      </w:r>
      <w:r>
        <w:rPr/>
        <w:t>（</w:t>
      </w:r>
      <w:r>
        <w:rPr>
          <w:rFonts w:ascii="Times New Roman" w:hAnsi="Times New Roman" w:cs="Times New Roman" w:eastAsia="Times New Roman" w:hint="default"/>
        </w:rPr>
        <w:t>1</w:t>
      </w:r>
      <w:r>
        <w:rPr/>
        <w:t>）无形资产情况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134" w:right="0"/>
        <w:jc w:val="left"/>
      </w:pPr>
      <w:r>
        <w:rPr/>
        <w:t>公司是否需遵守《深圳证券交易所创业板行业信息披露指引第</w:t>
      </w:r>
      <w:r>
        <w:rPr>
          <w:spacing w:val="-45"/>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上市公司从事互联网游戏业务》的披露要求</w:t>
      </w:r>
    </w:p>
    <w:p>
      <w:pPr>
        <w:pStyle w:val="BodyText"/>
        <w:spacing w:line="240" w:lineRule="auto" w:before="103"/>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pStyle w:val="BodyText"/>
        <w:spacing w:line="240" w:lineRule="auto" w:before="102"/>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356"/>
        <w:gridCol w:w="1378"/>
        <w:gridCol w:w="1368"/>
        <w:gridCol w:w="1367"/>
        <w:gridCol w:w="1367"/>
        <w:gridCol w:w="1367"/>
        <w:gridCol w:w="1367"/>
      </w:tblGrid>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39"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09" w:right="0"/>
              <w:jc w:val="left"/>
              <w:rPr>
                <w:rFonts w:ascii="宋体" w:hAnsi="宋体" w:cs="宋体" w:eastAsia="宋体" w:hint="default"/>
                <w:sz w:val="18"/>
                <w:szCs w:val="18"/>
              </w:rPr>
            </w:pPr>
            <w:r>
              <w:rPr>
                <w:rFonts w:ascii="宋体" w:hAnsi="宋体" w:cs="宋体" w:eastAsia="宋体" w:hint="default"/>
                <w:sz w:val="18"/>
                <w:szCs w:val="18"/>
              </w:rPr>
              <w:t>专利权</w:t>
            </w:r>
          </w:p>
        </w:tc>
        <w:tc>
          <w:tcPr>
            <w:tcW w:w="1367" w:type="dxa"/>
            <w:tcBorders>
              <w:top w:val="single" w:sz="4" w:space="0" w:color="000000"/>
              <w:left w:val="single" w:sz="4" w:space="0" w:color="000000"/>
              <w:bottom w:val="single" w:sz="4" w:space="0" w:color="000000"/>
              <w:right w:val="single" w:sz="9" w:space="0" w:color="E0FFFF"/>
            </w:tcBorders>
            <w:shd w:val="clear" w:color="auto" w:fill="D2D2D2"/>
          </w:tcPr>
          <w:p>
            <w:pPr>
              <w:pStyle w:val="TableParagraph"/>
              <w:spacing w:line="240" w:lineRule="auto" w:before="52"/>
              <w:ind w:left="227" w:right="0"/>
              <w:jc w:val="left"/>
              <w:rPr>
                <w:rFonts w:ascii="宋体" w:hAnsi="宋体" w:cs="宋体" w:eastAsia="宋体" w:hint="default"/>
                <w:sz w:val="18"/>
                <w:szCs w:val="18"/>
              </w:rPr>
            </w:pPr>
            <w:r>
              <w:rPr>
                <w:rFonts w:ascii="宋体" w:hAnsi="宋体" w:cs="宋体" w:eastAsia="宋体" w:hint="default"/>
                <w:sz w:val="18"/>
                <w:szCs w:val="18"/>
              </w:rPr>
              <w:t>非专利技术</w:t>
            </w:r>
          </w:p>
        </w:tc>
        <w:tc>
          <w:tcPr>
            <w:tcW w:w="1367" w:type="dxa"/>
            <w:tcBorders>
              <w:top w:val="single" w:sz="4" w:space="0" w:color="000000"/>
              <w:left w:val="single" w:sz="10" w:space="0" w:color="D2D2D2"/>
              <w:bottom w:val="single" w:sz="4" w:space="0" w:color="000000"/>
              <w:right w:val="single" w:sz="4" w:space="0" w:color="000000"/>
            </w:tcBorders>
            <w:shd w:val="clear" w:color="auto" w:fill="E0FFFF"/>
          </w:tcPr>
          <w:p>
            <w:pPr>
              <w:pStyle w:val="TableParagraph"/>
              <w:spacing w:line="240" w:lineRule="auto" w:before="52"/>
              <w:ind w:right="6"/>
              <w:jc w:val="center"/>
              <w:rPr>
                <w:rFonts w:ascii="宋体" w:hAnsi="宋体" w:cs="宋体" w:eastAsia="宋体" w:hint="default"/>
                <w:sz w:val="18"/>
                <w:szCs w:val="18"/>
              </w:rPr>
            </w:pPr>
            <w:r>
              <w:rPr>
                <w:rFonts w:ascii="宋体" w:hAnsi="宋体" w:cs="宋体" w:eastAsia="宋体" w:hint="default"/>
                <w:sz w:val="18"/>
                <w:szCs w:val="18"/>
              </w:rPr>
              <w:t>软件</w:t>
            </w:r>
          </w:p>
        </w:tc>
        <w:tc>
          <w:tcPr>
            <w:tcW w:w="1367"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05"/>
              <w:jc w:val="righ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14,735,770.74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28,778,878.96</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4,242,092.15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91,680.00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47,848,421.85</w:t>
            </w: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22" w:right="105"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 金额</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2,750,000.00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2,296,012.41</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2,689.00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150,943.40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5,199,644.81</w:t>
            </w: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0"/>
              <w:jc w:val="right"/>
              <w:rPr>
                <w:rFonts w:ascii="宋体" w:hAnsi="宋体" w:cs="宋体" w:eastAsia="宋体" w:hint="default"/>
                <w:sz w:val="18"/>
                <w:szCs w:val="18"/>
              </w:rPr>
            </w:pP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1</w:t>
            </w:r>
            <w:r>
              <w:rPr>
                <w:rFonts w:ascii="宋体" w:hAnsi="宋体" w:cs="宋体" w:eastAsia="宋体" w:hint="default"/>
                <w:spacing w:val="-5"/>
                <w:sz w:val="18"/>
                <w:szCs w:val="18"/>
              </w:rPr>
              <w:t>）购置</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2,750,000.00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3,956,741.10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2,689.00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150,943.40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6,860,373.50</w:t>
            </w: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44" w:right="0"/>
              <w:jc w:val="left"/>
              <w:rPr>
                <w:rFonts w:ascii="宋体" w:hAnsi="宋体" w:cs="宋体" w:eastAsia="宋体" w:hint="default"/>
                <w:sz w:val="18"/>
                <w:szCs w:val="18"/>
              </w:rPr>
            </w:pP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2</w:t>
            </w:r>
            <w:r>
              <w:rPr>
                <w:rFonts w:ascii="宋体" w:hAnsi="宋体" w:cs="宋体" w:eastAsia="宋体" w:hint="default"/>
                <w:spacing w:val="-5"/>
                <w:sz w:val="18"/>
                <w:szCs w:val="18"/>
              </w:rPr>
              <w:t>）内部</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研发</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22" w:right="10" w:firstLine="521"/>
              <w:jc w:val="left"/>
              <w:rPr>
                <w:rFonts w:ascii="宋体" w:hAnsi="宋体" w:cs="宋体" w:eastAsia="宋体" w:hint="default"/>
                <w:sz w:val="18"/>
                <w:szCs w:val="18"/>
              </w:rPr>
            </w:pP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3</w:t>
            </w:r>
            <w:r>
              <w:rPr>
                <w:rFonts w:ascii="宋体" w:hAnsi="宋体" w:cs="宋体" w:eastAsia="宋体" w:hint="default"/>
                <w:spacing w:val="-5"/>
                <w:sz w:val="18"/>
                <w:szCs w:val="18"/>
              </w:rPr>
              <w:t>）企业</w:t>
            </w:r>
            <w:r>
              <w:rPr>
                <w:rFonts w:ascii="宋体" w:hAnsi="宋体" w:cs="宋体" w:eastAsia="宋体" w:hint="default"/>
                <w:sz w:val="18"/>
                <w:szCs w:val="18"/>
              </w:rPr>
              <w:t> 合并增加</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汇率变动</w:t>
            </w:r>
          </w:p>
        </w:tc>
        <w:tc>
          <w:tcPr>
            <w:tcW w:w="1378" w:type="dxa"/>
            <w:tcBorders>
              <w:top w:val="single" w:sz="4" w:space="0" w:color="000000"/>
              <w:left w:val="single" w:sz="13" w:space="0" w:color="E0FFFF"/>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-1,660,728.69</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-1,660,728.69</w:t>
            </w: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22" w:right="105"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 额</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0"/>
              <w:jc w:val="right"/>
              <w:rPr>
                <w:rFonts w:ascii="宋体" w:hAnsi="宋体" w:cs="宋体" w:eastAsia="宋体" w:hint="default"/>
                <w:sz w:val="18"/>
                <w:szCs w:val="18"/>
              </w:rPr>
            </w:pP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1</w:t>
            </w:r>
            <w:r>
              <w:rPr>
                <w:rFonts w:ascii="宋体" w:hAnsi="宋体" w:cs="宋体" w:eastAsia="宋体" w:hint="default"/>
                <w:spacing w:val="-5"/>
                <w:sz w:val="18"/>
                <w:szCs w:val="18"/>
              </w:rPr>
              <w:t>）处置</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378" w:type="dxa"/>
            <w:tcBorders>
              <w:top w:val="single" w:sz="4" w:space="0" w:color="000000"/>
              <w:left w:val="single" w:sz="13" w:space="0" w:color="E0FFFF"/>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05"/>
              <w:jc w:val="righ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17,485,770.74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31,074,891.37</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4,244,781.15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242,623.40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53,048,066.66</w:t>
            </w: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二、累计摊销</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05"/>
              <w:jc w:val="righ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2,256,445.02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19,245,560.44</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2,416,678.67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13,944.00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23,932,628.13</w:t>
            </w: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22" w:right="105"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 金额</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319,123.38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1,841,803.05</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381,881.65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17,973.02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2,560,781.10</w:t>
            </w: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0"/>
              <w:jc w:val="right"/>
              <w:rPr>
                <w:rFonts w:ascii="宋体" w:hAnsi="宋体" w:cs="宋体" w:eastAsia="宋体" w:hint="default"/>
                <w:sz w:val="18"/>
                <w:szCs w:val="18"/>
              </w:rPr>
            </w:pP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1</w:t>
            </w:r>
            <w:r>
              <w:rPr>
                <w:rFonts w:ascii="宋体" w:hAnsi="宋体" w:cs="宋体" w:eastAsia="宋体" w:hint="default"/>
                <w:spacing w:val="-5"/>
                <w:sz w:val="18"/>
                <w:szCs w:val="18"/>
              </w:rPr>
              <w:t>）计提</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319,123.38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2,996,706.65</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381,881.65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17,973.02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3,715,684.70</w:t>
            </w: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汇率变动</w:t>
            </w:r>
          </w:p>
        </w:tc>
        <w:tc>
          <w:tcPr>
            <w:tcW w:w="1378" w:type="dxa"/>
            <w:tcBorders>
              <w:top w:val="single" w:sz="4" w:space="0" w:color="000000"/>
              <w:left w:val="single" w:sz="13" w:space="0" w:color="E0FFFF"/>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-1,154,903.60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-1,154,903.60</w:t>
            </w: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22" w:right="105"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 金额</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0"/>
              <w:jc w:val="right"/>
              <w:rPr>
                <w:rFonts w:ascii="宋体" w:hAnsi="宋体" w:cs="宋体" w:eastAsia="宋体" w:hint="default"/>
                <w:sz w:val="18"/>
                <w:szCs w:val="18"/>
              </w:rPr>
            </w:pP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1</w:t>
            </w:r>
            <w:r>
              <w:rPr>
                <w:rFonts w:ascii="宋体" w:hAnsi="宋体" w:cs="宋体" w:eastAsia="宋体" w:hint="default"/>
                <w:spacing w:val="-5"/>
                <w:sz w:val="18"/>
                <w:szCs w:val="18"/>
              </w:rPr>
              <w:t>）处置</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378" w:type="dxa"/>
            <w:tcBorders>
              <w:top w:val="single" w:sz="4" w:space="0" w:color="000000"/>
              <w:left w:val="single" w:sz="13" w:space="0" w:color="E0FFFF"/>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05"/>
              <w:jc w:val="righ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2,575,568.40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21,087,363.49</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2,798,560.32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31,917.02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26,493,409.23</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1356"/>
        <w:gridCol w:w="1378"/>
        <w:gridCol w:w="1368"/>
        <w:gridCol w:w="1367"/>
        <w:gridCol w:w="1367"/>
        <w:gridCol w:w="1367"/>
        <w:gridCol w:w="1367"/>
      </w:tblGrid>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105"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 金额</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44" w:right="0"/>
              <w:jc w:val="left"/>
              <w:rPr>
                <w:rFonts w:ascii="宋体" w:hAnsi="宋体" w:cs="宋体" w:eastAsia="宋体" w:hint="default"/>
                <w:sz w:val="18"/>
                <w:szCs w:val="18"/>
              </w:rPr>
            </w:pP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1</w:t>
            </w:r>
            <w:r>
              <w:rPr>
                <w:rFonts w:ascii="宋体" w:hAnsi="宋体" w:cs="宋体" w:eastAsia="宋体" w:hint="default"/>
                <w:spacing w:val="-5"/>
                <w:sz w:val="18"/>
                <w:szCs w:val="18"/>
              </w:rPr>
              <w:t>）计提</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378" w:type="dxa"/>
            <w:tcBorders>
              <w:top w:val="single" w:sz="4" w:space="0" w:color="000000"/>
              <w:left w:val="single" w:sz="13" w:space="0" w:color="E0FFFF"/>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105"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 金额</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378" w:type="dxa"/>
            <w:tcBorders>
              <w:top w:val="single" w:sz="4" w:space="0" w:color="000000"/>
              <w:left w:val="single" w:sz="13" w:space="0" w:color="E0FFFF"/>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105"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 价值</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14,910,202.34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9,987,527.88</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1,446,220.83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210,706.38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26,554,657.43</w:t>
            </w: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105"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 价值</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12,479,325.72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9,533,318.52</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1,825,413.48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77,736.00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23,915,793.72</w:t>
            </w:r>
          </w:p>
        </w:tc>
      </w:tr>
    </w:tbl>
    <w:p>
      <w:pPr>
        <w:pStyle w:val="BodyText"/>
        <w:spacing w:line="240" w:lineRule="auto" w:before="51"/>
        <w:ind w:left="1134" w:right="0"/>
        <w:jc w:val="left"/>
      </w:pPr>
      <w:r>
        <w:rPr/>
        <w:t>本期末通过公司内部研发形成的无形资产占无形资产余额的比例。</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2）未办妥产权证书的土地使用权情况" w:id="264"/>
      <w:bookmarkEnd w:id="264"/>
      <w:r>
        <w:rPr>
          <w:b w:val="0"/>
          <w:bCs w:val="0"/>
        </w:rPr>
      </w:r>
      <w:r>
        <w:rPr/>
        <w:t>（</w:t>
      </w:r>
      <w:r>
        <w:rPr>
          <w:rFonts w:ascii="Times New Roman" w:hAnsi="Times New Roman" w:cs="Times New Roman" w:eastAsia="Times New Roman" w:hint="default"/>
        </w:rPr>
        <w:t>2</w:t>
      </w:r>
      <w:r>
        <w:rPr/>
        <w:t>）未办妥产权证书的土地使用权情况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89" w:right="0"/>
              <w:jc w:val="left"/>
              <w:rPr>
                <w:rFonts w:ascii="宋体" w:hAnsi="宋体" w:cs="宋体" w:eastAsia="宋体" w:hint="default"/>
                <w:sz w:val="18"/>
                <w:szCs w:val="18"/>
              </w:rPr>
            </w:pPr>
            <w:r>
              <w:rPr>
                <w:rFonts w:ascii="宋体" w:hAnsi="宋体" w:cs="宋体" w:eastAsia="宋体" w:hint="default"/>
                <w:sz w:val="18"/>
                <w:szCs w:val="18"/>
              </w:rPr>
              <w:t>未办妥产权证书的原因</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金堂县节能环保产业园</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2,736,250.01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约定事项尚未执行完毕</w:t>
            </w:r>
          </w:p>
        </w:tc>
      </w:tr>
    </w:tbl>
    <w:p>
      <w:pPr>
        <w:pStyle w:val="BodyText"/>
        <w:spacing w:line="240" w:lineRule="auto" w:before="51"/>
        <w:ind w:left="1134"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13、商誉" w:id="265"/>
      <w:bookmarkEnd w:id="265"/>
      <w:r>
        <w:rPr>
          <w:b w:val="0"/>
          <w:bCs w:val="0"/>
        </w:rPr>
      </w:r>
      <w:r>
        <w:rPr>
          <w:rFonts w:ascii="Times New Roman" w:hAnsi="Times New Roman" w:cs="Times New Roman" w:eastAsia="Times New Roman" w:hint="default"/>
        </w:rPr>
        <w:t>13</w:t>
      </w:r>
      <w:r>
        <w:rPr/>
        <w:t>、商誉</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134" w:right="0"/>
        <w:jc w:val="left"/>
        <w:rPr>
          <w:b w:val="0"/>
          <w:bCs w:val="0"/>
        </w:rPr>
      </w:pPr>
      <w:bookmarkStart w:name="（1）商誉账面原值" w:id="266"/>
      <w:bookmarkEnd w:id="266"/>
      <w:r>
        <w:rPr>
          <w:b w:val="0"/>
          <w:bCs w:val="0"/>
        </w:rPr>
      </w:r>
      <w:r>
        <w:rPr/>
        <w:t>（</w:t>
      </w:r>
      <w:r>
        <w:rPr>
          <w:rFonts w:ascii="Times New Roman" w:hAnsi="Times New Roman" w:cs="Times New Roman" w:eastAsia="Times New Roman" w:hint="default"/>
        </w:rPr>
        <w:t>1</w:t>
      </w:r>
      <w:r>
        <w:rPr/>
        <w:t>）商誉账面原值</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2694"/>
        <w:gridCol w:w="1702"/>
        <w:gridCol w:w="991"/>
        <w:gridCol w:w="992"/>
        <w:gridCol w:w="993"/>
        <w:gridCol w:w="992"/>
        <w:gridCol w:w="1205"/>
      </w:tblGrid>
      <w:tr>
        <w:trPr>
          <w:trHeight w:val="713" w:hRule="exact"/>
        </w:trPr>
        <w:tc>
          <w:tcPr>
            <w:tcW w:w="26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252" w:right="81" w:hanging="1171"/>
              <w:jc w:val="left"/>
              <w:rPr>
                <w:rFonts w:ascii="宋体" w:hAnsi="宋体" w:cs="宋体" w:eastAsia="宋体" w:hint="default"/>
                <w:sz w:val="18"/>
                <w:szCs w:val="18"/>
              </w:rPr>
            </w:pPr>
            <w:r>
              <w:rPr>
                <w:rFonts w:ascii="宋体" w:hAnsi="宋体" w:cs="宋体" w:eastAsia="宋体" w:hint="default"/>
                <w:sz w:val="18"/>
                <w:szCs w:val="18"/>
              </w:rPr>
              <w:t>被投资单位名称或形成商誉的事 项</w:t>
            </w:r>
          </w:p>
        </w:tc>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8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8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626"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8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626"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2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6"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4" w:hRule="exact"/>
        </w:trPr>
        <w:tc>
          <w:tcPr>
            <w:tcW w:w="269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62" w:lineRule="auto" w:before="92"/>
              <w:ind w:left="22" w:right="361"/>
              <w:jc w:val="left"/>
              <w:rPr>
                <w:rFonts w:ascii="Times New Roman" w:hAnsi="Times New Roman" w:cs="Times New Roman" w:eastAsia="Times New Roman" w:hint="default"/>
                <w:sz w:val="18"/>
                <w:szCs w:val="18"/>
              </w:rPr>
            </w:pPr>
            <w:r>
              <w:rPr>
                <w:rFonts w:ascii="Times New Roman"/>
                <w:sz w:val="18"/>
              </w:rPr>
              <w:t>COOPER</w:t>
            </w:r>
            <w:r>
              <w:rPr>
                <w:rFonts w:ascii="Times New Roman"/>
                <w:spacing w:val="-14"/>
                <w:sz w:val="18"/>
              </w:rPr>
              <w:t> </w:t>
            </w:r>
            <w:r>
              <w:rPr>
                <w:rFonts w:ascii="Times New Roman"/>
                <w:sz w:val="18"/>
              </w:rPr>
              <w:t>ENVIRONMENTAL</w:t>
            </w:r>
            <w:r>
              <w:rPr>
                <w:rFonts w:ascii="Times New Roman"/>
                <w:w w:val="99"/>
                <w:sz w:val="18"/>
              </w:rPr>
              <w:t> </w:t>
            </w:r>
            <w:r>
              <w:rPr>
                <w:rFonts w:ascii="Times New Roman"/>
                <w:sz w:val="18"/>
              </w:rPr>
              <w:t>SERVICES,LLC</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18,076,352.86</w:t>
            </w:r>
          </w:p>
        </w:tc>
        <w:tc>
          <w:tcPr>
            <w:tcW w:w="991"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993"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18,076,352.86</w:t>
            </w:r>
          </w:p>
        </w:tc>
      </w:tr>
      <w:tr>
        <w:trPr>
          <w:trHeight w:val="402" w:hRule="exact"/>
        </w:trPr>
        <w:tc>
          <w:tcPr>
            <w:tcW w:w="269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广东先河科迪隆科技有限公司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178,237,356.07</w:t>
            </w:r>
          </w:p>
        </w:tc>
        <w:tc>
          <w:tcPr>
            <w:tcW w:w="991"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993"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178,237,356.07</w:t>
            </w:r>
          </w:p>
        </w:tc>
      </w:tr>
      <w:tr>
        <w:trPr>
          <w:trHeight w:val="402" w:hRule="exact"/>
        </w:trPr>
        <w:tc>
          <w:tcPr>
            <w:tcW w:w="269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广西先得环保科技有限公司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40,416,357.79</w:t>
            </w:r>
          </w:p>
        </w:tc>
        <w:tc>
          <w:tcPr>
            <w:tcW w:w="991"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993"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40,416,357.79</w:t>
            </w:r>
          </w:p>
        </w:tc>
      </w:tr>
      <w:tr>
        <w:trPr>
          <w:trHeight w:val="402" w:hRule="exact"/>
        </w:trPr>
        <w:tc>
          <w:tcPr>
            <w:tcW w:w="269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四川久环环境技术有限责任公司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16,504,366.85</w:t>
            </w:r>
          </w:p>
        </w:tc>
        <w:tc>
          <w:tcPr>
            <w:tcW w:w="991"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993"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16,504,366.85</w:t>
            </w:r>
          </w:p>
        </w:tc>
      </w:tr>
      <w:tr>
        <w:trPr>
          <w:trHeight w:val="402" w:hRule="exact"/>
        </w:trPr>
        <w:tc>
          <w:tcPr>
            <w:tcW w:w="269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Sunset Laboratory</w:t>
            </w:r>
            <w:r>
              <w:rPr>
                <w:rFonts w:ascii="Times New Roman"/>
                <w:spacing w:val="-7"/>
                <w:sz w:val="18"/>
              </w:rPr>
              <w:t> </w:t>
            </w:r>
            <w:r>
              <w:rPr>
                <w:rFonts w:ascii="Times New Roman"/>
                <w:sz w:val="18"/>
              </w:rPr>
              <w:t>Inc.</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39,875,053.99</w:t>
            </w:r>
          </w:p>
        </w:tc>
        <w:tc>
          <w:tcPr>
            <w:tcW w:w="991"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993"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39,875,053.99</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2694"/>
        <w:gridCol w:w="1702"/>
        <w:gridCol w:w="991"/>
        <w:gridCol w:w="992"/>
        <w:gridCol w:w="993"/>
        <w:gridCol w:w="992"/>
        <w:gridCol w:w="1205"/>
      </w:tblGrid>
      <w:tr>
        <w:trPr>
          <w:trHeight w:val="402" w:hRule="exact"/>
        </w:trPr>
        <w:tc>
          <w:tcPr>
            <w:tcW w:w="269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四川广迈富宇建设工程有限公司</w:t>
            </w:r>
          </w:p>
        </w:tc>
        <w:tc>
          <w:tcPr>
            <w:tcW w:w="1702"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600,000.00</w:t>
            </w:r>
          </w:p>
        </w:tc>
        <w:tc>
          <w:tcPr>
            <w:tcW w:w="992" w:type="dxa"/>
            <w:tcBorders>
              <w:top w:val="single" w:sz="4" w:space="0" w:color="000000"/>
              <w:left w:val="single" w:sz="4" w:space="0" w:color="000000"/>
              <w:bottom w:val="single" w:sz="4" w:space="0" w:color="000000"/>
              <w:right w:val="single" w:sz="4" w:space="0" w:color="000000"/>
            </w:tcBorders>
          </w:tcPr>
          <w:p>
            <w:pPr/>
          </w:p>
        </w:tc>
        <w:tc>
          <w:tcPr>
            <w:tcW w:w="993"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600,000.00</w:t>
            </w:r>
          </w:p>
        </w:tc>
      </w:tr>
      <w:tr>
        <w:trPr>
          <w:trHeight w:val="402" w:hRule="exact"/>
        </w:trPr>
        <w:tc>
          <w:tcPr>
            <w:tcW w:w="26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43" w:right="0"/>
              <w:jc w:val="left"/>
              <w:rPr>
                <w:rFonts w:ascii="Times New Roman" w:hAnsi="Times New Roman" w:cs="Times New Roman" w:eastAsia="Times New Roman" w:hint="default"/>
                <w:sz w:val="18"/>
                <w:szCs w:val="18"/>
              </w:rPr>
            </w:pPr>
            <w:r>
              <w:rPr>
                <w:rFonts w:ascii="Times New Roman"/>
                <w:sz w:val="18"/>
              </w:rPr>
              <w:t>293,109,487.56</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600,000.00</w:t>
            </w:r>
          </w:p>
        </w:tc>
        <w:tc>
          <w:tcPr>
            <w:tcW w:w="992" w:type="dxa"/>
            <w:tcBorders>
              <w:top w:val="single" w:sz="4" w:space="0" w:color="000000"/>
              <w:left w:val="single" w:sz="4" w:space="0" w:color="000000"/>
              <w:bottom w:val="single" w:sz="4" w:space="0" w:color="000000"/>
              <w:right w:val="single" w:sz="4" w:space="0" w:color="000000"/>
            </w:tcBorders>
          </w:tcPr>
          <w:p>
            <w:pPr/>
          </w:p>
        </w:tc>
        <w:tc>
          <w:tcPr>
            <w:tcW w:w="993"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293,709,487.56</w:t>
            </w:r>
          </w:p>
        </w:tc>
      </w:tr>
    </w:tbl>
    <w:p>
      <w:pPr>
        <w:spacing w:line="240" w:lineRule="auto" w:before="2"/>
        <w:rPr>
          <w:rFonts w:ascii="宋体" w:hAnsi="宋体" w:cs="宋体" w:eastAsia="宋体" w:hint="default"/>
          <w:sz w:val="19"/>
          <w:szCs w:val="19"/>
        </w:rPr>
      </w:pPr>
    </w:p>
    <w:p>
      <w:pPr>
        <w:pStyle w:val="Heading3"/>
        <w:spacing w:line="240" w:lineRule="auto" w:before="35"/>
        <w:ind w:left="1134" w:right="0"/>
        <w:jc w:val="left"/>
        <w:rPr>
          <w:b w:val="0"/>
          <w:bCs w:val="0"/>
        </w:rPr>
      </w:pPr>
      <w:bookmarkStart w:name="（2）商誉减值准备" w:id="267"/>
      <w:bookmarkEnd w:id="267"/>
      <w:r>
        <w:rPr>
          <w:b w:val="0"/>
          <w:bCs w:val="0"/>
        </w:rPr>
      </w:r>
      <w:r>
        <w:rPr/>
        <w:t>（</w:t>
      </w:r>
      <w:r>
        <w:rPr>
          <w:rFonts w:ascii="Times New Roman" w:hAnsi="Times New Roman" w:cs="Times New Roman" w:eastAsia="Times New Roman" w:hint="default"/>
        </w:rPr>
        <w:t>2</w:t>
      </w:r>
      <w:r>
        <w:rPr/>
        <w:t>）商誉减值准备</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2694"/>
        <w:gridCol w:w="992"/>
        <w:gridCol w:w="1134"/>
        <w:gridCol w:w="1134"/>
        <w:gridCol w:w="1276"/>
        <w:gridCol w:w="1134"/>
        <w:gridCol w:w="1205"/>
      </w:tblGrid>
      <w:tr>
        <w:trPr>
          <w:trHeight w:val="714" w:hRule="exact"/>
        </w:trPr>
        <w:tc>
          <w:tcPr>
            <w:tcW w:w="26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252" w:right="81" w:hanging="1171"/>
              <w:jc w:val="left"/>
              <w:rPr>
                <w:rFonts w:ascii="宋体" w:hAnsi="宋体" w:cs="宋体" w:eastAsia="宋体" w:hint="default"/>
                <w:sz w:val="18"/>
                <w:szCs w:val="18"/>
              </w:rPr>
            </w:pPr>
            <w:r>
              <w:rPr>
                <w:rFonts w:ascii="宋体" w:hAnsi="宋体" w:cs="宋体" w:eastAsia="宋体" w:hint="default"/>
                <w:sz w:val="18"/>
                <w:szCs w:val="18"/>
              </w:rPr>
              <w:t>被投资单位名称或形成商誉的事 项</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30"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26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241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2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6"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4" w:hRule="exact"/>
        </w:trPr>
        <w:tc>
          <w:tcPr>
            <w:tcW w:w="269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62" w:lineRule="auto" w:before="91"/>
              <w:ind w:left="22" w:right="361"/>
              <w:jc w:val="left"/>
              <w:rPr>
                <w:rFonts w:ascii="Times New Roman" w:hAnsi="Times New Roman" w:cs="Times New Roman" w:eastAsia="Times New Roman" w:hint="default"/>
                <w:sz w:val="18"/>
                <w:szCs w:val="18"/>
              </w:rPr>
            </w:pPr>
            <w:r>
              <w:rPr>
                <w:rFonts w:ascii="Times New Roman"/>
                <w:sz w:val="18"/>
              </w:rPr>
              <w:t>COOPER</w:t>
            </w:r>
            <w:r>
              <w:rPr>
                <w:rFonts w:ascii="Times New Roman"/>
                <w:spacing w:val="-14"/>
                <w:sz w:val="18"/>
              </w:rPr>
              <w:t> </w:t>
            </w:r>
            <w:r>
              <w:rPr>
                <w:rFonts w:ascii="Times New Roman"/>
                <w:sz w:val="18"/>
              </w:rPr>
              <w:t>ENVIRONMENTAL</w:t>
            </w:r>
            <w:r>
              <w:rPr>
                <w:rFonts w:ascii="Times New Roman"/>
                <w:w w:val="99"/>
                <w:sz w:val="18"/>
              </w:rPr>
              <w:t> </w:t>
            </w:r>
            <w:r>
              <w:rPr>
                <w:rFonts w:ascii="Times New Roman"/>
                <w:sz w:val="18"/>
              </w:rPr>
              <w:t>SERVICES,LLC</w:t>
            </w:r>
          </w:p>
        </w:tc>
        <w:tc>
          <w:tcPr>
            <w:tcW w:w="99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69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广东先河科迪隆科技有限公司</w:t>
            </w:r>
          </w:p>
        </w:tc>
        <w:tc>
          <w:tcPr>
            <w:tcW w:w="99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69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广西先得环保科技有限公司</w:t>
            </w:r>
          </w:p>
        </w:tc>
        <w:tc>
          <w:tcPr>
            <w:tcW w:w="99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69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四川久环环境技术有限责任公司</w:t>
            </w:r>
          </w:p>
        </w:tc>
        <w:tc>
          <w:tcPr>
            <w:tcW w:w="99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69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Sunset Laboratory</w:t>
            </w:r>
            <w:r>
              <w:rPr>
                <w:rFonts w:ascii="Times New Roman"/>
                <w:spacing w:val="-6"/>
                <w:sz w:val="18"/>
              </w:rPr>
              <w:t> </w:t>
            </w:r>
            <w:r>
              <w:rPr>
                <w:rFonts w:ascii="Times New Roman"/>
                <w:sz w:val="18"/>
              </w:rPr>
              <w:t>Inc</w:t>
            </w:r>
          </w:p>
        </w:tc>
        <w:tc>
          <w:tcPr>
            <w:tcW w:w="99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69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四川广迈富宇建设工程有限公司</w:t>
            </w:r>
          </w:p>
        </w:tc>
        <w:tc>
          <w:tcPr>
            <w:tcW w:w="99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left="1134" w:right="0"/>
        <w:jc w:val="left"/>
      </w:pPr>
      <w:r>
        <w:rPr/>
        <w:t>说明商誉减值测试过程、参数及商誉减值损失的确认方法：</w:t>
      </w:r>
    </w:p>
    <w:p>
      <w:pPr>
        <w:pStyle w:val="BodyText"/>
        <w:spacing w:line="316" w:lineRule="auto" w:before="136"/>
        <w:ind w:left="1494" w:right="1117"/>
        <w:jc w:val="left"/>
      </w:pPr>
      <w:r>
        <w:rPr>
          <w:spacing w:val="-5"/>
        </w:rPr>
        <w:t>公司期末对上述相关的各项资产组进行了减值测试，将各资产组账面价值与其可收回金额进行比较，以确定各资产组（包</w:t>
      </w:r>
      <w:r>
        <w:rPr/>
        <w:t> 括商誉）是否发生了减值。具体测算过程如下：</w:t>
      </w:r>
    </w:p>
    <w:p>
      <w:pPr>
        <w:pStyle w:val="BodyText"/>
        <w:spacing w:line="240" w:lineRule="auto" w:before="79"/>
        <w:ind w:left="1554" w:right="0"/>
        <w:jc w:val="left"/>
      </w:pPr>
      <w:r>
        <w:rPr/>
        <w:t>①资产组的界定：上述子公司在合并后均作为独立的经济实体运行，故减值测试时均将其视为一个资产组。</w:t>
      </w:r>
    </w:p>
    <w:p>
      <w:pPr>
        <w:pStyle w:val="BodyText"/>
        <w:spacing w:line="316" w:lineRule="auto" w:before="137"/>
        <w:ind w:right="1133" w:firstLine="420"/>
        <w:jc w:val="both"/>
      </w:pPr>
      <w:r>
        <w:rPr/>
        <w:t>②预计未来现金流：主要以企业合并中取得的相关资产组产出之预计市场行情，以永续年期为基础合理测算资产组的 未来现金流。</w:t>
      </w:r>
    </w:p>
    <w:p>
      <w:pPr>
        <w:pStyle w:val="BodyText"/>
        <w:spacing w:line="316" w:lineRule="auto" w:before="79"/>
        <w:ind w:right="1133" w:firstLine="420"/>
        <w:jc w:val="both"/>
      </w:pPr>
      <w:r>
        <w:rPr/>
        <w:t>③折现率的确定：根据企业加权平均资金成本考虑与资产预计现金流量有关的特定风险作适当调整后确定，计算预计 未来现金流之现值时采用各公司相关行业适用的折现率。</w:t>
      </w:r>
    </w:p>
    <w:p>
      <w:pPr>
        <w:pStyle w:val="BodyText"/>
        <w:spacing w:line="316" w:lineRule="auto" w:before="79"/>
        <w:ind w:left="1134" w:right="1132" w:firstLine="420"/>
        <w:jc w:val="both"/>
      </w:pPr>
      <w:r>
        <w:rPr/>
        <w:t>④商誉减值损失的确认：减值测试时，如与商誉相关的资产组或者资产组组合存在减值迹象的，首先对不包括商誉的 </w:t>
      </w:r>
      <w:r>
        <w:rPr>
          <w:spacing w:val="-2"/>
        </w:rPr>
        <w:t>资产组或者资产组组合进行减值测试，计算可收回金额，确认相应的减值损失。然后对包含商誉的资产组或者资产组组合进</w:t>
      </w:r>
      <w:r>
        <w:rPr>
          <w:spacing w:val="-66"/>
        </w:rPr>
        <w:t> </w:t>
      </w:r>
      <w:r>
        <w:rPr>
          <w:spacing w:val="-66"/>
        </w:rPr>
      </w:r>
      <w:r>
        <w:rPr/>
        <w:t>行减值测试，比较其账面价值与可收回金额，如可收回金额低于账面价值的，确认商誉的减值损失。</w:t>
      </w:r>
    </w:p>
    <w:p>
      <w:pPr>
        <w:pStyle w:val="BodyText"/>
        <w:spacing w:line="360" w:lineRule="auto" w:before="79"/>
        <w:ind w:right="6632" w:firstLine="521"/>
        <w:jc w:val="left"/>
      </w:pPr>
      <w:r>
        <w:rPr/>
        <w:t>期末根据上述方法测试未发现商誉发生减值。 其他说明</w:t>
      </w:r>
    </w:p>
    <w:p>
      <w:pPr>
        <w:spacing w:line="240" w:lineRule="auto" w:before="12"/>
        <w:rPr>
          <w:rFonts w:ascii="宋体" w:hAnsi="宋体" w:cs="宋体" w:eastAsia="宋体" w:hint="default"/>
          <w:sz w:val="19"/>
          <w:szCs w:val="19"/>
        </w:rPr>
      </w:pPr>
    </w:p>
    <w:p>
      <w:pPr>
        <w:pStyle w:val="Heading3"/>
        <w:spacing w:line="240" w:lineRule="auto"/>
        <w:ind w:right="0"/>
        <w:jc w:val="left"/>
        <w:rPr>
          <w:b w:val="0"/>
          <w:bCs w:val="0"/>
        </w:rPr>
      </w:pPr>
      <w:bookmarkStart w:name="14、长期待摊费用" w:id="268"/>
      <w:bookmarkEnd w:id="268"/>
      <w:r>
        <w:rPr>
          <w:b w:val="0"/>
          <w:bCs w:val="0"/>
        </w:rPr>
      </w:r>
      <w:r>
        <w:rPr>
          <w:rFonts w:ascii="Times New Roman" w:hAnsi="Times New Roman" w:cs="Times New Roman" w:eastAsia="Times New Roman" w:hint="default"/>
        </w:rPr>
        <w:t>14</w:t>
      </w:r>
      <w:r>
        <w:rPr/>
        <w:t>、长期待摊费用</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594"/>
        <w:gridCol w:w="1596"/>
        <w:gridCol w:w="1595"/>
        <w:gridCol w:w="1594"/>
        <w:gridCol w:w="1594"/>
        <w:gridCol w:w="1595"/>
      </w:tblGrid>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53"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51" w:right="0"/>
              <w:jc w:val="left"/>
              <w:rPr>
                <w:rFonts w:ascii="宋体" w:hAnsi="宋体" w:cs="宋体" w:eastAsia="宋体" w:hint="default"/>
                <w:sz w:val="18"/>
                <w:szCs w:val="18"/>
              </w:rPr>
            </w:pPr>
            <w:r>
              <w:rPr>
                <w:rFonts w:ascii="宋体" w:hAnsi="宋体" w:cs="宋体" w:eastAsia="宋体" w:hint="default"/>
                <w:sz w:val="18"/>
                <w:szCs w:val="18"/>
              </w:rPr>
              <w:t>本期摊销金额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52" w:right="0"/>
              <w:jc w:val="left"/>
              <w:rPr>
                <w:rFonts w:ascii="宋体" w:hAnsi="宋体" w:cs="宋体" w:eastAsia="宋体" w:hint="default"/>
                <w:sz w:val="18"/>
                <w:szCs w:val="18"/>
              </w:rPr>
            </w:pPr>
            <w:r>
              <w:rPr>
                <w:rFonts w:ascii="宋体" w:hAnsi="宋体" w:cs="宋体" w:eastAsia="宋体" w:hint="default"/>
                <w:sz w:val="18"/>
                <w:szCs w:val="18"/>
              </w:rPr>
              <w:t>其他减少金额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装修费</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2,861,090.07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544,912.44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1,818,657.91</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1,587,344.60</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运营成本摊销</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4,768,230.49</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2,968,768.74</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1,799,461.75</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1,287,076.77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364,425.36</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922,651.41</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2,861,090.07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6,600,219.70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2,183,083.27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2,968,768.74</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4,309,457.76</w:t>
            </w:r>
          </w:p>
        </w:tc>
      </w:tr>
    </w:tbl>
    <w:p>
      <w:pPr>
        <w:pStyle w:val="BodyText"/>
        <w:spacing w:line="240" w:lineRule="auto" w:before="51"/>
        <w:ind w:left="1134" w:right="0"/>
        <w:jc w:val="left"/>
      </w:pPr>
      <w:r>
        <w:rPr/>
        <w:t>其他说明</w:t>
      </w:r>
    </w:p>
    <w:p>
      <w:pPr>
        <w:spacing w:after="0" w:line="240" w:lineRule="auto"/>
        <w:jc w:val="left"/>
        <w:sectPr>
          <w:pgSz w:w="11910" w:h="16840"/>
          <w:pgMar w:header="747" w:footer="979" w:top="1060" w:bottom="1160" w:left="0" w:right="0"/>
        </w:sectPr>
      </w:pPr>
    </w:p>
    <w:p>
      <w:pPr>
        <w:spacing w:line="240" w:lineRule="auto" w:before="12"/>
        <w:rPr>
          <w:rFonts w:ascii="宋体" w:hAnsi="宋体" w:cs="宋体" w:eastAsia="宋体" w:hint="default"/>
          <w:sz w:val="25"/>
          <w:szCs w:val="25"/>
        </w:rPr>
      </w:pPr>
    </w:p>
    <w:p>
      <w:pPr>
        <w:pStyle w:val="BodyText"/>
        <w:spacing w:line="300" w:lineRule="auto" w:before="44"/>
        <w:ind w:right="1153" w:firstLine="360"/>
        <w:jc w:val="left"/>
      </w:pPr>
      <w:r>
        <w:rPr/>
        <w:t>长期待摊费用期末余额较期初增加</w:t>
      </w:r>
      <w:r>
        <w:rPr>
          <w:rFonts w:ascii="Times New Roman" w:hAnsi="Times New Roman" w:cs="Times New Roman" w:eastAsia="Times New Roman" w:hint="default"/>
        </w:rPr>
        <w:t>1,448,367.69</w:t>
      </w:r>
      <w:r>
        <w:rPr/>
        <w:t>元，增幅</w:t>
      </w:r>
      <w:r>
        <w:rPr>
          <w:rFonts w:ascii="Times New Roman" w:hAnsi="Times New Roman" w:cs="Times New Roman" w:eastAsia="Times New Roman" w:hint="default"/>
        </w:rPr>
        <w:t>50.62%</w:t>
      </w:r>
      <w:r>
        <w:rPr/>
        <w:t>，主要原因是本期发生的运营成本因服务尚未提供未摊 销所致</w:t>
      </w:r>
    </w:p>
    <w:p>
      <w:pPr>
        <w:spacing w:line="240" w:lineRule="auto" w:before="6"/>
        <w:rPr>
          <w:rFonts w:ascii="宋体" w:hAnsi="宋体" w:cs="宋体" w:eastAsia="宋体" w:hint="default"/>
          <w:sz w:val="23"/>
          <w:szCs w:val="23"/>
        </w:rPr>
      </w:pPr>
    </w:p>
    <w:p>
      <w:pPr>
        <w:pStyle w:val="Heading3"/>
        <w:spacing w:line="240" w:lineRule="auto"/>
        <w:ind w:right="0"/>
        <w:jc w:val="left"/>
        <w:rPr>
          <w:b w:val="0"/>
          <w:bCs w:val="0"/>
        </w:rPr>
      </w:pPr>
      <w:bookmarkStart w:name="15、递延所得税资产/递延所得税负债" w:id="269"/>
      <w:bookmarkEnd w:id="269"/>
      <w:r>
        <w:rPr>
          <w:b w:val="0"/>
          <w:bCs w:val="0"/>
        </w:rPr>
      </w:r>
      <w:r>
        <w:rPr>
          <w:rFonts w:ascii="Times New Roman" w:hAnsi="Times New Roman" w:cs="Times New Roman" w:eastAsia="Times New Roman" w:hint="default"/>
        </w:rPr>
        <w:t>15</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1）未经抵销的递延所得税资产" w:id="270"/>
      <w:bookmarkEnd w:id="270"/>
      <w:r>
        <w:rPr>
          <w:b w:val="0"/>
          <w:bCs w:val="0"/>
        </w:rPr>
      </w:r>
      <w:r>
        <w:rPr/>
        <w:t>（</w:t>
      </w:r>
      <w:r>
        <w:rPr>
          <w:rFonts w:ascii="Times New Roman" w:hAnsi="Times New Roman" w:cs="Times New Roman" w:eastAsia="Times New Roman" w:hint="default"/>
        </w:rPr>
        <w:t>1</w:t>
      </w:r>
      <w:r>
        <w:rPr/>
        <w:t>）未经抵销的递延所得税资产</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206" w:hRule="exact"/>
        </w:trPr>
        <w:tc>
          <w:tcPr>
            <w:tcW w:w="1889" w:type="dxa"/>
            <w:tcBorders>
              <w:top w:val="single" w:sz="4" w:space="0" w:color="000000"/>
              <w:left w:val="single" w:sz="4" w:space="0" w:color="000000"/>
              <w:bottom w:val="nil" w:sz="6" w:space="0" w:color="auto"/>
              <w:right w:val="single" w:sz="4" w:space="0" w:color="000000"/>
            </w:tcBorders>
            <w:shd w:val="clear" w:color="auto" w:fill="D2D2D2"/>
          </w:tcPr>
          <w:p>
            <w:pPr/>
          </w:p>
        </w:tc>
        <w:tc>
          <w:tcPr>
            <w:tcW w:w="384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6" w:hRule="exact"/>
        </w:trPr>
        <w:tc>
          <w:tcPr>
            <w:tcW w:w="188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42" w:type="dxa"/>
            <w:gridSpan w:val="2"/>
            <w:vMerge/>
            <w:tcBorders>
              <w:left w:val="single" w:sz="4" w:space="0" w:color="000000"/>
              <w:bottom w:val="single" w:sz="4" w:space="0" w:color="000000"/>
              <w:right w:val="single" w:sz="4" w:space="0" w:color="000000"/>
            </w:tcBorders>
            <w:shd w:val="clear" w:color="auto" w:fill="D2D2D2"/>
          </w:tcPr>
          <w:p>
            <w:pPr/>
          </w:p>
        </w:tc>
        <w:tc>
          <w:tcPr>
            <w:tcW w:w="3828" w:type="dxa"/>
            <w:gridSpan w:val="2"/>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1889" w:type="dxa"/>
            <w:vMerge/>
            <w:tcBorders>
              <w:left w:val="single" w:sz="4" w:space="0" w:color="000000"/>
              <w:bottom w:val="nil" w:sz="6" w:space="0" w:color="auto"/>
              <w:right w:val="single" w:sz="4" w:space="0" w:color="000000"/>
            </w:tcBorders>
            <w:shd w:val="clear" w:color="auto" w:fill="D2D2D2"/>
          </w:tcPr>
          <w:p>
            <w:pPr/>
          </w:p>
        </w:tc>
        <w:tc>
          <w:tcPr>
            <w:tcW w:w="192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245"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2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231"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2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r>
      <w:tr>
        <w:trPr>
          <w:trHeight w:val="205" w:hRule="exact"/>
        </w:trPr>
        <w:tc>
          <w:tcPr>
            <w:tcW w:w="1889" w:type="dxa"/>
            <w:tcBorders>
              <w:top w:val="nil" w:sz="6" w:space="0" w:color="auto"/>
              <w:left w:val="single" w:sz="4" w:space="0" w:color="000000"/>
              <w:bottom w:val="single" w:sz="4" w:space="0" w:color="000000"/>
              <w:right w:val="single" w:sz="4" w:space="0" w:color="000000"/>
            </w:tcBorders>
            <w:shd w:val="clear" w:color="auto" w:fill="D2D2D2"/>
          </w:tcPr>
          <w:p>
            <w:pPr/>
          </w:p>
        </w:tc>
        <w:tc>
          <w:tcPr>
            <w:tcW w:w="1928"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资产减值准备</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130,042,608.70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19,654,030.84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107,591,950.26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16,263,458.56</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130,042,608.70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19,654,030.84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107,591,950.26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16,263,458.56</w:t>
            </w:r>
          </w:p>
        </w:tc>
      </w:tr>
    </w:tbl>
    <w:p>
      <w:pPr>
        <w:spacing w:line="240" w:lineRule="auto" w:before="2"/>
        <w:rPr>
          <w:rFonts w:ascii="宋体" w:hAnsi="宋体" w:cs="宋体" w:eastAsia="宋体" w:hint="default"/>
          <w:sz w:val="19"/>
          <w:szCs w:val="19"/>
        </w:rPr>
      </w:pPr>
    </w:p>
    <w:p>
      <w:pPr>
        <w:pStyle w:val="Heading3"/>
        <w:spacing w:line="240" w:lineRule="auto" w:before="35"/>
        <w:ind w:left="1134" w:right="0"/>
        <w:jc w:val="left"/>
        <w:rPr>
          <w:b w:val="0"/>
          <w:bCs w:val="0"/>
        </w:rPr>
      </w:pPr>
      <w:bookmarkStart w:name="（2）未经抵销的递延所得税负债" w:id="271"/>
      <w:bookmarkEnd w:id="271"/>
      <w:r>
        <w:rPr>
          <w:b w:val="0"/>
          <w:bCs w:val="0"/>
        </w:rPr>
      </w:r>
      <w:r>
        <w:rPr/>
        <w:t>（</w:t>
      </w:r>
      <w:r>
        <w:rPr>
          <w:rFonts w:ascii="Times New Roman" w:hAnsi="Times New Roman" w:cs="Times New Roman" w:eastAsia="Times New Roman" w:hint="default"/>
        </w:rPr>
        <w:t>2</w:t>
      </w:r>
      <w:r>
        <w:rPr/>
        <w:t>）未经抵销的递延所得税负债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206" w:hRule="exact"/>
        </w:trPr>
        <w:tc>
          <w:tcPr>
            <w:tcW w:w="1889" w:type="dxa"/>
            <w:tcBorders>
              <w:top w:val="single" w:sz="4" w:space="0" w:color="000000"/>
              <w:left w:val="single" w:sz="4" w:space="0" w:color="000000"/>
              <w:bottom w:val="nil" w:sz="6" w:space="0" w:color="auto"/>
              <w:right w:val="single" w:sz="4" w:space="0" w:color="000000"/>
            </w:tcBorders>
            <w:shd w:val="clear" w:color="auto" w:fill="D2D2D2"/>
          </w:tcPr>
          <w:p>
            <w:pPr/>
          </w:p>
        </w:tc>
        <w:tc>
          <w:tcPr>
            <w:tcW w:w="384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6" w:hRule="exact"/>
        </w:trPr>
        <w:tc>
          <w:tcPr>
            <w:tcW w:w="188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42" w:type="dxa"/>
            <w:gridSpan w:val="2"/>
            <w:vMerge/>
            <w:tcBorders>
              <w:left w:val="single" w:sz="4" w:space="0" w:color="000000"/>
              <w:bottom w:val="single" w:sz="4" w:space="0" w:color="000000"/>
              <w:right w:val="single" w:sz="4" w:space="0" w:color="000000"/>
            </w:tcBorders>
            <w:shd w:val="clear" w:color="auto" w:fill="D2D2D2"/>
          </w:tcPr>
          <w:p>
            <w:pPr/>
          </w:p>
        </w:tc>
        <w:tc>
          <w:tcPr>
            <w:tcW w:w="3828" w:type="dxa"/>
            <w:gridSpan w:val="2"/>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1889" w:type="dxa"/>
            <w:vMerge/>
            <w:tcBorders>
              <w:left w:val="single" w:sz="4" w:space="0" w:color="000000"/>
              <w:bottom w:val="nil" w:sz="6" w:space="0" w:color="auto"/>
              <w:right w:val="single" w:sz="4" w:space="0" w:color="000000"/>
            </w:tcBorders>
            <w:shd w:val="clear" w:color="auto" w:fill="D2D2D2"/>
          </w:tcPr>
          <w:p>
            <w:pPr/>
          </w:p>
        </w:tc>
        <w:tc>
          <w:tcPr>
            <w:tcW w:w="192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245"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2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231"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2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r>
      <w:tr>
        <w:trPr>
          <w:trHeight w:val="205" w:hRule="exact"/>
        </w:trPr>
        <w:tc>
          <w:tcPr>
            <w:tcW w:w="1889" w:type="dxa"/>
            <w:tcBorders>
              <w:top w:val="nil" w:sz="6" w:space="0" w:color="auto"/>
              <w:left w:val="single" w:sz="4" w:space="0" w:color="000000"/>
              <w:bottom w:val="single" w:sz="4" w:space="0" w:color="000000"/>
              <w:right w:val="single" w:sz="4" w:space="0" w:color="000000"/>
            </w:tcBorders>
            <w:shd w:val="clear" w:color="auto" w:fill="D2D2D2"/>
          </w:tcPr>
          <w:p>
            <w:pPr/>
          </w:p>
        </w:tc>
        <w:tc>
          <w:tcPr>
            <w:tcW w:w="1928"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66"/>
              <w:jc w:val="left"/>
              <w:rPr>
                <w:rFonts w:ascii="宋体" w:hAnsi="宋体" w:cs="宋体" w:eastAsia="宋体" w:hint="default"/>
                <w:sz w:val="18"/>
                <w:szCs w:val="18"/>
              </w:rPr>
            </w:pPr>
            <w:r>
              <w:rPr>
                <w:rFonts w:ascii="宋体" w:hAnsi="宋体" w:cs="宋体" w:eastAsia="宋体" w:hint="default"/>
                <w:sz w:val="18"/>
                <w:szCs w:val="18"/>
              </w:rPr>
              <w:t>非同一控制企业合并资 产评估增值</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796,783.60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119,517.54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1,087,093.67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163,064.05</w:t>
            </w:r>
          </w:p>
        </w:tc>
      </w:tr>
      <w:tr>
        <w:trPr>
          <w:trHeight w:val="404"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796,783.60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119,517.54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1,087,093.67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163,064.05</w:t>
            </w:r>
          </w:p>
        </w:tc>
      </w:tr>
    </w:tbl>
    <w:p>
      <w:pPr>
        <w:spacing w:line="240" w:lineRule="auto" w:before="2"/>
        <w:rPr>
          <w:rFonts w:ascii="宋体" w:hAnsi="宋体" w:cs="宋体" w:eastAsia="宋体" w:hint="default"/>
          <w:sz w:val="19"/>
          <w:szCs w:val="19"/>
        </w:rPr>
      </w:pPr>
    </w:p>
    <w:p>
      <w:pPr>
        <w:pStyle w:val="Heading3"/>
        <w:spacing w:line="240" w:lineRule="auto" w:before="35"/>
        <w:ind w:left="1134" w:right="0"/>
        <w:jc w:val="left"/>
        <w:rPr>
          <w:b w:val="0"/>
          <w:bCs w:val="0"/>
        </w:rPr>
      </w:pPr>
      <w:bookmarkStart w:name="（3）以抵销后净额列示的递延所得税资产或负债" w:id="272"/>
      <w:bookmarkEnd w:id="272"/>
      <w:r>
        <w:rPr>
          <w:b w:val="0"/>
          <w:bCs w:val="0"/>
        </w:rPr>
      </w:r>
      <w:r>
        <w:rPr/>
        <w:t>（</w:t>
      </w:r>
      <w:r>
        <w:rPr>
          <w:rFonts w:ascii="Times New Roman" w:hAnsi="Times New Roman" w:cs="Times New Roman" w:eastAsia="Times New Roman" w:hint="default"/>
        </w:rPr>
        <w:t>3</w:t>
      </w:r>
      <w:r>
        <w:rPr/>
        <w:t>）以抵销后净额列示的递延所得税资产或负债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161" w:hRule="exact"/>
        </w:trPr>
        <w:tc>
          <w:tcPr>
            <w:tcW w:w="1912"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7"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413" w:right="51" w:hanging="360"/>
              <w:jc w:val="left"/>
              <w:rPr>
                <w:rFonts w:ascii="宋体" w:hAnsi="宋体" w:cs="宋体" w:eastAsia="宋体" w:hint="default"/>
                <w:sz w:val="18"/>
                <w:szCs w:val="18"/>
              </w:rPr>
            </w:pPr>
            <w:r>
              <w:rPr>
                <w:rFonts w:ascii="宋体" w:hAnsi="宋体" w:cs="宋体" w:eastAsia="宋体" w:hint="default"/>
                <w:sz w:val="18"/>
                <w:szCs w:val="18"/>
              </w:rPr>
              <w:t>递延所得税资产和负债 期末互抵金额</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321" w:right="50" w:hanging="270"/>
              <w:jc w:val="left"/>
              <w:rPr>
                <w:rFonts w:ascii="宋体" w:hAnsi="宋体" w:cs="宋体" w:eastAsia="宋体" w:hint="default"/>
                <w:sz w:val="18"/>
                <w:szCs w:val="18"/>
              </w:rPr>
            </w:pPr>
            <w:r>
              <w:rPr>
                <w:rFonts w:ascii="宋体" w:hAnsi="宋体" w:cs="宋体" w:eastAsia="宋体" w:hint="default"/>
                <w:sz w:val="18"/>
                <w:szCs w:val="18"/>
              </w:rPr>
              <w:t>抵销后递延所得税资产 或负债期末余额</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411" w:right="51" w:hanging="360"/>
              <w:jc w:val="left"/>
              <w:rPr>
                <w:rFonts w:ascii="宋体" w:hAnsi="宋体" w:cs="宋体" w:eastAsia="宋体" w:hint="default"/>
                <w:sz w:val="18"/>
                <w:szCs w:val="18"/>
              </w:rPr>
            </w:pPr>
            <w:r>
              <w:rPr>
                <w:rFonts w:ascii="宋体" w:hAnsi="宋体" w:cs="宋体" w:eastAsia="宋体" w:hint="default"/>
                <w:sz w:val="18"/>
                <w:szCs w:val="18"/>
              </w:rPr>
              <w:t>递延所得税资产和负债 期初互抵金额</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321" w:right="50" w:hanging="270"/>
              <w:jc w:val="left"/>
              <w:rPr>
                <w:rFonts w:ascii="宋体" w:hAnsi="宋体" w:cs="宋体" w:eastAsia="宋体" w:hint="default"/>
                <w:sz w:val="18"/>
                <w:szCs w:val="18"/>
              </w:rPr>
            </w:pPr>
            <w:r>
              <w:rPr>
                <w:rFonts w:ascii="宋体" w:hAnsi="宋体" w:cs="宋体" w:eastAsia="宋体" w:hint="default"/>
                <w:sz w:val="18"/>
                <w:szCs w:val="18"/>
              </w:rPr>
              <w:t>抵销后递延所得税资产 或负债期初余额</w:t>
            </w:r>
          </w:p>
        </w:tc>
      </w:tr>
      <w:tr>
        <w:trPr>
          <w:trHeight w:val="392" w:hRule="exact"/>
        </w:trPr>
        <w:tc>
          <w:tcPr>
            <w:tcW w:w="191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7" w:type="dxa"/>
            <w:vMerge/>
            <w:tcBorders>
              <w:left w:val="single" w:sz="4" w:space="0" w:color="000000"/>
              <w:right w:val="single" w:sz="4" w:space="0" w:color="000000"/>
            </w:tcBorders>
            <w:shd w:val="clear" w:color="auto" w:fill="D2D2D2"/>
          </w:tcPr>
          <w:p>
            <w:pPr/>
          </w:p>
        </w:tc>
        <w:tc>
          <w:tcPr>
            <w:tcW w:w="1914" w:type="dxa"/>
            <w:vMerge/>
            <w:tcBorders>
              <w:left w:val="single" w:sz="4" w:space="0" w:color="000000"/>
              <w:right w:val="single" w:sz="4" w:space="0" w:color="000000"/>
            </w:tcBorders>
            <w:shd w:val="clear" w:color="auto" w:fill="D2D2D2"/>
          </w:tcPr>
          <w:p>
            <w:pPr/>
          </w:p>
        </w:tc>
        <w:tc>
          <w:tcPr>
            <w:tcW w:w="1914" w:type="dxa"/>
            <w:vMerge/>
            <w:tcBorders>
              <w:left w:val="single" w:sz="4" w:space="0" w:color="000000"/>
              <w:right w:val="single" w:sz="4" w:space="0" w:color="000000"/>
            </w:tcBorders>
            <w:shd w:val="clear" w:color="auto" w:fill="D2D2D2"/>
          </w:tcPr>
          <w:p>
            <w:pPr/>
          </w:p>
        </w:tc>
        <w:tc>
          <w:tcPr>
            <w:tcW w:w="1914" w:type="dxa"/>
            <w:vMerge/>
            <w:tcBorders>
              <w:left w:val="single" w:sz="4" w:space="0" w:color="000000"/>
              <w:right w:val="single" w:sz="4" w:space="0" w:color="000000"/>
            </w:tcBorders>
            <w:shd w:val="clear" w:color="auto" w:fill="D2D2D2"/>
          </w:tcPr>
          <w:p>
            <w:pPr/>
          </w:p>
        </w:tc>
      </w:tr>
      <w:tr>
        <w:trPr>
          <w:trHeight w:val="161" w:hRule="exact"/>
        </w:trPr>
        <w:tc>
          <w:tcPr>
            <w:tcW w:w="1912"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7"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17"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19,654,030.84</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16,263,458.56</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917"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119,517.54</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163,064.05</w:t>
            </w:r>
          </w:p>
        </w:tc>
      </w:tr>
    </w:tbl>
    <w:p>
      <w:pPr>
        <w:spacing w:line="240" w:lineRule="auto" w:before="2"/>
        <w:rPr>
          <w:rFonts w:ascii="宋体" w:hAnsi="宋体" w:cs="宋体" w:eastAsia="宋体" w:hint="default"/>
          <w:sz w:val="19"/>
          <w:szCs w:val="19"/>
        </w:rPr>
      </w:pPr>
    </w:p>
    <w:p>
      <w:pPr>
        <w:pStyle w:val="Heading3"/>
        <w:spacing w:line="240" w:lineRule="auto" w:before="35"/>
        <w:ind w:left="1134" w:right="0"/>
        <w:jc w:val="left"/>
        <w:rPr>
          <w:b w:val="0"/>
          <w:bCs w:val="0"/>
        </w:rPr>
      </w:pPr>
      <w:bookmarkStart w:name="（4）未确认递延所得税资产明细" w:id="273"/>
      <w:bookmarkEnd w:id="273"/>
      <w:r>
        <w:rPr>
          <w:b w:val="0"/>
          <w:bCs w:val="0"/>
        </w:rPr>
      </w:r>
      <w:r>
        <w:rPr/>
        <w:t>（</w:t>
      </w:r>
      <w:r>
        <w:rPr>
          <w:rFonts w:ascii="Times New Roman" w:hAnsi="Times New Roman" w:cs="Times New Roman" w:eastAsia="Times New Roman" w:hint="default"/>
        </w:rPr>
        <w:t>4</w:t>
      </w:r>
      <w:r>
        <w:rPr/>
        <w:t>）未确认递延所得税资产明细</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2,252,288.58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949,723.94</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13,050,453.30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11,137,696.43</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15,302,741.88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12,087,420.37</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10"/>
        <w:rPr>
          <w:rFonts w:ascii="宋体" w:hAnsi="宋体" w:cs="宋体" w:eastAsia="宋体" w:hint="default"/>
          <w:sz w:val="24"/>
          <w:szCs w:val="24"/>
        </w:rPr>
      </w:pPr>
    </w:p>
    <w:p>
      <w:pPr>
        <w:pStyle w:val="Heading3"/>
        <w:spacing w:line="240" w:lineRule="auto" w:before="35"/>
        <w:ind w:right="0"/>
        <w:jc w:val="left"/>
        <w:rPr>
          <w:b w:val="0"/>
          <w:bCs w:val="0"/>
        </w:rPr>
      </w:pPr>
      <w:bookmarkStart w:name="（5）未确认递延所得税资产的可抵扣亏损将于以下年度到期" w:id="274"/>
      <w:bookmarkEnd w:id="274"/>
      <w:r>
        <w:rPr>
          <w:b w:val="0"/>
          <w:bCs w:val="0"/>
        </w:rPr>
      </w:r>
      <w:r>
        <w:rPr/>
        <w:t>（</w:t>
      </w:r>
      <w:r>
        <w:rPr>
          <w:rFonts w:ascii="Times New Roman" w:hAnsi="Times New Roman" w:cs="Times New Roman" w:eastAsia="Times New Roman" w:hint="default"/>
        </w:rPr>
        <w:t>5</w:t>
      </w:r>
      <w:r>
        <w:rPr/>
        <w:t>）未确认递延所得税资产的可抵扣亏损将于以下年度到期</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2390"/>
        <w:gridCol w:w="2396"/>
        <w:gridCol w:w="2392"/>
        <w:gridCol w:w="2392"/>
      </w:tblGrid>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年份</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期末金额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期初金额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192,700.42</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1,713,418.61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2,011,265.25</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2,292,955.15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5,444,087.62</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14,511,624.06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23,506,177.70</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12,766,847.51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15,268,265.38</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21,725,343.22</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53,010,188.55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46,422,496.37</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left="1134" w:right="0"/>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16、应付票据" w:id="275"/>
      <w:bookmarkEnd w:id="275"/>
      <w:r>
        <w:rPr>
          <w:b w:val="0"/>
          <w:bCs w:val="0"/>
        </w:rPr>
      </w:r>
      <w:r>
        <w:rPr>
          <w:rFonts w:ascii="Times New Roman" w:hAnsi="Times New Roman" w:cs="Times New Roman" w:eastAsia="Times New Roman" w:hint="default"/>
        </w:rPr>
        <w:t>16</w:t>
      </w:r>
      <w:r>
        <w:rPr/>
        <w:t>、应付票据</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种类</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银行承兑汇票</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36,657,890.79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499,860.00</w:t>
            </w:r>
          </w:p>
        </w:tc>
      </w:tr>
      <w:tr>
        <w:trPr>
          <w:trHeight w:val="404"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36,657,890.79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499,860.00</w:t>
            </w:r>
          </w:p>
        </w:tc>
      </w:tr>
    </w:tbl>
    <w:p>
      <w:pPr>
        <w:pStyle w:val="BodyText"/>
        <w:spacing w:line="240" w:lineRule="auto" w:before="51"/>
        <w:ind w:left="1134" w:right="0"/>
        <w:jc w:val="left"/>
      </w:pPr>
      <w:r>
        <w:rPr/>
        <w:t>本期末已到期未支付的应付票据总额为</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spacing w:line="240" w:lineRule="auto" w:before="9"/>
        <w:rPr>
          <w:rFonts w:ascii="宋体" w:hAnsi="宋体" w:cs="宋体" w:eastAsia="宋体" w:hint="default"/>
          <w:sz w:val="25"/>
          <w:szCs w:val="25"/>
        </w:rPr>
      </w:pPr>
    </w:p>
    <w:p>
      <w:pPr>
        <w:pStyle w:val="Heading3"/>
        <w:spacing w:line="240" w:lineRule="auto"/>
        <w:ind w:left="1134" w:right="0"/>
        <w:jc w:val="left"/>
        <w:rPr>
          <w:b w:val="0"/>
          <w:bCs w:val="0"/>
        </w:rPr>
      </w:pPr>
      <w:bookmarkStart w:name="17、应付账款" w:id="276"/>
      <w:bookmarkEnd w:id="276"/>
      <w:r>
        <w:rPr>
          <w:b w:val="0"/>
          <w:bCs w:val="0"/>
        </w:rPr>
      </w:r>
      <w:r>
        <w:rPr>
          <w:rFonts w:ascii="Times New Roman" w:hAnsi="Times New Roman" w:cs="Times New Roman" w:eastAsia="Times New Roman" w:hint="default"/>
        </w:rPr>
        <w:t>17</w:t>
      </w:r>
      <w:r>
        <w:rPr/>
        <w:t>、应付账款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134" w:right="0"/>
        <w:jc w:val="left"/>
        <w:rPr>
          <w:b w:val="0"/>
          <w:bCs w:val="0"/>
        </w:rPr>
      </w:pPr>
      <w:bookmarkStart w:name="（1）应付账款列示" w:id="277"/>
      <w:bookmarkEnd w:id="277"/>
      <w:r>
        <w:rPr>
          <w:b w:val="0"/>
          <w:bCs w:val="0"/>
        </w:rPr>
      </w:r>
      <w:r>
        <w:rPr/>
        <w:t>（</w:t>
      </w:r>
      <w:r>
        <w:rPr>
          <w:rFonts w:ascii="Times New Roman" w:hAnsi="Times New Roman" w:cs="Times New Roman" w:eastAsia="Times New Roman" w:hint="default"/>
        </w:rPr>
        <w:t>1</w:t>
      </w:r>
      <w:r>
        <w:rPr/>
        <w:t>）应付账款列示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107,752,592.19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62,460,677.45</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15,400,126.82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9,467,701.51</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6,757,049.84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6,453,803.40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12,623,235.78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6,401,238.70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142,533,004.63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84,783,421.06</w:t>
            </w:r>
          </w:p>
        </w:tc>
      </w:tr>
    </w:tbl>
    <w:p>
      <w:pPr>
        <w:spacing w:line="240" w:lineRule="auto" w:before="2"/>
        <w:rPr>
          <w:rFonts w:ascii="宋体" w:hAnsi="宋体" w:cs="宋体" w:eastAsia="宋体" w:hint="default"/>
          <w:sz w:val="19"/>
          <w:szCs w:val="19"/>
        </w:rPr>
      </w:pPr>
    </w:p>
    <w:p>
      <w:pPr>
        <w:pStyle w:val="Heading3"/>
        <w:spacing w:line="240" w:lineRule="auto" w:before="35"/>
        <w:ind w:left="1134" w:right="0"/>
        <w:jc w:val="left"/>
        <w:rPr>
          <w:b w:val="0"/>
          <w:bCs w:val="0"/>
        </w:rPr>
      </w:pPr>
      <w:bookmarkStart w:name="（2）账龄超过1年的重要应付账款" w:id="278"/>
      <w:bookmarkEnd w:id="278"/>
      <w:r>
        <w:rPr>
          <w:b w:val="0"/>
          <w:bCs w:val="0"/>
        </w:rPr>
      </w:r>
      <w:r>
        <w:rPr/>
        <w:t>（</w:t>
      </w:r>
      <w:r>
        <w:rPr>
          <w:rFonts w:ascii="Times New Roman" w:hAnsi="Times New Roman" w:cs="Times New Roman" w:eastAsia="Times New Roman" w:hint="default"/>
        </w:rPr>
        <w:t>2</w:t>
      </w:r>
      <w:r>
        <w:rPr/>
        <w:t>）账龄超过</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年的重要应付账款</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79"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卡迪诺科技贸易（北京）有限公司</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2"/>
                <w:sz w:val="18"/>
              </w:rPr>
              <w:t>2,340,111.54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未结算材料费</w:t>
            </w:r>
          </w:p>
        </w:tc>
      </w:tr>
    </w:tbl>
    <w:p>
      <w:pPr>
        <w:spacing w:after="0" w:line="240"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南宁市惠盟商务信息咨询有限公司</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未结算技术服务费</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内蒙古创宇科技有限公司</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1,312,681.19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未结算材料费</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四川三羊建设有限公司</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957,311.87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质保金</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广西南宁市永常劳务信息咨询有限公司</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752,200.00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未结算服务费</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7,062,304.60</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left="1134" w:right="0"/>
        <w:jc w:val="left"/>
      </w:pPr>
      <w:r>
        <w:rPr/>
        <w:t>其他说明：</w:t>
      </w:r>
    </w:p>
    <w:p>
      <w:pPr>
        <w:pStyle w:val="BodyText"/>
        <w:spacing w:line="240" w:lineRule="auto" w:before="116"/>
        <w:ind w:left="1494" w:right="0"/>
        <w:jc w:val="left"/>
      </w:pPr>
      <w:r>
        <w:rPr/>
        <w:t>应付账款期末余额较期初增加</w:t>
      </w:r>
      <w:r>
        <w:rPr>
          <w:rFonts w:ascii="Times New Roman" w:hAnsi="Times New Roman" w:cs="Times New Roman" w:eastAsia="Times New Roman" w:hint="default"/>
        </w:rPr>
        <w:t>57,749,583.57</w:t>
      </w:r>
      <w:r>
        <w:rPr/>
        <w:t>元，增幅</w:t>
      </w:r>
      <w:r>
        <w:rPr>
          <w:rFonts w:ascii="Times New Roman" w:hAnsi="Times New Roman" w:cs="Times New Roman" w:eastAsia="Times New Roman" w:hint="default"/>
        </w:rPr>
        <w:t>68.11%</w:t>
      </w:r>
      <w:r>
        <w:rPr/>
        <w:t>，主要原因是本期订单增加，采购的存货尚未付款所致</w:t>
      </w:r>
    </w:p>
    <w:p>
      <w:pPr>
        <w:spacing w:line="240" w:lineRule="auto" w:before="11"/>
        <w:rPr>
          <w:rFonts w:ascii="宋体" w:hAnsi="宋体" w:cs="宋体" w:eastAsia="宋体" w:hint="default"/>
          <w:sz w:val="25"/>
          <w:szCs w:val="25"/>
        </w:rPr>
      </w:pPr>
    </w:p>
    <w:p>
      <w:pPr>
        <w:pStyle w:val="Heading3"/>
        <w:spacing w:line="240" w:lineRule="auto"/>
        <w:ind w:right="0"/>
        <w:jc w:val="left"/>
        <w:rPr>
          <w:b w:val="0"/>
          <w:bCs w:val="0"/>
        </w:rPr>
      </w:pPr>
      <w:bookmarkStart w:name="18、预收款项" w:id="279"/>
      <w:bookmarkEnd w:id="279"/>
      <w:r>
        <w:rPr>
          <w:b w:val="0"/>
          <w:bCs w:val="0"/>
        </w:rPr>
      </w:r>
      <w:r>
        <w:rPr>
          <w:rFonts w:ascii="Times New Roman" w:hAnsi="Times New Roman" w:cs="Times New Roman" w:eastAsia="Times New Roman" w:hint="default"/>
        </w:rPr>
        <w:t>18</w:t>
      </w:r>
      <w:r>
        <w:rPr/>
        <w:t>、预收款项</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34" w:right="0"/>
        <w:jc w:val="left"/>
        <w:rPr>
          <w:b w:val="0"/>
          <w:bCs w:val="0"/>
        </w:rPr>
      </w:pPr>
      <w:bookmarkStart w:name="（1）预收款项列示" w:id="280"/>
      <w:bookmarkEnd w:id="280"/>
      <w:r>
        <w:rPr>
          <w:b w:val="0"/>
          <w:bCs w:val="0"/>
        </w:rPr>
      </w:r>
      <w:r>
        <w:rPr/>
        <w:t>（</w:t>
      </w:r>
      <w:r>
        <w:rPr>
          <w:rFonts w:ascii="Times New Roman" w:hAnsi="Times New Roman" w:cs="Times New Roman" w:eastAsia="Times New Roman" w:hint="default"/>
        </w:rPr>
        <w:t>1</w:t>
      </w:r>
      <w:r>
        <w:rPr/>
        <w:t>）预收款项列示</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144,045,085.52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95,582,485.36</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5,088,888.21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1,558,552.38</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650,640.00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2,307,262.28</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6,543,086.62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6,499,902.71</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156,327,700.35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105,948,202.73</w:t>
            </w:r>
          </w:p>
        </w:tc>
      </w:tr>
    </w:tbl>
    <w:p>
      <w:pPr>
        <w:spacing w:line="240" w:lineRule="auto" w:before="2"/>
        <w:rPr>
          <w:rFonts w:ascii="宋体" w:hAnsi="宋体" w:cs="宋体" w:eastAsia="宋体" w:hint="default"/>
          <w:sz w:val="19"/>
          <w:szCs w:val="19"/>
        </w:rPr>
      </w:pPr>
    </w:p>
    <w:p>
      <w:pPr>
        <w:pStyle w:val="Heading3"/>
        <w:spacing w:line="240" w:lineRule="auto" w:before="35"/>
        <w:ind w:left="1134" w:right="0"/>
        <w:jc w:val="left"/>
        <w:rPr>
          <w:b w:val="0"/>
          <w:bCs w:val="0"/>
        </w:rPr>
      </w:pPr>
      <w:bookmarkStart w:name="（2）账龄超过1年的重要预收款项" w:id="281"/>
      <w:bookmarkEnd w:id="281"/>
      <w:r>
        <w:rPr>
          <w:b w:val="0"/>
          <w:bCs w:val="0"/>
        </w:rPr>
      </w:r>
      <w:r>
        <w:rPr/>
        <w:t>（</w:t>
      </w:r>
      <w:r>
        <w:rPr>
          <w:rFonts w:ascii="Times New Roman" w:hAnsi="Times New Roman" w:cs="Times New Roman" w:eastAsia="Times New Roman" w:hint="default"/>
        </w:rPr>
        <w:t>2</w:t>
      </w:r>
      <w:r>
        <w:rPr/>
        <w:t>）账龄超过</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年的重要预收款项</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79"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青海新纪元环保科技工程有限公司</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800,000.00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项目延期</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天津市环境保护科学研究院</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641,000.00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项目未验收</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北京缘天然贸易有限公司</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466,669.00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项目未验收</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成都邦耐生物科技有限公司</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311,755.00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项目未验收</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2,219,424.00</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9"/>
          <w:szCs w:val="19"/>
        </w:rPr>
      </w:pPr>
    </w:p>
    <w:p>
      <w:pPr>
        <w:pStyle w:val="Heading3"/>
        <w:spacing w:line="240" w:lineRule="auto" w:before="35"/>
        <w:ind w:left="1134" w:right="0"/>
        <w:jc w:val="left"/>
        <w:rPr>
          <w:b w:val="0"/>
          <w:bCs w:val="0"/>
        </w:rPr>
      </w:pPr>
      <w:bookmarkStart w:name="19、应付职工薪酬" w:id="282"/>
      <w:bookmarkEnd w:id="282"/>
      <w:r>
        <w:rPr>
          <w:b w:val="0"/>
          <w:bCs w:val="0"/>
        </w:rPr>
      </w:r>
      <w:r>
        <w:rPr>
          <w:rFonts w:ascii="Times New Roman" w:hAnsi="Times New Roman" w:cs="Times New Roman" w:eastAsia="Times New Roman" w:hint="default"/>
        </w:rPr>
        <w:t>19</w:t>
      </w:r>
      <w:r>
        <w:rPr/>
        <w:t>、应付职工薪酬</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34" w:right="0"/>
        <w:jc w:val="left"/>
        <w:rPr>
          <w:b w:val="0"/>
          <w:bCs w:val="0"/>
        </w:rPr>
      </w:pPr>
      <w:bookmarkStart w:name="（1）应付职工薪酬列示" w:id="283"/>
      <w:bookmarkEnd w:id="283"/>
      <w:r>
        <w:rPr>
          <w:b w:val="0"/>
          <w:bCs w:val="0"/>
        </w:rPr>
      </w:r>
      <w:r>
        <w:rPr/>
        <w:t>（</w:t>
      </w:r>
      <w:r>
        <w:rPr>
          <w:rFonts w:ascii="Times New Roman" w:hAnsi="Times New Roman" w:cs="Times New Roman" w:eastAsia="Times New Roman" w:hint="default"/>
        </w:rPr>
        <w:t>1</w:t>
      </w:r>
      <w:r>
        <w:rPr/>
        <w:t>）应付职工薪酬列示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一、短期薪酬</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9,920,254.46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136,905,151.28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138,870,362.39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7,955,043.35</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11" w:right="0"/>
              <w:jc w:val="left"/>
              <w:rPr>
                <w:rFonts w:ascii="宋体" w:hAnsi="宋体" w:cs="宋体" w:eastAsia="宋体" w:hint="default"/>
                <w:sz w:val="18"/>
                <w:szCs w:val="18"/>
              </w:rPr>
            </w:pPr>
            <w:r>
              <w:rPr>
                <w:rFonts w:ascii="宋体" w:hAnsi="宋体" w:cs="宋体" w:eastAsia="宋体" w:hint="default"/>
                <w:sz w:val="18"/>
                <w:szCs w:val="18"/>
              </w:rPr>
              <w:t>二、离职后福利</w:t>
            </w:r>
            <w:r>
              <w:rPr>
                <w:rFonts w:ascii="Times New Roman" w:hAnsi="Times New Roman" w:cs="Times New Roman" w:eastAsia="Times New Roman" w:hint="default"/>
                <w:sz w:val="18"/>
                <w:szCs w:val="18"/>
              </w:rPr>
              <w:t>-</w:t>
            </w:r>
            <w:r>
              <w:rPr>
                <w:rFonts w:ascii="宋体" w:hAnsi="宋体" w:cs="宋体" w:eastAsia="宋体" w:hint="default"/>
                <w:sz w:val="18"/>
                <w:szCs w:val="18"/>
              </w:rPr>
              <w:t>设定提</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1,728.70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5,844,199.91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5,824,804.57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21,124.04</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36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存计划</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39" w:right="0"/>
              <w:jc w:val="left"/>
              <w:rPr>
                <w:rFonts w:ascii="Times New Roman" w:hAnsi="Times New Roman" w:cs="Times New Roman" w:eastAsia="Times New Roman" w:hint="default"/>
                <w:sz w:val="18"/>
                <w:szCs w:val="18"/>
              </w:rPr>
            </w:pPr>
            <w:r>
              <w:rPr>
                <w:rFonts w:ascii="Times New Roman"/>
                <w:sz w:val="18"/>
              </w:rPr>
              <w:t>9,921,983.16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56" w:right="0"/>
              <w:jc w:val="left"/>
              <w:rPr>
                <w:rFonts w:ascii="Times New Roman" w:hAnsi="Times New Roman" w:cs="Times New Roman" w:eastAsia="Times New Roman" w:hint="default"/>
                <w:sz w:val="18"/>
                <w:szCs w:val="18"/>
              </w:rPr>
            </w:pPr>
            <w:r>
              <w:rPr>
                <w:rFonts w:ascii="Times New Roman"/>
                <w:sz w:val="18"/>
              </w:rPr>
              <w:t>142,749,351.19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55" w:right="0"/>
              <w:jc w:val="left"/>
              <w:rPr>
                <w:rFonts w:ascii="Times New Roman" w:hAnsi="Times New Roman" w:cs="Times New Roman" w:eastAsia="Times New Roman" w:hint="default"/>
                <w:sz w:val="18"/>
                <w:szCs w:val="18"/>
              </w:rPr>
            </w:pPr>
            <w:r>
              <w:rPr>
                <w:rFonts w:ascii="Times New Roman"/>
                <w:sz w:val="18"/>
              </w:rPr>
              <w:t>144,695,166.96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36" w:right="0"/>
              <w:jc w:val="left"/>
              <w:rPr>
                <w:rFonts w:ascii="Times New Roman" w:hAnsi="Times New Roman" w:cs="Times New Roman" w:eastAsia="Times New Roman" w:hint="default"/>
                <w:sz w:val="18"/>
                <w:szCs w:val="18"/>
              </w:rPr>
            </w:pPr>
            <w:r>
              <w:rPr>
                <w:rFonts w:ascii="Times New Roman"/>
                <w:sz w:val="18"/>
              </w:rPr>
              <w:t>7,976,167.39</w:t>
            </w:r>
          </w:p>
        </w:tc>
      </w:tr>
    </w:tbl>
    <w:p>
      <w:pPr>
        <w:spacing w:line="240" w:lineRule="auto" w:before="2"/>
        <w:rPr>
          <w:rFonts w:ascii="宋体" w:hAnsi="宋体" w:cs="宋体" w:eastAsia="宋体" w:hint="default"/>
          <w:sz w:val="19"/>
          <w:szCs w:val="19"/>
        </w:rPr>
      </w:pPr>
    </w:p>
    <w:p>
      <w:pPr>
        <w:pStyle w:val="Heading3"/>
        <w:spacing w:line="240" w:lineRule="auto" w:before="35"/>
        <w:ind w:left="1134" w:right="0"/>
        <w:jc w:val="left"/>
        <w:rPr>
          <w:b w:val="0"/>
          <w:bCs w:val="0"/>
        </w:rPr>
      </w:pPr>
      <w:bookmarkStart w:name="（2）短期薪酬列示" w:id="284"/>
      <w:bookmarkEnd w:id="284"/>
      <w:r>
        <w:rPr>
          <w:b w:val="0"/>
          <w:bCs w:val="0"/>
        </w:rPr>
      </w:r>
      <w:r>
        <w:rPr/>
        <w:t>（</w:t>
      </w:r>
      <w:r>
        <w:rPr>
          <w:rFonts w:ascii="Times New Roman" w:hAnsi="Times New Roman" w:cs="Times New Roman" w:eastAsia="Times New Roman" w:hint="default"/>
        </w:rPr>
        <w:t>2</w:t>
      </w:r>
      <w:r>
        <w:rPr/>
        <w:t>）短期薪酬列示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4"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11" w:right="9"/>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、工资、奖金、津贴和</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补贴</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9,919,396.24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129,862,960.93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131,837,838.96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7,944,518.21</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、职工福利费</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1,631,910.15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1,631,910.15</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、社会保险费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618.82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2,671,940.51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2,664,587.47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7,971.86</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66"/>
              <w:jc w:val="right"/>
              <w:rPr>
                <w:rFonts w:ascii="宋体" w:hAnsi="宋体" w:cs="宋体" w:eastAsia="宋体" w:hint="default"/>
                <w:sz w:val="18"/>
                <w:szCs w:val="18"/>
              </w:rPr>
            </w:pPr>
            <w:r>
              <w:rPr>
                <w:rFonts w:ascii="宋体" w:hAnsi="宋体" w:cs="宋体" w:eastAsia="宋体" w:hint="default"/>
                <w:sz w:val="18"/>
                <w:szCs w:val="18"/>
              </w:rPr>
              <w:t>其中：医疗保险费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527.40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2,430,675.81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2,424,651.94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6,551.27</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65"/>
              <w:jc w:val="right"/>
              <w:rPr>
                <w:rFonts w:ascii="宋体" w:hAnsi="宋体" w:cs="宋体" w:eastAsia="宋体" w:hint="default"/>
                <w:sz w:val="18"/>
                <w:szCs w:val="18"/>
              </w:rPr>
            </w:pPr>
            <w:r>
              <w:rPr>
                <w:rFonts w:ascii="宋体" w:hAnsi="宋体" w:cs="宋体" w:eastAsia="宋体" w:hint="default"/>
                <w:sz w:val="18"/>
                <w:szCs w:val="18"/>
              </w:rPr>
              <w:t>工伤保险费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32.82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134,676.64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134,120.94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588.52</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65"/>
              <w:jc w:val="right"/>
              <w:rPr>
                <w:rFonts w:ascii="宋体" w:hAnsi="宋体" w:cs="宋体" w:eastAsia="宋体" w:hint="default"/>
                <w:sz w:val="18"/>
                <w:szCs w:val="18"/>
              </w:rPr>
            </w:pPr>
            <w:r>
              <w:rPr>
                <w:rFonts w:ascii="宋体" w:hAnsi="宋体" w:cs="宋体" w:eastAsia="宋体" w:hint="default"/>
                <w:sz w:val="18"/>
                <w:szCs w:val="18"/>
              </w:rPr>
              <w:t>生育保险费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58.60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106,588.06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105,814.59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832.07</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、住房公积金</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239.40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2,657,684.88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2,657,371.00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553.28</w:t>
            </w:r>
          </w:p>
        </w:tc>
      </w:tr>
      <w:tr>
        <w:trPr>
          <w:trHeight w:val="714"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11" w:right="9"/>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5</w:t>
            </w:r>
            <w:r>
              <w:rPr>
                <w:rFonts w:ascii="宋体" w:hAnsi="宋体" w:cs="宋体" w:eastAsia="宋体" w:hint="default"/>
                <w:spacing w:val="-4"/>
                <w:sz w:val="18"/>
                <w:szCs w:val="18"/>
              </w:rPr>
              <w:t>、工会经费和职工教育</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经费</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80,654.81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78,654.81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2,000.00</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9,920,254.46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136,905,151.28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138,870,362.39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7,955,043.35</w:t>
            </w:r>
          </w:p>
        </w:tc>
      </w:tr>
    </w:tbl>
    <w:p>
      <w:pPr>
        <w:spacing w:line="240" w:lineRule="auto" w:before="3"/>
        <w:rPr>
          <w:rFonts w:ascii="宋体" w:hAnsi="宋体" w:cs="宋体" w:eastAsia="宋体" w:hint="default"/>
          <w:sz w:val="19"/>
          <w:szCs w:val="19"/>
        </w:rPr>
      </w:pPr>
    </w:p>
    <w:p>
      <w:pPr>
        <w:pStyle w:val="Heading3"/>
        <w:spacing w:line="240" w:lineRule="auto" w:before="35"/>
        <w:ind w:left="1134" w:right="0"/>
        <w:jc w:val="left"/>
        <w:rPr>
          <w:b w:val="0"/>
          <w:bCs w:val="0"/>
        </w:rPr>
      </w:pPr>
      <w:bookmarkStart w:name="（3）设定提存计划列示" w:id="285"/>
      <w:bookmarkEnd w:id="285"/>
      <w:r>
        <w:rPr>
          <w:b w:val="0"/>
          <w:bCs w:val="0"/>
        </w:rPr>
      </w:r>
      <w:r>
        <w:rPr/>
        <w:t>（</w:t>
      </w:r>
      <w:r>
        <w:rPr>
          <w:rFonts w:ascii="Times New Roman" w:hAnsi="Times New Roman" w:cs="Times New Roman" w:eastAsia="Times New Roman" w:hint="default"/>
        </w:rPr>
        <w:t>3</w:t>
      </w:r>
      <w:r>
        <w:rPr/>
        <w:t>）设定提存计划列示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、基本养老保险</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1,670.10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5,637,432.74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5,619,308.35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19,794.49</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、失业保险费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58.60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206,767.17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205,496.22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1,329.55</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1,728.70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5,844,199.91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5,824,804.57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21,124.04</w:t>
            </w:r>
          </w:p>
        </w:tc>
      </w:tr>
    </w:tbl>
    <w:p>
      <w:pPr>
        <w:pStyle w:val="BodyText"/>
        <w:spacing w:line="240" w:lineRule="auto" w:before="51"/>
        <w:ind w:left="1134"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20、应交税费" w:id="286"/>
      <w:bookmarkEnd w:id="286"/>
      <w:r>
        <w:rPr>
          <w:b w:val="0"/>
          <w:bCs w:val="0"/>
        </w:rPr>
      </w:r>
      <w:r>
        <w:rPr>
          <w:rFonts w:ascii="Times New Roman" w:hAnsi="Times New Roman" w:cs="Times New Roman" w:eastAsia="Times New Roman" w:hint="default"/>
        </w:rPr>
        <w:t>20</w:t>
      </w:r>
      <w:r>
        <w:rPr/>
        <w:t>、应交税费</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35,218,628.18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23,836,449.70</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40,086,907.97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26,956,909.12</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个人所得税</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6,077,817.17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3,875,692.42</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4,395,686.20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2,874,843.83</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2,967,721.76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2,053,380.40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403,309.36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297,586.33</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89,150,070.64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59,894,861.80</w:t>
            </w:r>
          </w:p>
        </w:tc>
      </w:tr>
    </w:tbl>
    <w:p>
      <w:pPr>
        <w:pStyle w:val="BodyText"/>
        <w:spacing w:line="240" w:lineRule="auto" w:before="51"/>
        <w:ind w:left="1134" w:right="0"/>
        <w:jc w:val="left"/>
      </w:pPr>
      <w:r>
        <w:rPr/>
        <w:t>其他说明：</w:t>
      </w:r>
    </w:p>
    <w:p>
      <w:pPr>
        <w:pStyle w:val="BodyText"/>
        <w:spacing w:line="316" w:lineRule="auto" w:before="116"/>
        <w:ind w:right="1033" w:firstLine="360"/>
        <w:jc w:val="left"/>
      </w:pPr>
      <w:r>
        <w:rPr>
          <w:spacing w:val="-2"/>
        </w:rPr>
        <w:t>应交税费期末余额较期初增加</w:t>
      </w:r>
      <w:r>
        <w:rPr>
          <w:rFonts w:ascii="宋体" w:hAnsi="宋体" w:cs="宋体" w:eastAsia="宋体" w:hint="default"/>
          <w:spacing w:val="-2"/>
        </w:rPr>
        <w:t>29,255,208.84</w:t>
      </w:r>
      <w:r>
        <w:rPr>
          <w:spacing w:val="-2"/>
        </w:rPr>
        <w:t>元，增幅</w:t>
      </w:r>
      <w:r>
        <w:rPr>
          <w:rFonts w:ascii="宋体" w:hAnsi="宋体" w:cs="宋体" w:eastAsia="宋体" w:hint="default"/>
          <w:spacing w:val="-2"/>
        </w:rPr>
        <w:t>48.84%</w:t>
      </w:r>
      <w:r>
        <w:rPr>
          <w:spacing w:val="-2"/>
        </w:rPr>
        <w:t>，主要原因是公司期末应交增值税和应交企业所得税增加、</w:t>
      </w:r>
      <w:r>
        <w:rPr/>
        <w:t> 尚未缴纳所致</w:t>
      </w:r>
    </w:p>
    <w:p>
      <w:pPr>
        <w:spacing w:line="240" w:lineRule="auto" w:before="7"/>
        <w:rPr>
          <w:rFonts w:ascii="宋体" w:hAnsi="宋体" w:cs="宋体" w:eastAsia="宋体" w:hint="default"/>
          <w:sz w:val="22"/>
          <w:szCs w:val="22"/>
        </w:rPr>
      </w:pPr>
    </w:p>
    <w:p>
      <w:pPr>
        <w:pStyle w:val="Heading3"/>
        <w:spacing w:line="240" w:lineRule="auto"/>
        <w:ind w:right="0"/>
        <w:jc w:val="left"/>
        <w:rPr>
          <w:b w:val="0"/>
          <w:bCs w:val="0"/>
        </w:rPr>
      </w:pPr>
      <w:bookmarkStart w:name="21、其他应付款" w:id="287"/>
      <w:bookmarkEnd w:id="287"/>
      <w:r>
        <w:rPr>
          <w:b w:val="0"/>
          <w:bCs w:val="0"/>
        </w:rPr>
      </w:r>
      <w:r>
        <w:rPr>
          <w:rFonts w:ascii="Times New Roman" w:hAnsi="Times New Roman" w:cs="Times New Roman" w:eastAsia="Times New Roman" w:hint="default"/>
        </w:rPr>
        <w:t>21</w:t>
      </w:r>
      <w:r>
        <w:rPr/>
        <w:t>、其他应付款</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34" w:right="0"/>
        <w:jc w:val="left"/>
        <w:rPr>
          <w:b w:val="0"/>
          <w:bCs w:val="0"/>
        </w:rPr>
      </w:pPr>
      <w:bookmarkStart w:name="（1）按款项性质列示其他应付款" w:id="288"/>
      <w:bookmarkEnd w:id="288"/>
      <w:r>
        <w:rPr>
          <w:b w:val="0"/>
          <w:bCs w:val="0"/>
        </w:rPr>
      </w:r>
      <w:r>
        <w:rPr/>
        <w:t>（</w:t>
      </w:r>
      <w:r>
        <w:rPr>
          <w:rFonts w:ascii="Times New Roman" w:hAnsi="Times New Roman" w:cs="Times New Roman" w:eastAsia="Times New Roman" w:hint="default"/>
        </w:rPr>
        <w:t>1</w:t>
      </w:r>
      <w:r>
        <w:rPr/>
        <w:t>）按款项性质列示其他应付款</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押金、质保金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1,148,907.73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412,382.94</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代扣保险</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1,201,157.67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342,037.84</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项目合作经费</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404,676.00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其他往来欠款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16,731,004.08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9,970,462.09</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19,081,069.48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11,129,558.87</w:t>
            </w:r>
          </w:p>
        </w:tc>
      </w:tr>
    </w:tbl>
    <w:p>
      <w:pPr>
        <w:spacing w:line="240" w:lineRule="auto" w:before="2"/>
        <w:rPr>
          <w:rFonts w:ascii="宋体" w:hAnsi="宋体" w:cs="宋体" w:eastAsia="宋体" w:hint="default"/>
          <w:sz w:val="19"/>
          <w:szCs w:val="19"/>
        </w:rPr>
      </w:pPr>
    </w:p>
    <w:p>
      <w:pPr>
        <w:pStyle w:val="Heading3"/>
        <w:spacing w:line="240" w:lineRule="auto" w:before="35"/>
        <w:ind w:left="1134" w:right="0"/>
        <w:jc w:val="left"/>
        <w:rPr>
          <w:b w:val="0"/>
          <w:bCs w:val="0"/>
        </w:rPr>
      </w:pPr>
      <w:bookmarkStart w:name="（2）账龄超过1年的重要其他应付款" w:id="289"/>
      <w:bookmarkEnd w:id="289"/>
      <w:r>
        <w:rPr>
          <w:b w:val="0"/>
          <w:bCs w:val="0"/>
        </w:rPr>
      </w:r>
      <w:r>
        <w:rPr/>
        <w:t>（</w:t>
      </w:r>
      <w:r>
        <w:rPr>
          <w:rFonts w:ascii="Times New Roman" w:hAnsi="Times New Roman" w:cs="Times New Roman" w:eastAsia="Times New Roman" w:hint="default"/>
        </w:rPr>
        <w:t>2</w:t>
      </w:r>
      <w:r>
        <w:rPr/>
        <w:t>）账龄超过</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年的重要其他应付款</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79"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bl>
    <w:p>
      <w:pPr>
        <w:pStyle w:val="BodyText"/>
        <w:spacing w:line="240" w:lineRule="auto" w:before="52"/>
        <w:ind w:left="1134" w:right="0"/>
        <w:jc w:val="left"/>
      </w:pPr>
      <w:r>
        <w:rPr/>
        <w:t>其他说明</w:t>
      </w:r>
    </w:p>
    <w:p>
      <w:pPr>
        <w:pStyle w:val="BodyText"/>
        <w:spacing w:line="300" w:lineRule="auto" w:before="115"/>
        <w:ind w:right="1153" w:firstLine="360"/>
        <w:jc w:val="left"/>
      </w:pPr>
      <w:r>
        <w:rPr/>
        <w:t>其他应付款期末余额较期初增加</w:t>
      </w:r>
      <w:r>
        <w:rPr>
          <w:rFonts w:ascii="Times New Roman" w:hAnsi="Times New Roman" w:cs="Times New Roman" w:eastAsia="Times New Roman" w:hint="default"/>
        </w:rPr>
        <w:t>7,951,510.61</w:t>
      </w:r>
      <w:r>
        <w:rPr/>
        <w:t>元，增幅</w:t>
      </w:r>
      <w:r>
        <w:rPr>
          <w:rFonts w:ascii="Times New Roman" w:hAnsi="Times New Roman" w:cs="Times New Roman" w:eastAsia="Times New Roman" w:hint="default"/>
        </w:rPr>
        <w:t>71.44%</w:t>
      </w:r>
      <w:r>
        <w:rPr/>
        <w:t>，主要原因是本公司下属子公司河北先河正态环境检测有 限公司本期接受北京天蓝水清环保咨询有限公司和北京师达擎天环保科技有限公司提供的咨询服务未付款</w:t>
      </w:r>
    </w:p>
    <w:p>
      <w:pPr>
        <w:spacing w:line="240" w:lineRule="auto" w:before="6"/>
        <w:rPr>
          <w:rFonts w:ascii="宋体" w:hAnsi="宋体" w:cs="宋体" w:eastAsia="宋体" w:hint="default"/>
          <w:sz w:val="23"/>
          <w:szCs w:val="23"/>
        </w:rPr>
      </w:pPr>
    </w:p>
    <w:p>
      <w:pPr>
        <w:pStyle w:val="Heading3"/>
        <w:spacing w:line="240" w:lineRule="auto"/>
        <w:ind w:right="0"/>
        <w:jc w:val="left"/>
        <w:rPr>
          <w:b w:val="0"/>
          <w:bCs w:val="0"/>
        </w:rPr>
      </w:pPr>
      <w:bookmarkStart w:name="22、一年内到期的非流动负债" w:id="290"/>
      <w:bookmarkEnd w:id="290"/>
      <w:r>
        <w:rPr>
          <w:b w:val="0"/>
          <w:bCs w:val="0"/>
        </w:rPr>
      </w:r>
      <w:r>
        <w:rPr>
          <w:rFonts w:ascii="Times New Roman" w:hAnsi="Times New Roman" w:cs="Times New Roman" w:eastAsia="Times New Roman" w:hint="default"/>
        </w:rPr>
        <w:t>22</w:t>
      </w:r>
      <w:r>
        <w:rPr/>
        <w:t>、一年内到期的非流动负债</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年内到期的其他长期负债</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8,766,998.40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8,409,432.00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8,766,998.40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8,409,432.00</w:t>
            </w:r>
          </w:p>
        </w:tc>
      </w:tr>
    </w:tbl>
    <w:p>
      <w:pPr>
        <w:pStyle w:val="BodyText"/>
        <w:spacing w:line="240" w:lineRule="auto" w:before="51"/>
        <w:ind w:left="1134" w:right="0"/>
        <w:jc w:val="left"/>
      </w:pPr>
      <w:r>
        <w:rPr/>
        <w:t>其他说明：</w:t>
      </w:r>
    </w:p>
    <w:p>
      <w:pPr>
        <w:pStyle w:val="BodyText"/>
        <w:spacing w:line="316" w:lineRule="auto" w:before="116"/>
        <w:ind w:right="1132" w:firstLine="360"/>
        <w:jc w:val="both"/>
      </w:pPr>
      <w:r>
        <w:rPr>
          <w:spacing w:val="-4"/>
        </w:rPr>
        <w:t>（</w:t>
      </w:r>
      <w:r>
        <w:rPr>
          <w:rFonts w:ascii="宋体" w:hAnsi="宋体" w:cs="宋体" w:eastAsia="宋体" w:hint="default"/>
          <w:spacing w:val="-4"/>
        </w:rPr>
        <w:t>1</w:t>
      </w:r>
      <w:r>
        <w:rPr>
          <w:spacing w:val="-4"/>
        </w:rPr>
        <w:t>）上述款项系</w:t>
      </w:r>
      <w:r>
        <w:rPr>
          <w:rFonts w:ascii="宋体" w:hAnsi="宋体" w:cs="宋体" w:eastAsia="宋体" w:hint="default"/>
          <w:spacing w:val="-4"/>
        </w:rPr>
        <w:t>2002</w:t>
      </w:r>
      <w:r>
        <w:rPr>
          <w:spacing w:val="-4"/>
        </w:rPr>
        <w:t>年本公司在中国建设银行石家庄市中华南大街支行的河北省建设投资公司委托贷款，借款期限</w:t>
      </w:r>
      <w:r>
        <w:rPr>
          <w:rFonts w:ascii="宋体" w:hAnsi="宋体" w:cs="宋体" w:eastAsia="宋体" w:hint="default"/>
          <w:spacing w:val="-4"/>
        </w:rPr>
        <w:t>2002</w:t>
      </w:r>
      <w:r>
        <w:rPr>
          <w:rFonts w:ascii="宋体" w:hAnsi="宋体" w:cs="宋体" w:eastAsia="宋体" w:hint="default"/>
        </w:rPr>
        <w:t> </w:t>
      </w:r>
      <w:r>
        <w:rPr/>
        <w:t>年</w:t>
      </w:r>
      <w:r>
        <w:rPr>
          <w:rFonts w:ascii="宋体" w:hAnsi="宋体" w:cs="宋体" w:eastAsia="宋体" w:hint="default"/>
        </w:rPr>
        <w:t>9</w:t>
      </w:r>
      <w:r>
        <w:rPr/>
        <w:t>月</w:t>
      </w:r>
      <w:r>
        <w:rPr>
          <w:rFonts w:ascii="宋体" w:hAnsi="宋体" w:cs="宋体" w:eastAsia="宋体" w:hint="default"/>
        </w:rPr>
        <w:t>18</w:t>
      </w:r>
      <w:r>
        <w:rPr/>
        <w:t>日至</w:t>
      </w:r>
      <w:r>
        <w:rPr>
          <w:rFonts w:ascii="宋体" w:hAnsi="宋体" w:cs="宋体" w:eastAsia="宋体" w:hint="default"/>
        </w:rPr>
        <w:t>2006</w:t>
      </w:r>
      <w:r>
        <w:rPr/>
        <w:t>年</w:t>
      </w:r>
      <w:r>
        <w:rPr>
          <w:rFonts w:ascii="宋体" w:hAnsi="宋体" w:cs="宋体" w:eastAsia="宋体" w:hint="default"/>
        </w:rPr>
        <w:t>9</w:t>
      </w:r>
      <w:r>
        <w:rPr/>
        <w:t>月</w:t>
      </w:r>
      <w:r>
        <w:rPr>
          <w:rFonts w:ascii="宋体" w:hAnsi="宋体" w:cs="宋体" w:eastAsia="宋体" w:hint="default"/>
        </w:rPr>
        <w:t>20</w:t>
      </w:r>
      <w:r>
        <w:rPr/>
        <w:t>日。</w:t>
      </w:r>
    </w:p>
    <w:p>
      <w:pPr>
        <w:pStyle w:val="BodyText"/>
        <w:spacing w:line="319" w:lineRule="auto" w:before="19"/>
        <w:ind w:right="1132" w:firstLine="360"/>
        <w:jc w:val="both"/>
      </w:pPr>
      <w:r>
        <w:rPr>
          <w:spacing w:val="-2"/>
        </w:rPr>
        <w:t>（</w:t>
      </w:r>
      <w:r>
        <w:rPr>
          <w:rFonts w:ascii="宋体" w:hAnsi="宋体" w:cs="宋体" w:eastAsia="宋体" w:hint="default"/>
          <w:spacing w:val="-2"/>
        </w:rPr>
        <w:t>2</w:t>
      </w:r>
      <w:r>
        <w:rPr>
          <w:spacing w:val="-2"/>
        </w:rPr>
        <w:t>）根据</w:t>
      </w:r>
      <w:r>
        <w:rPr>
          <w:rFonts w:ascii="宋体" w:hAnsi="宋体" w:cs="宋体" w:eastAsia="宋体" w:hint="default"/>
          <w:spacing w:val="-2"/>
        </w:rPr>
        <w:t>2006</w:t>
      </w:r>
      <w:r>
        <w:rPr>
          <w:spacing w:val="-2"/>
        </w:rPr>
        <w:t>年</w:t>
      </w:r>
      <w:r>
        <w:rPr>
          <w:rFonts w:ascii="宋体" w:hAnsi="宋体" w:cs="宋体" w:eastAsia="宋体" w:hint="default"/>
          <w:spacing w:val="-2"/>
        </w:rPr>
        <w:t>2</w:t>
      </w:r>
      <w:r>
        <w:rPr>
          <w:spacing w:val="-2"/>
        </w:rPr>
        <w:t>月</w:t>
      </w:r>
      <w:r>
        <w:rPr>
          <w:rFonts w:ascii="宋体" w:hAnsi="宋体" w:cs="宋体" w:eastAsia="宋体" w:hint="default"/>
          <w:spacing w:val="-2"/>
        </w:rPr>
        <w:t>16</w:t>
      </w:r>
      <w:r>
        <w:rPr>
          <w:spacing w:val="-2"/>
        </w:rPr>
        <w:t>日河北省人民政府国有资产监督管理委员会冀国资字（</w:t>
      </w:r>
      <w:r>
        <w:rPr>
          <w:rFonts w:ascii="宋体" w:hAnsi="宋体" w:cs="宋体" w:eastAsia="宋体" w:hint="default"/>
          <w:spacing w:val="-2"/>
        </w:rPr>
        <w:t>2006</w:t>
      </w:r>
      <w:r>
        <w:rPr>
          <w:spacing w:val="-2"/>
        </w:rPr>
        <w:t>）</w:t>
      </w:r>
      <w:r>
        <w:rPr>
          <w:rFonts w:ascii="宋体" w:hAnsi="宋体" w:cs="宋体" w:eastAsia="宋体" w:hint="default"/>
          <w:spacing w:val="-2"/>
        </w:rPr>
        <w:t>15</w:t>
      </w:r>
      <w:r>
        <w:rPr>
          <w:spacing w:val="-2"/>
        </w:rPr>
        <w:t>号文以及河北省建设投资公司冀</w:t>
      </w:r>
      <w:r>
        <w:rPr/>
        <w:t> 建投函字（</w:t>
      </w:r>
      <w:r>
        <w:rPr>
          <w:rFonts w:ascii="宋体" w:hAnsi="宋体" w:cs="宋体" w:eastAsia="宋体" w:hint="default"/>
        </w:rPr>
        <w:t>2006</w:t>
      </w:r>
      <w:r>
        <w:rPr/>
        <w:t>）</w:t>
      </w:r>
      <w:r>
        <w:rPr>
          <w:rFonts w:ascii="宋体" w:hAnsi="宋体" w:cs="宋体" w:eastAsia="宋体" w:hint="default"/>
        </w:rPr>
        <w:t>32</w:t>
      </w:r>
      <w:r>
        <w:rPr/>
        <w:t>号函，将本公司在中国建设银行石家庄市中华南大街支行的河北省建设投资公司委托贷款</w:t>
      </w:r>
      <w:r>
        <w:rPr>
          <w:rFonts w:ascii="宋体" w:hAnsi="宋体" w:cs="宋体" w:eastAsia="宋体" w:hint="default"/>
        </w:rPr>
        <w:t>700</w:t>
      </w:r>
      <w:r>
        <w:rPr/>
        <w:t>万元划转 给河北省质量技术监督局，并豁免</w:t>
      </w:r>
      <w:r>
        <w:rPr>
          <w:rFonts w:ascii="宋体" w:hAnsi="宋体" w:cs="宋体" w:eastAsia="宋体" w:hint="default"/>
        </w:rPr>
        <w:t>2005</w:t>
      </w:r>
      <w:r>
        <w:rPr/>
        <w:t>年</w:t>
      </w:r>
      <w:r>
        <w:rPr>
          <w:rFonts w:ascii="宋体" w:hAnsi="宋体" w:cs="宋体" w:eastAsia="宋体" w:hint="default"/>
        </w:rPr>
        <w:t>12</w:t>
      </w:r>
      <w:r>
        <w:rPr/>
        <w:t>月</w:t>
      </w:r>
      <w:r>
        <w:rPr>
          <w:rFonts w:ascii="宋体" w:hAnsi="宋体" w:cs="宋体" w:eastAsia="宋体" w:hint="default"/>
        </w:rPr>
        <w:t>31</w:t>
      </w:r>
      <w:r>
        <w:rPr/>
        <w:t>日以前先河环保所欠利息及罚息。</w:t>
      </w:r>
    </w:p>
    <w:p>
      <w:pPr>
        <w:pStyle w:val="BodyText"/>
        <w:spacing w:line="316" w:lineRule="auto" w:before="17"/>
        <w:ind w:left="1134" w:right="1049" w:firstLine="360"/>
        <w:jc w:val="both"/>
      </w:pPr>
      <w:r>
        <w:rPr>
          <w:spacing w:val="-2"/>
        </w:rPr>
        <w:t>（</w:t>
      </w:r>
      <w:r>
        <w:rPr>
          <w:rFonts w:ascii="宋体" w:hAnsi="宋体" w:cs="宋体" w:eastAsia="宋体" w:hint="default"/>
          <w:spacing w:val="-2"/>
        </w:rPr>
        <w:t>3</w:t>
      </w:r>
      <w:r>
        <w:rPr>
          <w:spacing w:val="-2"/>
        </w:rPr>
        <w:t>）</w:t>
      </w:r>
      <w:r>
        <w:rPr>
          <w:rFonts w:ascii="宋体" w:hAnsi="宋体" w:cs="宋体" w:eastAsia="宋体" w:hint="default"/>
          <w:spacing w:val="-2"/>
        </w:rPr>
        <w:t>2010</w:t>
      </w:r>
      <w:r>
        <w:rPr>
          <w:spacing w:val="-2"/>
        </w:rPr>
        <w:t>年</w:t>
      </w:r>
      <w:r>
        <w:rPr>
          <w:rFonts w:ascii="宋体" w:hAnsi="宋体" w:cs="宋体" w:eastAsia="宋体" w:hint="default"/>
          <w:spacing w:val="-2"/>
        </w:rPr>
        <w:t>4</w:t>
      </w:r>
      <w:r>
        <w:rPr>
          <w:spacing w:val="-2"/>
        </w:rPr>
        <w:t>月</w:t>
      </w:r>
      <w:r>
        <w:rPr>
          <w:rFonts w:ascii="宋体" w:hAnsi="宋体" w:cs="宋体" w:eastAsia="宋体" w:hint="default"/>
          <w:spacing w:val="-2"/>
        </w:rPr>
        <w:t>12</w:t>
      </w:r>
      <w:r>
        <w:rPr>
          <w:spacing w:val="-2"/>
        </w:rPr>
        <w:t>日，公司与经河北省质量技术监督局授权负责收回上述款项的河北省食品质量监督检验研究院签订了</w:t>
      </w:r>
      <w:r>
        <w:rPr/>
        <w:t> 还款协议。根据协议，公司应于</w:t>
      </w:r>
      <w:r>
        <w:rPr>
          <w:rFonts w:ascii="宋体" w:hAnsi="宋体" w:cs="宋体" w:eastAsia="宋体" w:hint="default"/>
        </w:rPr>
        <w:t>2010</w:t>
      </w:r>
      <w:r>
        <w:rPr/>
        <w:t>年</w:t>
      </w:r>
      <w:r>
        <w:rPr>
          <w:rFonts w:ascii="宋体" w:hAnsi="宋体" w:cs="宋体" w:eastAsia="宋体" w:hint="default"/>
        </w:rPr>
        <w:t>12</w:t>
      </w:r>
      <w:r>
        <w:rPr/>
        <w:t>月</w:t>
      </w:r>
      <w:r>
        <w:rPr>
          <w:rFonts w:ascii="宋体" w:hAnsi="宋体" w:cs="宋体" w:eastAsia="宋体" w:hint="default"/>
        </w:rPr>
        <w:t>31</w:t>
      </w:r>
      <w:r>
        <w:rPr/>
        <w:t>日前偿还</w:t>
      </w:r>
      <w:r>
        <w:rPr>
          <w:rFonts w:ascii="宋体" w:hAnsi="宋体" w:cs="宋体" w:eastAsia="宋体" w:hint="default"/>
        </w:rPr>
        <w:t>100</w:t>
      </w:r>
      <w:r>
        <w:rPr/>
        <w:t>万元、</w:t>
      </w:r>
      <w:r>
        <w:rPr>
          <w:rFonts w:ascii="宋体" w:hAnsi="宋体" w:cs="宋体" w:eastAsia="宋体" w:hint="default"/>
        </w:rPr>
        <w:t>2011</w:t>
      </w:r>
      <w:r>
        <w:rPr/>
        <w:t>年</w:t>
      </w:r>
      <w:r>
        <w:rPr>
          <w:rFonts w:ascii="宋体" w:hAnsi="宋体" w:cs="宋体" w:eastAsia="宋体" w:hint="default"/>
        </w:rPr>
        <w:t>12</w:t>
      </w:r>
      <w:r>
        <w:rPr/>
        <w:t>月</w:t>
      </w:r>
      <w:r>
        <w:rPr>
          <w:rFonts w:ascii="宋体" w:hAnsi="宋体" w:cs="宋体" w:eastAsia="宋体" w:hint="default"/>
        </w:rPr>
        <w:t>31</w:t>
      </w:r>
      <w:r>
        <w:rPr/>
        <w:t>日前和</w:t>
      </w:r>
      <w:r>
        <w:rPr>
          <w:rFonts w:ascii="宋体" w:hAnsi="宋体" w:cs="宋体" w:eastAsia="宋体" w:hint="default"/>
        </w:rPr>
        <w:t>2012</w:t>
      </w:r>
      <w:r>
        <w:rPr/>
        <w:t>年</w:t>
      </w:r>
      <w:r>
        <w:rPr>
          <w:rFonts w:ascii="宋体" w:hAnsi="宋体" w:cs="宋体" w:eastAsia="宋体" w:hint="default"/>
        </w:rPr>
        <w:t>12</w:t>
      </w:r>
      <w:r>
        <w:rPr/>
        <w:t>月</w:t>
      </w:r>
      <w:r>
        <w:rPr>
          <w:rFonts w:ascii="宋体" w:hAnsi="宋体" w:cs="宋体" w:eastAsia="宋体" w:hint="default"/>
        </w:rPr>
        <w:t>31</w:t>
      </w:r>
      <w:r>
        <w:rPr/>
        <w:t>日前分别偿还</w:t>
      </w:r>
      <w:r>
        <w:rPr>
          <w:rFonts w:ascii="宋体" w:hAnsi="宋体" w:cs="宋体" w:eastAsia="宋体" w:hint="default"/>
        </w:rPr>
        <w:t>300</w:t>
      </w:r>
      <w:r>
        <w:rPr/>
        <w:t>万元，</w:t>
      </w:r>
    </w:p>
    <w:p>
      <w:pPr>
        <w:spacing w:after="0" w:line="316" w:lineRule="auto"/>
        <w:jc w:val="both"/>
        <w:sectPr>
          <w:pgSz w:w="11910" w:h="16840"/>
          <w:pgMar w:header="747" w:footer="979" w:top="1060" w:bottom="1160" w:left="0" w:right="0"/>
        </w:sectPr>
      </w:pPr>
    </w:p>
    <w:p>
      <w:pPr>
        <w:spacing w:line="240" w:lineRule="auto" w:before="12"/>
        <w:rPr>
          <w:rFonts w:ascii="宋体" w:hAnsi="宋体" w:cs="宋体" w:eastAsia="宋体" w:hint="default"/>
          <w:sz w:val="25"/>
          <w:szCs w:val="25"/>
        </w:rPr>
      </w:pPr>
    </w:p>
    <w:p>
      <w:pPr>
        <w:pStyle w:val="BodyText"/>
        <w:spacing w:line="316" w:lineRule="auto" w:before="44"/>
        <w:ind w:right="0"/>
        <w:jc w:val="left"/>
      </w:pPr>
      <w:r>
        <w:rPr>
          <w:spacing w:val="-2"/>
        </w:rPr>
        <w:t>并自协议签署日起，按照同期银行贷款利率于每年</w:t>
      </w:r>
      <w:r>
        <w:rPr>
          <w:rFonts w:ascii="宋体" w:hAnsi="宋体" w:cs="宋体" w:eastAsia="宋体" w:hint="default"/>
          <w:spacing w:val="-2"/>
        </w:rPr>
        <w:t>12</w:t>
      </w:r>
      <w:r>
        <w:rPr>
          <w:spacing w:val="-2"/>
        </w:rPr>
        <w:t>月</w:t>
      </w:r>
      <w:r>
        <w:rPr>
          <w:rFonts w:ascii="宋体" w:hAnsi="宋体" w:cs="宋体" w:eastAsia="宋体" w:hint="default"/>
          <w:spacing w:val="-2"/>
        </w:rPr>
        <w:t>31</w:t>
      </w:r>
      <w:r>
        <w:rPr>
          <w:spacing w:val="-2"/>
        </w:rPr>
        <w:t>日前支付当年利息；上述款项在协议签署日前产生的利息则予以豁</w:t>
      </w:r>
      <w:r>
        <w:rPr>
          <w:spacing w:val="-60"/>
        </w:rPr>
        <w:t> </w:t>
      </w:r>
      <w:r>
        <w:rPr>
          <w:spacing w:val="-60"/>
        </w:rPr>
      </w:r>
      <w:r>
        <w:rPr/>
        <w:t>免。截止</w:t>
      </w:r>
      <w:r>
        <w:rPr>
          <w:rFonts w:ascii="宋体" w:hAnsi="宋体" w:cs="宋体" w:eastAsia="宋体" w:hint="default"/>
        </w:rPr>
        <w:t>2017</w:t>
      </w:r>
      <w:r>
        <w:rPr/>
        <w:t>年</w:t>
      </w:r>
      <w:r>
        <w:rPr>
          <w:rFonts w:ascii="宋体" w:hAnsi="宋体" w:cs="宋体" w:eastAsia="宋体" w:hint="default"/>
        </w:rPr>
        <w:t>12</w:t>
      </w:r>
      <w:r>
        <w:rPr/>
        <w:t>月</w:t>
      </w:r>
      <w:r>
        <w:rPr>
          <w:rFonts w:ascii="宋体" w:hAnsi="宋体" w:cs="宋体" w:eastAsia="宋体" w:hint="default"/>
        </w:rPr>
        <w:t>31</w:t>
      </w:r>
      <w:r>
        <w:rPr/>
        <w:t>日，共计提利息</w:t>
      </w:r>
      <w:r>
        <w:rPr>
          <w:rFonts w:ascii="宋体" w:hAnsi="宋体" w:cs="宋体" w:eastAsia="宋体" w:hint="default"/>
        </w:rPr>
        <w:t>2,766,998.40</w:t>
      </w:r>
      <w:r>
        <w:rPr/>
        <w:t>元。</w:t>
      </w:r>
    </w:p>
    <w:p>
      <w:pPr>
        <w:spacing w:line="240" w:lineRule="auto" w:before="7"/>
        <w:rPr>
          <w:rFonts w:ascii="宋体" w:hAnsi="宋体" w:cs="宋体" w:eastAsia="宋体" w:hint="default"/>
          <w:sz w:val="22"/>
          <w:szCs w:val="22"/>
        </w:rPr>
      </w:pPr>
    </w:p>
    <w:p>
      <w:pPr>
        <w:pStyle w:val="Heading3"/>
        <w:spacing w:line="240" w:lineRule="auto"/>
        <w:ind w:left="1134" w:right="0"/>
        <w:jc w:val="left"/>
        <w:rPr>
          <w:b w:val="0"/>
          <w:bCs w:val="0"/>
        </w:rPr>
      </w:pPr>
      <w:bookmarkStart w:name="23、递延收益" w:id="291"/>
      <w:bookmarkEnd w:id="291"/>
      <w:r>
        <w:rPr>
          <w:b w:val="0"/>
          <w:bCs w:val="0"/>
        </w:rPr>
      </w:r>
      <w:r>
        <w:rPr>
          <w:rFonts w:ascii="Times New Roman" w:hAnsi="Times New Roman" w:cs="Times New Roman" w:eastAsia="Times New Roman" w:hint="default"/>
        </w:rPr>
        <w:t>23</w:t>
      </w:r>
      <w:r>
        <w:rPr/>
        <w:t>、递延收益</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583"/>
        <w:gridCol w:w="1607"/>
        <w:gridCol w:w="1595"/>
        <w:gridCol w:w="1594"/>
        <w:gridCol w:w="1594"/>
        <w:gridCol w:w="1595"/>
      </w:tblGrid>
      <w:tr>
        <w:trPr>
          <w:trHeight w:val="401"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6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4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3"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形成原因</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160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8,863,086.92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5,299,107.00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7,469,650.88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6,692,543.04</w:t>
            </w: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60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8,863,086.92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5,299,107.00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7,469,650.88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6,692,543.04</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left="1134" w:right="0"/>
        <w:jc w:val="left"/>
      </w:pPr>
      <w:r>
        <w:rPr/>
        <w:t>涉及政府补助的项目：</w:t>
      </w:r>
    </w:p>
    <w:p>
      <w:pPr>
        <w:pStyle w:val="BodyText"/>
        <w:spacing w:line="240" w:lineRule="auto" w:before="116"/>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064"/>
        <w:gridCol w:w="1064"/>
        <w:gridCol w:w="1063"/>
        <w:gridCol w:w="1064"/>
        <w:gridCol w:w="1063"/>
        <w:gridCol w:w="1063"/>
        <w:gridCol w:w="1064"/>
        <w:gridCol w:w="1062"/>
        <w:gridCol w:w="1063"/>
      </w:tblGrid>
      <w:tr>
        <w:trPr>
          <w:trHeight w:val="1026"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65" w:right="0"/>
              <w:jc w:val="left"/>
              <w:rPr>
                <w:rFonts w:ascii="宋体" w:hAnsi="宋体" w:cs="宋体" w:eastAsia="宋体" w:hint="default"/>
                <w:sz w:val="18"/>
                <w:szCs w:val="18"/>
              </w:rPr>
            </w:pPr>
            <w:r>
              <w:rPr>
                <w:rFonts w:ascii="宋体" w:hAnsi="宋体" w:cs="宋体" w:eastAsia="宋体" w:hint="default"/>
                <w:sz w:val="18"/>
                <w:szCs w:val="18"/>
              </w:rPr>
              <w:t>负债项目</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66"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56" w:right="74" w:hanging="180"/>
              <w:jc w:val="left"/>
              <w:rPr>
                <w:rFonts w:ascii="宋体" w:hAnsi="宋体" w:cs="宋体" w:eastAsia="宋体" w:hint="default"/>
                <w:sz w:val="18"/>
                <w:szCs w:val="18"/>
              </w:rPr>
            </w:pPr>
            <w:r>
              <w:rPr>
                <w:rFonts w:ascii="宋体" w:hAnsi="宋体" w:cs="宋体" w:eastAsia="宋体" w:hint="default"/>
                <w:sz w:val="18"/>
                <w:szCs w:val="18"/>
              </w:rPr>
              <w:t>本期新增补 助金额</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75" w:right="76"/>
              <w:jc w:val="center"/>
              <w:rPr>
                <w:rFonts w:ascii="宋体" w:hAnsi="宋体" w:cs="宋体" w:eastAsia="宋体" w:hint="default"/>
                <w:sz w:val="18"/>
                <w:szCs w:val="18"/>
              </w:rPr>
            </w:pPr>
            <w:r>
              <w:rPr>
                <w:rFonts w:ascii="宋体" w:hAnsi="宋体" w:cs="宋体" w:eastAsia="宋体" w:hint="default"/>
                <w:sz w:val="18"/>
                <w:szCs w:val="18"/>
              </w:rPr>
              <w:t>本期计入营 业外收入金 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75" w:right="77"/>
              <w:jc w:val="left"/>
              <w:rPr>
                <w:rFonts w:ascii="宋体" w:hAnsi="宋体" w:cs="宋体" w:eastAsia="宋体" w:hint="default"/>
                <w:sz w:val="18"/>
                <w:szCs w:val="18"/>
              </w:rPr>
            </w:pPr>
            <w:r>
              <w:rPr>
                <w:rFonts w:ascii="宋体" w:hAnsi="宋体" w:cs="宋体" w:eastAsia="宋体" w:hint="default"/>
                <w:sz w:val="18"/>
                <w:szCs w:val="18"/>
              </w:rPr>
              <w:t>本期计入其 他收益金额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75" w:right="77"/>
              <w:jc w:val="left"/>
              <w:rPr>
                <w:rFonts w:ascii="宋体" w:hAnsi="宋体" w:cs="宋体" w:eastAsia="宋体" w:hint="default"/>
                <w:sz w:val="18"/>
                <w:szCs w:val="18"/>
              </w:rPr>
            </w:pPr>
            <w:r>
              <w:rPr>
                <w:rFonts w:ascii="宋体" w:hAnsi="宋体" w:cs="宋体" w:eastAsia="宋体" w:hint="default"/>
                <w:sz w:val="18"/>
                <w:szCs w:val="18"/>
              </w:rPr>
              <w:t>本期冲减成 本费用金额</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65" w:right="0"/>
              <w:jc w:val="left"/>
              <w:rPr>
                <w:rFonts w:ascii="宋体" w:hAnsi="宋体" w:cs="宋体" w:eastAsia="宋体" w:hint="default"/>
                <w:sz w:val="18"/>
                <w:szCs w:val="18"/>
              </w:rPr>
            </w:pPr>
            <w:r>
              <w:rPr>
                <w:rFonts w:ascii="宋体" w:hAnsi="宋体" w:cs="宋体" w:eastAsia="宋体" w:hint="default"/>
                <w:sz w:val="18"/>
                <w:szCs w:val="18"/>
              </w:rPr>
              <w:t>其他变动</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65"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00" w:lineRule="auto"/>
              <w:ind w:left="76" w:right="51" w:hanging="26"/>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 </w:t>
            </w:r>
            <w:r>
              <w:rPr>
                <w:rFonts w:ascii="宋体" w:hAnsi="宋体" w:cs="宋体" w:eastAsia="宋体" w:hint="default"/>
                <w:sz w:val="18"/>
                <w:szCs w:val="18"/>
              </w:rPr>
              <w:t>与收益相关</w:t>
            </w:r>
          </w:p>
        </w:tc>
      </w:tr>
      <w:tr>
        <w:trPr>
          <w:trHeight w:val="1650"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大气细颗粒 物化学成分 在线监测设 备研制与应 用示范</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2,213,402.70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86" w:right="0"/>
              <w:jc w:val="left"/>
              <w:rPr>
                <w:rFonts w:ascii="Times New Roman" w:hAnsi="Times New Roman" w:cs="Times New Roman" w:eastAsia="Times New Roman" w:hint="default"/>
                <w:sz w:val="18"/>
                <w:szCs w:val="18"/>
              </w:rPr>
            </w:pPr>
            <w:r>
              <w:rPr>
                <w:rFonts w:ascii="Times New Roman"/>
                <w:sz w:val="18"/>
              </w:rPr>
              <w:t>2,776,407.00</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4,538,977.99</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450,831.71</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9"/>
              <w:jc w:val="left"/>
              <w:rPr>
                <w:rFonts w:ascii="宋体" w:hAnsi="宋体" w:cs="宋体" w:eastAsia="宋体" w:hint="default"/>
                <w:sz w:val="18"/>
                <w:szCs w:val="18"/>
              </w:rPr>
            </w:pPr>
            <w:r>
              <w:rPr>
                <w:rFonts w:ascii="宋体" w:hAnsi="宋体" w:cs="宋体" w:eastAsia="宋体" w:hint="default"/>
                <w:sz w:val="18"/>
                <w:szCs w:val="18"/>
              </w:rPr>
              <w:t>原位水质在 线分析系统</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208,695.66</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13,695.66</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19" w:right="0"/>
              <w:jc w:val="left"/>
              <w:rPr>
                <w:rFonts w:ascii="Times New Roman" w:hAnsi="Times New Roman" w:cs="Times New Roman" w:eastAsia="Times New Roman" w:hint="default"/>
                <w:sz w:val="18"/>
                <w:szCs w:val="18"/>
              </w:rPr>
            </w:pPr>
            <w:r>
              <w:rPr>
                <w:rFonts w:ascii="Times New Roman"/>
                <w:sz w:val="18"/>
              </w:rPr>
              <w:t>195,000.00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2274"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基于多参数 空气质量原 位监测仪的 大气质量数 据管理平台 的开发与应 用</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228,571.42</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228,571.42</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026"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海水溶解氧 在线监测仪 产业化</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46,390.91</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13,254.56</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33,136.35</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2586"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2" w:right="65"/>
              <w:jc w:val="left"/>
              <w:rPr>
                <w:rFonts w:ascii="宋体" w:hAnsi="宋体" w:cs="宋体" w:eastAsia="宋体" w:hint="default"/>
                <w:sz w:val="18"/>
                <w:szCs w:val="18"/>
              </w:rPr>
            </w:pPr>
            <w:r>
              <w:rPr>
                <w:rFonts w:ascii="宋体" w:hAnsi="宋体" w:cs="宋体" w:eastAsia="宋体" w:hint="default"/>
                <w:sz w:val="18"/>
                <w:szCs w:val="18"/>
              </w:rPr>
              <w:t>微生物膜法 </w:t>
            </w:r>
            <w:r>
              <w:rPr>
                <w:rFonts w:ascii="Times New Roman" w:hAnsi="Times New Roman" w:cs="Times New Roman" w:eastAsia="Times New Roman" w:hint="default"/>
                <w:sz w:val="18"/>
                <w:szCs w:val="18"/>
              </w:rPr>
              <w:t>BOD</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在线监 测仪研制及 海水</w:t>
            </w:r>
          </w:p>
          <w:p>
            <w:pPr>
              <w:pStyle w:val="TableParagraph"/>
              <w:spacing w:line="240" w:lineRule="auto" w:before="62"/>
              <w:ind w:left="22" w:right="0"/>
              <w:jc w:val="left"/>
              <w:rPr>
                <w:rFonts w:ascii="Times New Roman" w:hAnsi="Times New Roman" w:cs="Times New Roman" w:eastAsia="Times New Roman" w:hint="default"/>
                <w:sz w:val="18"/>
                <w:szCs w:val="18"/>
              </w:rPr>
            </w:pPr>
            <w:r>
              <w:rPr>
                <w:rFonts w:ascii="Times New Roman"/>
                <w:sz w:val="18"/>
              </w:rPr>
              <w:t>PH/COD/BO</w:t>
            </w:r>
          </w:p>
          <w:p>
            <w:pPr>
              <w:pStyle w:val="TableParagraph"/>
              <w:spacing w:line="309" w:lineRule="auto" w:before="65"/>
              <w:ind w:left="22" w:right="129"/>
              <w:jc w:val="both"/>
              <w:rPr>
                <w:rFonts w:ascii="宋体" w:hAnsi="宋体" w:cs="宋体" w:eastAsia="宋体" w:hint="default"/>
                <w:sz w:val="18"/>
                <w:szCs w:val="18"/>
              </w:rPr>
            </w:pPr>
            <w:r>
              <w:rPr>
                <w:rFonts w:ascii="Times New Roman" w:hAnsi="Times New Roman" w:cs="Times New Roman" w:eastAsia="Times New Roman" w:hint="default"/>
                <w:sz w:val="18"/>
                <w:szCs w:val="18"/>
              </w:rPr>
              <w:t>D</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快速在线 监测仪产业 化</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161,795.46</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46,227.24</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115,568.22</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674"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9"/>
              <w:jc w:val="left"/>
              <w:rPr>
                <w:rFonts w:ascii="宋体" w:hAnsi="宋体" w:cs="宋体" w:eastAsia="宋体" w:hint="default"/>
                <w:sz w:val="18"/>
                <w:szCs w:val="18"/>
              </w:rPr>
            </w:pPr>
            <w:r>
              <w:rPr>
                <w:rFonts w:ascii="宋体" w:hAnsi="宋体" w:cs="宋体" w:eastAsia="宋体" w:hint="default"/>
                <w:sz w:val="18"/>
                <w:szCs w:val="18"/>
              </w:rPr>
              <w:t>区域大气环 境数据挖掘</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369,230.77</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369,230.77</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bl>
    <w:p>
      <w:pPr>
        <w:spacing w:after="0" w:line="240"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1064"/>
        <w:gridCol w:w="1064"/>
        <w:gridCol w:w="1063"/>
        <w:gridCol w:w="1064"/>
        <w:gridCol w:w="1063"/>
        <w:gridCol w:w="1063"/>
        <w:gridCol w:w="1064"/>
        <w:gridCol w:w="1062"/>
        <w:gridCol w:w="1063"/>
      </w:tblGrid>
      <w:tr>
        <w:trPr>
          <w:trHeight w:val="674"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129"/>
              <w:jc w:val="left"/>
              <w:rPr>
                <w:rFonts w:ascii="宋体" w:hAnsi="宋体" w:cs="宋体" w:eastAsia="宋体" w:hint="default"/>
                <w:sz w:val="18"/>
                <w:szCs w:val="18"/>
              </w:rPr>
            </w:pPr>
            <w:r>
              <w:rPr>
                <w:rFonts w:ascii="宋体" w:hAnsi="宋体" w:cs="宋体" w:eastAsia="宋体" w:hint="default"/>
                <w:sz w:val="18"/>
                <w:szCs w:val="18"/>
              </w:rPr>
              <w:t>系统开发及 应用</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1650"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9"/>
              <w:jc w:val="left"/>
              <w:rPr>
                <w:rFonts w:ascii="宋体" w:hAnsi="宋体" w:cs="宋体" w:eastAsia="宋体" w:hint="default"/>
                <w:sz w:val="18"/>
                <w:szCs w:val="18"/>
              </w:rPr>
            </w:pPr>
            <w:r>
              <w:rPr>
                <w:rFonts w:ascii="宋体" w:hAnsi="宋体" w:cs="宋体" w:eastAsia="宋体" w:hint="default"/>
                <w:sz w:val="18"/>
                <w:szCs w:val="18"/>
              </w:rPr>
              <w:t>微生物膜法 及海水 </w:t>
            </w:r>
            <w:r>
              <w:rPr>
                <w:rFonts w:ascii="Times New Roman" w:hAnsi="Times New Roman" w:cs="Times New Roman" w:eastAsia="Times New Roman" w:hint="default"/>
                <w:sz w:val="18"/>
                <w:szCs w:val="18"/>
              </w:rPr>
              <w:t>PH/COD</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在</w:t>
            </w:r>
          </w:p>
          <w:p>
            <w:pPr>
              <w:pStyle w:val="TableParagraph"/>
              <w:spacing w:line="319" w:lineRule="auto"/>
              <w:ind w:left="22" w:right="129"/>
              <w:jc w:val="left"/>
              <w:rPr>
                <w:rFonts w:ascii="宋体" w:hAnsi="宋体" w:cs="宋体" w:eastAsia="宋体" w:hint="default"/>
                <w:sz w:val="18"/>
                <w:szCs w:val="18"/>
              </w:rPr>
            </w:pPr>
            <w:r>
              <w:rPr>
                <w:rFonts w:ascii="宋体" w:hAnsi="宋体" w:cs="宋体" w:eastAsia="宋体" w:hint="default"/>
                <w:sz w:val="18"/>
                <w:szCs w:val="18"/>
              </w:rPr>
              <w:t>线监测产业 化</w:t>
            </w:r>
            <w:r>
              <w:rPr>
                <w:rFonts w:ascii="Times New Roman" w:hAnsi="Times New Roman" w:cs="Times New Roman" w:eastAsia="Times New Roman" w:hint="default"/>
                <w:sz w:val="18"/>
                <w:szCs w:val="18"/>
              </w:rPr>
              <w:t>-</w:t>
            </w:r>
            <w:r>
              <w:rPr>
                <w:rFonts w:ascii="宋体" w:hAnsi="宋体" w:cs="宋体" w:eastAsia="宋体" w:hint="default"/>
                <w:sz w:val="18"/>
                <w:szCs w:val="18"/>
              </w:rPr>
              <w:t>专项</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85,100.00</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17,915.79</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67,184.21</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026"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68"/>
              <w:jc w:val="both"/>
              <w:rPr>
                <w:rFonts w:ascii="宋体" w:hAnsi="宋体" w:cs="宋体" w:eastAsia="宋体" w:hint="default"/>
                <w:sz w:val="18"/>
                <w:szCs w:val="18"/>
              </w:rPr>
            </w:pPr>
            <w:r>
              <w:rPr>
                <w:rFonts w:ascii="宋体" w:hAnsi="宋体" w:cs="宋体" w:eastAsia="宋体" w:hint="default"/>
                <w:sz w:val="18"/>
                <w:szCs w:val="18"/>
              </w:rPr>
              <w:t>海水溶解氧 在线监测仪 产业化</w:t>
            </w:r>
            <w:r>
              <w:rPr>
                <w:rFonts w:ascii="Times New Roman" w:hAnsi="Times New Roman" w:cs="Times New Roman" w:eastAsia="Times New Roman" w:hint="default"/>
                <w:sz w:val="18"/>
                <w:szCs w:val="18"/>
              </w:rPr>
              <w:t>-</w:t>
            </w:r>
            <w:r>
              <w:rPr>
                <w:rFonts w:ascii="宋体" w:hAnsi="宋体" w:cs="宋体" w:eastAsia="宋体" w:hint="default"/>
                <w:sz w:val="18"/>
                <w:szCs w:val="18"/>
              </w:rPr>
              <w:t>专项</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24,100.00</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5,561.55</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18,538.45</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650"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精细网格大 气动态污染 源清单技术 研发及应用 示范</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510,000.00</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182,142.86</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327,857.14</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650"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基于质量浓 度分析的高 时间分辨率 在线源解析 系统</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300,000.00</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120,000.00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180,000.00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962"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环境空气臭 氧前驱体及 光化学烟雾 在线监测仪 开发及应用 示范</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1,506,000.00</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125,500.00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1,380,500.00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38"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有机废气洁 净化绿色回 收及溶媒资 源化利用</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300,000.00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300,000.00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38"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城市空气质 量自动监测 及治理信息 系统</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300,000.00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219" w:right="0"/>
              <w:jc w:val="left"/>
              <w:rPr>
                <w:rFonts w:ascii="Times New Roman" w:hAnsi="Times New Roman" w:cs="Times New Roman" w:eastAsia="Times New Roman" w:hint="default"/>
                <w:sz w:val="18"/>
                <w:szCs w:val="18"/>
              </w:rPr>
            </w:pPr>
            <w:r>
              <w:rPr>
                <w:rFonts w:ascii="Times New Roman"/>
                <w:sz w:val="18"/>
              </w:rPr>
              <w:t>133,573.04</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166,426.96</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026"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城市空气污 染防治精准 监控系统</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315,000.00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315,000.00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026"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科技新星与 领军人才培 养</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97,500.00</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97,500.00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新兴产业发</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4,720,000.00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5" w:right="0"/>
              <w:jc w:val="left"/>
              <w:rPr>
                <w:rFonts w:ascii="Times New Roman" w:hAnsi="Times New Roman" w:cs="Times New Roman" w:eastAsia="Times New Roman" w:hint="default"/>
                <w:sz w:val="18"/>
                <w:szCs w:val="18"/>
              </w:rPr>
            </w:pPr>
            <w:r>
              <w:rPr>
                <w:rFonts w:ascii="Times New Roman"/>
                <w:sz w:val="18"/>
              </w:rPr>
              <w:t>1,180,000.00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3,540,000.00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bl>
    <w:p>
      <w:pPr>
        <w:spacing w:after="0" w:line="240"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1064"/>
        <w:gridCol w:w="1064"/>
        <w:gridCol w:w="1063"/>
        <w:gridCol w:w="1064"/>
        <w:gridCol w:w="1063"/>
        <w:gridCol w:w="1063"/>
        <w:gridCol w:w="1064"/>
        <w:gridCol w:w="1062"/>
        <w:gridCol w:w="1063"/>
      </w:tblGrid>
      <w:tr>
        <w:trPr>
          <w:trHeight w:val="362"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展专项资金</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7" w:right="0"/>
              <w:jc w:val="left"/>
              <w:rPr>
                <w:rFonts w:ascii="Times New Roman" w:hAnsi="Times New Roman" w:cs="Times New Roman" w:eastAsia="Times New Roman" w:hint="default"/>
                <w:sz w:val="18"/>
                <w:szCs w:val="18"/>
              </w:rPr>
            </w:pPr>
            <w:r>
              <w:rPr>
                <w:rFonts w:ascii="Times New Roman"/>
                <w:sz w:val="18"/>
              </w:rPr>
              <w:t>8,863,086.92</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6" w:right="0"/>
              <w:jc w:val="left"/>
              <w:rPr>
                <w:rFonts w:ascii="Times New Roman" w:hAnsi="Times New Roman" w:cs="Times New Roman" w:eastAsia="Times New Roman" w:hint="default"/>
                <w:sz w:val="18"/>
                <w:szCs w:val="18"/>
              </w:rPr>
            </w:pPr>
            <w:r>
              <w:rPr>
                <w:rFonts w:ascii="Times New Roman"/>
                <w:sz w:val="18"/>
              </w:rPr>
              <w:t>5,299,107.00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5" w:right="0"/>
              <w:jc w:val="left"/>
              <w:rPr>
                <w:rFonts w:ascii="Times New Roman" w:hAnsi="Times New Roman" w:cs="Times New Roman" w:eastAsia="Times New Roman" w:hint="default"/>
                <w:sz w:val="18"/>
                <w:szCs w:val="18"/>
              </w:rPr>
            </w:pPr>
            <w:r>
              <w:rPr>
                <w:rFonts w:ascii="Times New Roman"/>
                <w:sz w:val="18"/>
              </w:rPr>
              <w:t>1,180,000.00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5" w:right="0"/>
              <w:jc w:val="left"/>
              <w:rPr>
                <w:rFonts w:ascii="Times New Roman" w:hAnsi="Times New Roman" w:cs="Times New Roman" w:eastAsia="Times New Roman" w:hint="default"/>
                <w:sz w:val="18"/>
                <w:szCs w:val="18"/>
              </w:rPr>
            </w:pPr>
            <w:r>
              <w:rPr>
                <w:rFonts w:ascii="Times New Roman"/>
                <w:sz w:val="18"/>
              </w:rPr>
              <w:t>5,961,077.84</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9" w:right="0"/>
              <w:jc w:val="left"/>
              <w:rPr>
                <w:rFonts w:ascii="Times New Roman" w:hAnsi="Times New Roman" w:cs="Times New Roman" w:eastAsia="Times New Roman" w:hint="default"/>
                <w:sz w:val="18"/>
                <w:szCs w:val="18"/>
              </w:rPr>
            </w:pPr>
            <w:r>
              <w:rPr>
                <w:rFonts w:ascii="Times New Roman"/>
                <w:sz w:val="18"/>
              </w:rPr>
              <w:t>133,573.04</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9" w:right="0"/>
              <w:jc w:val="left"/>
              <w:rPr>
                <w:rFonts w:ascii="Times New Roman" w:hAnsi="Times New Roman" w:cs="Times New Roman" w:eastAsia="Times New Roman" w:hint="default"/>
                <w:sz w:val="18"/>
                <w:szCs w:val="18"/>
              </w:rPr>
            </w:pPr>
            <w:r>
              <w:rPr>
                <w:rFonts w:ascii="Times New Roman"/>
                <w:sz w:val="18"/>
              </w:rPr>
              <w:t>195,000.00</w:t>
            </w:r>
          </w:p>
        </w:tc>
        <w:tc>
          <w:tcPr>
            <w:tcW w:w="1062"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left="85" w:right="0"/>
              <w:jc w:val="left"/>
              <w:rPr>
                <w:rFonts w:ascii="Times New Roman" w:hAnsi="Times New Roman" w:cs="Times New Roman" w:eastAsia="Times New Roman" w:hint="default"/>
                <w:sz w:val="18"/>
                <w:szCs w:val="18"/>
              </w:rPr>
            </w:pPr>
            <w:r>
              <w:rPr>
                <w:rFonts w:ascii="Times New Roman"/>
                <w:sz w:val="18"/>
              </w:rPr>
              <w:t>6,692,543.04</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24、股本" w:id="292"/>
      <w:bookmarkEnd w:id="292"/>
      <w:r>
        <w:rPr>
          <w:b w:val="0"/>
          <w:bCs w:val="0"/>
        </w:rPr>
      </w:r>
      <w:r>
        <w:rPr>
          <w:rFonts w:ascii="Times New Roman" w:hAnsi="Times New Roman" w:cs="Times New Roman" w:eastAsia="Times New Roman" w:hint="default"/>
        </w:rPr>
        <w:t>24</w:t>
      </w:r>
      <w:r>
        <w:rPr/>
        <w:t>、股本</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196"/>
        <w:gridCol w:w="1208"/>
        <w:gridCol w:w="1184"/>
        <w:gridCol w:w="1197"/>
        <w:gridCol w:w="1195"/>
        <w:gridCol w:w="1197"/>
        <w:gridCol w:w="1184"/>
        <w:gridCol w:w="1207"/>
      </w:tblGrid>
      <w:tr>
        <w:trPr>
          <w:trHeight w:val="206" w:hRule="exact"/>
        </w:trPr>
        <w:tc>
          <w:tcPr>
            <w:tcW w:w="1196" w:type="dxa"/>
            <w:tcBorders>
              <w:top w:val="single" w:sz="4" w:space="0" w:color="000000"/>
              <w:left w:val="single" w:sz="4" w:space="0" w:color="000000"/>
              <w:bottom w:val="nil" w:sz="6" w:space="0" w:color="auto"/>
              <w:right w:val="single" w:sz="4" w:space="0" w:color="000000"/>
            </w:tcBorders>
            <w:shd w:val="clear" w:color="auto" w:fill="D2D2D2"/>
          </w:tcPr>
          <w:p>
            <w:pPr/>
          </w:p>
        </w:tc>
        <w:tc>
          <w:tcPr>
            <w:tcW w:w="1208" w:type="dxa"/>
            <w:tcBorders>
              <w:top w:val="single" w:sz="4" w:space="0" w:color="000000"/>
              <w:left w:val="single" w:sz="4" w:space="0" w:color="000000"/>
              <w:bottom w:val="nil" w:sz="6" w:space="0" w:color="auto"/>
              <w:right w:val="single" w:sz="4" w:space="0" w:color="000000"/>
            </w:tcBorders>
            <w:shd w:val="clear" w:color="auto" w:fill="D2D2D2"/>
          </w:tcPr>
          <w:p>
            <w:pPr/>
          </w:p>
        </w:tc>
        <w:tc>
          <w:tcPr>
            <w:tcW w:w="5958" w:type="dxa"/>
            <w:gridSpan w:val="5"/>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本次变动增减（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207"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1" w:hRule="exact"/>
        </w:trPr>
        <w:tc>
          <w:tcPr>
            <w:tcW w:w="1196" w:type="dxa"/>
            <w:vMerge w:val="restart"/>
            <w:tcBorders>
              <w:top w:val="nil" w:sz="6" w:space="0" w:color="auto"/>
              <w:left w:val="single" w:sz="4" w:space="0" w:color="000000"/>
              <w:right w:val="single" w:sz="4" w:space="0" w:color="000000"/>
            </w:tcBorders>
            <w:shd w:val="clear" w:color="auto" w:fill="D2D2D2"/>
          </w:tcPr>
          <w:p>
            <w:pPr/>
          </w:p>
        </w:tc>
        <w:tc>
          <w:tcPr>
            <w:tcW w:w="120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3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958" w:type="dxa"/>
            <w:gridSpan w:val="5"/>
            <w:vMerge/>
            <w:tcBorders>
              <w:left w:val="single" w:sz="4" w:space="0" w:color="000000"/>
              <w:bottom w:val="single" w:sz="4" w:space="0" w:color="000000"/>
              <w:right w:val="single" w:sz="4" w:space="0" w:color="000000"/>
            </w:tcBorders>
            <w:shd w:val="clear" w:color="auto" w:fill="D2D2D2"/>
          </w:tcPr>
          <w:p>
            <w:pPr/>
          </w:p>
        </w:tc>
        <w:tc>
          <w:tcPr>
            <w:tcW w:w="120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44"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200" w:hRule="exact"/>
        </w:trPr>
        <w:tc>
          <w:tcPr>
            <w:tcW w:w="1196" w:type="dxa"/>
            <w:vMerge/>
            <w:tcBorders>
              <w:left w:val="single" w:sz="4" w:space="0" w:color="000000"/>
              <w:bottom w:val="nil" w:sz="6" w:space="0" w:color="auto"/>
              <w:right w:val="single" w:sz="4" w:space="0" w:color="000000"/>
            </w:tcBorders>
            <w:shd w:val="clear" w:color="auto" w:fill="D2D2D2"/>
          </w:tcPr>
          <w:p>
            <w:pPr/>
          </w:p>
        </w:tc>
        <w:tc>
          <w:tcPr>
            <w:tcW w:w="1208" w:type="dxa"/>
            <w:vMerge/>
            <w:tcBorders>
              <w:left w:val="single" w:sz="4" w:space="0" w:color="000000"/>
              <w:bottom w:val="nil" w:sz="6" w:space="0" w:color="auto"/>
              <w:right w:val="single" w:sz="4" w:space="0" w:color="000000"/>
            </w:tcBorders>
            <w:shd w:val="clear" w:color="auto" w:fill="D2D2D2"/>
          </w:tcPr>
          <w:p>
            <w:pPr/>
          </w:p>
        </w:tc>
        <w:tc>
          <w:tcPr>
            <w:tcW w:w="118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22"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11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送股</w:t>
            </w:r>
          </w:p>
        </w:tc>
        <w:tc>
          <w:tcPr>
            <w:tcW w:w="11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42" w:right="0"/>
              <w:jc w:val="left"/>
              <w:rPr>
                <w:rFonts w:ascii="宋体" w:hAnsi="宋体" w:cs="宋体" w:eastAsia="宋体" w:hint="default"/>
                <w:sz w:val="18"/>
                <w:szCs w:val="18"/>
              </w:rPr>
            </w:pPr>
            <w:r>
              <w:rPr>
                <w:rFonts w:ascii="宋体" w:hAnsi="宋体" w:cs="宋体" w:eastAsia="宋体" w:hint="default"/>
                <w:sz w:val="18"/>
                <w:szCs w:val="18"/>
              </w:rPr>
              <w:t>公积金转股</w:t>
            </w:r>
          </w:p>
        </w:tc>
        <w:tc>
          <w:tcPr>
            <w:tcW w:w="11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18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0"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1207" w:type="dxa"/>
            <w:vMerge/>
            <w:tcBorders>
              <w:left w:val="single" w:sz="4" w:space="0" w:color="000000"/>
              <w:bottom w:val="nil" w:sz="6" w:space="0" w:color="auto"/>
              <w:right w:val="single" w:sz="4" w:space="0" w:color="000000"/>
            </w:tcBorders>
            <w:shd w:val="clear" w:color="auto" w:fill="D2D2D2"/>
          </w:tcPr>
          <w:p>
            <w:pPr/>
          </w:p>
        </w:tc>
      </w:tr>
      <w:tr>
        <w:trPr>
          <w:trHeight w:val="206" w:hRule="exact"/>
        </w:trPr>
        <w:tc>
          <w:tcPr>
            <w:tcW w:w="1196" w:type="dxa"/>
            <w:tcBorders>
              <w:top w:val="nil" w:sz="6" w:space="0" w:color="auto"/>
              <w:left w:val="single" w:sz="4" w:space="0" w:color="000000"/>
              <w:bottom w:val="single" w:sz="4" w:space="0" w:color="000000"/>
              <w:right w:val="single" w:sz="4" w:space="0" w:color="000000"/>
            </w:tcBorders>
            <w:shd w:val="clear" w:color="auto" w:fill="D2D2D2"/>
          </w:tcPr>
          <w:p>
            <w:pPr/>
          </w:p>
        </w:tc>
        <w:tc>
          <w:tcPr>
            <w:tcW w:w="1208" w:type="dxa"/>
            <w:tcBorders>
              <w:top w:val="nil" w:sz="6" w:space="0" w:color="auto"/>
              <w:left w:val="single" w:sz="4" w:space="0" w:color="000000"/>
              <w:bottom w:val="single" w:sz="4" w:space="0" w:color="000000"/>
              <w:right w:val="single" w:sz="4" w:space="0" w:color="000000"/>
            </w:tcBorders>
            <w:shd w:val="clear" w:color="auto" w:fill="D2D2D2"/>
          </w:tcPr>
          <w:p>
            <w:pPr/>
          </w:p>
        </w:tc>
        <w:tc>
          <w:tcPr>
            <w:tcW w:w="1184" w:type="dxa"/>
            <w:vMerge/>
            <w:tcBorders>
              <w:left w:val="single" w:sz="4" w:space="0" w:color="000000"/>
              <w:bottom w:val="single" w:sz="4" w:space="0" w:color="000000"/>
              <w:right w:val="single" w:sz="4" w:space="0" w:color="000000"/>
            </w:tcBorders>
            <w:shd w:val="clear" w:color="auto" w:fill="D2D2D2"/>
          </w:tcPr>
          <w:p>
            <w:pPr/>
          </w:p>
        </w:tc>
        <w:tc>
          <w:tcPr>
            <w:tcW w:w="1197" w:type="dxa"/>
            <w:vMerge/>
            <w:tcBorders>
              <w:left w:val="single" w:sz="4" w:space="0" w:color="000000"/>
              <w:bottom w:val="single" w:sz="4" w:space="0" w:color="000000"/>
              <w:right w:val="single" w:sz="4" w:space="0" w:color="000000"/>
            </w:tcBorders>
            <w:shd w:val="clear" w:color="auto" w:fill="D2D2D2"/>
          </w:tcPr>
          <w:p>
            <w:pPr/>
          </w:p>
        </w:tc>
        <w:tc>
          <w:tcPr>
            <w:tcW w:w="1195" w:type="dxa"/>
            <w:vMerge/>
            <w:tcBorders>
              <w:left w:val="single" w:sz="4" w:space="0" w:color="000000"/>
              <w:bottom w:val="single" w:sz="4" w:space="0" w:color="000000"/>
              <w:right w:val="single" w:sz="4" w:space="0" w:color="000000"/>
            </w:tcBorders>
            <w:shd w:val="clear" w:color="auto" w:fill="D2D2D2"/>
          </w:tcPr>
          <w:p>
            <w:pPr/>
          </w:p>
        </w:tc>
        <w:tc>
          <w:tcPr>
            <w:tcW w:w="1197" w:type="dxa"/>
            <w:vMerge/>
            <w:tcBorders>
              <w:left w:val="single" w:sz="4" w:space="0" w:color="000000"/>
              <w:bottom w:val="single" w:sz="4" w:space="0" w:color="000000"/>
              <w:right w:val="single" w:sz="4" w:space="0" w:color="000000"/>
            </w:tcBorders>
            <w:shd w:val="clear" w:color="auto" w:fill="D2D2D2"/>
          </w:tcPr>
          <w:p>
            <w:pPr/>
          </w:p>
        </w:tc>
        <w:tc>
          <w:tcPr>
            <w:tcW w:w="1184" w:type="dxa"/>
            <w:vMerge/>
            <w:tcBorders>
              <w:left w:val="single" w:sz="4" w:space="0" w:color="000000"/>
              <w:bottom w:val="single" w:sz="4" w:space="0" w:color="000000"/>
              <w:right w:val="single" w:sz="4" w:space="0" w:color="000000"/>
            </w:tcBorders>
            <w:shd w:val="clear" w:color="auto" w:fill="D2D2D2"/>
          </w:tcPr>
          <w:p>
            <w:pPr/>
          </w:p>
        </w:tc>
        <w:tc>
          <w:tcPr>
            <w:tcW w:w="1207"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2" w:hRule="exact"/>
        </w:trPr>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股份总数</w:t>
            </w:r>
          </w:p>
        </w:tc>
        <w:tc>
          <w:tcPr>
            <w:tcW w:w="120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32" w:right="0"/>
              <w:jc w:val="left"/>
              <w:rPr>
                <w:rFonts w:ascii="Times New Roman" w:hAnsi="Times New Roman" w:cs="Times New Roman" w:eastAsia="Times New Roman" w:hint="default"/>
                <w:sz w:val="18"/>
                <w:szCs w:val="18"/>
              </w:rPr>
            </w:pPr>
            <w:r>
              <w:rPr>
                <w:rFonts w:ascii="Times New Roman"/>
                <w:sz w:val="18"/>
              </w:rPr>
              <w:t>344,395,344.00</w:t>
            </w:r>
          </w:p>
        </w:tc>
        <w:tc>
          <w:tcPr>
            <w:tcW w:w="1184"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84" w:type="dxa"/>
            <w:tcBorders>
              <w:top w:val="single" w:sz="4" w:space="0" w:color="000000"/>
              <w:left w:val="single" w:sz="4" w:space="0" w:color="000000"/>
              <w:bottom w:val="single" w:sz="4" w:space="0" w:color="000000"/>
              <w:right w:val="single" w:sz="4" w:space="0" w:color="000000"/>
            </w:tcBorders>
          </w:tcPr>
          <w:p>
            <w:pP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left"/>
              <w:rPr>
                <w:rFonts w:ascii="Times New Roman" w:hAnsi="Times New Roman" w:cs="Times New Roman" w:eastAsia="Times New Roman" w:hint="default"/>
                <w:sz w:val="18"/>
                <w:szCs w:val="18"/>
              </w:rPr>
            </w:pPr>
            <w:r>
              <w:rPr>
                <w:rFonts w:ascii="Times New Roman"/>
                <w:sz w:val="18"/>
              </w:rPr>
              <w:t>344,395,344.00</w:t>
            </w:r>
          </w:p>
        </w:tc>
      </w:tr>
    </w:tbl>
    <w:p>
      <w:pPr>
        <w:pStyle w:val="BodyText"/>
        <w:spacing w:line="240" w:lineRule="auto" w:before="51"/>
        <w:ind w:left="1134"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25、资本公积" w:id="293"/>
      <w:bookmarkEnd w:id="293"/>
      <w:r>
        <w:rPr>
          <w:b w:val="0"/>
          <w:bCs w:val="0"/>
        </w:rPr>
      </w:r>
      <w:r>
        <w:rPr>
          <w:rFonts w:ascii="Times New Roman" w:hAnsi="Times New Roman" w:cs="Times New Roman" w:eastAsia="Times New Roman" w:hint="default"/>
        </w:rPr>
        <w:t>25</w:t>
      </w:r>
      <w:r>
        <w:rPr/>
        <w:t>、资本公积</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资本溢价（股本溢价）</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677,770,058.81</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677,770,058.81</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677,770,058.81</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677,770,058.81</w:t>
            </w:r>
          </w:p>
        </w:tc>
      </w:tr>
    </w:tbl>
    <w:p>
      <w:pPr>
        <w:pStyle w:val="BodyText"/>
        <w:spacing w:line="240" w:lineRule="auto" w:before="51"/>
        <w:ind w:left="1134" w:right="0"/>
        <w:jc w:val="left"/>
      </w:pPr>
      <w:r>
        <w:rPr/>
        <w:t>其他说明，包括本期增减变动情况、变动原因说明：</w:t>
      </w:r>
    </w:p>
    <w:p>
      <w:pPr>
        <w:spacing w:line="240" w:lineRule="auto" w:before="11"/>
        <w:rPr>
          <w:rFonts w:ascii="宋体" w:hAnsi="宋体" w:cs="宋体" w:eastAsia="宋体" w:hint="default"/>
          <w:sz w:val="26"/>
          <w:szCs w:val="26"/>
        </w:rPr>
      </w:pPr>
    </w:p>
    <w:p>
      <w:pPr>
        <w:pStyle w:val="Heading3"/>
        <w:spacing w:line="240" w:lineRule="auto"/>
        <w:ind w:left="1134" w:right="0"/>
        <w:jc w:val="left"/>
        <w:rPr>
          <w:b w:val="0"/>
          <w:bCs w:val="0"/>
        </w:rPr>
      </w:pPr>
      <w:bookmarkStart w:name="26、其他综合收益" w:id="294"/>
      <w:bookmarkEnd w:id="294"/>
      <w:r>
        <w:rPr>
          <w:b w:val="0"/>
          <w:bCs w:val="0"/>
        </w:rPr>
      </w:r>
      <w:r>
        <w:rPr>
          <w:rFonts w:ascii="Times New Roman" w:hAnsi="Times New Roman" w:cs="Times New Roman" w:eastAsia="Times New Roman" w:hint="default"/>
        </w:rPr>
        <w:t>26</w:t>
      </w:r>
      <w:r>
        <w:rPr/>
        <w:t>、其他综合收益</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2799"/>
        <w:gridCol w:w="1070"/>
        <w:gridCol w:w="935"/>
        <w:gridCol w:w="1152"/>
        <w:gridCol w:w="935"/>
        <w:gridCol w:w="936"/>
        <w:gridCol w:w="935"/>
        <w:gridCol w:w="796"/>
      </w:tblGrid>
      <w:tr>
        <w:trPr>
          <w:trHeight w:val="397" w:hRule="exact"/>
        </w:trPr>
        <w:tc>
          <w:tcPr>
            <w:tcW w:w="2799" w:type="dxa"/>
            <w:vMerge w:val="restart"/>
            <w:tcBorders>
              <w:top w:val="single" w:sz="4" w:space="0" w:color="000000"/>
              <w:left w:val="single" w:sz="4" w:space="0" w:color="000000"/>
              <w:right w:val="single" w:sz="4" w:space="0" w:color="000000"/>
            </w:tcBorders>
            <w:shd w:val="clear" w:color="auto" w:fill="D2D2D2"/>
          </w:tcPr>
          <w:p>
            <w:pPr/>
          </w:p>
        </w:tc>
        <w:tc>
          <w:tcPr>
            <w:tcW w:w="1070" w:type="dxa"/>
            <w:vMerge w:val="restart"/>
            <w:tcBorders>
              <w:top w:val="single" w:sz="4" w:space="0" w:color="000000"/>
              <w:left w:val="single" w:sz="4" w:space="0" w:color="000000"/>
              <w:right w:val="single" w:sz="4" w:space="0" w:color="000000"/>
            </w:tcBorders>
            <w:shd w:val="clear" w:color="auto" w:fill="D2D2D2"/>
          </w:tcPr>
          <w:p>
            <w:pPr/>
          </w:p>
        </w:tc>
        <w:tc>
          <w:tcPr>
            <w:tcW w:w="4893"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796" w:type="dxa"/>
            <w:vMerge w:val="restart"/>
            <w:tcBorders>
              <w:top w:val="single" w:sz="4" w:space="0" w:color="000000"/>
              <w:left w:val="single" w:sz="4" w:space="0" w:color="000000"/>
              <w:right w:val="single" w:sz="4" w:space="0" w:color="000000"/>
            </w:tcBorders>
            <w:shd w:val="clear" w:color="auto" w:fill="D2D2D2"/>
          </w:tcPr>
          <w:p>
            <w:pPr/>
          </w:p>
        </w:tc>
      </w:tr>
      <w:tr>
        <w:trPr>
          <w:trHeight w:val="121" w:hRule="exact"/>
        </w:trPr>
        <w:tc>
          <w:tcPr>
            <w:tcW w:w="2799" w:type="dxa"/>
            <w:vMerge/>
            <w:tcBorders>
              <w:left w:val="single" w:sz="4" w:space="0" w:color="000000"/>
              <w:bottom w:val="nil" w:sz="6" w:space="0" w:color="auto"/>
              <w:right w:val="single" w:sz="4" w:space="0" w:color="000000"/>
            </w:tcBorders>
            <w:shd w:val="clear" w:color="auto" w:fill="D2D2D2"/>
          </w:tcPr>
          <w:p>
            <w:pPr/>
          </w:p>
        </w:tc>
        <w:tc>
          <w:tcPr>
            <w:tcW w:w="1070" w:type="dxa"/>
            <w:vMerge/>
            <w:tcBorders>
              <w:left w:val="single" w:sz="4" w:space="0" w:color="000000"/>
              <w:bottom w:val="nil" w:sz="6" w:space="0" w:color="auto"/>
              <w:right w:val="single" w:sz="4" w:space="0" w:color="000000"/>
            </w:tcBorders>
            <w:shd w:val="clear" w:color="auto" w:fill="D2D2D2"/>
          </w:tcPr>
          <w:p>
            <w:pPr/>
          </w:p>
        </w:tc>
        <w:tc>
          <w:tcPr>
            <w:tcW w:w="935"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6"/>
              <w:ind w:left="102" w:right="101"/>
              <w:jc w:val="center"/>
              <w:rPr>
                <w:rFonts w:ascii="宋体" w:hAnsi="宋体" w:cs="宋体" w:eastAsia="宋体" w:hint="default"/>
                <w:sz w:val="18"/>
                <w:szCs w:val="18"/>
              </w:rPr>
            </w:pPr>
            <w:r>
              <w:rPr>
                <w:rFonts w:ascii="宋体" w:hAnsi="宋体" w:cs="宋体" w:eastAsia="宋体" w:hint="default"/>
                <w:sz w:val="18"/>
                <w:szCs w:val="18"/>
              </w:rPr>
              <w:t>本期所得 税前发生 额</w:t>
            </w:r>
          </w:p>
        </w:tc>
        <w:tc>
          <w:tcPr>
            <w:tcW w:w="115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6"/>
              <w:ind w:left="29" w:right="30"/>
              <w:jc w:val="both"/>
              <w:rPr>
                <w:rFonts w:ascii="宋体" w:hAnsi="宋体" w:cs="宋体" w:eastAsia="宋体" w:hint="default"/>
                <w:sz w:val="18"/>
                <w:szCs w:val="18"/>
              </w:rPr>
            </w:pPr>
            <w:r>
              <w:rPr>
                <w:rFonts w:ascii="宋体" w:hAnsi="宋体" w:cs="宋体" w:eastAsia="宋体" w:hint="default"/>
                <w:sz w:val="18"/>
                <w:szCs w:val="18"/>
              </w:rPr>
              <w:t>减：前期计入 其他综合收益 当期转入损益</w:t>
            </w:r>
          </w:p>
        </w:tc>
        <w:tc>
          <w:tcPr>
            <w:tcW w:w="935" w:type="dxa"/>
            <w:tcBorders>
              <w:top w:val="single" w:sz="4" w:space="0" w:color="000000"/>
              <w:left w:val="single" w:sz="4" w:space="0" w:color="000000"/>
              <w:bottom w:val="nil" w:sz="6" w:space="0" w:color="auto"/>
              <w:right w:val="single" w:sz="4" w:space="0" w:color="000000"/>
            </w:tcBorders>
            <w:shd w:val="clear" w:color="auto" w:fill="D2D2D2"/>
          </w:tcPr>
          <w:p>
            <w:pPr/>
          </w:p>
        </w:tc>
        <w:tc>
          <w:tcPr>
            <w:tcW w:w="936" w:type="dxa"/>
            <w:tcBorders>
              <w:top w:val="single" w:sz="4" w:space="0" w:color="000000"/>
              <w:left w:val="single" w:sz="4" w:space="0" w:color="000000"/>
              <w:bottom w:val="nil" w:sz="6" w:space="0" w:color="auto"/>
              <w:right w:val="single" w:sz="4" w:space="0" w:color="000000"/>
            </w:tcBorders>
            <w:shd w:val="clear" w:color="auto" w:fill="D2D2D2"/>
          </w:tcPr>
          <w:p>
            <w:pPr/>
          </w:p>
        </w:tc>
        <w:tc>
          <w:tcPr>
            <w:tcW w:w="935"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6"/>
              <w:ind w:left="101" w:right="101"/>
              <w:jc w:val="center"/>
              <w:rPr>
                <w:rFonts w:ascii="宋体" w:hAnsi="宋体" w:cs="宋体" w:eastAsia="宋体" w:hint="default"/>
                <w:sz w:val="18"/>
                <w:szCs w:val="18"/>
              </w:rPr>
            </w:pPr>
            <w:r>
              <w:rPr>
                <w:rFonts w:ascii="宋体" w:hAnsi="宋体" w:cs="宋体" w:eastAsia="宋体" w:hint="default"/>
                <w:sz w:val="18"/>
                <w:szCs w:val="18"/>
              </w:rPr>
              <w:t>税后归属 于少数股 东</w:t>
            </w:r>
          </w:p>
        </w:tc>
        <w:tc>
          <w:tcPr>
            <w:tcW w:w="796" w:type="dxa"/>
            <w:vMerge/>
            <w:tcBorders>
              <w:left w:val="single" w:sz="4" w:space="0" w:color="000000"/>
              <w:bottom w:val="nil" w:sz="6" w:space="0" w:color="auto"/>
              <w:right w:val="single" w:sz="4" w:space="0" w:color="000000"/>
            </w:tcBorders>
            <w:shd w:val="clear" w:color="auto" w:fill="D2D2D2"/>
          </w:tcPr>
          <w:p>
            <w:pPr/>
          </w:p>
        </w:tc>
      </w:tr>
      <w:tr>
        <w:trPr>
          <w:trHeight w:val="369" w:hRule="exact"/>
        </w:trPr>
        <w:tc>
          <w:tcPr>
            <w:tcW w:w="279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107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6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935" w:type="dxa"/>
            <w:vMerge/>
            <w:tcBorders>
              <w:left w:val="single" w:sz="4" w:space="0" w:color="000000"/>
              <w:right w:val="single" w:sz="4" w:space="0" w:color="000000"/>
            </w:tcBorders>
            <w:shd w:val="clear" w:color="auto" w:fill="D2D2D2"/>
          </w:tcPr>
          <w:p>
            <w:pPr/>
          </w:p>
        </w:tc>
        <w:tc>
          <w:tcPr>
            <w:tcW w:w="1152" w:type="dxa"/>
            <w:vMerge/>
            <w:tcBorders>
              <w:left w:val="single" w:sz="4" w:space="0" w:color="000000"/>
              <w:right w:val="single" w:sz="4" w:space="0" w:color="000000"/>
            </w:tcBorders>
            <w:shd w:val="clear" w:color="auto" w:fill="D2D2D2"/>
          </w:tcPr>
          <w:p>
            <w:pPr/>
          </w:p>
        </w:tc>
        <w:tc>
          <w:tcPr>
            <w:tcW w:w="935"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73"/>
              <w:ind w:left="281" w:right="23" w:hanging="260"/>
              <w:jc w:val="left"/>
              <w:rPr>
                <w:rFonts w:ascii="宋体" w:hAnsi="宋体" w:cs="宋体" w:eastAsia="宋体" w:hint="default"/>
                <w:sz w:val="18"/>
                <w:szCs w:val="18"/>
              </w:rPr>
            </w:pPr>
            <w:r>
              <w:rPr>
                <w:rFonts w:ascii="宋体" w:hAnsi="宋体" w:cs="宋体" w:eastAsia="宋体" w:hint="default"/>
                <w:spacing w:val="-5"/>
                <w:sz w:val="18"/>
                <w:szCs w:val="18"/>
              </w:rPr>
              <w:t>减：所得税</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费用</w:t>
            </w:r>
          </w:p>
        </w:tc>
        <w:tc>
          <w:tcPr>
            <w:tcW w:w="936"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73"/>
              <w:ind w:left="102" w:right="102"/>
              <w:jc w:val="left"/>
              <w:rPr>
                <w:rFonts w:ascii="宋体" w:hAnsi="宋体" w:cs="宋体" w:eastAsia="宋体" w:hint="default"/>
                <w:sz w:val="18"/>
                <w:szCs w:val="18"/>
              </w:rPr>
            </w:pPr>
            <w:r>
              <w:rPr>
                <w:rFonts w:ascii="宋体" w:hAnsi="宋体" w:cs="宋体" w:eastAsia="宋体" w:hint="default"/>
                <w:sz w:val="18"/>
                <w:szCs w:val="18"/>
              </w:rPr>
              <w:t>税后归属 于母公司</w:t>
            </w:r>
          </w:p>
        </w:tc>
        <w:tc>
          <w:tcPr>
            <w:tcW w:w="935" w:type="dxa"/>
            <w:vMerge/>
            <w:tcBorders>
              <w:left w:val="single" w:sz="4" w:space="0" w:color="000000"/>
              <w:right w:val="single" w:sz="4" w:space="0" w:color="000000"/>
            </w:tcBorders>
            <w:shd w:val="clear" w:color="auto" w:fill="D2D2D2"/>
          </w:tcPr>
          <w:p>
            <w:pPr/>
          </w:p>
        </w:tc>
        <w:tc>
          <w:tcPr>
            <w:tcW w:w="7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9"/>
              <w:ind w:left="3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358" w:hRule="exact"/>
        </w:trPr>
        <w:tc>
          <w:tcPr>
            <w:tcW w:w="2799" w:type="dxa"/>
            <w:vMerge w:val="restart"/>
            <w:tcBorders>
              <w:top w:val="nil" w:sz="6" w:space="0" w:color="auto"/>
              <w:left w:val="single" w:sz="4" w:space="0" w:color="000000"/>
              <w:right w:val="single" w:sz="4" w:space="0" w:color="000000"/>
            </w:tcBorders>
            <w:shd w:val="clear" w:color="auto" w:fill="D2D2D2"/>
          </w:tcPr>
          <w:p>
            <w:pPr/>
          </w:p>
        </w:tc>
        <w:tc>
          <w:tcPr>
            <w:tcW w:w="1070" w:type="dxa"/>
            <w:vMerge w:val="restart"/>
            <w:tcBorders>
              <w:top w:val="nil" w:sz="6" w:space="0" w:color="auto"/>
              <w:left w:val="single" w:sz="4" w:space="0" w:color="000000"/>
              <w:right w:val="single" w:sz="4" w:space="0" w:color="000000"/>
            </w:tcBorders>
            <w:shd w:val="clear" w:color="auto" w:fill="D2D2D2"/>
          </w:tcPr>
          <w:p>
            <w:pPr/>
          </w:p>
        </w:tc>
        <w:tc>
          <w:tcPr>
            <w:tcW w:w="935" w:type="dxa"/>
            <w:vMerge/>
            <w:tcBorders>
              <w:left w:val="single" w:sz="4" w:space="0" w:color="000000"/>
              <w:right w:val="single" w:sz="4" w:space="0" w:color="000000"/>
            </w:tcBorders>
            <w:shd w:val="clear" w:color="auto" w:fill="D2D2D2"/>
          </w:tcPr>
          <w:p>
            <w:pPr/>
          </w:p>
        </w:tc>
        <w:tc>
          <w:tcPr>
            <w:tcW w:w="1152" w:type="dxa"/>
            <w:vMerge/>
            <w:tcBorders>
              <w:left w:val="single" w:sz="4" w:space="0" w:color="000000"/>
              <w:right w:val="single" w:sz="4" w:space="0" w:color="000000"/>
            </w:tcBorders>
            <w:shd w:val="clear" w:color="auto" w:fill="D2D2D2"/>
          </w:tcPr>
          <w:p>
            <w:pPr/>
          </w:p>
        </w:tc>
        <w:tc>
          <w:tcPr>
            <w:tcW w:w="935" w:type="dxa"/>
            <w:vMerge/>
            <w:tcBorders>
              <w:left w:val="single" w:sz="4" w:space="0" w:color="000000"/>
              <w:bottom w:val="nil" w:sz="6" w:space="0" w:color="auto"/>
              <w:right w:val="single" w:sz="4" w:space="0" w:color="000000"/>
            </w:tcBorders>
            <w:shd w:val="clear" w:color="auto" w:fill="D2D2D2"/>
          </w:tcPr>
          <w:p>
            <w:pPr/>
          </w:p>
        </w:tc>
        <w:tc>
          <w:tcPr>
            <w:tcW w:w="936" w:type="dxa"/>
            <w:vMerge/>
            <w:tcBorders>
              <w:left w:val="single" w:sz="4" w:space="0" w:color="000000"/>
              <w:bottom w:val="nil" w:sz="6" w:space="0" w:color="auto"/>
              <w:right w:val="single" w:sz="4" w:space="0" w:color="000000"/>
            </w:tcBorders>
            <w:shd w:val="clear" w:color="auto" w:fill="D2D2D2"/>
          </w:tcPr>
          <w:p>
            <w:pPr/>
          </w:p>
        </w:tc>
        <w:tc>
          <w:tcPr>
            <w:tcW w:w="935" w:type="dxa"/>
            <w:vMerge/>
            <w:tcBorders>
              <w:left w:val="single" w:sz="4" w:space="0" w:color="000000"/>
              <w:right w:val="single" w:sz="4" w:space="0" w:color="000000"/>
            </w:tcBorders>
            <w:shd w:val="clear" w:color="auto" w:fill="D2D2D2"/>
          </w:tcPr>
          <w:p>
            <w:pPr/>
          </w:p>
        </w:tc>
        <w:tc>
          <w:tcPr>
            <w:tcW w:w="796"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2799" w:type="dxa"/>
            <w:vMerge/>
            <w:tcBorders>
              <w:left w:val="single" w:sz="4" w:space="0" w:color="000000"/>
              <w:bottom w:val="single" w:sz="4" w:space="0" w:color="000000"/>
              <w:right w:val="single" w:sz="4" w:space="0" w:color="000000"/>
            </w:tcBorders>
            <w:shd w:val="clear" w:color="auto" w:fill="D2D2D2"/>
          </w:tcPr>
          <w:p>
            <w:pPr/>
          </w:p>
        </w:tc>
        <w:tc>
          <w:tcPr>
            <w:tcW w:w="1070" w:type="dxa"/>
            <w:vMerge/>
            <w:tcBorders>
              <w:left w:val="single" w:sz="4" w:space="0" w:color="000000"/>
              <w:bottom w:val="single" w:sz="4" w:space="0" w:color="000000"/>
              <w:right w:val="single" w:sz="4" w:space="0" w:color="000000"/>
            </w:tcBorders>
            <w:shd w:val="clear" w:color="auto" w:fill="D2D2D2"/>
          </w:tcPr>
          <w:p>
            <w:pPr/>
          </w:p>
        </w:tc>
        <w:tc>
          <w:tcPr>
            <w:tcW w:w="935" w:type="dxa"/>
            <w:vMerge/>
            <w:tcBorders>
              <w:left w:val="single" w:sz="4" w:space="0" w:color="000000"/>
              <w:bottom w:val="single" w:sz="4" w:space="0" w:color="000000"/>
              <w:right w:val="single" w:sz="4" w:space="0" w:color="000000"/>
            </w:tcBorders>
            <w:shd w:val="clear" w:color="auto" w:fill="D2D2D2"/>
          </w:tcPr>
          <w:p>
            <w:pPr/>
          </w:p>
        </w:tc>
        <w:tc>
          <w:tcPr>
            <w:tcW w:w="1152" w:type="dxa"/>
            <w:vMerge/>
            <w:tcBorders>
              <w:left w:val="single" w:sz="4" w:space="0" w:color="000000"/>
              <w:bottom w:val="single" w:sz="4" w:space="0" w:color="000000"/>
              <w:right w:val="single" w:sz="4" w:space="0" w:color="000000"/>
            </w:tcBorders>
            <w:shd w:val="clear" w:color="auto" w:fill="D2D2D2"/>
          </w:tcPr>
          <w:p>
            <w:pPr/>
          </w:p>
        </w:tc>
        <w:tc>
          <w:tcPr>
            <w:tcW w:w="935" w:type="dxa"/>
            <w:tcBorders>
              <w:top w:val="nil" w:sz="6" w:space="0" w:color="auto"/>
              <w:left w:val="single" w:sz="4" w:space="0" w:color="000000"/>
              <w:bottom w:val="single" w:sz="4" w:space="0" w:color="000000"/>
              <w:right w:val="single" w:sz="4" w:space="0" w:color="000000"/>
            </w:tcBorders>
            <w:shd w:val="clear" w:color="auto" w:fill="D2D2D2"/>
          </w:tcPr>
          <w:p>
            <w:pPr/>
          </w:p>
        </w:tc>
        <w:tc>
          <w:tcPr>
            <w:tcW w:w="936" w:type="dxa"/>
            <w:tcBorders>
              <w:top w:val="nil" w:sz="6" w:space="0" w:color="auto"/>
              <w:left w:val="single" w:sz="4" w:space="0" w:color="000000"/>
              <w:bottom w:val="single" w:sz="4" w:space="0" w:color="000000"/>
              <w:right w:val="single" w:sz="4" w:space="0" w:color="000000"/>
            </w:tcBorders>
            <w:shd w:val="clear" w:color="auto" w:fill="D2D2D2"/>
          </w:tcPr>
          <w:p>
            <w:pPr/>
          </w:p>
        </w:tc>
        <w:tc>
          <w:tcPr>
            <w:tcW w:w="935" w:type="dxa"/>
            <w:vMerge/>
            <w:tcBorders>
              <w:left w:val="single" w:sz="4" w:space="0" w:color="000000"/>
              <w:bottom w:val="single" w:sz="4" w:space="0" w:color="000000"/>
              <w:right w:val="single" w:sz="4" w:space="0" w:color="000000"/>
            </w:tcBorders>
            <w:shd w:val="clear" w:color="auto" w:fill="D2D2D2"/>
          </w:tcPr>
          <w:p>
            <w:pPr/>
          </w:p>
        </w:tc>
        <w:tc>
          <w:tcPr>
            <w:tcW w:w="796" w:type="dxa"/>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2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76"/>
              <w:jc w:val="left"/>
              <w:rPr>
                <w:rFonts w:ascii="宋体" w:hAnsi="宋体" w:cs="宋体" w:eastAsia="宋体" w:hint="default"/>
                <w:sz w:val="18"/>
                <w:szCs w:val="18"/>
              </w:rPr>
            </w:pPr>
            <w:r>
              <w:rPr>
                <w:rFonts w:ascii="宋体" w:hAnsi="宋体" w:cs="宋体" w:eastAsia="宋体" w:hint="default"/>
                <w:sz w:val="18"/>
                <w:szCs w:val="18"/>
              </w:rPr>
              <w:t>二、以后将重分类进损益的其他综 合收益</w:t>
            </w:r>
          </w:p>
        </w:tc>
        <w:tc>
          <w:tcPr>
            <w:tcW w:w="107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sz w:val="18"/>
              </w:rPr>
              <w:t>1,713,946.74</w:t>
            </w:r>
          </w:p>
        </w:tc>
        <w:tc>
          <w:tcPr>
            <w:tcW w:w="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-1,551,455.</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97</w:t>
            </w:r>
          </w:p>
        </w:tc>
        <w:tc>
          <w:tcPr>
            <w:tcW w:w="1152" w:type="dxa"/>
            <w:tcBorders>
              <w:top w:val="single" w:sz="4" w:space="0" w:color="000000"/>
              <w:left w:val="single" w:sz="4" w:space="0" w:color="000000"/>
              <w:bottom w:val="single" w:sz="4" w:space="0" w:color="000000"/>
              <w:right w:val="single" w:sz="4" w:space="0" w:color="000000"/>
            </w:tcBorders>
          </w:tcPr>
          <w:p>
            <w:pPr/>
          </w:p>
        </w:tc>
        <w:tc>
          <w:tcPr>
            <w:tcW w:w="935"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2" w:right="0"/>
              <w:jc w:val="left"/>
              <w:rPr>
                <w:rFonts w:ascii="Times New Roman" w:hAnsi="Times New Roman" w:cs="Times New Roman" w:eastAsia="Times New Roman" w:hint="default"/>
                <w:sz w:val="18"/>
                <w:szCs w:val="18"/>
              </w:rPr>
            </w:pPr>
            <w:r>
              <w:rPr>
                <w:rFonts w:ascii="Times New Roman"/>
                <w:sz w:val="18"/>
              </w:rPr>
              <w:t>-982,573.96</w:t>
            </w:r>
          </w:p>
        </w:tc>
        <w:tc>
          <w:tcPr>
            <w:tcW w:w="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1" w:right="0"/>
              <w:jc w:val="left"/>
              <w:rPr>
                <w:rFonts w:ascii="Times New Roman" w:hAnsi="Times New Roman" w:cs="Times New Roman" w:eastAsia="Times New Roman" w:hint="default"/>
                <w:sz w:val="18"/>
                <w:szCs w:val="18"/>
              </w:rPr>
            </w:pPr>
            <w:r>
              <w:rPr>
                <w:rFonts w:ascii="Times New Roman"/>
                <w:sz w:val="18"/>
              </w:rPr>
              <w:t>-568,882.01</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731,372.7</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8</w:t>
            </w:r>
          </w:p>
        </w:tc>
      </w:tr>
      <w:tr>
        <w:trPr>
          <w:trHeight w:val="161" w:hRule="exact"/>
        </w:trPr>
        <w:tc>
          <w:tcPr>
            <w:tcW w:w="2799" w:type="dxa"/>
            <w:tcBorders>
              <w:top w:val="single" w:sz="4" w:space="0" w:color="000000"/>
              <w:left w:val="single" w:sz="4" w:space="0" w:color="000000"/>
              <w:bottom w:val="nil" w:sz="6" w:space="0" w:color="auto"/>
              <w:right w:val="single" w:sz="4" w:space="0" w:color="000000"/>
            </w:tcBorders>
            <w:shd w:val="clear" w:color="auto" w:fill="D2D2D2"/>
          </w:tcPr>
          <w:p>
            <w:pPr/>
          </w:p>
        </w:tc>
        <w:tc>
          <w:tcPr>
            <w:tcW w:w="1070" w:type="dxa"/>
            <w:vMerge w:val="restart"/>
            <w:tcBorders>
              <w:top w:val="single" w:sz="4" w:space="0" w:color="000000"/>
              <w:left w:val="single" w:sz="9"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4" w:right="0"/>
              <w:jc w:val="left"/>
              <w:rPr>
                <w:rFonts w:ascii="Times New Roman" w:hAnsi="Times New Roman" w:cs="Times New Roman" w:eastAsia="Times New Roman" w:hint="default"/>
                <w:sz w:val="18"/>
                <w:szCs w:val="18"/>
              </w:rPr>
            </w:pPr>
            <w:r>
              <w:rPr>
                <w:rFonts w:ascii="Times New Roman"/>
                <w:sz w:val="18"/>
              </w:rPr>
              <w:t>1,713,946.74</w:t>
            </w:r>
          </w:p>
        </w:tc>
        <w:tc>
          <w:tcPr>
            <w:tcW w:w="935"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-1,551,455.</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97</w:t>
            </w:r>
          </w:p>
        </w:tc>
        <w:tc>
          <w:tcPr>
            <w:tcW w:w="1152" w:type="dxa"/>
            <w:vMerge w:val="restart"/>
            <w:tcBorders>
              <w:top w:val="single" w:sz="4" w:space="0" w:color="000000"/>
              <w:left w:val="single" w:sz="4" w:space="0" w:color="000000"/>
              <w:right w:val="single" w:sz="4" w:space="0" w:color="000000"/>
            </w:tcBorders>
          </w:tcPr>
          <w:p>
            <w:pPr/>
          </w:p>
        </w:tc>
        <w:tc>
          <w:tcPr>
            <w:tcW w:w="935" w:type="dxa"/>
            <w:vMerge w:val="restart"/>
            <w:tcBorders>
              <w:top w:val="single" w:sz="4" w:space="0" w:color="000000"/>
              <w:left w:val="single" w:sz="4" w:space="0" w:color="000000"/>
              <w:right w:val="single" w:sz="4" w:space="0" w:color="000000"/>
            </w:tcBorders>
          </w:tcPr>
          <w:p>
            <w:pPr/>
          </w:p>
        </w:tc>
        <w:tc>
          <w:tcPr>
            <w:tcW w:w="936"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2" w:right="0"/>
              <w:jc w:val="left"/>
              <w:rPr>
                <w:rFonts w:ascii="Times New Roman" w:hAnsi="Times New Roman" w:cs="Times New Roman" w:eastAsia="Times New Roman" w:hint="default"/>
                <w:sz w:val="18"/>
                <w:szCs w:val="18"/>
              </w:rPr>
            </w:pPr>
            <w:r>
              <w:rPr>
                <w:rFonts w:ascii="Times New Roman"/>
                <w:sz w:val="18"/>
              </w:rPr>
              <w:t>-982,573.96</w:t>
            </w:r>
          </w:p>
        </w:tc>
        <w:tc>
          <w:tcPr>
            <w:tcW w:w="93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1" w:right="0"/>
              <w:jc w:val="left"/>
              <w:rPr>
                <w:rFonts w:ascii="Times New Roman" w:hAnsi="Times New Roman" w:cs="Times New Roman" w:eastAsia="Times New Roman" w:hint="default"/>
                <w:sz w:val="18"/>
                <w:szCs w:val="18"/>
              </w:rPr>
            </w:pPr>
            <w:r>
              <w:rPr>
                <w:rFonts w:ascii="Times New Roman"/>
                <w:sz w:val="18"/>
              </w:rPr>
              <w:t>-568,882.01</w:t>
            </w:r>
          </w:p>
        </w:tc>
        <w:tc>
          <w:tcPr>
            <w:tcW w:w="796"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731,372.7</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8</w:t>
            </w:r>
          </w:p>
        </w:tc>
      </w:tr>
      <w:tr>
        <w:trPr>
          <w:trHeight w:val="392" w:hRule="exact"/>
        </w:trPr>
        <w:tc>
          <w:tcPr>
            <w:tcW w:w="279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外币财务报表折算差额</w:t>
            </w:r>
          </w:p>
        </w:tc>
        <w:tc>
          <w:tcPr>
            <w:tcW w:w="1070" w:type="dxa"/>
            <w:vMerge/>
            <w:tcBorders>
              <w:left w:val="single" w:sz="9" w:space="0" w:color="D2D2D2"/>
              <w:right w:val="single" w:sz="4" w:space="0" w:color="000000"/>
            </w:tcBorders>
          </w:tcPr>
          <w:p>
            <w:pPr/>
          </w:p>
        </w:tc>
        <w:tc>
          <w:tcPr>
            <w:tcW w:w="935" w:type="dxa"/>
            <w:vMerge/>
            <w:tcBorders>
              <w:left w:val="single" w:sz="4" w:space="0" w:color="000000"/>
              <w:right w:val="single" w:sz="4" w:space="0" w:color="000000"/>
            </w:tcBorders>
          </w:tcPr>
          <w:p>
            <w:pPr/>
          </w:p>
        </w:tc>
        <w:tc>
          <w:tcPr>
            <w:tcW w:w="1152" w:type="dxa"/>
            <w:vMerge/>
            <w:tcBorders>
              <w:left w:val="single" w:sz="4" w:space="0" w:color="000000"/>
              <w:right w:val="single" w:sz="4" w:space="0" w:color="000000"/>
            </w:tcBorders>
          </w:tcPr>
          <w:p>
            <w:pPr/>
          </w:p>
        </w:tc>
        <w:tc>
          <w:tcPr>
            <w:tcW w:w="935" w:type="dxa"/>
            <w:vMerge/>
            <w:tcBorders>
              <w:left w:val="single" w:sz="4" w:space="0" w:color="000000"/>
              <w:right w:val="single" w:sz="4" w:space="0" w:color="000000"/>
            </w:tcBorders>
          </w:tcPr>
          <w:p>
            <w:pPr/>
          </w:p>
        </w:tc>
        <w:tc>
          <w:tcPr>
            <w:tcW w:w="936" w:type="dxa"/>
            <w:vMerge/>
            <w:tcBorders>
              <w:left w:val="single" w:sz="4" w:space="0" w:color="000000"/>
              <w:right w:val="single" w:sz="4" w:space="0" w:color="000000"/>
            </w:tcBorders>
          </w:tcPr>
          <w:p>
            <w:pPr/>
          </w:p>
        </w:tc>
        <w:tc>
          <w:tcPr>
            <w:tcW w:w="935" w:type="dxa"/>
            <w:vMerge/>
            <w:tcBorders>
              <w:left w:val="single" w:sz="4" w:space="0" w:color="000000"/>
              <w:right w:val="single" w:sz="4" w:space="0" w:color="000000"/>
            </w:tcBorders>
          </w:tcPr>
          <w:p>
            <w:pPr/>
          </w:p>
        </w:tc>
        <w:tc>
          <w:tcPr>
            <w:tcW w:w="796" w:type="dxa"/>
            <w:vMerge/>
            <w:tcBorders>
              <w:left w:val="single" w:sz="4" w:space="0" w:color="000000"/>
              <w:right w:val="single" w:sz="4" w:space="0" w:color="000000"/>
            </w:tcBorders>
          </w:tcPr>
          <w:p>
            <w:pPr/>
          </w:p>
        </w:tc>
      </w:tr>
      <w:tr>
        <w:trPr>
          <w:trHeight w:val="161" w:hRule="exact"/>
        </w:trPr>
        <w:tc>
          <w:tcPr>
            <w:tcW w:w="2799" w:type="dxa"/>
            <w:tcBorders>
              <w:top w:val="nil" w:sz="6" w:space="0" w:color="auto"/>
              <w:left w:val="single" w:sz="4" w:space="0" w:color="000000"/>
              <w:bottom w:val="single" w:sz="4" w:space="0" w:color="000000"/>
              <w:right w:val="single" w:sz="4" w:space="0" w:color="000000"/>
            </w:tcBorders>
            <w:shd w:val="clear" w:color="auto" w:fill="D2D2D2"/>
          </w:tcPr>
          <w:p>
            <w:pPr/>
          </w:p>
        </w:tc>
        <w:tc>
          <w:tcPr>
            <w:tcW w:w="1070" w:type="dxa"/>
            <w:vMerge/>
            <w:tcBorders>
              <w:left w:val="single" w:sz="9" w:space="0" w:color="D2D2D2"/>
              <w:bottom w:val="single" w:sz="4" w:space="0" w:color="000000"/>
              <w:right w:val="single" w:sz="4" w:space="0" w:color="000000"/>
            </w:tcBorders>
          </w:tcPr>
          <w:p>
            <w:pPr/>
          </w:p>
        </w:tc>
        <w:tc>
          <w:tcPr>
            <w:tcW w:w="935" w:type="dxa"/>
            <w:vMerge/>
            <w:tcBorders>
              <w:left w:val="single" w:sz="4" w:space="0" w:color="000000"/>
              <w:bottom w:val="single" w:sz="4" w:space="0" w:color="000000"/>
              <w:right w:val="single" w:sz="4" w:space="0" w:color="000000"/>
            </w:tcBorders>
          </w:tcPr>
          <w:p>
            <w:pPr/>
          </w:p>
        </w:tc>
        <w:tc>
          <w:tcPr>
            <w:tcW w:w="1152" w:type="dxa"/>
            <w:vMerge/>
            <w:tcBorders>
              <w:left w:val="single" w:sz="4" w:space="0" w:color="000000"/>
              <w:bottom w:val="single" w:sz="4" w:space="0" w:color="000000"/>
              <w:right w:val="single" w:sz="4" w:space="0" w:color="000000"/>
            </w:tcBorders>
          </w:tcPr>
          <w:p>
            <w:pPr/>
          </w:p>
        </w:tc>
        <w:tc>
          <w:tcPr>
            <w:tcW w:w="935" w:type="dxa"/>
            <w:vMerge/>
            <w:tcBorders>
              <w:left w:val="single" w:sz="4" w:space="0" w:color="000000"/>
              <w:bottom w:val="single" w:sz="4" w:space="0" w:color="000000"/>
              <w:right w:val="single" w:sz="4" w:space="0" w:color="000000"/>
            </w:tcBorders>
          </w:tcPr>
          <w:p>
            <w:pPr/>
          </w:p>
        </w:tc>
        <w:tc>
          <w:tcPr>
            <w:tcW w:w="936" w:type="dxa"/>
            <w:vMerge/>
            <w:tcBorders>
              <w:left w:val="single" w:sz="4" w:space="0" w:color="000000"/>
              <w:bottom w:val="single" w:sz="4" w:space="0" w:color="000000"/>
              <w:right w:val="single" w:sz="4" w:space="0" w:color="000000"/>
            </w:tcBorders>
          </w:tcPr>
          <w:p>
            <w:pPr/>
          </w:p>
        </w:tc>
        <w:tc>
          <w:tcPr>
            <w:tcW w:w="935" w:type="dxa"/>
            <w:vMerge/>
            <w:tcBorders>
              <w:left w:val="single" w:sz="4" w:space="0" w:color="000000"/>
              <w:bottom w:val="single" w:sz="4" w:space="0" w:color="000000"/>
              <w:right w:val="single" w:sz="4" w:space="0" w:color="000000"/>
            </w:tcBorders>
          </w:tcPr>
          <w:p>
            <w:pPr/>
          </w:p>
        </w:tc>
        <w:tc>
          <w:tcPr>
            <w:tcW w:w="796" w:type="dxa"/>
            <w:vMerge/>
            <w:tcBorders>
              <w:left w:val="single" w:sz="4" w:space="0" w:color="000000"/>
              <w:bottom w:val="single" w:sz="4" w:space="0" w:color="000000"/>
              <w:right w:val="single" w:sz="4" w:space="0" w:color="000000"/>
            </w:tcBorders>
          </w:tcPr>
          <w:p>
            <w:pPr/>
          </w:p>
        </w:tc>
      </w:tr>
      <w:tr>
        <w:trPr>
          <w:trHeight w:val="161" w:hRule="exact"/>
        </w:trPr>
        <w:tc>
          <w:tcPr>
            <w:tcW w:w="2799" w:type="dxa"/>
            <w:tcBorders>
              <w:top w:val="single" w:sz="4" w:space="0" w:color="000000"/>
              <w:left w:val="single" w:sz="4" w:space="0" w:color="000000"/>
              <w:bottom w:val="nil" w:sz="6" w:space="0" w:color="auto"/>
              <w:right w:val="single" w:sz="4" w:space="0" w:color="000000"/>
            </w:tcBorders>
            <w:shd w:val="clear" w:color="auto" w:fill="D2D2D2"/>
          </w:tcPr>
          <w:p>
            <w:pPr/>
          </w:p>
        </w:tc>
        <w:tc>
          <w:tcPr>
            <w:tcW w:w="1070" w:type="dxa"/>
            <w:vMerge w:val="restart"/>
            <w:tcBorders>
              <w:top w:val="single" w:sz="4" w:space="0" w:color="000000"/>
              <w:left w:val="single" w:sz="9"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4" w:right="0"/>
              <w:jc w:val="left"/>
              <w:rPr>
                <w:rFonts w:ascii="Times New Roman" w:hAnsi="Times New Roman" w:cs="Times New Roman" w:eastAsia="Times New Roman" w:hint="default"/>
                <w:sz w:val="18"/>
                <w:szCs w:val="18"/>
              </w:rPr>
            </w:pPr>
            <w:r>
              <w:rPr>
                <w:rFonts w:ascii="Times New Roman"/>
                <w:sz w:val="18"/>
              </w:rPr>
              <w:t>1,713,946.74</w:t>
            </w:r>
          </w:p>
        </w:tc>
        <w:tc>
          <w:tcPr>
            <w:tcW w:w="935"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-1,551,455.</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97</w:t>
            </w:r>
          </w:p>
        </w:tc>
        <w:tc>
          <w:tcPr>
            <w:tcW w:w="1152" w:type="dxa"/>
            <w:vMerge w:val="restart"/>
            <w:tcBorders>
              <w:top w:val="single" w:sz="4" w:space="0" w:color="000000"/>
              <w:left w:val="single" w:sz="4" w:space="0" w:color="000000"/>
              <w:right w:val="single" w:sz="4" w:space="0" w:color="000000"/>
            </w:tcBorders>
          </w:tcPr>
          <w:p>
            <w:pPr/>
          </w:p>
        </w:tc>
        <w:tc>
          <w:tcPr>
            <w:tcW w:w="935" w:type="dxa"/>
            <w:vMerge w:val="restart"/>
            <w:tcBorders>
              <w:top w:val="single" w:sz="4" w:space="0" w:color="000000"/>
              <w:left w:val="single" w:sz="4" w:space="0" w:color="000000"/>
              <w:right w:val="single" w:sz="4" w:space="0" w:color="000000"/>
            </w:tcBorders>
          </w:tcPr>
          <w:p>
            <w:pPr/>
          </w:p>
        </w:tc>
        <w:tc>
          <w:tcPr>
            <w:tcW w:w="936"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2" w:right="0"/>
              <w:jc w:val="left"/>
              <w:rPr>
                <w:rFonts w:ascii="Times New Roman" w:hAnsi="Times New Roman" w:cs="Times New Roman" w:eastAsia="Times New Roman" w:hint="default"/>
                <w:sz w:val="18"/>
                <w:szCs w:val="18"/>
              </w:rPr>
            </w:pPr>
            <w:r>
              <w:rPr>
                <w:rFonts w:ascii="Times New Roman"/>
                <w:sz w:val="18"/>
              </w:rPr>
              <w:t>-982,573.96</w:t>
            </w:r>
          </w:p>
        </w:tc>
        <w:tc>
          <w:tcPr>
            <w:tcW w:w="93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1" w:right="0"/>
              <w:jc w:val="left"/>
              <w:rPr>
                <w:rFonts w:ascii="Times New Roman" w:hAnsi="Times New Roman" w:cs="Times New Roman" w:eastAsia="Times New Roman" w:hint="default"/>
                <w:sz w:val="18"/>
                <w:szCs w:val="18"/>
              </w:rPr>
            </w:pPr>
            <w:r>
              <w:rPr>
                <w:rFonts w:ascii="Times New Roman"/>
                <w:sz w:val="18"/>
              </w:rPr>
              <w:t>-568,882.01</w:t>
            </w:r>
          </w:p>
        </w:tc>
        <w:tc>
          <w:tcPr>
            <w:tcW w:w="796"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731,372.7</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8</w:t>
            </w:r>
          </w:p>
        </w:tc>
      </w:tr>
      <w:tr>
        <w:trPr>
          <w:trHeight w:val="392" w:hRule="exact"/>
        </w:trPr>
        <w:tc>
          <w:tcPr>
            <w:tcW w:w="279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其他综合收益合计</w:t>
            </w:r>
          </w:p>
        </w:tc>
        <w:tc>
          <w:tcPr>
            <w:tcW w:w="1070" w:type="dxa"/>
            <w:vMerge/>
            <w:tcBorders>
              <w:left w:val="single" w:sz="9" w:space="0" w:color="D2D2D2"/>
              <w:right w:val="single" w:sz="4" w:space="0" w:color="000000"/>
            </w:tcBorders>
          </w:tcPr>
          <w:p>
            <w:pPr/>
          </w:p>
        </w:tc>
        <w:tc>
          <w:tcPr>
            <w:tcW w:w="935" w:type="dxa"/>
            <w:vMerge/>
            <w:tcBorders>
              <w:left w:val="single" w:sz="4" w:space="0" w:color="000000"/>
              <w:right w:val="single" w:sz="4" w:space="0" w:color="000000"/>
            </w:tcBorders>
          </w:tcPr>
          <w:p>
            <w:pPr/>
          </w:p>
        </w:tc>
        <w:tc>
          <w:tcPr>
            <w:tcW w:w="1152" w:type="dxa"/>
            <w:vMerge/>
            <w:tcBorders>
              <w:left w:val="single" w:sz="4" w:space="0" w:color="000000"/>
              <w:right w:val="single" w:sz="4" w:space="0" w:color="000000"/>
            </w:tcBorders>
          </w:tcPr>
          <w:p>
            <w:pPr/>
          </w:p>
        </w:tc>
        <w:tc>
          <w:tcPr>
            <w:tcW w:w="935" w:type="dxa"/>
            <w:vMerge/>
            <w:tcBorders>
              <w:left w:val="single" w:sz="4" w:space="0" w:color="000000"/>
              <w:right w:val="single" w:sz="4" w:space="0" w:color="000000"/>
            </w:tcBorders>
          </w:tcPr>
          <w:p>
            <w:pPr/>
          </w:p>
        </w:tc>
        <w:tc>
          <w:tcPr>
            <w:tcW w:w="936" w:type="dxa"/>
            <w:vMerge/>
            <w:tcBorders>
              <w:left w:val="single" w:sz="4" w:space="0" w:color="000000"/>
              <w:right w:val="single" w:sz="4" w:space="0" w:color="000000"/>
            </w:tcBorders>
          </w:tcPr>
          <w:p>
            <w:pPr/>
          </w:p>
        </w:tc>
        <w:tc>
          <w:tcPr>
            <w:tcW w:w="935" w:type="dxa"/>
            <w:vMerge/>
            <w:tcBorders>
              <w:left w:val="single" w:sz="4" w:space="0" w:color="000000"/>
              <w:right w:val="single" w:sz="4" w:space="0" w:color="000000"/>
            </w:tcBorders>
          </w:tcPr>
          <w:p>
            <w:pPr/>
          </w:p>
        </w:tc>
        <w:tc>
          <w:tcPr>
            <w:tcW w:w="796" w:type="dxa"/>
            <w:vMerge/>
            <w:tcBorders>
              <w:left w:val="single" w:sz="4" w:space="0" w:color="000000"/>
              <w:right w:val="single" w:sz="4" w:space="0" w:color="000000"/>
            </w:tcBorders>
          </w:tcPr>
          <w:p>
            <w:pPr/>
          </w:p>
        </w:tc>
      </w:tr>
      <w:tr>
        <w:trPr>
          <w:trHeight w:val="161" w:hRule="exact"/>
        </w:trPr>
        <w:tc>
          <w:tcPr>
            <w:tcW w:w="2799" w:type="dxa"/>
            <w:tcBorders>
              <w:top w:val="nil" w:sz="6" w:space="0" w:color="auto"/>
              <w:left w:val="single" w:sz="4" w:space="0" w:color="000000"/>
              <w:bottom w:val="single" w:sz="4" w:space="0" w:color="000000"/>
              <w:right w:val="single" w:sz="4" w:space="0" w:color="000000"/>
            </w:tcBorders>
            <w:shd w:val="clear" w:color="auto" w:fill="D2D2D2"/>
          </w:tcPr>
          <w:p>
            <w:pPr/>
          </w:p>
        </w:tc>
        <w:tc>
          <w:tcPr>
            <w:tcW w:w="1070" w:type="dxa"/>
            <w:vMerge/>
            <w:tcBorders>
              <w:left w:val="single" w:sz="9" w:space="0" w:color="D2D2D2"/>
              <w:bottom w:val="single" w:sz="4" w:space="0" w:color="000000"/>
              <w:right w:val="single" w:sz="4" w:space="0" w:color="000000"/>
            </w:tcBorders>
          </w:tcPr>
          <w:p>
            <w:pPr/>
          </w:p>
        </w:tc>
        <w:tc>
          <w:tcPr>
            <w:tcW w:w="935" w:type="dxa"/>
            <w:vMerge/>
            <w:tcBorders>
              <w:left w:val="single" w:sz="4" w:space="0" w:color="000000"/>
              <w:bottom w:val="single" w:sz="4" w:space="0" w:color="000000"/>
              <w:right w:val="single" w:sz="4" w:space="0" w:color="000000"/>
            </w:tcBorders>
          </w:tcPr>
          <w:p>
            <w:pPr/>
          </w:p>
        </w:tc>
        <w:tc>
          <w:tcPr>
            <w:tcW w:w="1152" w:type="dxa"/>
            <w:vMerge/>
            <w:tcBorders>
              <w:left w:val="single" w:sz="4" w:space="0" w:color="000000"/>
              <w:bottom w:val="single" w:sz="4" w:space="0" w:color="000000"/>
              <w:right w:val="single" w:sz="4" w:space="0" w:color="000000"/>
            </w:tcBorders>
          </w:tcPr>
          <w:p>
            <w:pPr/>
          </w:p>
        </w:tc>
        <w:tc>
          <w:tcPr>
            <w:tcW w:w="935" w:type="dxa"/>
            <w:vMerge/>
            <w:tcBorders>
              <w:left w:val="single" w:sz="4" w:space="0" w:color="000000"/>
              <w:bottom w:val="single" w:sz="4" w:space="0" w:color="000000"/>
              <w:right w:val="single" w:sz="4" w:space="0" w:color="000000"/>
            </w:tcBorders>
          </w:tcPr>
          <w:p>
            <w:pPr/>
          </w:p>
        </w:tc>
        <w:tc>
          <w:tcPr>
            <w:tcW w:w="936" w:type="dxa"/>
            <w:vMerge/>
            <w:tcBorders>
              <w:left w:val="single" w:sz="4" w:space="0" w:color="000000"/>
              <w:bottom w:val="single" w:sz="4" w:space="0" w:color="000000"/>
              <w:right w:val="single" w:sz="4" w:space="0" w:color="000000"/>
            </w:tcBorders>
          </w:tcPr>
          <w:p>
            <w:pPr/>
          </w:p>
        </w:tc>
        <w:tc>
          <w:tcPr>
            <w:tcW w:w="935" w:type="dxa"/>
            <w:vMerge/>
            <w:tcBorders>
              <w:left w:val="single" w:sz="4" w:space="0" w:color="000000"/>
              <w:bottom w:val="single" w:sz="4" w:space="0" w:color="000000"/>
              <w:right w:val="single" w:sz="4" w:space="0" w:color="000000"/>
            </w:tcBorders>
          </w:tcPr>
          <w:p>
            <w:pPr/>
          </w:p>
        </w:tc>
        <w:tc>
          <w:tcPr>
            <w:tcW w:w="796" w:type="dxa"/>
            <w:vMerge/>
            <w:tcBorders>
              <w:left w:val="single" w:sz="4" w:space="0" w:color="000000"/>
              <w:bottom w:val="single" w:sz="4" w:space="0" w:color="000000"/>
              <w:right w:val="single" w:sz="4" w:space="0" w:color="000000"/>
            </w:tcBorders>
          </w:tcPr>
          <w:p>
            <w:pPr/>
          </w:p>
        </w:tc>
      </w:tr>
    </w:tbl>
    <w:p>
      <w:pPr>
        <w:pStyle w:val="BodyText"/>
        <w:spacing w:line="240" w:lineRule="auto" w:before="51"/>
        <w:ind w:left="1134" w:right="0"/>
        <w:jc w:val="left"/>
      </w:pPr>
      <w:r>
        <w:rPr/>
        <w:t>其他说明，包括对现金流量套期损益的有效部分转为被套期项目初始确认金额调整：</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27、盈余公积" w:id="295"/>
      <w:bookmarkEnd w:id="295"/>
      <w:r>
        <w:rPr>
          <w:b w:val="0"/>
          <w:bCs w:val="0"/>
        </w:rPr>
      </w:r>
      <w:r>
        <w:rPr>
          <w:rFonts w:ascii="Times New Roman" w:hAnsi="Times New Roman" w:cs="Times New Roman" w:eastAsia="Times New Roman" w:hint="default"/>
        </w:rPr>
        <w:t>27</w:t>
      </w:r>
      <w:r>
        <w:rPr/>
        <w:t>、盈余公积</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912"/>
        <w:gridCol w:w="1917"/>
        <w:gridCol w:w="1914"/>
        <w:gridCol w:w="1914"/>
        <w:gridCol w:w="1903"/>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spacing w:after="0" w:line="240"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法定盈余公积</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44,248,834.40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19,579,721.80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63,828,556.20</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44,248,834.40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19,579,721.80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63,828,556.20</w:t>
            </w:r>
          </w:p>
        </w:tc>
      </w:tr>
    </w:tbl>
    <w:p>
      <w:pPr>
        <w:pStyle w:val="BodyText"/>
        <w:spacing w:line="357" w:lineRule="auto" w:before="51"/>
        <w:ind w:left="1494" w:right="4662" w:hanging="360"/>
        <w:jc w:val="left"/>
      </w:pPr>
      <w:r>
        <w:rPr/>
        <w:t>盈余公积说明，包括本期增减变动情况、变动原因说明： 盈余公积本期增加金额系按公司</w:t>
      </w:r>
      <w:r>
        <w:rPr>
          <w:rFonts w:ascii="Times New Roman" w:hAnsi="Times New Roman" w:cs="Times New Roman" w:eastAsia="Times New Roman" w:hint="default"/>
        </w:rPr>
        <w:t>2017</w:t>
      </w:r>
      <w:r>
        <w:rPr/>
        <w:t>年度净利润</w:t>
      </w:r>
      <w:r>
        <w:rPr>
          <w:rFonts w:ascii="Times New Roman" w:hAnsi="Times New Roman" w:cs="Times New Roman" w:eastAsia="Times New Roman" w:hint="default"/>
        </w:rPr>
        <w:t>10%</w:t>
      </w:r>
      <w:r>
        <w:rPr/>
        <w:t>提取的法定盈余公积</w:t>
      </w:r>
    </w:p>
    <w:p>
      <w:pPr>
        <w:spacing w:line="240" w:lineRule="auto" w:before="5"/>
        <w:rPr>
          <w:rFonts w:ascii="宋体" w:hAnsi="宋体" w:cs="宋体" w:eastAsia="宋体" w:hint="default"/>
          <w:sz w:val="18"/>
          <w:szCs w:val="18"/>
        </w:rPr>
      </w:pPr>
    </w:p>
    <w:p>
      <w:pPr>
        <w:pStyle w:val="Heading3"/>
        <w:spacing w:line="240" w:lineRule="auto"/>
        <w:ind w:right="0"/>
        <w:jc w:val="left"/>
        <w:rPr>
          <w:b w:val="0"/>
          <w:bCs w:val="0"/>
        </w:rPr>
      </w:pPr>
      <w:bookmarkStart w:name="28、未分配利润" w:id="296"/>
      <w:bookmarkEnd w:id="296"/>
      <w:r>
        <w:rPr>
          <w:b w:val="0"/>
          <w:bCs w:val="0"/>
        </w:rPr>
      </w:r>
      <w:r>
        <w:rPr>
          <w:rFonts w:ascii="Times New Roman" w:hAnsi="Times New Roman" w:cs="Times New Roman" w:eastAsia="Times New Roman" w:hint="default"/>
        </w:rPr>
        <w:t>28</w:t>
      </w:r>
      <w:r>
        <w:rPr/>
        <w:t>、未分配利润</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714"/>
        <w:gridCol w:w="2936"/>
        <w:gridCol w:w="2919"/>
      </w:tblGrid>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本期</w:t>
            </w:r>
          </w:p>
        </w:tc>
        <w:tc>
          <w:tcPr>
            <w:tcW w:w="2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调整前上期末未分配利润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381,487,196.57</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310,309,507.01</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调整期初未分配利润合计数（调增</w:t>
            </w:r>
            <w:r>
              <w:rPr>
                <w:rFonts w:ascii="Times New Roman" w:hAnsi="Times New Roman" w:cs="Times New Roman" w:eastAsia="Times New Roman" w:hint="default"/>
                <w:sz w:val="18"/>
                <w:szCs w:val="18"/>
              </w:rPr>
              <w:t>+</w:t>
            </w:r>
            <w:r>
              <w:rPr>
                <w:rFonts w:ascii="宋体" w:hAnsi="宋体" w:cs="宋体" w:eastAsia="宋体" w:hint="default"/>
                <w:sz w:val="18"/>
                <w:szCs w:val="18"/>
              </w:rPr>
              <w:t>，调减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2936" w:type="dxa"/>
            <w:tcBorders>
              <w:top w:val="single" w:sz="4" w:space="0" w:color="000000"/>
              <w:left w:val="single" w:sz="9" w:space="0" w:color="D2D2D2"/>
              <w:bottom w:val="single" w:sz="4" w:space="0" w:color="000000"/>
              <w:right w:val="single" w:sz="4" w:space="0" w:color="000000"/>
            </w:tcBorders>
          </w:tcPr>
          <w:p>
            <w:pP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-7,257,568.18</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调整后期初未分配利润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381,487,196.57</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303,051,938.83</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加：本期归属于母公司所有者的净利润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188,169,290.74</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105,311,976.46</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减：提取法定盈余公积</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19,579,721.80</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8,746,951.52</w:t>
            </w:r>
          </w:p>
        </w:tc>
      </w:tr>
      <w:tr>
        <w:trPr>
          <w:trHeight w:val="401"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应付普通股股利</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34,439,534.40</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17,219,767.20</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加：其他事项调整</w:t>
            </w:r>
          </w:p>
        </w:tc>
        <w:tc>
          <w:tcPr>
            <w:tcW w:w="2936" w:type="dxa"/>
            <w:tcBorders>
              <w:top w:val="single" w:sz="4" w:space="0" w:color="000000"/>
              <w:left w:val="single" w:sz="4" w:space="0" w:color="000000"/>
              <w:bottom w:val="single" w:sz="4" w:space="0" w:color="000000"/>
              <w:right w:val="single" w:sz="4" w:space="0" w:color="000000"/>
            </w:tcBorders>
          </w:tcPr>
          <w:p>
            <w:pP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w w:val="95"/>
                <w:sz w:val="18"/>
              </w:rPr>
              <w:t>-910,000.00</w:t>
            </w:r>
            <w:r>
              <w:rPr>
                <w:rFonts w:ascii="Times New Roman"/>
                <w:sz w:val="18"/>
              </w:rPr>
            </w:r>
          </w:p>
        </w:tc>
      </w:tr>
      <w:tr>
        <w:trPr>
          <w:trHeight w:val="403"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期末未分配利润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515,637,231.11</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381,487,196.57</w:t>
            </w:r>
          </w:p>
        </w:tc>
      </w:tr>
    </w:tbl>
    <w:p>
      <w:pPr>
        <w:pStyle w:val="BodyText"/>
        <w:spacing w:line="240" w:lineRule="auto" w:before="51"/>
        <w:ind w:left="1134" w:right="0"/>
        <w:jc w:val="left"/>
      </w:pPr>
      <w:r>
        <w:rPr/>
        <w:t>调整期初未分配利润明细：</w:t>
      </w:r>
    </w:p>
    <w:p>
      <w:pPr>
        <w:pStyle w:val="BodyText"/>
        <w:spacing w:line="240" w:lineRule="auto" w:before="116"/>
        <w:ind w:left="1134" w:right="0"/>
        <w:jc w:val="left"/>
      </w:pPr>
      <w:r>
        <w:rPr>
          <w:rFonts w:ascii="Times New Roman" w:hAnsi="Times New Roman" w:cs="Times New Roman" w:eastAsia="Times New Roman" w:hint="default"/>
        </w:rPr>
        <w:t>1)</w:t>
      </w:r>
      <w:r>
        <w:rPr/>
        <w:t>、由于《企业会计准则》及其相关新规定进行追溯调整，影响期初未分配利润元。</w:t>
      </w:r>
    </w:p>
    <w:p>
      <w:pPr>
        <w:pStyle w:val="BodyText"/>
        <w:spacing w:line="240" w:lineRule="auto" w:before="103"/>
        <w:ind w:right="0"/>
        <w:jc w:val="left"/>
      </w:pPr>
      <w:r>
        <w:rPr>
          <w:rFonts w:ascii="Times New Roman" w:hAnsi="Times New Roman" w:cs="Times New Roman" w:eastAsia="Times New Roman" w:hint="default"/>
        </w:rPr>
        <w:t>2)</w:t>
      </w:r>
      <w:r>
        <w:rPr/>
        <w:t>、由于会计政策变更，影响期初未分配利润元。</w:t>
      </w:r>
    </w:p>
    <w:p>
      <w:pPr>
        <w:pStyle w:val="BodyText"/>
        <w:spacing w:line="240" w:lineRule="auto" w:before="102"/>
        <w:ind w:right="0"/>
        <w:jc w:val="left"/>
      </w:pPr>
      <w:r>
        <w:rPr>
          <w:rFonts w:ascii="Times New Roman" w:hAnsi="Times New Roman" w:cs="Times New Roman" w:eastAsia="Times New Roman" w:hint="default"/>
        </w:rPr>
        <w:t>3)</w:t>
      </w:r>
      <w:r>
        <w:rPr/>
        <w:t>、由于重大会计差错更正，影响期初未分配利润元。</w:t>
      </w:r>
    </w:p>
    <w:p>
      <w:pPr>
        <w:pStyle w:val="BodyText"/>
        <w:spacing w:line="240" w:lineRule="auto" w:before="102"/>
        <w:ind w:left="1134" w:right="0"/>
        <w:jc w:val="left"/>
      </w:pPr>
      <w:r>
        <w:rPr>
          <w:rFonts w:ascii="Times New Roman" w:hAnsi="Times New Roman" w:cs="Times New Roman" w:eastAsia="Times New Roman" w:hint="default"/>
        </w:rPr>
        <w:t>4)</w:t>
      </w:r>
      <w:r>
        <w:rPr/>
        <w:t>、由于同一控制导致的合并范围变更，影响期初未分配利润元。</w:t>
      </w:r>
    </w:p>
    <w:p>
      <w:pPr>
        <w:pStyle w:val="BodyText"/>
        <w:spacing w:line="240" w:lineRule="auto" w:before="103"/>
        <w:ind w:right="0"/>
        <w:jc w:val="left"/>
      </w:pPr>
      <w:r>
        <w:rPr>
          <w:rFonts w:ascii="Times New Roman" w:hAnsi="Times New Roman" w:cs="Times New Roman" w:eastAsia="Times New Roman" w:hint="default"/>
        </w:rPr>
        <w:t>5)</w:t>
      </w:r>
      <w:r>
        <w:rPr/>
        <w:t>、其他调整合计影响期初未分配利润元。</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29、营业收入和营业成本" w:id="297"/>
      <w:bookmarkEnd w:id="297"/>
      <w:r>
        <w:rPr>
          <w:b w:val="0"/>
          <w:bCs w:val="0"/>
        </w:rPr>
      </w:r>
      <w:r>
        <w:rPr>
          <w:rFonts w:ascii="Times New Roman" w:hAnsi="Times New Roman" w:cs="Times New Roman" w:eastAsia="Times New Roman" w:hint="default"/>
        </w:rPr>
        <w:t>29</w:t>
      </w:r>
      <w:r>
        <w:rPr/>
        <w:t>、营业收入和营业成本</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1901"/>
        <w:gridCol w:w="1917"/>
        <w:gridCol w:w="1914"/>
        <w:gridCol w:w="1914"/>
        <w:gridCol w:w="1914"/>
      </w:tblGrid>
      <w:tr>
        <w:trPr>
          <w:trHeight w:val="206" w:hRule="exact"/>
        </w:trPr>
        <w:tc>
          <w:tcPr>
            <w:tcW w:w="1901" w:type="dxa"/>
            <w:tcBorders>
              <w:top w:val="single" w:sz="4" w:space="0" w:color="000000"/>
              <w:left w:val="single" w:sz="4" w:space="0" w:color="000000"/>
              <w:bottom w:val="nil" w:sz="6" w:space="0" w:color="auto"/>
              <w:right w:val="single" w:sz="4" w:space="0" w:color="000000"/>
            </w:tcBorders>
            <w:shd w:val="clear" w:color="auto" w:fill="D2D2D2"/>
          </w:tcPr>
          <w:p>
            <w:pPr/>
          </w:p>
        </w:tc>
        <w:tc>
          <w:tcPr>
            <w:tcW w:w="383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91" w:hRule="exact"/>
        </w:trPr>
        <w:tc>
          <w:tcPr>
            <w:tcW w:w="190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vMerge/>
            <w:tcBorders>
              <w:left w:val="single" w:sz="4" w:space="0" w:color="000000"/>
              <w:bottom w:val="single" w:sz="4" w:space="0" w:color="000000"/>
              <w:right w:val="single" w:sz="4" w:space="0" w:color="000000"/>
            </w:tcBorders>
            <w:shd w:val="clear" w:color="auto" w:fill="D2D2D2"/>
          </w:tcPr>
          <w:p>
            <w:pPr/>
          </w:p>
        </w:tc>
        <w:tc>
          <w:tcPr>
            <w:tcW w:w="3828" w:type="dxa"/>
            <w:gridSpan w:val="2"/>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1901" w:type="dxa"/>
            <w:vMerge/>
            <w:tcBorders>
              <w:left w:val="single" w:sz="4" w:space="0" w:color="000000"/>
              <w:bottom w:val="nil" w:sz="6" w:space="0" w:color="auto"/>
              <w:right w:val="single" w:sz="4" w:space="0" w:color="000000"/>
            </w:tcBorders>
            <w:shd w:val="clear" w:color="auto" w:fill="D2D2D2"/>
          </w:tcPr>
          <w:p>
            <w:pPr/>
          </w:p>
        </w:tc>
        <w:tc>
          <w:tcPr>
            <w:tcW w:w="191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成本</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收入</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205" w:hRule="exact"/>
        </w:trPr>
        <w:tc>
          <w:tcPr>
            <w:tcW w:w="1901"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7"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1,039,966,678.44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505,808,484.08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787,692,788.57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397,337,134.72</w:t>
            </w:r>
          </w:p>
        </w:tc>
      </w:tr>
      <w:tr>
        <w:trPr>
          <w:trHeight w:val="402"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2,570,976.12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494,928.05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1,850,581.22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380,190.95</w:t>
            </w:r>
          </w:p>
        </w:tc>
      </w:tr>
      <w:tr>
        <w:trPr>
          <w:trHeight w:val="402"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1,042,537,654.56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506,303,412.13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789,543,369.79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397,717,325.67</w:t>
            </w:r>
          </w:p>
        </w:tc>
      </w:tr>
    </w:tbl>
    <w:p>
      <w:pPr>
        <w:spacing w:line="240" w:lineRule="auto" w:before="2"/>
        <w:rPr>
          <w:rFonts w:ascii="宋体" w:hAnsi="宋体" w:cs="宋体" w:eastAsia="宋体" w:hint="default"/>
          <w:sz w:val="19"/>
          <w:szCs w:val="19"/>
        </w:rPr>
      </w:pPr>
    </w:p>
    <w:p>
      <w:pPr>
        <w:pStyle w:val="Heading3"/>
        <w:spacing w:line="240" w:lineRule="auto" w:before="35"/>
        <w:ind w:left="1134" w:right="0"/>
        <w:jc w:val="left"/>
        <w:rPr>
          <w:b w:val="0"/>
          <w:bCs w:val="0"/>
        </w:rPr>
      </w:pPr>
      <w:bookmarkStart w:name="30、税金及附加" w:id="298"/>
      <w:bookmarkEnd w:id="298"/>
      <w:r>
        <w:rPr>
          <w:b w:val="0"/>
          <w:bCs w:val="0"/>
        </w:rPr>
      </w:r>
      <w:r>
        <w:rPr>
          <w:rFonts w:ascii="Times New Roman" w:hAnsi="Times New Roman" w:cs="Times New Roman" w:eastAsia="Times New Roman" w:hint="default"/>
        </w:rPr>
        <w:t>30</w:t>
      </w:r>
      <w:r>
        <w:rPr/>
        <w:t>、税金及附加</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5,074,447.03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4,491,326.56</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3,626,559.12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3,213,877.87</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1,709,350.93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800,762.23</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土地使用税</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1,197,466.15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796,965.38</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21,360.17</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572,596.39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176,180.23</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12,180,419.62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9,500,472.44</w:t>
            </w:r>
          </w:p>
        </w:tc>
      </w:tr>
    </w:tbl>
    <w:p>
      <w:pPr>
        <w:pStyle w:val="BodyText"/>
        <w:spacing w:line="240" w:lineRule="auto" w:before="51"/>
        <w:ind w:left="1134"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31、销售费用" w:id="299"/>
      <w:bookmarkEnd w:id="299"/>
      <w:r>
        <w:rPr>
          <w:b w:val="0"/>
          <w:bCs w:val="0"/>
        </w:rPr>
      </w:r>
      <w:r>
        <w:rPr>
          <w:rFonts w:ascii="Times New Roman" w:hAnsi="Times New Roman" w:cs="Times New Roman" w:eastAsia="Times New Roman" w:hint="default"/>
        </w:rPr>
        <w:t>31</w:t>
      </w:r>
      <w:r>
        <w:rPr/>
        <w:t>、销售费用</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工资</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59,362,980.35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34,802,963.84</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2"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8,517,925.33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9,773,725.23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2" w:right="0"/>
              <w:jc w:val="left"/>
              <w:rPr>
                <w:rFonts w:ascii="宋体" w:hAnsi="宋体" w:cs="宋体" w:eastAsia="宋体" w:hint="default"/>
                <w:sz w:val="18"/>
                <w:szCs w:val="18"/>
              </w:rPr>
            </w:pPr>
            <w:r>
              <w:rPr>
                <w:rFonts w:ascii="宋体" w:hAnsi="宋体" w:cs="宋体" w:eastAsia="宋体" w:hint="default"/>
                <w:sz w:val="18"/>
                <w:szCs w:val="18"/>
              </w:rPr>
              <w:t>业务活动费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9,178,854.94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6,304,883.00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5,887,527.96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5,605,025.28</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技术服务费、中标服务费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14,672,518.28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10,490,308.17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2" w:right="0"/>
              <w:jc w:val="left"/>
              <w:rPr>
                <w:rFonts w:ascii="宋体" w:hAnsi="宋体" w:cs="宋体" w:eastAsia="宋体" w:hint="default"/>
                <w:sz w:val="18"/>
                <w:szCs w:val="18"/>
              </w:rPr>
            </w:pPr>
            <w:r>
              <w:rPr>
                <w:rFonts w:ascii="宋体" w:hAnsi="宋体" w:cs="宋体" w:eastAsia="宋体" w:hint="default"/>
                <w:sz w:val="18"/>
                <w:szCs w:val="18"/>
              </w:rPr>
              <w:t>会务费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925,066.18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1,809,760.18</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2" w:right="0"/>
              <w:jc w:val="left"/>
              <w:rPr>
                <w:rFonts w:ascii="宋体" w:hAnsi="宋体" w:cs="宋体" w:eastAsia="宋体" w:hint="default"/>
                <w:sz w:val="18"/>
                <w:szCs w:val="18"/>
              </w:rPr>
            </w:pPr>
            <w:r>
              <w:rPr>
                <w:rFonts w:ascii="宋体" w:hAnsi="宋体" w:cs="宋体" w:eastAsia="宋体" w:hint="default"/>
                <w:sz w:val="18"/>
                <w:szCs w:val="18"/>
              </w:rPr>
              <w:t>汽车费用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3,678,011.22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3,883,594.41</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广告费用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2,891,778.94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2,597,855.17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2" w:right="0"/>
              <w:jc w:val="left"/>
              <w:rPr>
                <w:rFonts w:ascii="宋体" w:hAnsi="宋体" w:cs="宋体" w:eastAsia="宋体" w:hint="default"/>
                <w:sz w:val="18"/>
                <w:szCs w:val="18"/>
              </w:rPr>
            </w:pPr>
            <w:r>
              <w:rPr>
                <w:rFonts w:ascii="宋体" w:hAnsi="宋体" w:cs="宋体" w:eastAsia="宋体" w:hint="default"/>
                <w:sz w:val="18"/>
                <w:szCs w:val="18"/>
              </w:rPr>
              <w:t>代理费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13,948,606.45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10,236,325.38</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2" w:right="0"/>
              <w:jc w:val="left"/>
              <w:rPr>
                <w:rFonts w:ascii="宋体" w:hAnsi="宋体" w:cs="宋体" w:eastAsia="宋体" w:hint="default"/>
                <w:sz w:val="18"/>
                <w:szCs w:val="18"/>
              </w:rPr>
            </w:pPr>
            <w:r>
              <w:rPr>
                <w:rFonts w:ascii="宋体" w:hAnsi="宋体" w:cs="宋体" w:eastAsia="宋体" w:hint="default"/>
                <w:sz w:val="18"/>
                <w:szCs w:val="18"/>
              </w:rPr>
              <w:t>折旧费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3,658,641.58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3,534,796.63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2" w:right="0"/>
              <w:jc w:val="left"/>
              <w:rPr>
                <w:rFonts w:ascii="宋体" w:hAnsi="宋体" w:cs="宋体" w:eastAsia="宋体" w:hint="default"/>
                <w:sz w:val="18"/>
                <w:szCs w:val="18"/>
              </w:rPr>
            </w:pPr>
            <w:r>
              <w:rPr>
                <w:rFonts w:ascii="宋体" w:hAnsi="宋体" w:cs="宋体" w:eastAsia="宋体" w:hint="default"/>
                <w:sz w:val="18"/>
                <w:szCs w:val="18"/>
              </w:rPr>
              <w:t>现场费用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2,852,225.82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8,722,827.24</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2" w:right="0"/>
              <w:jc w:val="left"/>
              <w:rPr>
                <w:rFonts w:ascii="宋体" w:hAnsi="宋体" w:cs="宋体" w:eastAsia="宋体" w:hint="default"/>
                <w:sz w:val="18"/>
                <w:szCs w:val="18"/>
              </w:rPr>
            </w:pPr>
            <w:r>
              <w:rPr>
                <w:rFonts w:ascii="宋体" w:hAnsi="宋体" w:cs="宋体" w:eastAsia="宋体" w:hint="default"/>
                <w:sz w:val="18"/>
                <w:szCs w:val="18"/>
              </w:rPr>
              <w:t>其他费用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6,507,351.32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5,807,967.59</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132,081,488.37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103,570,032.12</w:t>
            </w:r>
          </w:p>
        </w:tc>
      </w:tr>
    </w:tbl>
    <w:p>
      <w:pPr>
        <w:pStyle w:val="BodyText"/>
        <w:spacing w:line="240" w:lineRule="auto" w:before="51"/>
        <w:ind w:left="1134"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32、管理费用" w:id="300"/>
      <w:bookmarkEnd w:id="300"/>
      <w:r>
        <w:rPr>
          <w:b w:val="0"/>
          <w:bCs w:val="0"/>
        </w:rPr>
      </w:r>
      <w:r>
        <w:rPr>
          <w:rFonts w:ascii="Times New Roman" w:hAnsi="Times New Roman" w:cs="Times New Roman" w:eastAsia="Times New Roman" w:hint="default"/>
        </w:rPr>
        <w:t>32</w:t>
      </w:r>
      <w:r>
        <w:rPr/>
        <w:t>、管理费用</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2" w:right="0"/>
              <w:jc w:val="left"/>
              <w:rPr>
                <w:rFonts w:ascii="宋体" w:hAnsi="宋体" w:cs="宋体" w:eastAsia="宋体" w:hint="default"/>
                <w:sz w:val="18"/>
                <w:szCs w:val="18"/>
              </w:rPr>
            </w:pPr>
            <w:r>
              <w:rPr>
                <w:rFonts w:ascii="宋体" w:hAnsi="宋体" w:cs="宋体" w:eastAsia="宋体" w:hint="default"/>
                <w:sz w:val="18"/>
                <w:szCs w:val="18"/>
              </w:rPr>
              <w:t>工资</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49,532,082.89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42,756,174.69</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48,867,892.00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48,026,730.33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2"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5,979,487.15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6,653,695.42</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折旧费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7,517,464.02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9,162,231.81</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业务活动费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6,065,137.12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2,661,095.63</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2" w:right="0"/>
              <w:jc w:val="left"/>
              <w:rPr>
                <w:rFonts w:ascii="宋体" w:hAnsi="宋体" w:cs="宋体" w:eastAsia="宋体" w:hint="default"/>
                <w:sz w:val="18"/>
                <w:szCs w:val="18"/>
              </w:rPr>
            </w:pPr>
            <w:r>
              <w:rPr>
                <w:rFonts w:ascii="宋体" w:hAnsi="宋体" w:cs="宋体" w:eastAsia="宋体" w:hint="default"/>
                <w:sz w:val="18"/>
                <w:szCs w:val="18"/>
              </w:rPr>
              <w:t>运输费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3,262,877.75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2,875,078.91</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2" w:right="0"/>
              <w:jc w:val="left"/>
              <w:rPr>
                <w:rFonts w:ascii="宋体" w:hAnsi="宋体" w:cs="宋体" w:eastAsia="宋体" w:hint="default"/>
                <w:sz w:val="18"/>
                <w:szCs w:val="18"/>
              </w:rPr>
            </w:pPr>
            <w:r>
              <w:rPr>
                <w:rFonts w:ascii="宋体" w:hAnsi="宋体" w:cs="宋体" w:eastAsia="宋体" w:hint="default"/>
                <w:sz w:val="18"/>
                <w:szCs w:val="18"/>
              </w:rPr>
              <w:t>保险费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7,396,691.90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6,101,392.56</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福利费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1,803,298.00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2,343,884.90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2"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3,714,786.44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2,581,183.06</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2"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3,715,684.70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3,760,481.01</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2" w:right="0"/>
              <w:jc w:val="left"/>
              <w:rPr>
                <w:rFonts w:ascii="宋体" w:hAnsi="宋体" w:cs="宋体" w:eastAsia="宋体" w:hint="default"/>
                <w:sz w:val="18"/>
                <w:szCs w:val="18"/>
              </w:rPr>
            </w:pPr>
            <w:r>
              <w:rPr>
                <w:rFonts w:ascii="宋体" w:hAnsi="宋体" w:cs="宋体" w:eastAsia="宋体" w:hint="default"/>
                <w:sz w:val="18"/>
                <w:szCs w:val="18"/>
              </w:rPr>
              <w:t>税费</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1,679,189.03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2" w:right="0"/>
              <w:jc w:val="left"/>
              <w:rPr>
                <w:rFonts w:ascii="宋体" w:hAnsi="宋体" w:cs="宋体" w:eastAsia="宋体" w:hint="default"/>
                <w:sz w:val="18"/>
                <w:szCs w:val="18"/>
              </w:rPr>
            </w:pPr>
            <w:r>
              <w:rPr>
                <w:rFonts w:ascii="宋体" w:hAnsi="宋体" w:cs="宋体" w:eastAsia="宋体" w:hint="default"/>
                <w:sz w:val="18"/>
                <w:szCs w:val="18"/>
              </w:rPr>
              <w:t>会议费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1,022,937.20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805,121.91</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2" w:right="0"/>
              <w:jc w:val="left"/>
              <w:rPr>
                <w:rFonts w:ascii="宋体" w:hAnsi="宋体" w:cs="宋体" w:eastAsia="宋体" w:hint="default"/>
                <w:sz w:val="18"/>
                <w:szCs w:val="18"/>
              </w:rPr>
            </w:pPr>
            <w:r>
              <w:rPr>
                <w:rFonts w:ascii="宋体" w:hAnsi="宋体" w:cs="宋体" w:eastAsia="宋体" w:hint="default"/>
                <w:sz w:val="18"/>
                <w:szCs w:val="18"/>
              </w:rPr>
              <w:t>电费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688,679.75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745,329.08</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2" w:right="0"/>
              <w:jc w:val="left"/>
              <w:rPr>
                <w:rFonts w:ascii="宋体" w:hAnsi="宋体" w:cs="宋体" w:eastAsia="宋体" w:hint="default"/>
                <w:sz w:val="18"/>
                <w:szCs w:val="18"/>
              </w:rPr>
            </w:pPr>
            <w:r>
              <w:rPr>
                <w:rFonts w:ascii="宋体" w:hAnsi="宋体" w:cs="宋体" w:eastAsia="宋体" w:hint="default"/>
                <w:sz w:val="18"/>
                <w:szCs w:val="18"/>
              </w:rPr>
              <w:t>汽车费用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3,989,238.65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1,992,781.42</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2" w:right="0"/>
              <w:jc w:val="left"/>
              <w:rPr>
                <w:rFonts w:ascii="宋体" w:hAnsi="宋体" w:cs="宋体" w:eastAsia="宋体" w:hint="default"/>
                <w:sz w:val="18"/>
                <w:szCs w:val="18"/>
              </w:rPr>
            </w:pPr>
            <w:r>
              <w:rPr>
                <w:rFonts w:ascii="宋体" w:hAnsi="宋体" w:cs="宋体" w:eastAsia="宋体" w:hint="default"/>
                <w:sz w:val="18"/>
                <w:szCs w:val="18"/>
              </w:rPr>
              <w:t>租赁费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4,009,508.32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2,681,120.21</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2" w:right="0"/>
              <w:jc w:val="left"/>
              <w:rPr>
                <w:rFonts w:ascii="宋体" w:hAnsi="宋体" w:cs="宋体" w:eastAsia="宋体" w:hint="default"/>
                <w:sz w:val="18"/>
                <w:szCs w:val="18"/>
              </w:rPr>
            </w:pPr>
            <w:r>
              <w:rPr>
                <w:rFonts w:ascii="宋体" w:hAnsi="宋体" w:cs="宋体" w:eastAsia="宋体" w:hint="default"/>
                <w:sz w:val="18"/>
                <w:szCs w:val="18"/>
              </w:rPr>
              <w:t>技术服务费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4,456,693.24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3,553,816.97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中介机构费用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6,001,481.46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4,277,437.38</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2" w:right="0"/>
              <w:jc w:val="left"/>
              <w:rPr>
                <w:rFonts w:ascii="宋体" w:hAnsi="宋体" w:cs="宋体" w:eastAsia="宋体" w:hint="default"/>
                <w:sz w:val="18"/>
                <w:szCs w:val="18"/>
              </w:rPr>
            </w:pPr>
            <w:r>
              <w:rPr>
                <w:rFonts w:ascii="宋体" w:hAnsi="宋体" w:cs="宋体" w:eastAsia="宋体" w:hint="default"/>
                <w:sz w:val="18"/>
                <w:szCs w:val="18"/>
              </w:rPr>
              <w:t>其他费用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7,002,290.25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5,627,180.54</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165,026,230.84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148,283,924.86</w:t>
            </w:r>
          </w:p>
        </w:tc>
      </w:tr>
    </w:tbl>
    <w:p>
      <w:pPr>
        <w:pStyle w:val="BodyText"/>
        <w:spacing w:line="240" w:lineRule="auto" w:before="51"/>
        <w:ind w:left="1134"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33、财务费用" w:id="301"/>
      <w:bookmarkEnd w:id="301"/>
      <w:r>
        <w:rPr>
          <w:b w:val="0"/>
          <w:bCs w:val="0"/>
        </w:rPr>
      </w:r>
      <w:r>
        <w:rPr>
          <w:rFonts w:ascii="Times New Roman" w:hAnsi="Times New Roman" w:cs="Times New Roman" w:eastAsia="Times New Roman" w:hint="default"/>
        </w:rPr>
        <w:t>33</w:t>
      </w:r>
      <w:r>
        <w:rPr/>
        <w:t>、财务费用</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357,566.40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357,566.40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减：利息收入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3,567,586.19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3,402,044.58</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2" w:right="0"/>
              <w:jc w:val="left"/>
              <w:rPr>
                <w:rFonts w:ascii="宋体" w:hAnsi="宋体" w:cs="宋体" w:eastAsia="宋体" w:hint="default"/>
                <w:sz w:val="18"/>
                <w:szCs w:val="18"/>
              </w:rPr>
            </w:pPr>
            <w:r>
              <w:rPr>
                <w:rFonts w:ascii="宋体" w:hAnsi="宋体" w:cs="宋体" w:eastAsia="宋体" w:hint="default"/>
                <w:sz w:val="18"/>
                <w:szCs w:val="18"/>
              </w:rPr>
              <w:t>手续费支出</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993,841.05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568,581.86</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汇兑净损益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71,411.91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-366,381.44</w:t>
            </w:r>
            <w:r>
              <w:rPr>
                <w:rFonts w:ascii="Times New Roman"/>
                <w:sz w:val="18"/>
              </w:rPr>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-2,144,766.83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-2,842,277.76</w:t>
            </w:r>
          </w:p>
        </w:tc>
      </w:tr>
    </w:tbl>
    <w:p>
      <w:pPr>
        <w:pStyle w:val="BodyText"/>
        <w:spacing w:line="240" w:lineRule="auto" w:before="51"/>
        <w:ind w:left="1134"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34、资产减值损失" w:id="302"/>
      <w:bookmarkEnd w:id="302"/>
      <w:r>
        <w:rPr>
          <w:b w:val="0"/>
          <w:bCs w:val="0"/>
        </w:rPr>
      </w:r>
      <w:r>
        <w:rPr>
          <w:rFonts w:ascii="Times New Roman" w:hAnsi="Times New Roman" w:cs="Times New Roman" w:eastAsia="Times New Roman" w:hint="default"/>
        </w:rPr>
        <w:t>34</w:t>
      </w:r>
      <w:r>
        <w:rPr/>
        <w:t>、资产减值损失</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一、坏账损失</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28,234,422.43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20,506,742.31</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28,234,422.43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20,506,742.31</w:t>
            </w:r>
          </w:p>
        </w:tc>
      </w:tr>
    </w:tbl>
    <w:p>
      <w:pPr>
        <w:pStyle w:val="BodyText"/>
        <w:spacing w:line="240" w:lineRule="auto" w:before="51"/>
        <w:ind w:left="1134" w:right="0"/>
        <w:jc w:val="left"/>
      </w:pPr>
      <w:r>
        <w:rPr/>
        <w:t>其他说明：</w:t>
      </w:r>
    </w:p>
    <w:p>
      <w:pPr>
        <w:spacing w:after="0" w:line="240" w:lineRule="auto"/>
        <w:jc w:val="left"/>
        <w:sectPr>
          <w:pgSz w:w="11910" w:h="16840"/>
          <w:pgMar w:header="747" w:footer="979" w:top="1060" w:bottom="1160" w:left="0" w:right="0"/>
        </w:sectPr>
      </w:pPr>
    </w:p>
    <w:p>
      <w:pPr>
        <w:spacing w:line="240" w:lineRule="auto" w:before="9"/>
        <w:rPr>
          <w:rFonts w:ascii="宋体" w:hAnsi="宋体" w:cs="宋体" w:eastAsia="宋体" w:hint="default"/>
          <w:sz w:val="24"/>
          <w:szCs w:val="24"/>
        </w:rPr>
      </w:pPr>
    </w:p>
    <w:p>
      <w:pPr>
        <w:pStyle w:val="Heading3"/>
        <w:spacing w:line="240" w:lineRule="auto" w:before="35"/>
        <w:ind w:right="0"/>
        <w:jc w:val="left"/>
        <w:rPr>
          <w:b w:val="0"/>
          <w:bCs w:val="0"/>
        </w:rPr>
      </w:pPr>
      <w:bookmarkStart w:name="35、投资收益" w:id="303"/>
      <w:bookmarkEnd w:id="303"/>
      <w:r>
        <w:rPr>
          <w:b w:val="0"/>
          <w:bCs w:val="0"/>
        </w:rPr>
      </w:r>
      <w:r>
        <w:rPr>
          <w:rFonts w:ascii="Times New Roman" w:hAnsi="Times New Roman" w:cs="Times New Roman" w:eastAsia="Times New Roman" w:hint="default"/>
        </w:rPr>
        <w:t>35</w:t>
      </w:r>
      <w:r>
        <w:rPr/>
        <w:t>、投资收益</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3437"/>
        <w:gridCol w:w="3203"/>
        <w:gridCol w:w="2918"/>
      </w:tblGrid>
      <w:tr>
        <w:trPr>
          <w:trHeight w:val="402" w:hRule="exact"/>
        </w:trPr>
        <w:tc>
          <w:tcPr>
            <w:tcW w:w="3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3"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2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处置长期股权投资产生的投资收益</w:t>
            </w:r>
          </w:p>
        </w:tc>
        <w:tc>
          <w:tcPr>
            <w:tcW w:w="32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w w:val="95"/>
                <w:sz w:val="18"/>
              </w:rPr>
              <w:t>-15,780.03</w:t>
            </w:r>
            <w:r>
              <w:rPr>
                <w:rFonts w:ascii="Times New Roman"/>
                <w:sz w:val="18"/>
              </w:rPr>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w w:val="95"/>
                <w:sz w:val="18"/>
              </w:rPr>
              <w:t>-15,780.03</w:t>
            </w:r>
            <w:r>
              <w:rPr>
                <w:rFonts w:ascii="Times New Roman"/>
                <w:sz w:val="18"/>
              </w:rPr>
            </w:r>
          </w:p>
        </w:tc>
        <w:tc>
          <w:tcPr>
            <w:tcW w:w="2918"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left="1134" w:right="0"/>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36、资产处置收益" w:id="304"/>
      <w:bookmarkEnd w:id="304"/>
      <w:r>
        <w:rPr>
          <w:b w:val="0"/>
          <w:bCs w:val="0"/>
        </w:rPr>
      </w:r>
      <w:r>
        <w:rPr>
          <w:rFonts w:ascii="Times New Roman" w:hAnsi="Times New Roman" w:cs="Times New Roman" w:eastAsia="Times New Roman" w:hint="default"/>
        </w:rPr>
        <w:t>36</w:t>
      </w:r>
      <w:r>
        <w:rPr/>
        <w:t>、资产处置收益</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90"/>
        <w:gridCol w:w="3190"/>
        <w:gridCol w:w="3190"/>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79" w:right="0"/>
              <w:jc w:val="left"/>
              <w:rPr>
                <w:rFonts w:ascii="宋体" w:hAnsi="宋体" w:cs="宋体" w:eastAsia="宋体" w:hint="default"/>
                <w:sz w:val="18"/>
                <w:szCs w:val="18"/>
              </w:rPr>
            </w:pPr>
            <w:r>
              <w:rPr>
                <w:rFonts w:ascii="宋体" w:hAnsi="宋体" w:cs="宋体" w:eastAsia="宋体" w:hint="default"/>
                <w:sz w:val="18"/>
                <w:szCs w:val="18"/>
              </w:rPr>
              <w:t>资产处置收益的来源</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固定资产处置利得</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20,786.66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110,077.89</w:t>
            </w:r>
          </w:p>
        </w:tc>
      </w:tr>
    </w:tbl>
    <w:p>
      <w:pPr>
        <w:spacing w:line="240" w:lineRule="auto" w:before="2"/>
        <w:rPr>
          <w:rFonts w:ascii="宋体" w:hAnsi="宋体" w:cs="宋体" w:eastAsia="宋体" w:hint="default"/>
          <w:sz w:val="19"/>
          <w:szCs w:val="19"/>
        </w:rPr>
      </w:pPr>
    </w:p>
    <w:p>
      <w:pPr>
        <w:pStyle w:val="Heading3"/>
        <w:spacing w:line="240" w:lineRule="auto" w:before="35"/>
        <w:ind w:left="1134" w:right="0"/>
        <w:jc w:val="left"/>
        <w:rPr>
          <w:b w:val="0"/>
          <w:bCs w:val="0"/>
        </w:rPr>
      </w:pPr>
      <w:bookmarkStart w:name="37、其他收益" w:id="305"/>
      <w:bookmarkEnd w:id="305"/>
      <w:r>
        <w:rPr>
          <w:b w:val="0"/>
          <w:bCs w:val="0"/>
        </w:rPr>
      </w:r>
      <w:r>
        <w:rPr>
          <w:rFonts w:ascii="Times New Roman" w:hAnsi="Times New Roman" w:cs="Times New Roman" w:eastAsia="Times New Roman" w:hint="default"/>
        </w:rPr>
        <w:t>37</w:t>
      </w:r>
      <w:r>
        <w:rPr/>
        <w:t>、其他收益</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90"/>
        <w:gridCol w:w="3190"/>
        <w:gridCol w:w="3190"/>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79" w:right="0"/>
              <w:jc w:val="left"/>
              <w:rPr>
                <w:rFonts w:ascii="宋体" w:hAnsi="宋体" w:cs="宋体" w:eastAsia="宋体" w:hint="default"/>
                <w:sz w:val="18"/>
                <w:szCs w:val="18"/>
              </w:rPr>
            </w:pPr>
            <w:r>
              <w:rPr>
                <w:rFonts w:ascii="宋体" w:hAnsi="宋体" w:cs="宋体" w:eastAsia="宋体" w:hint="default"/>
                <w:sz w:val="18"/>
                <w:szCs w:val="18"/>
              </w:rPr>
              <w:t>产生其他收益的来源</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31,399,343.75</w:t>
            </w: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before="35"/>
        <w:ind w:left="1134" w:right="0"/>
        <w:jc w:val="left"/>
        <w:rPr>
          <w:b w:val="0"/>
          <w:bCs w:val="0"/>
        </w:rPr>
      </w:pPr>
      <w:bookmarkStart w:name="38、营业外收入" w:id="306"/>
      <w:bookmarkEnd w:id="306"/>
      <w:r>
        <w:rPr>
          <w:b w:val="0"/>
          <w:bCs w:val="0"/>
        </w:rPr>
      </w:r>
      <w:r>
        <w:rPr>
          <w:rFonts w:ascii="Times New Roman" w:hAnsi="Times New Roman" w:cs="Times New Roman" w:eastAsia="Times New Roman" w:hint="default"/>
        </w:rPr>
        <w:t>38</w:t>
      </w:r>
      <w:r>
        <w:rPr/>
        <w:t>、营业外收入</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2390"/>
        <w:gridCol w:w="2396"/>
        <w:gridCol w:w="2392"/>
        <w:gridCol w:w="2392"/>
      </w:tblGrid>
      <w:tr>
        <w:trPr>
          <w:trHeight w:val="161" w:hRule="exact"/>
        </w:trPr>
        <w:tc>
          <w:tcPr>
            <w:tcW w:w="2390"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6"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2"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1100" w:right="109" w:hanging="990"/>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392" w:hRule="exact"/>
        </w:trPr>
        <w:tc>
          <w:tcPr>
            <w:tcW w:w="239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74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740"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2" w:type="dxa"/>
            <w:vMerge/>
            <w:tcBorders>
              <w:left w:val="single" w:sz="4" w:space="0" w:color="000000"/>
              <w:right w:val="single" w:sz="4" w:space="0" w:color="000000"/>
            </w:tcBorders>
            <w:shd w:val="clear" w:color="auto" w:fill="D2D2D2"/>
          </w:tcPr>
          <w:p>
            <w:pPr/>
          </w:p>
        </w:tc>
      </w:tr>
      <w:tr>
        <w:trPr>
          <w:trHeight w:val="161" w:hRule="exact"/>
        </w:trPr>
        <w:tc>
          <w:tcPr>
            <w:tcW w:w="2390"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6"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2"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2"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23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2,040,419.08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23,409,914.42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2,040,419.08</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82,900.89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1,964,360.88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82,900.89</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2,123,319.97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25,374,275.30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2,123,319.97</w:t>
            </w:r>
          </w:p>
        </w:tc>
      </w:tr>
    </w:tbl>
    <w:p>
      <w:pPr>
        <w:pStyle w:val="BodyText"/>
        <w:spacing w:line="240" w:lineRule="auto" w:before="51"/>
        <w:ind w:left="1134" w:right="0"/>
        <w:jc w:val="left"/>
      </w:pPr>
      <w:r>
        <w:rPr/>
        <w:t>计入当期损益的政府补助：</w:t>
      </w:r>
    </w:p>
    <w:p>
      <w:pPr>
        <w:pStyle w:val="BodyText"/>
        <w:spacing w:line="240" w:lineRule="auto" w:before="117"/>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066"/>
        <w:gridCol w:w="1062"/>
        <w:gridCol w:w="1063"/>
        <w:gridCol w:w="1064"/>
        <w:gridCol w:w="1063"/>
        <w:gridCol w:w="1063"/>
        <w:gridCol w:w="1064"/>
        <w:gridCol w:w="1062"/>
        <w:gridCol w:w="1063"/>
      </w:tblGrid>
      <w:tr>
        <w:trPr>
          <w:trHeight w:val="713" w:hRule="exact"/>
        </w:trPr>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66" w:right="0"/>
              <w:jc w:val="left"/>
              <w:rPr>
                <w:rFonts w:ascii="宋体" w:hAnsi="宋体" w:cs="宋体" w:eastAsia="宋体" w:hint="default"/>
                <w:sz w:val="18"/>
                <w:szCs w:val="18"/>
              </w:rPr>
            </w:pPr>
            <w:r>
              <w:rPr>
                <w:rFonts w:ascii="宋体" w:hAnsi="宋体" w:cs="宋体" w:eastAsia="宋体" w:hint="default"/>
                <w:sz w:val="18"/>
                <w:szCs w:val="18"/>
              </w:rPr>
              <w:t>补助项目</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发放主体</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66" w:right="0"/>
              <w:jc w:val="left"/>
              <w:rPr>
                <w:rFonts w:ascii="宋体" w:hAnsi="宋体" w:cs="宋体" w:eastAsia="宋体" w:hint="default"/>
                <w:sz w:val="18"/>
                <w:szCs w:val="18"/>
              </w:rPr>
            </w:pPr>
            <w:r>
              <w:rPr>
                <w:rFonts w:ascii="宋体" w:hAnsi="宋体" w:cs="宋体" w:eastAsia="宋体" w:hint="default"/>
                <w:sz w:val="18"/>
                <w:szCs w:val="18"/>
              </w:rPr>
              <w:t>发放原因</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性质类型</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75" w:right="77"/>
              <w:jc w:val="left"/>
              <w:rPr>
                <w:rFonts w:ascii="宋体" w:hAnsi="宋体" w:cs="宋体" w:eastAsia="宋体" w:hint="default"/>
                <w:sz w:val="18"/>
                <w:szCs w:val="18"/>
              </w:rPr>
            </w:pPr>
            <w:r>
              <w:rPr>
                <w:rFonts w:ascii="宋体" w:hAnsi="宋体" w:cs="宋体" w:eastAsia="宋体" w:hint="default"/>
                <w:sz w:val="18"/>
                <w:szCs w:val="18"/>
              </w:rPr>
              <w:t>补贴是否影 响当年盈亏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35" w:right="77" w:hanging="360"/>
              <w:jc w:val="left"/>
              <w:rPr>
                <w:rFonts w:ascii="宋体" w:hAnsi="宋体" w:cs="宋体" w:eastAsia="宋体" w:hint="default"/>
                <w:sz w:val="18"/>
                <w:szCs w:val="18"/>
              </w:rPr>
            </w:pPr>
            <w:r>
              <w:rPr>
                <w:rFonts w:ascii="宋体" w:hAnsi="宋体" w:cs="宋体" w:eastAsia="宋体" w:hint="default"/>
                <w:sz w:val="18"/>
                <w:szCs w:val="18"/>
              </w:rPr>
              <w:t>是否特殊补 贴</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35" w:right="76" w:hanging="360"/>
              <w:jc w:val="left"/>
              <w:rPr>
                <w:rFonts w:ascii="宋体" w:hAnsi="宋体" w:cs="宋体" w:eastAsia="宋体" w:hint="default"/>
                <w:sz w:val="18"/>
                <w:szCs w:val="18"/>
              </w:rPr>
            </w:pPr>
            <w:r>
              <w:rPr>
                <w:rFonts w:ascii="宋体" w:hAnsi="宋体" w:cs="宋体" w:eastAsia="宋体" w:hint="default"/>
                <w:sz w:val="18"/>
                <w:szCs w:val="18"/>
              </w:rPr>
              <w:t>本期发生金 额</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35" w:right="74" w:hanging="360"/>
              <w:jc w:val="left"/>
              <w:rPr>
                <w:rFonts w:ascii="宋体" w:hAnsi="宋体" w:cs="宋体" w:eastAsia="宋体" w:hint="default"/>
                <w:sz w:val="18"/>
                <w:szCs w:val="18"/>
              </w:rPr>
            </w:pPr>
            <w:r>
              <w:rPr>
                <w:rFonts w:ascii="宋体" w:hAnsi="宋体" w:cs="宋体" w:eastAsia="宋体" w:hint="default"/>
                <w:sz w:val="18"/>
                <w:szCs w:val="18"/>
              </w:rPr>
              <w:t>上期发生金 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76" w:right="51" w:hanging="26"/>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 </w:t>
            </w:r>
            <w:r>
              <w:rPr>
                <w:rFonts w:ascii="宋体" w:hAnsi="宋体" w:cs="宋体" w:eastAsia="宋体" w:hint="default"/>
                <w:sz w:val="18"/>
                <w:szCs w:val="18"/>
              </w:rPr>
              <w:t>与收益相关</w:t>
            </w:r>
          </w:p>
        </w:tc>
      </w:tr>
      <w:tr>
        <w:trPr>
          <w:trHeight w:val="2276"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319" w:lineRule="auto"/>
              <w:ind w:left="22" w:right="131"/>
              <w:jc w:val="both"/>
              <w:rPr>
                <w:rFonts w:ascii="宋体" w:hAnsi="宋体" w:cs="宋体" w:eastAsia="宋体" w:hint="default"/>
                <w:sz w:val="18"/>
                <w:szCs w:val="18"/>
              </w:rPr>
            </w:pPr>
            <w:r>
              <w:rPr>
                <w:rFonts w:ascii="宋体" w:hAnsi="宋体" w:cs="宋体" w:eastAsia="宋体" w:hint="default"/>
                <w:sz w:val="18"/>
                <w:szCs w:val="18"/>
              </w:rPr>
              <w:t>软件产品增 值税退税收 入</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319" w:lineRule="auto"/>
              <w:ind w:left="22" w:right="127"/>
              <w:jc w:val="both"/>
              <w:rPr>
                <w:rFonts w:ascii="宋体" w:hAnsi="宋体" w:cs="宋体" w:eastAsia="宋体" w:hint="default"/>
                <w:sz w:val="18"/>
                <w:szCs w:val="18"/>
              </w:rPr>
            </w:pPr>
            <w:r>
              <w:rPr>
                <w:rFonts w:ascii="宋体" w:hAnsi="宋体" w:cs="宋体" w:eastAsia="宋体" w:hint="default"/>
                <w:sz w:val="18"/>
                <w:szCs w:val="18"/>
              </w:rPr>
              <w:t>石家庄市高 新区国家税 务局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22"/>
              <w:jc w:val="left"/>
              <w:rPr>
                <w:rFonts w:ascii="宋体" w:hAnsi="宋体" w:cs="宋体" w:eastAsia="宋体" w:hint="default"/>
                <w:sz w:val="18"/>
                <w:szCs w:val="18"/>
              </w:rPr>
            </w:pPr>
            <w:r>
              <w:rPr>
                <w:rFonts w:ascii="宋体" w:hAnsi="宋体" w:cs="宋体" w:eastAsia="宋体" w:hint="default"/>
                <w:sz w:val="18"/>
                <w:szCs w:val="18"/>
              </w:rPr>
              <w:t>因从事国家 鼓励和扶持 </w:t>
            </w:r>
            <w:r>
              <w:rPr>
                <w:rFonts w:ascii="宋体" w:hAnsi="宋体" w:cs="宋体" w:eastAsia="宋体" w:hint="default"/>
                <w:spacing w:val="-13"/>
                <w:sz w:val="18"/>
                <w:szCs w:val="18"/>
              </w:rPr>
              <w:t>特定行业、产</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业而获得的 </w:t>
            </w:r>
            <w:r>
              <w:rPr>
                <w:rFonts w:ascii="宋体" w:hAnsi="宋体" w:cs="宋体" w:eastAsia="宋体" w:hint="default"/>
                <w:spacing w:val="-13"/>
                <w:sz w:val="18"/>
                <w:szCs w:val="18"/>
              </w:rPr>
              <w:t>补助（按国家</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级政策规定 依法取得）</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85" w:right="0"/>
              <w:jc w:val="left"/>
              <w:rPr>
                <w:rFonts w:ascii="Times New Roman" w:hAnsi="Times New Roman" w:cs="Times New Roman" w:eastAsia="Times New Roman" w:hint="default"/>
                <w:sz w:val="18"/>
                <w:szCs w:val="18"/>
              </w:rPr>
            </w:pPr>
            <w:r>
              <w:rPr>
                <w:rFonts w:ascii="Times New Roman"/>
                <w:sz w:val="18"/>
              </w:rPr>
              <w:t>7,698,489.19</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bl>
    <w:p>
      <w:pPr>
        <w:spacing w:after="0" w:line="240"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1066"/>
        <w:gridCol w:w="1062"/>
        <w:gridCol w:w="1063"/>
        <w:gridCol w:w="1064"/>
        <w:gridCol w:w="1063"/>
        <w:gridCol w:w="1063"/>
        <w:gridCol w:w="1064"/>
        <w:gridCol w:w="1062"/>
        <w:gridCol w:w="1063"/>
      </w:tblGrid>
      <w:tr>
        <w:trPr>
          <w:trHeight w:val="2274"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2" w:right="131" w:firstLine="90"/>
              <w:jc w:val="both"/>
              <w:rPr>
                <w:rFonts w:ascii="宋体" w:hAnsi="宋体" w:cs="宋体" w:eastAsia="宋体" w:hint="default"/>
                <w:sz w:val="18"/>
                <w:szCs w:val="18"/>
              </w:rPr>
            </w:pPr>
            <w:r>
              <w:rPr>
                <w:rFonts w:ascii="宋体" w:hAnsi="宋体" w:cs="宋体" w:eastAsia="宋体" w:hint="default"/>
                <w:sz w:val="18"/>
                <w:szCs w:val="18"/>
              </w:rPr>
              <w:t>基于紫外</w:t>
            </w:r>
            <w:r>
              <w:rPr>
                <w:rFonts w:ascii="Times New Roman" w:hAnsi="Times New Roman" w:cs="Times New Roman" w:eastAsia="Times New Roman" w:hint="default"/>
                <w:sz w:val="18"/>
                <w:szCs w:val="18"/>
              </w:rPr>
              <w:t>- </w:t>
            </w:r>
            <w:r>
              <w:rPr>
                <w:rFonts w:ascii="宋体" w:hAnsi="宋体" w:cs="宋体" w:eastAsia="宋体" w:hint="default"/>
                <w:sz w:val="18"/>
                <w:szCs w:val="18"/>
              </w:rPr>
              <w:t>可见光谱的 阀上实验室 及其水质微 分析系统研 制与产业化 示范</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2" w:right="0"/>
              <w:jc w:val="left"/>
              <w:rPr>
                <w:rFonts w:ascii="宋体" w:hAnsi="宋体" w:cs="宋体" w:eastAsia="宋体" w:hint="default"/>
                <w:sz w:val="18"/>
                <w:szCs w:val="18"/>
              </w:rPr>
            </w:pPr>
            <w:r>
              <w:rPr>
                <w:rFonts w:ascii="宋体" w:hAnsi="宋体" w:cs="宋体" w:eastAsia="宋体" w:hint="default"/>
                <w:sz w:val="18"/>
                <w:szCs w:val="18"/>
              </w:rPr>
              <w:t>财政部</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05"/>
              <w:ind w:left="22" w:right="-49"/>
              <w:jc w:val="left"/>
              <w:rPr>
                <w:rFonts w:ascii="宋体" w:hAnsi="宋体" w:cs="宋体" w:eastAsia="宋体" w:hint="default"/>
                <w:sz w:val="18"/>
                <w:szCs w:val="18"/>
              </w:rPr>
            </w:pPr>
            <w:r>
              <w:rPr>
                <w:rFonts w:ascii="宋体" w:hAnsi="宋体" w:cs="宋体" w:eastAsia="宋体" w:hint="default"/>
                <w:sz w:val="18"/>
                <w:szCs w:val="18"/>
              </w:rPr>
              <w:t>因研究开发、 技术更新及 改造等获得 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936"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8"/>
                <w:sz w:val="20"/>
                <w:szCs w:val="20"/>
              </w:rPr>
              <w:pict>
                <v:group style="width:52.7pt;height:46.8pt;mso-position-horizontal-relative:char;mso-position-vertical-relative:line" coordorigin="0,0" coordsize="1054,936">
                  <v:group style="position:absolute;left:0;top:0;width:1054;height:936" coordorigin="0,0" coordsize="1054,936">
                    <v:shape style="position:absolute;left:0;top:0;width:1054;height:936" coordorigin="0,0" coordsize="1054,936" path="m0,936l1054,936,1054,0,0,0,0,936xe" filled="true" fillcolor="#ffffff" stroked="false">
                      <v:path arrowok="t"/>
                      <v:fill type="solid"/>
                    </v:shape>
                  </v:group>
                </v:group>
              </w:pict>
            </w:r>
            <w:r>
              <w:rPr>
                <w:rFonts w:ascii="Times New Roman" w:hAnsi="Times New Roman" w:cs="Times New Roman" w:eastAsia="Times New Roman" w:hint="default"/>
                <w:position w:val="-18"/>
                <w:sz w:val="20"/>
                <w:szCs w:val="20"/>
              </w:rPr>
            </w:r>
          </w:p>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465,373.78</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38"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1" w:firstLine="90"/>
              <w:jc w:val="left"/>
              <w:rPr>
                <w:rFonts w:ascii="宋体" w:hAnsi="宋体" w:cs="宋体" w:eastAsia="宋体" w:hint="default"/>
                <w:sz w:val="18"/>
                <w:szCs w:val="18"/>
              </w:rPr>
            </w:pPr>
            <w:r>
              <w:rPr>
                <w:rFonts w:ascii="宋体" w:hAnsi="宋体" w:cs="宋体" w:eastAsia="宋体" w:hint="default"/>
                <w:sz w:val="18"/>
                <w:szCs w:val="18"/>
              </w:rPr>
              <w:t>河北省环境 空气污染预 警预报系统 经费</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6"/>
              <w:ind w:left="22" w:right="37" w:firstLine="90"/>
              <w:jc w:val="left"/>
              <w:rPr>
                <w:rFonts w:ascii="宋体" w:hAnsi="宋体" w:cs="宋体" w:eastAsia="宋体" w:hint="default"/>
                <w:sz w:val="18"/>
                <w:szCs w:val="18"/>
              </w:rPr>
            </w:pPr>
            <w:r>
              <w:rPr>
                <w:rFonts w:ascii="宋体" w:hAnsi="宋体" w:cs="宋体" w:eastAsia="宋体" w:hint="default"/>
                <w:sz w:val="18"/>
                <w:szCs w:val="18"/>
              </w:rPr>
              <w:t>河北省财政 厅</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9"/>
              <w:jc w:val="left"/>
              <w:rPr>
                <w:rFonts w:ascii="宋体" w:hAnsi="宋体" w:cs="宋体" w:eastAsia="宋体" w:hint="default"/>
                <w:sz w:val="18"/>
                <w:szCs w:val="18"/>
              </w:rPr>
            </w:pPr>
            <w:r>
              <w:rPr>
                <w:rFonts w:ascii="宋体" w:hAnsi="宋体" w:cs="宋体" w:eastAsia="宋体" w:hint="default"/>
                <w:sz w:val="18"/>
                <w:szCs w:val="18"/>
              </w:rPr>
              <w:t>因研究开发、 技术更新及 改造等获得 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468"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8"/>
                <w:sz w:val="20"/>
                <w:szCs w:val="20"/>
              </w:rPr>
              <w:pict>
                <v:group style="width:52.7pt;height:23.4pt;mso-position-horizontal-relative:char;mso-position-vertical-relative:line" coordorigin="0,0" coordsize="1054,468">
                  <v:group style="position:absolute;left:0;top:0;width:1054;height:468" coordorigin="0,0" coordsize="1054,468">
                    <v:shape style="position:absolute;left:0;top:0;width:1054;height:468" coordorigin="0,0" coordsize="1054,468" path="m0,468l1054,468,1054,0,0,0,0,468xe" filled="true" fillcolor="#ffffff" stroked="false">
                      <v:path arrowok="t"/>
                      <v:fill type="solid"/>
                    </v:shape>
                  </v:group>
                </v:group>
              </w:pict>
            </w:r>
            <w:r>
              <w:rPr>
                <w:rFonts w:ascii="Times New Roman" w:hAnsi="Times New Roman" w:cs="Times New Roman" w:eastAsia="Times New Roman" w:hint="default"/>
                <w:position w:val="-8"/>
                <w:sz w:val="20"/>
                <w:szCs w:val="20"/>
              </w:rPr>
            </w:r>
          </w:p>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252,941.16</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38"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6"/>
              <w:ind w:left="22" w:right="131"/>
              <w:jc w:val="left"/>
              <w:rPr>
                <w:rFonts w:ascii="宋体" w:hAnsi="宋体" w:cs="宋体" w:eastAsia="宋体" w:hint="default"/>
                <w:sz w:val="18"/>
                <w:szCs w:val="18"/>
              </w:rPr>
            </w:pPr>
            <w:r>
              <w:rPr>
                <w:rFonts w:ascii="宋体" w:hAnsi="宋体" w:cs="宋体" w:eastAsia="宋体" w:hint="default"/>
                <w:sz w:val="18"/>
                <w:szCs w:val="18"/>
              </w:rPr>
              <w:t>物联网项目 拨款</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6"/>
              <w:ind w:left="22" w:right="127"/>
              <w:jc w:val="left"/>
              <w:rPr>
                <w:rFonts w:ascii="宋体" w:hAnsi="宋体" w:cs="宋体" w:eastAsia="宋体" w:hint="default"/>
                <w:sz w:val="18"/>
                <w:szCs w:val="18"/>
              </w:rPr>
            </w:pPr>
            <w:r>
              <w:rPr>
                <w:rFonts w:ascii="宋体" w:hAnsi="宋体" w:cs="宋体" w:eastAsia="宋体" w:hint="default"/>
                <w:sz w:val="18"/>
                <w:szCs w:val="18"/>
              </w:rPr>
              <w:t>工业和信息 化部</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9"/>
              <w:jc w:val="left"/>
              <w:rPr>
                <w:rFonts w:ascii="宋体" w:hAnsi="宋体" w:cs="宋体" w:eastAsia="宋体" w:hint="default"/>
                <w:sz w:val="18"/>
                <w:szCs w:val="18"/>
              </w:rPr>
            </w:pPr>
            <w:r>
              <w:rPr>
                <w:rFonts w:ascii="宋体" w:hAnsi="宋体" w:cs="宋体" w:eastAsia="宋体" w:hint="default"/>
                <w:sz w:val="18"/>
                <w:szCs w:val="18"/>
              </w:rPr>
              <w:t>因研究开发、 技术更新及 改造等获得 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468"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8"/>
                <w:sz w:val="20"/>
                <w:szCs w:val="20"/>
              </w:rPr>
              <w:pict>
                <v:group style="width:52.7pt;height:23.4pt;mso-position-horizontal-relative:char;mso-position-vertical-relative:line" coordorigin="0,0" coordsize="1054,468">
                  <v:group style="position:absolute;left:0;top:0;width:1054;height:468" coordorigin="0,0" coordsize="1054,468">
                    <v:shape style="position:absolute;left:0;top:0;width:1054;height:468" coordorigin="0,0" coordsize="1054,468" path="m0,468l1054,468,1054,0,0,0,0,468xe" filled="true" fillcolor="#ffffff" stroked="false">
                      <v:path arrowok="t"/>
                      <v:fill type="solid"/>
                    </v:shape>
                  </v:group>
                </v:group>
              </w:pict>
            </w:r>
            <w:r>
              <w:rPr>
                <w:rFonts w:ascii="Times New Roman" w:hAnsi="Times New Roman" w:cs="Times New Roman" w:eastAsia="Times New Roman" w:hint="default"/>
                <w:position w:val="-8"/>
                <w:sz w:val="20"/>
                <w:szCs w:val="20"/>
              </w:rPr>
            </w:r>
          </w:p>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pacing w:val="-1"/>
                <w:sz w:val="18"/>
              </w:rPr>
              <w:t>1,005,400.00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38"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31"/>
              <w:jc w:val="both"/>
              <w:rPr>
                <w:rFonts w:ascii="宋体" w:hAnsi="宋体" w:cs="宋体" w:eastAsia="宋体" w:hint="default"/>
                <w:sz w:val="18"/>
                <w:szCs w:val="18"/>
              </w:rPr>
            </w:pPr>
            <w:r>
              <w:rPr>
                <w:rFonts w:ascii="宋体" w:hAnsi="宋体" w:cs="宋体" w:eastAsia="宋体" w:hint="default"/>
                <w:sz w:val="18"/>
                <w:szCs w:val="18"/>
              </w:rPr>
              <w:t>疏水型吸附 剂有机溶剂 回收成套装 置研发项目</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127"/>
              <w:jc w:val="both"/>
              <w:rPr>
                <w:rFonts w:ascii="宋体" w:hAnsi="宋体" w:cs="宋体" w:eastAsia="宋体" w:hint="default"/>
                <w:sz w:val="18"/>
                <w:szCs w:val="18"/>
              </w:rPr>
            </w:pPr>
            <w:r>
              <w:rPr>
                <w:rFonts w:ascii="宋体" w:hAnsi="宋体" w:cs="宋体" w:eastAsia="宋体" w:hint="default"/>
                <w:sz w:val="18"/>
                <w:szCs w:val="18"/>
              </w:rPr>
              <w:t>河北省发展 和改革委员 会</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9"/>
              <w:jc w:val="left"/>
              <w:rPr>
                <w:rFonts w:ascii="宋体" w:hAnsi="宋体" w:cs="宋体" w:eastAsia="宋体" w:hint="default"/>
                <w:sz w:val="18"/>
                <w:szCs w:val="18"/>
              </w:rPr>
            </w:pPr>
            <w:r>
              <w:rPr>
                <w:rFonts w:ascii="宋体" w:hAnsi="宋体" w:cs="宋体" w:eastAsia="宋体" w:hint="default"/>
                <w:sz w:val="18"/>
                <w:szCs w:val="18"/>
              </w:rPr>
              <w:t>因研究开发、 技术更新及 改造等获得 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468"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8"/>
                <w:sz w:val="20"/>
                <w:szCs w:val="20"/>
              </w:rPr>
              <w:pict>
                <v:group style="width:52.7pt;height:23.4pt;mso-position-horizontal-relative:char;mso-position-vertical-relative:line" coordorigin="0,0" coordsize="1054,468">
                  <v:group style="position:absolute;left:0;top:0;width:1054;height:468" coordorigin="0,0" coordsize="1054,468">
                    <v:shape style="position:absolute;left:0;top:0;width:1054;height:468" coordorigin="0,0" coordsize="1054,468" path="m0,468l1054,468,1054,0,0,0,0,468xe" filled="true" fillcolor="#ffffff" stroked="false">
                      <v:path arrowok="t"/>
                      <v:fill type="solid"/>
                    </v:shape>
                  </v:group>
                </v:group>
              </w:pict>
            </w:r>
            <w:r>
              <w:rPr>
                <w:rFonts w:ascii="Times New Roman" w:hAnsi="Times New Roman" w:cs="Times New Roman" w:eastAsia="Times New Roman" w:hint="default"/>
                <w:position w:val="-8"/>
                <w:sz w:val="20"/>
                <w:szCs w:val="20"/>
              </w:rPr>
            </w:r>
          </w:p>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960,000.00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38"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131"/>
              <w:jc w:val="both"/>
              <w:rPr>
                <w:rFonts w:ascii="宋体" w:hAnsi="宋体" w:cs="宋体" w:eastAsia="宋体" w:hint="default"/>
                <w:sz w:val="18"/>
                <w:szCs w:val="18"/>
              </w:rPr>
            </w:pPr>
            <w:r>
              <w:rPr>
                <w:rFonts w:ascii="宋体" w:hAnsi="宋体" w:cs="宋体" w:eastAsia="宋体" w:hint="default"/>
                <w:sz w:val="18"/>
                <w:szCs w:val="18"/>
              </w:rPr>
              <w:t>水环境监测 仪器开发项 目</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2" w:right="0"/>
              <w:jc w:val="left"/>
              <w:rPr>
                <w:rFonts w:ascii="宋体" w:hAnsi="宋体" w:cs="宋体" w:eastAsia="宋体" w:hint="default"/>
                <w:sz w:val="18"/>
                <w:szCs w:val="18"/>
              </w:rPr>
            </w:pPr>
            <w:r>
              <w:rPr>
                <w:rFonts w:ascii="宋体" w:hAnsi="宋体" w:cs="宋体" w:eastAsia="宋体" w:hint="default"/>
                <w:sz w:val="18"/>
                <w:szCs w:val="18"/>
              </w:rPr>
              <w:t>科学技术部</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9"/>
              <w:jc w:val="left"/>
              <w:rPr>
                <w:rFonts w:ascii="宋体" w:hAnsi="宋体" w:cs="宋体" w:eastAsia="宋体" w:hint="default"/>
                <w:sz w:val="18"/>
                <w:szCs w:val="18"/>
              </w:rPr>
            </w:pPr>
            <w:r>
              <w:rPr>
                <w:rFonts w:ascii="宋体" w:hAnsi="宋体" w:cs="宋体" w:eastAsia="宋体" w:hint="default"/>
                <w:sz w:val="18"/>
                <w:szCs w:val="18"/>
              </w:rPr>
              <w:t>因研究开发、 技术更新及 改造等获得 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468"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8"/>
                <w:sz w:val="20"/>
                <w:szCs w:val="20"/>
              </w:rPr>
              <w:pict>
                <v:group style="width:52.7pt;height:23.4pt;mso-position-horizontal-relative:char;mso-position-vertical-relative:line" coordorigin="0,0" coordsize="1054,468">
                  <v:group style="position:absolute;left:0;top:0;width:1054;height:468" coordorigin="0,0" coordsize="1054,468">
                    <v:shape style="position:absolute;left:0;top:0;width:1054;height:468" coordorigin="0,0" coordsize="1054,468" path="m0,468l1054,468,1054,0,0,0,0,468xe" filled="true" fillcolor="#ffffff" stroked="false">
                      <v:path arrowok="t"/>
                      <v:fill type="solid"/>
                    </v:shape>
                  </v:group>
                </v:group>
              </w:pict>
            </w:r>
            <w:r>
              <w:rPr>
                <w:rFonts w:ascii="Times New Roman" w:hAnsi="Times New Roman" w:cs="Times New Roman" w:eastAsia="Times New Roman" w:hint="default"/>
                <w:position w:val="-8"/>
                <w:sz w:val="20"/>
                <w:szCs w:val="20"/>
              </w:rPr>
            </w:r>
          </w:p>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369,800.00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650"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31"/>
              <w:jc w:val="both"/>
              <w:rPr>
                <w:rFonts w:ascii="宋体" w:hAnsi="宋体" w:cs="宋体" w:eastAsia="宋体" w:hint="default"/>
                <w:sz w:val="18"/>
                <w:szCs w:val="18"/>
              </w:rPr>
            </w:pPr>
            <w:r>
              <w:rPr>
                <w:rFonts w:ascii="宋体" w:hAnsi="宋体" w:cs="宋体" w:eastAsia="宋体" w:hint="default"/>
                <w:sz w:val="18"/>
                <w:szCs w:val="18"/>
              </w:rPr>
              <w:t>大气细颗粒 物化学成分 在线监测设 备研制与应 用示范</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6"/>
              <w:ind w:left="22" w:right="20"/>
              <w:jc w:val="both"/>
              <w:rPr>
                <w:rFonts w:ascii="宋体" w:hAnsi="宋体" w:cs="宋体" w:eastAsia="宋体" w:hint="default"/>
                <w:sz w:val="18"/>
                <w:szCs w:val="18"/>
              </w:rPr>
            </w:pPr>
            <w:r>
              <w:rPr>
                <w:rFonts w:ascii="宋体" w:hAnsi="宋体" w:cs="宋体" w:eastAsia="宋体" w:hint="default"/>
                <w:spacing w:val="-13"/>
                <w:sz w:val="18"/>
                <w:szCs w:val="18"/>
              </w:rPr>
              <w:t>中科天融（北</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13"/>
                <w:sz w:val="18"/>
                <w:szCs w:val="18"/>
              </w:rPr>
              <w:t>京）科技有限</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49"/>
              <w:jc w:val="left"/>
              <w:rPr>
                <w:rFonts w:ascii="宋体" w:hAnsi="宋体" w:cs="宋体" w:eastAsia="宋体" w:hint="default"/>
                <w:sz w:val="18"/>
                <w:szCs w:val="18"/>
              </w:rPr>
            </w:pPr>
            <w:r>
              <w:rPr>
                <w:rFonts w:ascii="宋体" w:hAnsi="宋体" w:cs="宋体" w:eastAsia="宋体" w:hint="default"/>
                <w:sz w:val="18"/>
                <w:szCs w:val="18"/>
              </w:rPr>
              <w:t>因研究开发、 技术更新及 改造等获得 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624"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1"/>
                <w:sz w:val="20"/>
                <w:szCs w:val="20"/>
              </w:rPr>
              <w:pict>
                <v:group style="width:52.7pt;height:31.2pt;mso-position-horizontal-relative:char;mso-position-vertical-relative:line" coordorigin="0,0" coordsize="1054,624">
                  <v:group style="position:absolute;left:0;top:0;width:1054;height:624" coordorigin="0,0" coordsize="1054,624">
                    <v:shape style="position:absolute;left:0;top:0;width:1054;height:624" coordorigin="0,0" coordsize="1054,624" path="m0,624l1054,624,1054,0,0,0,0,624xe" filled="true" fillcolor="#ffffff" stroked="false">
                      <v:path arrowok="t"/>
                      <v:fill type="solid"/>
                    </v:shape>
                  </v:group>
                </v:group>
              </w:pict>
            </w:r>
            <w:r>
              <w:rPr>
                <w:rFonts w:ascii="Times New Roman" w:hAnsi="Times New Roman" w:cs="Times New Roman" w:eastAsia="Times New Roman" w:hint="default"/>
                <w:position w:val="-11"/>
                <w:sz w:val="20"/>
                <w:szCs w:val="20"/>
              </w:rPr>
            </w:r>
          </w:p>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1,506,820.77</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38"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6"/>
              <w:ind w:left="22" w:right="131"/>
              <w:jc w:val="left"/>
              <w:rPr>
                <w:rFonts w:ascii="宋体" w:hAnsi="宋体" w:cs="宋体" w:eastAsia="宋体" w:hint="default"/>
                <w:sz w:val="18"/>
                <w:szCs w:val="18"/>
              </w:rPr>
            </w:pPr>
            <w:r>
              <w:rPr>
                <w:rFonts w:ascii="宋体" w:hAnsi="宋体" w:cs="宋体" w:eastAsia="宋体" w:hint="default"/>
                <w:sz w:val="18"/>
                <w:szCs w:val="18"/>
              </w:rPr>
              <w:t>原位水质在 线分析系统</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127"/>
              <w:jc w:val="both"/>
              <w:rPr>
                <w:rFonts w:ascii="宋体" w:hAnsi="宋体" w:cs="宋体" w:eastAsia="宋体" w:hint="default"/>
                <w:sz w:val="18"/>
                <w:szCs w:val="18"/>
              </w:rPr>
            </w:pPr>
            <w:r>
              <w:rPr>
                <w:rFonts w:ascii="宋体" w:hAnsi="宋体" w:cs="宋体" w:eastAsia="宋体" w:hint="default"/>
                <w:sz w:val="18"/>
                <w:szCs w:val="18"/>
              </w:rPr>
              <w:t>石家庄高新 技术产业开 发区财政局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9"/>
              <w:jc w:val="left"/>
              <w:rPr>
                <w:rFonts w:ascii="宋体" w:hAnsi="宋体" w:cs="宋体" w:eastAsia="宋体" w:hint="default"/>
                <w:sz w:val="18"/>
                <w:szCs w:val="18"/>
              </w:rPr>
            </w:pPr>
            <w:r>
              <w:rPr>
                <w:rFonts w:ascii="宋体" w:hAnsi="宋体" w:cs="宋体" w:eastAsia="宋体" w:hint="default"/>
                <w:sz w:val="18"/>
                <w:szCs w:val="18"/>
              </w:rPr>
              <w:t>因研究开发、 技术更新及 改造等获得 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468"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8"/>
                <w:sz w:val="20"/>
                <w:szCs w:val="20"/>
              </w:rPr>
              <w:pict>
                <v:group style="width:52.7pt;height:23.4pt;mso-position-horizontal-relative:char;mso-position-vertical-relative:line" coordorigin="0,0" coordsize="1054,468">
                  <v:group style="position:absolute;left:0;top:0;width:1054;height:468" coordorigin="0,0" coordsize="1054,468">
                    <v:shape style="position:absolute;left:0;top:0;width:1054;height:468" coordorigin="0,0" coordsize="1054,468" path="m0,468l1054,468,1054,0,0,0,0,468xe" filled="true" fillcolor="#ffffff" stroked="false">
                      <v:path arrowok="t"/>
                      <v:fill type="solid"/>
                    </v:shape>
                  </v:group>
                </v:group>
              </w:pict>
            </w:r>
            <w:r>
              <w:rPr>
                <w:rFonts w:ascii="Times New Roman" w:hAnsi="Times New Roman" w:cs="Times New Roman" w:eastAsia="Times New Roman" w:hint="default"/>
                <w:position w:val="-8"/>
                <w:sz w:val="20"/>
                <w:szCs w:val="20"/>
              </w:rPr>
            </w:r>
          </w:p>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391,304.34</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2274"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31"/>
              <w:jc w:val="both"/>
              <w:rPr>
                <w:rFonts w:ascii="宋体" w:hAnsi="宋体" w:cs="宋体" w:eastAsia="宋体" w:hint="default"/>
                <w:sz w:val="18"/>
                <w:szCs w:val="18"/>
              </w:rPr>
            </w:pPr>
            <w:r>
              <w:rPr>
                <w:rFonts w:ascii="宋体" w:hAnsi="宋体" w:cs="宋体" w:eastAsia="宋体" w:hint="default"/>
                <w:sz w:val="18"/>
                <w:szCs w:val="18"/>
              </w:rPr>
              <w:t>基于多参数 空气质量原 位监测仪的 大气质量数 据管理平台 的开发与应 用</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319" w:lineRule="auto"/>
              <w:ind w:left="22" w:right="127"/>
              <w:jc w:val="both"/>
              <w:rPr>
                <w:rFonts w:ascii="宋体" w:hAnsi="宋体" w:cs="宋体" w:eastAsia="宋体" w:hint="default"/>
                <w:sz w:val="18"/>
                <w:szCs w:val="18"/>
              </w:rPr>
            </w:pPr>
            <w:r>
              <w:rPr>
                <w:rFonts w:ascii="宋体" w:hAnsi="宋体" w:cs="宋体" w:eastAsia="宋体" w:hint="default"/>
                <w:sz w:val="18"/>
                <w:szCs w:val="18"/>
              </w:rPr>
              <w:t>石家庄高新 技术产业开 发区财政局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05"/>
              <w:ind w:left="22" w:right="-49"/>
              <w:jc w:val="left"/>
              <w:rPr>
                <w:rFonts w:ascii="宋体" w:hAnsi="宋体" w:cs="宋体" w:eastAsia="宋体" w:hint="default"/>
                <w:sz w:val="18"/>
                <w:szCs w:val="18"/>
              </w:rPr>
            </w:pPr>
            <w:r>
              <w:rPr>
                <w:rFonts w:ascii="宋体" w:hAnsi="宋体" w:cs="宋体" w:eastAsia="宋体" w:hint="default"/>
                <w:sz w:val="18"/>
                <w:szCs w:val="18"/>
              </w:rPr>
              <w:t>因研究开发、 技术更新及 改造等获得 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936"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8"/>
                <w:sz w:val="20"/>
                <w:szCs w:val="20"/>
              </w:rPr>
              <w:pict>
                <v:group style="width:52.7pt;height:46.8pt;mso-position-horizontal-relative:char;mso-position-vertical-relative:line" coordorigin="0,0" coordsize="1054,936">
                  <v:group style="position:absolute;left:0;top:0;width:1054;height:936" coordorigin="0,0" coordsize="1054,936">
                    <v:shape style="position:absolute;left:0;top:0;width:1054;height:936" coordorigin="0,0" coordsize="1054,936" path="m0,936l1054,936,1054,0,0,0,0,936xe" filled="true" fillcolor="#ffffff" stroked="false">
                      <v:path arrowok="t"/>
                      <v:fill type="solid"/>
                    </v:shape>
                  </v:group>
                </v:group>
              </w:pict>
            </w:r>
            <w:r>
              <w:rPr>
                <w:rFonts w:ascii="Times New Roman" w:hAnsi="Times New Roman" w:cs="Times New Roman" w:eastAsia="Times New Roman" w:hint="default"/>
                <w:position w:val="-18"/>
                <w:sz w:val="20"/>
                <w:szCs w:val="20"/>
              </w:rPr>
            </w:r>
          </w:p>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171,428.58</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026"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31"/>
              <w:jc w:val="both"/>
              <w:rPr>
                <w:rFonts w:ascii="宋体" w:hAnsi="宋体" w:cs="宋体" w:eastAsia="宋体" w:hint="default"/>
                <w:sz w:val="18"/>
                <w:szCs w:val="18"/>
              </w:rPr>
            </w:pPr>
            <w:r>
              <w:rPr>
                <w:rFonts w:ascii="宋体" w:hAnsi="宋体" w:cs="宋体" w:eastAsia="宋体" w:hint="default"/>
                <w:sz w:val="18"/>
                <w:szCs w:val="18"/>
              </w:rPr>
              <w:t>网格化检测 系统产业技 术改造</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1"/>
              <w:ind w:left="22" w:right="127"/>
              <w:jc w:val="both"/>
              <w:rPr>
                <w:rFonts w:ascii="宋体" w:hAnsi="宋体" w:cs="宋体" w:eastAsia="宋体" w:hint="default"/>
                <w:sz w:val="18"/>
                <w:szCs w:val="18"/>
              </w:rPr>
            </w:pPr>
            <w:r>
              <w:rPr>
                <w:rFonts w:ascii="宋体" w:hAnsi="宋体" w:cs="宋体" w:eastAsia="宋体" w:hint="default"/>
                <w:sz w:val="18"/>
                <w:szCs w:val="18"/>
              </w:rPr>
              <w:t>石家庄高新 技术产业开 发区经济发</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1"/>
              <w:ind w:left="22" w:right="-49"/>
              <w:jc w:val="left"/>
              <w:rPr>
                <w:rFonts w:ascii="宋体" w:hAnsi="宋体" w:cs="宋体" w:eastAsia="宋体" w:hint="default"/>
                <w:sz w:val="18"/>
                <w:szCs w:val="18"/>
              </w:rPr>
            </w:pPr>
            <w:r>
              <w:rPr>
                <w:rFonts w:ascii="宋体" w:hAnsi="宋体" w:cs="宋体" w:eastAsia="宋体" w:hint="default"/>
                <w:sz w:val="18"/>
                <w:szCs w:val="18"/>
              </w:rPr>
              <w:t>因研究开发、 技术更新及 改造等获得</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5"/>
                <w:sz w:val="20"/>
                <w:szCs w:val="20"/>
              </w:rPr>
              <w:pict>
                <v:group style="width:52.7pt;height:15.6pt;mso-position-horizontal-relative:char;mso-position-vertical-relative:line" coordorigin="0,0" coordsize="1054,312">
                  <v:group style="position:absolute;left:0;top:0;width:1054;height:312" coordorigin="0,0" coordsize="1054,312">
                    <v:shape style="position:absolute;left:0;top:0;width:1054;height:312" coordorigin="0,0" coordsize="1054,312" path="m0,312l1054,312,1054,0,0,0,0,312xe" filled="true" fillcolor="#ffffff" stroked="false">
                      <v:path arrowok="t"/>
                      <v:fill type="solid"/>
                    </v:shape>
                  </v:group>
                </v:group>
              </w:pict>
            </w:r>
            <w:r>
              <w:rPr>
                <w:rFonts w:ascii="Times New Roman" w:hAnsi="Times New Roman" w:cs="Times New Roman" w:eastAsia="Times New Roman" w:hint="default"/>
                <w:position w:val="-5"/>
                <w:sz w:val="20"/>
                <w:szCs w:val="20"/>
              </w:rPr>
            </w:r>
          </w:p>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bl>
    <w:p>
      <w:pPr>
        <w:spacing w:after="0" w:line="240"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1066"/>
        <w:gridCol w:w="1062"/>
        <w:gridCol w:w="1063"/>
        <w:gridCol w:w="1064"/>
        <w:gridCol w:w="1063"/>
        <w:gridCol w:w="1063"/>
        <w:gridCol w:w="1064"/>
        <w:gridCol w:w="1062"/>
        <w:gridCol w:w="1063"/>
      </w:tblGrid>
      <w:tr>
        <w:trPr>
          <w:trHeight w:val="362" w:hRule="exact"/>
        </w:trPr>
        <w:tc>
          <w:tcPr>
            <w:tcW w:w="1066"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展局</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的补助</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1962"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2" w:right="131"/>
              <w:jc w:val="both"/>
              <w:rPr>
                <w:rFonts w:ascii="宋体" w:hAnsi="宋体" w:cs="宋体" w:eastAsia="宋体" w:hint="default"/>
                <w:sz w:val="18"/>
                <w:szCs w:val="18"/>
              </w:rPr>
            </w:pPr>
            <w:r>
              <w:rPr>
                <w:rFonts w:ascii="宋体" w:hAnsi="宋体" w:cs="宋体" w:eastAsia="宋体" w:hint="default"/>
                <w:sz w:val="18"/>
                <w:szCs w:val="18"/>
              </w:rPr>
              <w:t>挥发性有机 物（</w:t>
            </w:r>
            <w:r>
              <w:rPr>
                <w:rFonts w:ascii="Times New Roman" w:hAnsi="Times New Roman" w:cs="Times New Roman" w:eastAsia="Times New Roman" w:hint="default"/>
                <w:sz w:val="18"/>
                <w:szCs w:val="18"/>
              </w:rPr>
              <w:t>VOCs)</w:t>
            </w:r>
            <w:r>
              <w:rPr>
                <w:rFonts w:ascii="Times New Roman" w:hAnsi="Times New Roman" w:cs="Times New Roman" w:eastAsia="Times New Roman" w:hint="default"/>
                <w:w w:val="99"/>
                <w:sz w:val="18"/>
                <w:szCs w:val="18"/>
              </w:rPr>
              <w:t> </w:t>
            </w:r>
            <w:r>
              <w:rPr>
                <w:rFonts w:ascii="宋体" w:hAnsi="宋体" w:cs="宋体" w:eastAsia="宋体" w:hint="default"/>
                <w:sz w:val="18"/>
                <w:szCs w:val="18"/>
              </w:rPr>
              <w:t>分子筛吸附 浓缩转轮及 净化回收成 套装置</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05"/>
              <w:ind w:left="22" w:right="127"/>
              <w:jc w:val="both"/>
              <w:rPr>
                <w:rFonts w:ascii="宋体" w:hAnsi="宋体" w:cs="宋体" w:eastAsia="宋体" w:hint="default"/>
                <w:sz w:val="18"/>
                <w:szCs w:val="18"/>
              </w:rPr>
            </w:pPr>
            <w:r>
              <w:rPr>
                <w:rFonts w:ascii="宋体" w:hAnsi="宋体" w:cs="宋体" w:eastAsia="宋体" w:hint="default"/>
                <w:sz w:val="18"/>
                <w:szCs w:val="18"/>
              </w:rPr>
              <w:t>石家庄高新 技术产业开 发区科技局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6"/>
              <w:ind w:left="22" w:right="-49"/>
              <w:jc w:val="left"/>
              <w:rPr>
                <w:rFonts w:ascii="宋体" w:hAnsi="宋体" w:cs="宋体" w:eastAsia="宋体" w:hint="default"/>
                <w:sz w:val="18"/>
                <w:szCs w:val="18"/>
              </w:rPr>
            </w:pPr>
            <w:r>
              <w:rPr>
                <w:rFonts w:ascii="宋体" w:hAnsi="宋体" w:cs="宋体" w:eastAsia="宋体" w:hint="default"/>
                <w:sz w:val="18"/>
                <w:szCs w:val="18"/>
              </w:rPr>
              <w:t>因研究开发、 技术更新及 改造等获得 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780"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5"/>
                <w:sz w:val="20"/>
                <w:szCs w:val="20"/>
              </w:rPr>
              <w:pict>
                <v:group style="width:52.7pt;height:39pt;mso-position-horizontal-relative:char;mso-position-vertical-relative:line" coordorigin="0,0" coordsize="1054,780">
                  <v:group style="position:absolute;left:0;top:0;width:1054;height:780" coordorigin="0,0" coordsize="1054,780">
                    <v:shape style="position:absolute;left:0;top:0;width:1054;height:780" coordorigin="0,0" coordsize="1054,780" path="m0,780l1054,780,1054,0,0,0,0,780xe" filled="true" fillcolor="#ffffff" stroked="false">
                      <v:path arrowok="t"/>
                      <v:fill type="solid"/>
                    </v:shape>
                  </v:group>
                </v:group>
              </w:pict>
            </w:r>
            <w:r>
              <w:rPr>
                <w:rFonts w:ascii="Times New Roman" w:hAnsi="Times New Roman" w:cs="Times New Roman" w:eastAsia="Times New Roman" w:hint="default"/>
                <w:position w:val="-15"/>
                <w:sz w:val="20"/>
                <w:szCs w:val="20"/>
              </w:rPr>
            </w:r>
          </w:p>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2274"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09" w:lineRule="auto" w:before="156"/>
              <w:ind w:left="22" w:right="71"/>
              <w:jc w:val="both"/>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年省级 开放型经济 发展专项资 金</w:t>
            </w:r>
            <w:r>
              <w:rPr>
                <w:rFonts w:ascii="Times New Roman" w:hAnsi="Times New Roman" w:cs="Times New Roman" w:eastAsia="Times New Roman" w:hint="default"/>
                <w:sz w:val="18"/>
                <w:szCs w:val="18"/>
              </w:rPr>
              <w:t>-</w:t>
            </w:r>
            <w:r>
              <w:rPr>
                <w:rFonts w:ascii="宋体" w:hAnsi="宋体" w:cs="宋体" w:eastAsia="宋体" w:hint="default"/>
                <w:sz w:val="18"/>
                <w:szCs w:val="18"/>
              </w:rPr>
              <w:t>走出去项 目</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316" w:lineRule="auto"/>
              <w:ind w:left="22" w:right="127"/>
              <w:jc w:val="both"/>
              <w:rPr>
                <w:rFonts w:ascii="宋体" w:hAnsi="宋体" w:cs="宋体" w:eastAsia="宋体" w:hint="default"/>
                <w:sz w:val="18"/>
                <w:szCs w:val="18"/>
              </w:rPr>
            </w:pPr>
            <w:r>
              <w:rPr>
                <w:rFonts w:ascii="宋体" w:hAnsi="宋体" w:cs="宋体" w:eastAsia="宋体" w:hint="default"/>
                <w:sz w:val="18"/>
                <w:szCs w:val="18"/>
              </w:rPr>
              <w:t>石家庄高新 技术产业开 发区财政局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因从事国家 鼓励和扶持 </w:t>
            </w:r>
            <w:r>
              <w:rPr>
                <w:rFonts w:ascii="宋体" w:hAnsi="宋体" w:cs="宋体" w:eastAsia="宋体" w:hint="default"/>
                <w:spacing w:val="-13"/>
                <w:sz w:val="18"/>
                <w:szCs w:val="18"/>
              </w:rPr>
              <w:t>特定行业、产</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业而获得的 </w:t>
            </w:r>
            <w:r>
              <w:rPr>
                <w:rFonts w:ascii="宋体" w:hAnsi="宋体" w:cs="宋体" w:eastAsia="宋体" w:hint="default"/>
                <w:spacing w:val="-13"/>
                <w:sz w:val="18"/>
                <w:szCs w:val="18"/>
              </w:rPr>
              <w:t>补助（按国家</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级政策规定 依法取得）</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2274"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316" w:lineRule="auto"/>
              <w:ind w:left="22" w:right="131"/>
              <w:jc w:val="left"/>
              <w:rPr>
                <w:rFonts w:ascii="宋体" w:hAnsi="宋体" w:cs="宋体" w:eastAsia="宋体" w:hint="default"/>
                <w:sz w:val="18"/>
                <w:szCs w:val="18"/>
              </w:rPr>
            </w:pPr>
            <w:r>
              <w:rPr>
                <w:rFonts w:ascii="宋体" w:hAnsi="宋体" w:cs="宋体" w:eastAsia="宋体" w:hint="default"/>
                <w:sz w:val="18"/>
                <w:szCs w:val="18"/>
              </w:rPr>
              <w:t>关于进口奖 励的申请</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5"/>
              <w:ind w:left="22" w:right="127"/>
              <w:jc w:val="both"/>
              <w:rPr>
                <w:rFonts w:ascii="宋体" w:hAnsi="宋体" w:cs="宋体" w:eastAsia="宋体" w:hint="default"/>
                <w:sz w:val="18"/>
                <w:szCs w:val="18"/>
              </w:rPr>
            </w:pPr>
            <w:r>
              <w:rPr>
                <w:rFonts w:ascii="宋体" w:hAnsi="宋体" w:cs="宋体" w:eastAsia="宋体" w:hint="default"/>
                <w:sz w:val="18"/>
                <w:szCs w:val="18"/>
              </w:rPr>
              <w:t>石家庄高新 技术产业开 发区管理委 员会</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因从事国家 鼓励和扶持 </w:t>
            </w:r>
            <w:r>
              <w:rPr>
                <w:rFonts w:ascii="宋体" w:hAnsi="宋体" w:cs="宋体" w:eastAsia="宋体" w:hint="default"/>
                <w:spacing w:val="-13"/>
                <w:sz w:val="18"/>
                <w:szCs w:val="18"/>
              </w:rPr>
              <w:t>特定行业、产</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业而获得的 </w:t>
            </w:r>
            <w:r>
              <w:rPr>
                <w:rFonts w:ascii="宋体" w:hAnsi="宋体" w:cs="宋体" w:eastAsia="宋体" w:hint="default"/>
                <w:spacing w:val="-13"/>
                <w:sz w:val="18"/>
                <w:szCs w:val="18"/>
              </w:rPr>
              <w:t>补助（按国家</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级政策规定 依法取得）</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2274"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316" w:lineRule="auto"/>
              <w:ind w:left="22" w:right="131"/>
              <w:jc w:val="both"/>
              <w:rPr>
                <w:rFonts w:ascii="宋体" w:hAnsi="宋体" w:cs="宋体" w:eastAsia="宋体" w:hint="default"/>
                <w:sz w:val="18"/>
                <w:szCs w:val="18"/>
              </w:rPr>
            </w:pPr>
            <w:r>
              <w:rPr>
                <w:rFonts w:ascii="宋体" w:hAnsi="宋体" w:cs="宋体" w:eastAsia="宋体" w:hint="default"/>
                <w:sz w:val="18"/>
                <w:szCs w:val="18"/>
              </w:rPr>
              <w:t>外贸专项支 持资金进口 奖励</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6"/>
              <w:ind w:left="22" w:right="127"/>
              <w:jc w:val="both"/>
              <w:rPr>
                <w:rFonts w:ascii="宋体" w:hAnsi="宋体" w:cs="宋体" w:eastAsia="宋体" w:hint="default"/>
                <w:sz w:val="18"/>
                <w:szCs w:val="18"/>
              </w:rPr>
            </w:pPr>
            <w:r>
              <w:rPr>
                <w:rFonts w:ascii="宋体" w:hAnsi="宋体" w:cs="宋体" w:eastAsia="宋体" w:hint="default"/>
                <w:sz w:val="18"/>
                <w:szCs w:val="18"/>
              </w:rPr>
              <w:t>石家庄高新 技术产业开 发区投资服 务局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因从事国家 鼓励和扶持 </w:t>
            </w:r>
            <w:r>
              <w:rPr>
                <w:rFonts w:ascii="宋体" w:hAnsi="宋体" w:cs="宋体" w:eastAsia="宋体" w:hint="default"/>
                <w:spacing w:val="-13"/>
                <w:sz w:val="18"/>
                <w:szCs w:val="18"/>
              </w:rPr>
              <w:t>特定行业、产</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业而获得的 </w:t>
            </w:r>
            <w:r>
              <w:rPr>
                <w:rFonts w:ascii="宋体" w:hAnsi="宋体" w:cs="宋体" w:eastAsia="宋体" w:hint="default"/>
                <w:spacing w:val="-13"/>
                <w:sz w:val="18"/>
                <w:szCs w:val="18"/>
              </w:rPr>
              <w:t>补助（按国家</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级政策规定 依法取得）</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100,000.00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2274"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316" w:lineRule="auto"/>
              <w:ind w:left="22" w:right="131"/>
              <w:jc w:val="left"/>
              <w:rPr>
                <w:rFonts w:ascii="宋体" w:hAnsi="宋体" w:cs="宋体" w:eastAsia="宋体" w:hint="default"/>
                <w:sz w:val="18"/>
                <w:szCs w:val="18"/>
              </w:rPr>
            </w:pPr>
            <w:r>
              <w:rPr>
                <w:rFonts w:ascii="宋体" w:hAnsi="宋体" w:cs="宋体" w:eastAsia="宋体" w:hint="default"/>
                <w:sz w:val="18"/>
                <w:szCs w:val="18"/>
              </w:rPr>
              <w:t>质监局名牌 奖励</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316" w:lineRule="auto"/>
              <w:ind w:left="22" w:right="127"/>
              <w:jc w:val="left"/>
              <w:rPr>
                <w:rFonts w:ascii="宋体" w:hAnsi="宋体" w:cs="宋体" w:eastAsia="宋体" w:hint="default"/>
                <w:sz w:val="18"/>
                <w:szCs w:val="18"/>
              </w:rPr>
            </w:pPr>
            <w:r>
              <w:rPr>
                <w:rFonts w:ascii="宋体" w:hAnsi="宋体" w:cs="宋体" w:eastAsia="宋体" w:hint="default"/>
                <w:sz w:val="18"/>
                <w:szCs w:val="18"/>
              </w:rPr>
              <w:t>河北省质量 技术监督局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因从事国家 鼓励和扶持 </w:t>
            </w:r>
            <w:r>
              <w:rPr>
                <w:rFonts w:ascii="宋体" w:hAnsi="宋体" w:cs="宋体" w:eastAsia="宋体" w:hint="default"/>
                <w:spacing w:val="-13"/>
                <w:sz w:val="18"/>
                <w:szCs w:val="18"/>
              </w:rPr>
              <w:t>特定行业、产</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业而获得的 </w:t>
            </w:r>
            <w:r>
              <w:rPr>
                <w:rFonts w:ascii="宋体" w:hAnsi="宋体" w:cs="宋体" w:eastAsia="宋体" w:hint="default"/>
                <w:spacing w:val="-13"/>
                <w:sz w:val="18"/>
                <w:szCs w:val="18"/>
              </w:rPr>
              <w:t>补助（按国家</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级政策规定 依法取得）</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500,000.00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2274"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319" w:lineRule="auto"/>
              <w:ind w:left="22" w:right="131"/>
              <w:jc w:val="left"/>
              <w:rPr>
                <w:rFonts w:ascii="宋体" w:hAnsi="宋体" w:cs="宋体" w:eastAsia="宋体" w:hint="default"/>
                <w:sz w:val="18"/>
                <w:szCs w:val="18"/>
              </w:rPr>
            </w:pPr>
            <w:r>
              <w:rPr>
                <w:rFonts w:ascii="宋体" w:hAnsi="宋体" w:cs="宋体" w:eastAsia="宋体" w:hint="default"/>
                <w:sz w:val="18"/>
                <w:szCs w:val="18"/>
              </w:rPr>
              <w:t>质监局名牌 奖励</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319" w:lineRule="auto"/>
              <w:ind w:left="22" w:right="127"/>
              <w:jc w:val="both"/>
              <w:rPr>
                <w:rFonts w:ascii="宋体" w:hAnsi="宋体" w:cs="宋体" w:eastAsia="宋体" w:hint="default"/>
                <w:sz w:val="18"/>
                <w:szCs w:val="18"/>
              </w:rPr>
            </w:pPr>
            <w:r>
              <w:rPr>
                <w:rFonts w:ascii="宋体" w:hAnsi="宋体" w:cs="宋体" w:eastAsia="宋体" w:hint="default"/>
                <w:sz w:val="18"/>
                <w:szCs w:val="18"/>
              </w:rPr>
              <w:t>石家庄市财 政集中支付 中心</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因从事国家 鼓励和扶持 </w:t>
            </w:r>
            <w:r>
              <w:rPr>
                <w:rFonts w:ascii="宋体" w:hAnsi="宋体" w:cs="宋体" w:eastAsia="宋体" w:hint="default"/>
                <w:spacing w:val="-13"/>
                <w:sz w:val="18"/>
                <w:szCs w:val="18"/>
              </w:rPr>
              <w:t>特定行业、产</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业而获得的 </w:t>
            </w:r>
            <w:r>
              <w:rPr>
                <w:rFonts w:ascii="宋体" w:hAnsi="宋体" w:cs="宋体" w:eastAsia="宋体" w:hint="default"/>
                <w:spacing w:val="-13"/>
                <w:sz w:val="18"/>
                <w:szCs w:val="18"/>
              </w:rPr>
              <w:t>补助（按国家</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级政策规定 依法取得）</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100,000.00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bl>
    <w:p>
      <w:pPr>
        <w:spacing w:after="0" w:line="240"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1066"/>
        <w:gridCol w:w="1062"/>
        <w:gridCol w:w="1063"/>
        <w:gridCol w:w="1064"/>
        <w:gridCol w:w="1063"/>
        <w:gridCol w:w="1063"/>
        <w:gridCol w:w="1064"/>
        <w:gridCol w:w="1062"/>
        <w:gridCol w:w="1063"/>
      </w:tblGrid>
      <w:tr>
        <w:trPr>
          <w:trHeight w:val="2274"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319" w:lineRule="auto"/>
              <w:ind w:left="22" w:right="131"/>
              <w:jc w:val="left"/>
              <w:rPr>
                <w:rFonts w:ascii="宋体" w:hAnsi="宋体" w:cs="宋体" w:eastAsia="宋体" w:hint="default"/>
                <w:sz w:val="18"/>
                <w:szCs w:val="18"/>
              </w:rPr>
            </w:pPr>
            <w:r>
              <w:rPr>
                <w:rFonts w:ascii="宋体" w:hAnsi="宋体" w:cs="宋体" w:eastAsia="宋体" w:hint="default"/>
                <w:sz w:val="18"/>
                <w:szCs w:val="18"/>
              </w:rPr>
              <w:t>政府自主创 新款项</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319" w:lineRule="auto"/>
              <w:ind w:left="22" w:right="127"/>
              <w:jc w:val="left"/>
              <w:rPr>
                <w:rFonts w:ascii="宋体" w:hAnsi="宋体" w:cs="宋体" w:eastAsia="宋体" w:hint="default"/>
                <w:sz w:val="18"/>
                <w:szCs w:val="18"/>
              </w:rPr>
            </w:pPr>
            <w:r>
              <w:rPr>
                <w:rFonts w:ascii="宋体" w:hAnsi="宋体" w:cs="宋体" w:eastAsia="宋体" w:hint="default"/>
                <w:sz w:val="18"/>
                <w:szCs w:val="18"/>
              </w:rPr>
              <w:t>金堂县财政 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因从事国家 鼓励和扶持 </w:t>
            </w:r>
            <w:r>
              <w:rPr>
                <w:rFonts w:ascii="宋体" w:hAnsi="宋体" w:cs="宋体" w:eastAsia="宋体" w:hint="default"/>
                <w:spacing w:val="-13"/>
                <w:sz w:val="18"/>
                <w:szCs w:val="18"/>
              </w:rPr>
              <w:t>特定行业、产</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业而获得的 </w:t>
            </w:r>
            <w:r>
              <w:rPr>
                <w:rFonts w:ascii="宋体" w:hAnsi="宋体" w:cs="宋体" w:eastAsia="宋体" w:hint="default"/>
                <w:spacing w:val="-13"/>
                <w:sz w:val="18"/>
                <w:szCs w:val="18"/>
              </w:rPr>
              <w:t>补助（按国家</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级政策规定 依法取得）</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2274"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319" w:lineRule="auto"/>
              <w:ind w:left="22" w:right="131"/>
              <w:jc w:val="left"/>
              <w:rPr>
                <w:rFonts w:ascii="宋体" w:hAnsi="宋体" w:cs="宋体" w:eastAsia="宋体" w:hint="default"/>
                <w:sz w:val="18"/>
                <w:szCs w:val="18"/>
              </w:rPr>
            </w:pPr>
            <w:r>
              <w:rPr>
                <w:rFonts w:ascii="宋体" w:hAnsi="宋体" w:cs="宋体" w:eastAsia="宋体" w:hint="default"/>
                <w:sz w:val="18"/>
                <w:szCs w:val="18"/>
              </w:rPr>
              <w:t>新兴产业发 展专项资金</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319" w:lineRule="auto"/>
              <w:ind w:left="22" w:right="127"/>
              <w:jc w:val="left"/>
              <w:rPr>
                <w:rFonts w:ascii="宋体" w:hAnsi="宋体" w:cs="宋体" w:eastAsia="宋体" w:hint="default"/>
                <w:sz w:val="18"/>
                <w:szCs w:val="18"/>
              </w:rPr>
            </w:pPr>
            <w:r>
              <w:rPr>
                <w:rFonts w:ascii="宋体" w:hAnsi="宋体" w:cs="宋体" w:eastAsia="宋体" w:hint="default"/>
                <w:sz w:val="18"/>
                <w:szCs w:val="18"/>
              </w:rPr>
              <w:t>四川省财政 厅</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因从事国家 鼓励和扶持 </w:t>
            </w:r>
            <w:r>
              <w:rPr>
                <w:rFonts w:ascii="宋体" w:hAnsi="宋体" w:cs="宋体" w:eastAsia="宋体" w:hint="default"/>
                <w:spacing w:val="-13"/>
                <w:sz w:val="18"/>
                <w:szCs w:val="18"/>
              </w:rPr>
              <w:t>特定行业、产</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业而获得的 </w:t>
            </w:r>
            <w:r>
              <w:rPr>
                <w:rFonts w:ascii="宋体" w:hAnsi="宋体" w:cs="宋体" w:eastAsia="宋体" w:hint="default"/>
                <w:spacing w:val="-13"/>
                <w:sz w:val="18"/>
                <w:szCs w:val="18"/>
              </w:rPr>
              <w:t>补助（按国家</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级政策规定 依法取得）</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left="85" w:right="0"/>
              <w:jc w:val="left"/>
              <w:rPr>
                <w:rFonts w:ascii="Times New Roman" w:hAnsi="Times New Roman" w:cs="Times New Roman" w:eastAsia="Times New Roman" w:hint="default"/>
                <w:sz w:val="18"/>
                <w:szCs w:val="18"/>
              </w:rPr>
            </w:pPr>
            <w:r>
              <w:rPr>
                <w:rFonts w:ascii="Times New Roman"/>
                <w:sz w:val="18"/>
              </w:rPr>
              <w:t>1,180,000.00</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1,180,000.00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2274"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319" w:lineRule="auto"/>
              <w:ind w:left="22" w:right="131"/>
              <w:jc w:val="left"/>
              <w:rPr>
                <w:rFonts w:ascii="宋体" w:hAnsi="宋体" w:cs="宋体" w:eastAsia="宋体" w:hint="default"/>
                <w:sz w:val="18"/>
                <w:szCs w:val="18"/>
              </w:rPr>
            </w:pPr>
            <w:r>
              <w:rPr>
                <w:rFonts w:ascii="宋体" w:hAnsi="宋体" w:cs="宋体" w:eastAsia="宋体" w:hint="default"/>
                <w:sz w:val="18"/>
                <w:szCs w:val="18"/>
              </w:rPr>
              <w:t>企业上台阶 奖励资金</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319" w:lineRule="auto"/>
              <w:ind w:left="22" w:right="127"/>
              <w:jc w:val="left"/>
              <w:rPr>
                <w:rFonts w:ascii="宋体" w:hAnsi="宋体" w:cs="宋体" w:eastAsia="宋体" w:hint="default"/>
                <w:sz w:val="18"/>
                <w:szCs w:val="18"/>
              </w:rPr>
            </w:pPr>
            <w:r>
              <w:rPr>
                <w:rFonts w:ascii="宋体" w:hAnsi="宋体" w:cs="宋体" w:eastAsia="宋体" w:hint="default"/>
                <w:sz w:val="18"/>
                <w:szCs w:val="18"/>
              </w:rPr>
              <w:t>金堂县财政 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因从事国家 鼓励和扶持 </w:t>
            </w:r>
            <w:r>
              <w:rPr>
                <w:rFonts w:ascii="宋体" w:hAnsi="宋体" w:cs="宋体" w:eastAsia="宋体" w:hint="default"/>
                <w:spacing w:val="-13"/>
                <w:sz w:val="18"/>
                <w:szCs w:val="18"/>
              </w:rPr>
              <w:t>特定行业、产</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业而获得的 </w:t>
            </w:r>
            <w:r>
              <w:rPr>
                <w:rFonts w:ascii="宋体" w:hAnsi="宋体" w:cs="宋体" w:eastAsia="宋体" w:hint="default"/>
                <w:spacing w:val="-13"/>
                <w:sz w:val="18"/>
                <w:szCs w:val="18"/>
              </w:rPr>
              <w:t>补助（按国家</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级政策规定 依法取得）</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2274"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302" w:lineRule="auto"/>
              <w:ind w:left="22" w:right="87"/>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升级创 新配套资</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319" w:lineRule="auto"/>
              <w:ind w:left="22" w:right="127"/>
              <w:jc w:val="left"/>
              <w:rPr>
                <w:rFonts w:ascii="宋体" w:hAnsi="宋体" w:cs="宋体" w:eastAsia="宋体" w:hint="default"/>
                <w:sz w:val="18"/>
                <w:szCs w:val="18"/>
              </w:rPr>
            </w:pPr>
            <w:r>
              <w:rPr>
                <w:rFonts w:ascii="宋体" w:hAnsi="宋体" w:cs="宋体" w:eastAsia="宋体" w:hint="default"/>
                <w:sz w:val="18"/>
                <w:szCs w:val="18"/>
              </w:rPr>
              <w:t>金堂县财政 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因从事国家 鼓励和扶持 </w:t>
            </w:r>
            <w:r>
              <w:rPr>
                <w:rFonts w:ascii="宋体" w:hAnsi="宋体" w:cs="宋体" w:eastAsia="宋体" w:hint="default"/>
                <w:spacing w:val="-13"/>
                <w:sz w:val="18"/>
                <w:szCs w:val="18"/>
              </w:rPr>
              <w:t>特定行业、产</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业而获得的 </w:t>
            </w:r>
            <w:r>
              <w:rPr>
                <w:rFonts w:ascii="宋体" w:hAnsi="宋体" w:cs="宋体" w:eastAsia="宋体" w:hint="default"/>
                <w:spacing w:val="-13"/>
                <w:sz w:val="18"/>
                <w:szCs w:val="18"/>
              </w:rPr>
              <w:t>补助（按国家</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级政策规定 依法取得）</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120,000.00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2274"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319" w:lineRule="auto"/>
              <w:ind w:left="22" w:right="131"/>
              <w:jc w:val="left"/>
              <w:rPr>
                <w:rFonts w:ascii="宋体" w:hAnsi="宋体" w:cs="宋体" w:eastAsia="宋体" w:hint="default"/>
                <w:sz w:val="18"/>
                <w:szCs w:val="18"/>
              </w:rPr>
            </w:pPr>
            <w:r>
              <w:rPr>
                <w:rFonts w:ascii="宋体" w:hAnsi="宋体" w:cs="宋体" w:eastAsia="宋体" w:hint="default"/>
                <w:sz w:val="18"/>
                <w:szCs w:val="18"/>
              </w:rPr>
              <w:t>工业发展专 项资金</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319" w:lineRule="auto"/>
              <w:ind w:left="22" w:right="127"/>
              <w:jc w:val="both"/>
              <w:rPr>
                <w:rFonts w:ascii="宋体" w:hAnsi="宋体" w:cs="宋体" w:eastAsia="宋体" w:hint="default"/>
                <w:sz w:val="18"/>
                <w:szCs w:val="18"/>
              </w:rPr>
            </w:pPr>
            <w:r>
              <w:rPr>
                <w:rFonts w:ascii="宋体" w:hAnsi="宋体" w:cs="宋体" w:eastAsia="宋体" w:hint="default"/>
                <w:sz w:val="18"/>
                <w:szCs w:val="18"/>
              </w:rPr>
              <w:t>万州经济技 术开发区财 政局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因从事国家 鼓励和扶持 </w:t>
            </w:r>
            <w:r>
              <w:rPr>
                <w:rFonts w:ascii="宋体" w:hAnsi="宋体" w:cs="宋体" w:eastAsia="宋体" w:hint="default"/>
                <w:spacing w:val="-13"/>
                <w:sz w:val="18"/>
                <w:szCs w:val="18"/>
              </w:rPr>
              <w:t>特定行业、产</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业而获得的 </w:t>
            </w:r>
            <w:r>
              <w:rPr>
                <w:rFonts w:ascii="宋体" w:hAnsi="宋体" w:cs="宋体" w:eastAsia="宋体" w:hint="default"/>
                <w:spacing w:val="-13"/>
                <w:sz w:val="18"/>
                <w:szCs w:val="18"/>
              </w:rPr>
              <w:t>补助（按国家</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级政策规定 依法取得）</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280,000.00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2274"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309" w:lineRule="auto"/>
              <w:ind w:left="22" w:right="87"/>
              <w:jc w:val="both"/>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年第二 批省高新技 术企业</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319" w:lineRule="auto"/>
              <w:ind w:left="22" w:right="127"/>
              <w:jc w:val="both"/>
              <w:rPr>
                <w:rFonts w:ascii="宋体" w:hAnsi="宋体" w:cs="宋体" w:eastAsia="宋体" w:hint="default"/>
                <w:sz w:val="18"/>
                <w:szCs w:val="18"/>
              </w:rPr>
            </w:pPr>
            <w:r>
              <w:rPr>
                <w:rFonts w:ascii="宋体" w:hAnsi="宋体" w:cs="宋体" w:eastAsia="宋体" w:hint="default"/>
                <w:sz w:val="18"/>
                <w:szCs w:val="18"/>
              </w:rPr>
              <w:t>广州市越秀 区财政国库 支付中心</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因从事国家 鼓励和扶持 </w:t>
            </w:r>
            <w:r>
              <w:rPr>
                <w:rFonts w:ascii="宋体" w:hAnsi="宋体" w:cs="宋体" w:eastAsia="宋体" w:hint="default"/>
                <w:spacing w:val="-13"/>
                <w:sz w:val="18"/>
                <w:szCs w:val="18"/>
              </w:rPr>
              <w:t>特定行业、产</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业而获得的 </w:t>
            </w:r>
            <w:r>
              <w:rPr>
                <w:rFonts w:ascii="宋体" w:hAnsi="宋体" w:cs="宋体" w:eastAsia="宋体" w:hint="default"/>
                <w:spacing w:val="-13"/>
                <w:sz w:val="18"/>
                <w:szCs w:val="18"/>
              </w:rPr>
              <w:t>补助（按国家</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级政策规定 依法取得）</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995,800.00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bl>
    <w:p>
      <w:pPr>
        <w:spacing w:after="0" w:line="240"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1066"/>
        <w:gridCol w:w="1062"/>
        <w:gridCol w:w="1063"/>
        <w:gridCol w:w="1064"/>
        <w:gridCol w:w="1063"/>
        <w:gridCol w:w="1063"/>
        <w:gridCol w:w="1064"/>
        <w:gridCol w:w="1062"/>
        <w:gridCol w:w="1063"/>
      </w:tblGrid>
      <w:tr>
        <w:trPr>
          <w:trHeight w:val="2274"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4" w:lineRule="auto"/>
              <w:ind w:left="22" w:right="87"/>
              <w:jc w:val="both"/>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年度科 技创新小巨 人企业及高 新技术企业 补贴奖励项 目</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319" w:lineRule="auto"/>
              <w:ind w:left="22" w:right="127"/>
              <w:jc w:val="both"/>
              <w:rPr>
                <w:rFonts w:ascii="宋体" w:hAnsi="宋体" w:cs="宋体" w:eastAsia="宋体" w:hint="default"/>
                <w:sz w:val="18"/>
                <w:szCs w:val="18"/>
              </w:rPr>
            </w:pPr>
            <w:r>
              <w:rPr>
                <w:rFonts w:ascii="宋体" w:hAnsi="宋体" w:cs="宋体" w:eastAsia="宋体" w:hint="default"/>
                <w:sz w:val="18"/>
                <w:szCs w:val="18"/>
              </w:rPr>
              <w:t>广州市越秀 区财政国库 支付中心</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因从事国家 鼓励和扶持 </w:t>
            </w:r>
            <w:r>
              <w:rPr>
                <w:rFonts w:ascii="宋体" w:hAnsi="宋体" w:cs="宋体" w:eastAsia="宋体" w:hint="default"/>
                <w:spacing w:val="-13"/>
                <w:sz w:val="18"/>
                <w:szCs w:val="18"/>
              </w:rPr>
              <w:t>特定行业、产</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业而获得的 </w:t>
            </w:r>
            <w:r>
              <w:rPr>
                <w:rFonts w:ascii="宋体" w:hAnsi="宋体" w:cs="宋体" w:eastAsia="宋体" w:hint="default"/>
                <w:spacing w:val="-13"/>
                <w:sz w:val="18"/>
                <w:szCs w:val="18"/>
              </w:rPr>
              <w:t>补助（按国家</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级政策规定 依法取得）</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2274"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2" w:lineRule="auto" w:before="105"/>
              <w:ind w:left="22" w:right="41"/>
              <w:jc w:val="left"/>
              <w:rPr>
                <w:rFonts w:ascii="宋体" w:hAnsi="宋体" w:cs="宋体" w:eastAsia="宋体"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年科技 创新企业发 展专项项目 经费</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319" w:lineRule="auto"/>
              <w:ind w:left="22" w:right="127"/>
              <w:jc w:val="left"/>
              <w:rPr>
                <w:rFonts w:ascii="宋体" w:hAnsi="宋体" w:cs="宋体" w:eastAsia="宋体" w:hint="default"/>
                <w:sz w:val="18"/>
                <w:szCs w:val="18"/>
              </w:rPr>
            </w:pPr>
            <w:r>
              <w:rPr>
                <w:rFonts w:ascii="宋体" w:hAnsi="宋体" w:cs="宋体" w:eastAsia="宋体" w:hint="default"/>
                <w:sz w:val="18"/>
                <w:szCs w:val="18"/>
              </w:rPr>
              <w:t>广州市天河 区财政局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因从事国家 鼓励和扶持 </w:t>
            </w:r>
            <w:r>
              <w:rPr>
                <w:rFonts w:ascii="宋体" w:hAnsi="宋体" w:cs="宋体" w:eastAsia="宋体" w:hint="default"/>
                <w:spacing w:val="-13"/>
                <w:sz w:val="18"/>
                <w:szCs w:val="18"/>
              </w:rPr>
              <w:t>特定行业、产</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业而获得的 </w:t>
            </w:r>
            <w:r>
              <w:rPr>
                <w:rFonts w:ascii="宋体" w:hAnsi="宋体" w:cs="宋体" w:eastAsia="宋体" w:hint="default"/>
                <w:spacing w:val="-13"/>
                <w:sz w:val="18"/>
                <w:szCs w:val="18"/>
              </w:rPr>
              <w:t>补助（按国家</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级政策规定 依法取得）</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2274"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05"/>
              <w:ind w:left="22" w:right="131"/>
              <w:jc w:val="both"/>
              <w:rPr>
                <w:rFonts w:ascii="宋体" w:hAnsi="宋体" w:cs="宋体" w:eastAsia="宋体" w:hint="default"/>
                <w:sz w:val="18"/>
                <w:szCs w:val="18"/>
              </w:rPr>
            </w:pPr>
            <w:r>
              <w:rPr>
                <w:rFonts w:ascii="宋体" w:hAnsi="宋体" w:cs="宋体" w:eastAsia="宋体" w:hint="default"/>
                <w:sz w:val="18"/>
                <w:szCs w:val="18"/>
              </w:rPr>
              <w:t>高新技术企 业资质认定 补贴专项经 费</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319" w:lineRule="auto"/>
              <w:ind w:left="22" w:right="127"/>
              <w:jc w:val="left"/>
              <w:rPr>
                <w:rFonts w:ascii="宋体" w:hAnsi="宋体" w:cs="宋体" w:eastAsia="宋体" w:hint="default"/>
                <w:sz w:val="18"/>
                <w:szCs w:val="18"/>
              </w:rPr>
            </w:pPr>
            <w:r>
              <w:rPr>
                <w:rFonts w:ascii="宋体" w:hAnsi="宋体" w:cs="宋体" w:eastAsia="宋体" w:hint="default"/>
                <w:sz w:val="18"/>
                <w:szCs w:val="18"/>
              </w:rPr>
              <w:t>广州市天河 区财政局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因从事国家 鼓励和扶持 </w:t>
            </w:r>
            <w:r>
              <w:rPr>
                <w:rFonts w:ascii="宋体" w:hAnsi="宋体" w:cs="宋体" w:eastAsia="宋体" w:hint="default"/>
                <w:spacing w:val="-13"/>
                <w:sz w:val="18"/>
                <w:szCs w:val="18"/>
              </w:rPr>
              <w:t>特定行业、产</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业而获得的 </w:t>
            </w:r>
            <w:r>
              <w:rPr>
                <w:rFonts w:ascii="宋体" w:hAnsi="宋体" w:cs="宋体" w:eastAsia="宋体" w:hint="default"/>
                <w:spacing w:val="-13"/>
                <w:sz w:val="18"/>
                <w:szCs w:val="18"/>
              </w:rPr>
              <w:t>补助（按国家</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级政策规定 依法取得）</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2274"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2" w:lineRule="auto" w:before="106"/>
              <w:ind w:left="22" w:right="41"/>
              <w:jc w:val="left"/>
              <w:rPr>
                <w:rFonts w:ascii="宋体" w:hAnsi="宋体" w:cs="宋体" w:eastAsia="宋体"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高新技 术企业认定 奖励性后补 助经费</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319" w:lineRule="auto"/>
              <w:ind w:left="22" w:right="127"/>
              <w:jc w:val="both"/>
              <w:rPr>
                <w:rFonts w:ascii="宋体" w:hAnsi="宋体" w:cs="宋体" w:eastAsia="宋体" w:hint="default"/>
                <w:sz w:val="18"/>
                <w:szCs w:val="18"/>
              </w:rPr>
            </w:pPr>
            <w:r>
              <w:rPr>
                <w:rFonts w:ascii="宋体" w:hAnsi="宋体" w:cs="宋体" w:eastAsia="宋体" w:hint="default"/>
                <w:sz w:val="18"/>
                <w:szCs w:val="18"/>
              </w:rPr>
              <w:t>广西壮族自 治区科学技 术厅</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因从事国家 鼓励和扶持 </w:t>
            </w:r>
            <w:r>
              <w:rPr>
                <w:rFonts w:ascii="宋体" w:hAnsi="宋体" w:cs="宋体" w:eastAsia="宋体" w:hint="default"/>
                <w:spacing w:val="-13"/>
                <w:sz w:val="18"/>
                <w:szCs w:val="18"/>
              </w:rPr>
              <w:t>特定行业、产</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业而获得的 </w:t>
            </w:r>
            <w:r>
              <w:rPr>
                <w:rFonts w:ascii="宋体" w:hAnsi="宋体" w:cs="宋体" w:eastAsia="宋体" w:hint="default"/>
                <w:spacing w:val="-13"/>
                <w:sz w:val="18"/>
                <w:szCs w:val="18"/>
              </w:rPr>
              <w:t>补助（按国家</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级政策规定 依法取得）</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2274"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因从事国家 鼓励和扶持 </w:t>
            </w:r>
            <w:r>
              <w:rPr>
                <w:rFonts w:ascii="宋体" w:hAnsi="宋体" w:cs="宋体" w:eastAsia="宋体" w:hint="default"/>
                <w:spacing w:val="-13"/>
                <w:sz w:val="18"/>
                <w:szCs w:val="18"/>
              </w:rPr>
              <w:t>特定行业、产</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业而获得的 </w:t>
            </w:r>
            <w:r>
              <w:rPr>
                <w:rFonts w:ascii="宋体" w:hAnsi="宋体" w:cs="宋体" w:eastAsia="宋体" w:hint="default"/>
                <w:spacing w:val="-13"/>
                <w:sz w:val="18"/>
                <w:szCs w:val="18"/>
              </w:rPr>
              <w:t>补助（按国家</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级政策规定 依法取得）</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160,419.08</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512,556.60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1066"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2,040,419.08</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23,409,914.4</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2</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left="1134" w:right="0"/>
        <w:jc w:val="left"/>
      </w:pPr>
      <w:r>
        <w:rPr/>
        <w:t>其他说明：</w:t>
      </w:r>
    </w:p>
    <w:p>
      <w:pPr>
        <w:spacing w:after="0" w:line="240" w:lineRule="auto"/>
        <w:jc w:val="left"/>
        <w:sectPr>
          <w:pgSz w:w="11910" w:h="16840"/>
          <w:pgMar w:header="747" w:footer="979" w:top="1060" w:bottom="1160" w:left="0" w:right="0"/>
        </w:sectPr>
      </w:pPr>
    </w:p>
    <w:p>
      <w:pPr>
        <w:spacing w:line="240" w:lineRule="auto" w:before="9"/>
        <w:rPr>
          <w:rFonts w:ascii="宋体" w:hAnsi="宋体" w:cs="宋体" w:eastAsia="宋体" w:hint="default"/>
          <w:sz w:val="24"/>
          <w:szCs w:val="24"/>
        </w:rPr>
      </w:pPr>
    </w:p>
    <w:p>
      <w:pPr>
        <w:pStyle w:val="Heading3"/>
        <w:spacing w:line="240" w:lineRule="auto" w:before="35"/>
        <w:ind w:right="0"/>
        <w:jc w:val="left"/>
        <w:rPr>
          <w:b w:val="0"/>
          <w:bCs w:val="0"/>
        </w:rPr>
      </w:pPr>
      <w:bookmarkStart w:name="39、营业外支出" w:id="307"/>
      <w:bookmarkEnd w:id="307"/>
      <w:r>
        <w:rPr>
          <w:b w:val="0"/>
          <w:bCs w:val="0"/>
        </w:rPr>
      </w:r>
      <w:r>
        <w:rPr>
          <w:rFonts w:ascii="Times New Roman" w:hAnsi="Times New Roman" w:cs="Times New Roman" w:eastAsia="Times New Roman" w:hint="default"/>
        </w:rPr>
        <w:t>39</w:t>
      </w:r>
      <w:r>
        <w:rPr/>
        <w:t>、营业外支出</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2390"/>
        <w:gridCol w:w="2396"/>
        <w:gridCol w:w="2392"/>
        <w:gridCol w:w="2392"/>
      </w:tblGrid>
      <w:tr>
        <w:trPr>
          <w:trHeight w:val="161" w:hRule="exact"/>
        </w:trPr>
        <w:tc>
          <w:tcPr>
            <w:tcW w:w="2390"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6"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2"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2"/>
              <w:ind w:left="1100" w:right="109" w:hanging="990"/>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392" w:hRule="exact"/>
        </w:trPr>
        <w:tc>
          <w:tcPr>
            <w:tcW w:w="239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74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740"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2" w:type="dxa"/>
            <w:vMerge/>
            <w:tcBorders>
              <w:left w:val="single" w:sz="4" w:space="0" w:color="000000"/>
              <w:right w:val="single" w:sz="4" w:space="0" w:color="000000"/>
            </w:tcBorders>
            <w:shd w:val="clear" w:color="auto" w:fill="D2D2D2"/>
          </w:tcPr>
          <w:p>
            <w:pPr/>
          </w:p>
        </w:tc>
      </w:tr>
      <w:tr>
        <w:trPr>
          <w:trHeight w:val="161" w:hRule="exact"/>
        </w:trPr>
        <w:tc>
          <w:tcPr>
            <w:tcW w:w="2390"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6"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2"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2"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对外捐赠</w:t>
            </w:r>
          </w:p>
        </w:tc>
        <w:tc>
          <w:tcPr>
            <w:tcW w:w="23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113,717.95</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113,717.95</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564,081.88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355,741.65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564,081.88</w:t>
            </w:r>
          </w:p>
        </w:tc>
      </w:tr>
      <w:tr>
        <w:trPr>
          <w:trHeight w:val="403"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677,799.83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355,741.65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677,799.83</w:t>
            </w:r>
          </w:p>
        </w:tc>
      </w:tr>
    </w:tbl>
    <w:p>
      <w:pPr>
        <w:pStyle w:val="BodyText"/>
        <w:spacing w:line="240" w:lineRule="auto" w:before="51"/>
        <w:ind w:left="1134" w:right="0"/>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40、所得税费用" w:id="308"/>
      <w:bookmarkEnd w:id="308"/>
      <w:r>
        <w:rPr>
          <w:b w:val="0"/>
          <w:bCs w:val="0"/>
        </w:rPr>
      </w:r>
      <w:r>
        <w:rPr>
          <w:rFonts w:ascii="Times New Roman" w:hAnsi="Times New Roman" w:cs="Times New Roman" w:eastAsia="Times New Roman" w:hint="default"/>
        </w:rPr>
        <w:t>40</w:t>
      </w:r>
      <w:r>
        <w:rPr/>
        <w:t>、所得税费用</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134" w:right="0"/>
        <w:jc w:val="left"/>
        <w:rPr>
          <w:b w:val="0"/>
          <w:bCs w:val="0"/>
        </w:rPr>
      </w:pPr>
      <w:bookmarkStart w:name="（1）所得税费用表" w:id="309"/>
      <w:bookmarkEnd w:id="309"/>
      <w:r>
        <w:rPr>
          <w:b w:val="0"/>
          <w:bCs w:val="0"/>
        </w:rPr>
      </w:r>
      <w:r>
        <w:rPr/>
        <w:t>（</w:t>
      </w:r>
      <w:r>
        <w:rPr>
          <w:rFonts w:ascii="Times New Roman" w:hAnsi="Times New Roman" w:cs="Times New Roman" w:eastAsia="Times New Roman" w:hint="default"/>
        </w:rPr>
        <w:t>1</w:t>
      </w:r>
      <w:r>
        <w:rPr/>
        <w:t>）所得税费用表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当期所得税费用</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37,585,330.01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23,446,174.48</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递延所得税费用</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-3,434,118.79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-2,350,568.19</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34,151,211.22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21,095,606.29</w:t>
            </w:r>
          </w:p>
        </w:tc>
      </w:tr>
    </w:tbl>
    <w:p>
      <w:pPr>
        <w:spacing w:line="240" w:lineRule="auto" w:before="3"/>
        <w:rPr>
          <w:rFonts w:ascii="宋体" w:hAnsi="宋体" w:cs="宋体" w:eastAsia="宋体" w:hint="default"/>
          <w:sz w:val="19"/>
          <w:szCs w:val="19"/>
        </w:rPr>
      </w:pPr>
    </w:p>
    <w:p>
      <w:pPr>
        <w:pStyle w:val="Heading3"/>
        <w:spacing w:line="240" w:lineRule="auto" w:before="35"/>
        <w:ind w:left="1134" w:right="0"/>
        <w:jc w:val="left"/>
        <w:rPr>
          <w:b w:val="0"/>
          <w:bCs w:val="0"/>
        </w:rPr>
      </w:pPr>
      <w:bookmarkStart w:name="（2）会计利润与所得税费用调整过程" w:id="310"/>
      <w:bookmarkEnd w:id="310"/>
      <w:r>
        <w:rPr>
          <w:b w:val="0"/>
          <w:bCs w:val="0"/>
        </w:rPr>
      </w:r>
      <w:r>
        <w:rPr/>
        <w:t>（</w:t>
      </w:r>
      <w:r>
        <w:rPr>
          <w:rFonts w:ascii="Times New Roman" w:hAnsi="Times New Roman" w:cs="Times New Roman" w:eastAsia="Times New Roman" w:hint="default"/>
        </w:rPr>
        <w:t>2</w:t>
      </w:r>
      <w:r>
        <w:rPr/>
        <w:t>）会计利润与所得税费用调整过程</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4757"/>
        <w:gridCol w:w="4800"/>
      </w:tblGrid>
      <w:tr>
        <w:trPr>
          <w:trHeight w:val="403"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233,706,318.52</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按法定</w:t>
            </w:r>
            <w:r>
              <w:rPr>
                <w:rFonts w:ascii="Times New Roman" w:hAnsi="Times New Roman" w:cs="Times New Roman" w:eastAsia="Times New Roman" w:hint="default"/>
                <w:sz w:val="18"/>
                <w:szCs w:val="18"/>
              </w:rPr>
              <w:t>/</w:t>
            </w:r>
            <w:r>
              <w:rPr>
                <w:rFonts w:ascii="宋体" w:hAnsi="宋体" w:cs="宋体" w:eastAsia="宋体" w:hint="default"/>
                <w:sz w:val="18"/>
                <w:szCs w:val="18"/>
              </w:rPr>
              <w:t>适用税率计算的所得税费用</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35,055,947.77</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子公司适用不同税率的影响</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-2,802,183.54</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调整以前期间所得税的影响</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-519,558.73</w:t>
            </w:r>
            <w:r>
              <w:rPr>
                <w:rFonts w:ascii="Times New Roman"/>
                <w:sz w:val="18"/>
              </w:rPr>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非应税收入的影响</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-2,730,308.09</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不可抵扣的成本、费用和损失的影响</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2,204,497.54</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使用前期未确认递延所得税资产的可抵扣亏损的影响</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-1,930,297.18</w:t>
            </w:r>
          </w:p>
        </w:tc>
      </w:tr>
      <w:tr>
        <w:trPr>
          <w:trHeight w:val="713"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55"/>
              <w:jc w:val="left"/>
              <w:rPr>
                <w:rFonts w:ascii="宋体" w:hAnsi="宋体" w:cs="宋体" w:eastAsia="宋体" w:hint="default"/>
                <w:sz w:val="18"/>
                <w:szCs w:val="18"/>
              </w:rPr>
            </w:pPr>
            <w:r>
              <w:rPr>
                <w:rFonts w:ascii="宋体" w:hAnsi="宋体" w:cs="宋体" w:eastAsia="宋体" w:hint="default"/>
                <w:sz w:val="18"/>
                <w:szCs w:val="18"/>
              </w:rPr>
              <w:t>本期未确认递延所得税资产的可抵扣暂时性差异或可抵扣亏 损的影响</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6,627,708.18</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4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-1,754,594.73</w:t>
            </w:r>
          </w:p>
        </w:tc>
      </w:tr>
      <w:tr>
        <w:trPr>
          <w:trHeight w:val="404"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4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34,151,211.22</w:t>
            </w:r>
          </w:p>
        </w:tc>
      </w:tr>
    </w:tbl>
    <w:p>
      <w:pPr>
        <w:pStyle w:val="BodyText"/>
        <w:spacing w:line="240" w:lineRule="auto" w:before="51"/>
        <w:ind w:left="1134" w:right="0"/>
        <w:jc w:val="left"/>
      </w:pPr>
      <w:r>
        <w:rPr/>
        <w:t>其他说明</w:t>
      </w:r>
    </w:p>
    <w:p>
      <w:pPr>
        <w:spacing w:after="0" w:line="240" w:lineRule="auto"/>
        <w:jc w:val="left"/>
        <w:sectPr>
          <w:pgSz w:w="11910" w:h="16840"/>
          <w:pgMar w:header="747" w:footer="979" w:top="1060" w:bottom="1160" w:left="0" w:right="0"/>
        </w:sectPr>
      </w:pPr>
    </w:p>
    <w:p>
      <w:pPr>
        <w:spacing w:line="240" w:lineRule="auto" w:before="9"/>
        <w:rPr>
          <w:rFonts w:ascii="宋体" w:hAnsi="宋体" w:cs="宋体" w:eastAsia="宋体" w:hint="default"/>
          <w:sz w:val="24"/>
          <w:szCs w:val="24"/>
        </w:rPr>
      </w:pPr>
    </w:p>
    <w:p>
      <w:pPr>
        <w:spacing w:line="547" w:lineRule="auto" w:before="35"/>
        <w:ind w:left="1133" w:right="8856" w:firstLine="0"/>
        <w:jc w:val="left"/>
        <w:rPr>
          <w:rFonts w:ascii="宋体" w:hAnsi="宋体" w:cs="宋体" w:eastAsia="宋体" w:hint="default"/>
          <w:sz w:val="21"/>
          <w:szCs w:val="21"/>
        </w:rPr>
      </w:pPr>
      <w:bookmarkStart w:name="41、其他综合收益" w:id="311"/>
      <w:bookmarkEnd w:id="311"/>
      <w:r>
        <w:rPr/>
      </w:r>
      <w:r>
        <w:rPr>
          <w:rFonts w:ascii="Times New Roman" w:hAnsi="Times New Roman" w:cs="Times New Roman" w:eastAsia="Times New Roman" w:hint="default"/>
          <w:b/>
          <w:bCs/>
          <w:sz w:val="21"/>
          <w:szCs w:val="21"/>
        </w:rPr>
        <w:t>41</w:t>
      </w:r>
      <w:r>
        <w:rPr>
          <w:rFonts w:ascii="宋体" w:hAnsi="宋体" w:cs="宋体" w:eastAsia="宋体" w:hint="default"/>
          <w:b/>
          <w:bCs/>
          <w:sz w:val="21"/>
          <w:szCs w:val="21"/>
        </w:rPr>
        <w:t>、其他综合收益</w:t>
      </w:r>
      <w:r>
        <w:rPr>
          <w:rFonts w:ascii="宋体" w:hAnsi="宋体" w:cs="宋体" w:eastAsia="宋体" w:hint="default"/>
          <w:b/>
          <w:bCs/>
          <w:w w:val="99"/>
          <w:sz w:val="21"/>
          <w:szCs w:val="21"/>
        </w:rPr>
        <w:t> </w:t>
      </w:r>
      <w:r>
        <w:rPr>
          <w:rFonts w:ascii="宋体" w:hAnsi="宋体" w:cs="宋体" w:eastAsia="宋体" w:hint="default"/>
          <w:sz w:val="18"/>
          <w:szCs w:val="18"/>
        </w:rPr>
        <w:t>详见附注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宋体" w:hAnsi="宋体" w:cs="宋体" w:eastAsia="宋体" w:hint="default"/>
          <w:sz w:val="18"/>
          <w:szCs w:val="18"/>
        </w:rPr>
        <w:t>。 </w:t>
      </w:r>
      <w:bookmarkStart w:name="42、现金流量表项目" w:id="312"/>
      <w:bookmarkEnd w:id="312"/>
      <w:r>
        <w:rPr>
          <w:rFonts w:ascii="宋体" w:hAnsi="宋体" w:cs="宋体" w:eastAsia="宋体" w:hint="default"/>
          <w:sz w:val="18"/>
          <w:szCs w:val="18"/>
        </w:rPr>
      </w:r>
      <w:r>
        <w:rPr>
          <w:rFonts w:ascii="Times New Roman" w:hAnsi="Times New Roman" w:cs="Times New Roman" w:eastAsia="Times New Roman" w:hint="default"/>
          <w:b/>
          <w:bCs/>
          <w:sz w:val="21"/>
          <w:szCs w:val="21"/>
        </w:rPr>
        <w:t>42</w:t>
      </w:r>
      <w:r>
        <w:rPr>
          <w:rFonts w:ascii="宋体" w:hAnsi="宋体" w:cs="宋体" w:eastAsia="宋体" w:hint="default"/>
          <w:b/>
          <w:bCs/>
          <w:sz w:val="21"/>
          <w:szCs w:val="21"/>
        </w:rPr>
        <w:t>、现金流量表项目</w:t>
      </w:r>
      <w:r>
        <w:rPr>
          <w:rFonts w:ascii="宋体" w:hAnsi="宋体" w:cs="宋体" w:eastAsia="宋体" w:hint="default"/>
          <w:sz w:val="21"/>
          <w:szCs w:val="21"/>
        </w:rPr>
      </w:r>
    </w:p>
    <w:p>
      <w:pPr>
        <w:pStyle w:val="Heading3"/>
        <w:spacing w:line="240" w:lineRule="auto" w:before="26"/>
        <w:ind w:right="0"/>
        <w:jc w:val="left"/>
        <w:rPr>
          <w:b w:val="0"/>
          <w:bCs w:val="0"/>
        </w:rPr>
      </w:pPr>
      <w:bookmarkStart w:name="（1）收到的其他与经营活动有关的现金" w:id="313"/>
      <w:bookmarkEnd w:id="313"/>
      <w:r>
        <w:rPr>
          <w:b w:val="0"/>
          <w:bCs w:val="0"/>
        </w:rPr>
      </w:r>
      <w:r>
        <w:rPr/>
        <w:t>（</w:t>
      </w:r>
      <w:r>
        <w:rPr>
          <w:rFonts w:ascii="Times New Roman" w:hAnsi="Times New Roman" w:cs="Times New Roman" w:eastAsia="Times New Roman" w:hint="default"/>
        </w:rPr>
        <w:t>1</w:t>
      </w:r>
      <w:r>
        <w:rPr/>
        <w:t>）收到的其他与经营活动有关的现金</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收到的退回投标保证金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11,753,483.81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695,976.50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收到的项目拨款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12,574,876.47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15,074,966.74</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4,423,762.19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4,702,338.58</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11,188,952.26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13,742,345.80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39,941,074.73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34,215,627.62</w:t>
            </w:r>
          </w:p>
        </w:tc>
      </w:tr>
    </w:tbl>
    <w:p>
      <w:pPr>
        <w:pStyle w:val="BodyText"/>
        <w:spacing w:line="240" w:lineRule="auto" w:before="51"/>
        <w:ind w:left="1134" w:right="0"/>
        <w:jc w:val="left"/>
      </w:pPr>
      <w:r>
        <w:rPr/>
        <w:t>收到的其他与经营活动有关的现金说明：</w:t>
      </w:r>
    </w:p>
    <w:p>
      <w:pPr>
        <w:spacing w:line="240" w:lineRule="auto" w:before="11"/>
        <w:rPr>
          <w:rFonts w:ascii="宋体" w:hAnsi="宋体" w:cs="宋体" w:eastAsia="宋体" w:hint="default"/>
          <w:sz w:val="26"/>
          <w:szCs w:val="26"/>
        </w:rPr>
      </w:pPr>
    </w:p>
    <w:p>
      <w:pPr>
        <w:pStyle w:val="Heading3"/>
        <w:spacing w:line="240" w:lineRule="auto"/>
        <w:ind w:left="1134" w:right="0"/>
        <w:jc w:val="left"/>
        <w:rPr>
          <w:b w:val="0"/>
          <w:bCs w:val="0"/>
        </w:rPr>
      </w:pPr>
      <w:bookmarkStart w:name="（2）支付的其他与经营活动有关的现金" w:id="314"/>
      <w:bookmarkEnd w:id="314"/>
      <w:r>
        <w:rPr>
          <w:b w:val="0"/>
          <w:bCs w:val="0"/>
        </w:rPr>
      </w:r>
      <w:r>
        <w:rPr/>
        <w:t>（</w:t>
      </w:r>
      <w:r>
        <w:rPr>
          <w:rFonts w:ascii="Times New Roman" w:hAnsi="Times New Roman" w:cs="Times New Roman" w:eastAsia="Times New Roman" w:hint="default"/>
        </w:rPr>
        <w:t>2</w:t>
      </w:r>
      <w:r>
        <w:rPr/>
        <w:t>）支付的其他与经营活动有关的现金</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12,830,597.42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12,354,908.29</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业务活动费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8,991,247.00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8,965,978.63</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代理费、投标保证金、中标服务费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52,211,385.73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46,524,361.34</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11,985,668.31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11,258,720.70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会议费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1,786,531.46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2,614,882.09</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运输费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2,325,252.83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2,875,078.91</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汽车费用</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6,071,487.99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5,703,031.43</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审计、咨询、培训费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9,994,451.34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6,307,982.80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移动电话费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746,080.26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757,769.71</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4,248,223.01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12,642,630.95</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备用金、往来款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38,649,638.69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4,071,853.01</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办事处费用</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95,958.00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287,191.90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广告宣传费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2,550,831.61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3,784,492.00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租赁费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4,193,345.09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2,681,120.21</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水电费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616,698.52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745,329.08</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11,978,229.09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8,139,876.64</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r>
        <w:rPr/>
        <w:pict>
          <v:group style="position:absolute;margin-left:223.339996pt;margin-top:436.269989pt;width:151.25pt;height:40.9pt;mso-position-horizontal-relative:page;mso-position-vertical-relative:page;z-index:-985048" coordorigin="4467,8725" coordsize="3025,818">
            <v:group style="position:absolute;left:4478;top:8737;width:2;height:393" coordorigin="4478,8737" coordsize="2,393">
              <v:shape style="position:absolute;left:4478;top:8737;width:2;height:393" coordorigin="4478,8737" coordsize="0,393" path="m4478,8737l4478,9129e" filled="false" stroked="true" strokeweight="1.140pt" strokecolor="#ffffff">
                <v:path arrowok="t"/>
              </v:shape>
            </v:group>
            <v:group style="position:absolute;left:4490;top:8737;width:3002;height:393" coordorigin="4490,8737" coordsize="3002,393">
              <v:shape style="position:absolute;left:4490;top:8737;width:3002;height:393" coordorigin="4490,8737" coordsize="3002,393" path="m4490,9129l7491,9129,7491,8737,4490,8737,4490,9129xe" filled="true" fillcolor="#ffffff" stroked="false">
                <v:path arrowok="t"/>
                <v:fill type="solid"/>
              </v:shape>
            </v:group>
            <v:group style="position:absolute;left:4478;top:9139;width:2;height:393" coordorigin="4478,9139" coordsize="2,393">
              <v:shape style="position:absolute;left:4478;top:9139;width:2;height:393" coordorigin="4478,9139" coordsize="0,393" path="m4478,9139l4478,9531e" filled="false" stroked="true" strokeweight="1.140pt" strokecolor="#ffffff">
                <v:path arrowok="t"/>
              </v:shape>
            </v:group>
            <v:group style="position:absolute;left:4490;top:9139;width:3002;height:393" coordorigin="4490,9139" coordsize="3002,393">
              <v:shape style="position:absolute;left:4490;top:9139;width:3002;height:393" coordorigin="4490,9139" coordsize="3002,393" path="m4490,9531l7491,9531,7491,9139,4490,9139,4490,9531xe" filled="true" fillcolor="#ffffff" stroked="false">
                <v:path arrowok="t"/>
                <v:fill type="solid"/>
              </v:shape>
            </v:group>
            <w10:wrap type="none"/>
          </v:group>
        </w:pict>
      </w: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35" w:right="0"/>
              <w:jc w:val="left"/>
              <w:rPr>
                <w:rFonts w:ascii="Times New Roman" w:hAnsi="Times New Roman" w:cs="Times New Roman" w:eastAsia="Times New Roman" w:hint="default"/>
                <w:sz w:val="18"/>
                <w:szCs w:val="18"/>
              </w:rPr>
            </w:pPr>
            <w:r>
              <w:rPr>
                <w:rFonts w:ascii="Times New Roman"/>
                <w:sz w:val="18"/>
              </w:rPr>
              <w:t>169,275,626.35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32" w:right="0"/>
              <w:jc w:val="left"/>
              <w:rPr>
                <w:rFonts w:ascii="Times New Roman" w:hAnsi="Times New Roman" w:cs="Times New Roman" w:eastAsia="Times New Roman" w:hint="default"/>
                <w:sz w:val="18"/>
                <w:szCs w:val="18"/>
              </w:rPr>
            </w:pPr>
            <w:r>
              <w:rPr>
                <w:rFonts w:ascii="Times New Roman"/>
                <w:sz w:val="18"/>
              </w:rPr>
              <w:t>129,715,207.69</w:t>
            </w:r>
          </w:p>
        </w:tc>
      </w:tr>
    </w:tbl>
    <w:p>
      <w:pPr>
        <w:pStyle w:val="BodyText"/>
        <w:spacing w:line="240" w:lineRule="auto" w:before="51"/>
        <w:ind w:left="1134" w:right="0"/>
        <w:jc w:val="left"/>
      </w:pPr>
      <w:r>
        <w:rPr/>
        <w:t>支付的其他与经营活动有关的现金说明：</w:t>
      </w:r>
    </w:p>
    <w:p>
      <w:pPr>
        <w:spacing w:line="240" w:lineRule="auto" w:before="11"/>
        <w:rPr>
          <w:rFonts w:ascii="宋体" w:hAnsi="宋体" w:cs="宋体" w:eastAsia="宋体" w:hint="default"/>
          <w:sz w:val="26"/>
          <w:szCs w:val="26"/>
        </w:rPr>
      </w:pPr>
    </w:p>
    <w:p>
      <w:pPr>
        <w:pStyle w:val="Heading3"/>
        <w:spacing w:line="240" w:lineRule="auto"/>
        <w:ind w:left="1134" w:right="0"/>
        <w:jc w:val="left"/>
        <w:rPr>
          <w:b w:val="0"/>
          <w:bCs w:val="0"/>
        </w:rPr>
      </w:pPr>
      <w:bookmarkStart w:name="43、现金流量表补充资料" w:id="315"/>
      <w:bookmarkEnd w:id="315"/>
      <w:r>
        <w:rPr>
          <w:b w:val="0"/>
          <w:bCs w:val="0"/>
        </w:rPr>
      </w:r>
      <w:r>
        <w:rPr>
          <w:rFonts w:ascii="Times New Roman" w:hAnsi="Times New Roman" w:cs="Times New Roman" w:eastAsia="Times New Roman" w:hint="default"/>
        </w:rPr>
        <w:t>43</w:t>
      </w:r>
      <w:r>
        <w:rPr/>
        <w:t>、现金流量表补充资料</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现金流量表补充资料" w:id="316"/>
      <w:bookmarkEnd w:id="316"/>
      <w:r>
        <w:rPr>
          <w:b w:val="0"/>
          <w:bCs w:val="0"/>
        </w:rPr>
      </w:r>
      <w:r>
        <w:rPr/>
        <w:t>（</w:t>
      </w:r>
      <w:r>
        <w:rPr>
          <w:rFonts w:ascii="Times New Roman" w:hAnsi="Times New Roman" w:cs="Times New Roman" w:eastAsia="Times New Roman" w:hint="default"/>
        </w:rPr>
        <w:t>1</w:t>
      </w:r>
      <w:r>
        <w:rPr/>
        <w:t>）现金流量表补充资料</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3305"/>
        <w:gridCol w:w="1055"/>
        <w:gridCol w:w="2014"/>
        <w:gridCol w:w="3184"/>
      </w:tblGrid>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30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．将净利润调节为经营活动现金流量：</w:t>
            </w:r>
          </w:p>
        </w:tc>
        <w:tc>
          <w:tcPr>
            <w:tcW w:w="30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899" w:right="0"/>
              <w:jc w:val="left"/>
              <w:rPr>
                <w:rFonts w:ascii="Times New Roman" w:hAnsi="Times New Roman" w:cs="Times New Roman" w:eastAsia="Times New Roman" w:hint="default"/>
                <w:sz w:val="18"/>
                <w:szCs w:val="18"/>
              </w:rPr>
            </w:pPr>
            <w:r>
              <w:rPr>
                <w:rFonts w:ascii="Times New Roman"/>
                <w:sz w:val="18"/>
              </w:rPr>
              <w:t>199,555,107.30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116,840,155.40</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989" w:right="0"/>
              <w:jc w:val="left"/>
              <w:rPr>
                <w:rFonts w:ascii="Times New Roman" w:hAnsi="Times New Roman" w:cs="Times New Roman" w:eastAsia="Times New Roman" w:hint="default"/>
                <w:sz w:val="18"/>
                <w:szCs w:val="18"/>
              </w:rPr>
            </w:pPr>
            <w:r>
              <w:rPr>
                <w:rFonts w:ascii="Times New Roman"/>
                <w:sz w:val="18"/>
              </w:rPr>
              <w:t>28,234,422.43</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20,506,742.31</w:t>
            </w:r>
          </w:p>
        </w:tc>
      </w:tr>
      <w:tr>
        <w:trPr>
          <w:trHeight w:val="71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固定资产折旧、油气资产折耗、生产性生 物资产折旧</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989" w:right="0"/>
              <w:jc w:val="left"/>
              <w:rPr>
                <w:rFonts w:ascii="Times New Roman" w:hAnsi="Times New Roman" w:cs="Times New Roman" w:eastAsia="Times New Roman" w:hint="default"/>
                <w:sz w:val="18"/>
                <w:szCs w:val="18"/>
              </w:rPr>
            </w:pPr>
            <w:r>
              <w:rPr>
                <w:rFonts w:ascii="Times New Roman"/>
                <w:sz w:val="18"/>
              </w:rPr>
              <w:t>23,716,901.78</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21,667,316.82</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3,715,684.70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3,760,481.01</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2,183,083.27</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2,583,610.42</w:t>
            </w:r>
          </w:p>
        </w:tc>
      </w:tr>
      <w:tr>
        <w:trPr>
          <w:trHeight w:val="71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 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-20,786.66</w:t>
            </w:r>
            <w:r>
              <w:rPr>
                <w:rFonts w:ascii="Times New Roman"/>
                <w:sz w:val="18"/>
              </w:rPr>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-110,077.89</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财务费用（收益以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357,566.40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357,566.40</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15,780.03</w:t>
            </w:r>
          </w:p>
        </w:tc>
        <w:tc>
          <w:tcPr>
            <w:tcW w:w="318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3"/>
                <w:sz w:val="18"/>
                <w:szCs w:val="18"/>
              </w:rPr>
              <w:t>递延所得税资产减少（增加以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号填列</w:t>
            </w:r>
          </w:p>
        </w:tc>
        <w:tc>
          <w:tcPr>
            <w:tcW w:w="1055" w:type="dxa"/>
            <w:tcBorders>
              <w:top w:val="single" w:sz="4" w:space="0" w:color="000000"/>
              <w:left w:val="single" w:sz="13" w:space="0" w:color="D2D2D2"/>
              <w:bottom w:val="single" w:sz="4" w:space="0" w:color="000000"/>
              <w:right w:val="nil" w:sz="6" w:space="0" w:color="auto"/>
            </w:tcBorders>
          </w:tcPr>
          <w:p>
            <w:pPr>
              <w:pStyle w:val="TableParagraph"/>
              <w:spacing w:line="240" w:lineRule="auto" w:before="51"/>
              <w:ind w:left="-124" w:right="0"/>
              <w:jc w:val="left"/>
              <w:rPr>
                <w:rFonts w:ascii="宋体" w:hAnsi="宋体" w:cs="宋体" w:eastAsia="宋体" w:hint="default"/>
                <w:sz w:val="18"/>
                <w:szCs w:val="18"/>
              </w:rPr>
            </w:pPr>
            <w:r>
              <w:rPr>
                <w:rFonts w:ascii="宋体" w:hAnsi="宋体" w:cs="宋体" w:eastAsia="宋体" w:hint="default"/>
                <w:sz w:val="18"/>
                <w:szCs w:val="18"/>
              </w:rPr>
              <w:t>）</w:t>
            </w:r>
          </w:p>
        </w:tc>
        <w:tc>
          <w:tcPr>
            <w:tcW w:w="20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-3,390,572.28</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-2,297,945.03</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3"/>
                <w:sz w:val="18"/>
                <w:szCs w:val="18"/>
              </w:rPr>
              <w:t>递延所得税负债增加（减少以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号填列</w:t>
            </w:r>
          </w:p>
        </w:tc>
        <w:tc>
          <w:tcPr>
            <w:tcW w:w="1055" w:type="dxa"/>
            <w:tcBorders>
              <w:top w:val="single" w:sz="4" w:space="0" w:color="000000"/>
              <w:left w:val="single" w:sz="13" w:space="0" w:color="D2D2D2"/>
              <w:bottom w:val="single" w:sz="4" w:space="0" w:color="000000"/>
              <w:right w:val="nil" w:sz="6" w:space="0" w:color="auto"/>
            </w:tcBorders>
          </w:tcPr>
          <w:p>
            <w:pPr>
              <w:pStyle w:val="TableParagraph"/>
              <w:spacing w:line="240" w:lineRule="auto" w:before="51"/>
              <w:ind w:left="-124" w:right="0"/>
              <w:jc w:val="left"/>
              <w:rPr>
                <w:rFonts w:ascii="宋体" w:hAnsi="宋体" w:cs="宋体" w:eastAsia="宋体" w:hint="default"/>
                <w:sz w:val="18"/>
                <w:szCs w:val="18"/>
              </w:rPr>
            </w:pPr>
            <w:r>
              <w:rPr>
                <w:rFonts w:ascii="宋体" w:hAnsi="宋体" w:cs="宋体" w:eastAsia="宋体" w:hint="default"/>
                <w:sz w:val="18"/>
                <w:szCs w:val="18"/>
              </w:rPr>
              <w:t>）</w:t>
            </w:r>
          </w:p>
        </w:tc>
        <w:tc>
          <w:tcPr>
            <w:tcW w:w="20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-43,546.51</w:t>
            </w:r>
            <w:r>
              <w:rPr>
                <w:rFonts w:ascii="Times New Roman"/>
                <w:sz w:val="18"/>
              </w:rPr>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-52,623.16</w:t>
            </w:r>
            <w:r>
              <w:rPr>
                <w:rFonts w:ascii="Times New Roman"/>
                <w:sz w:val="18"/>
              </w:rPr>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存货的减少（增加以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839" w:right="0"/>
              <w:jc w:val="left"/>
              <w:rPr>
                <w:rFonts w:ascii="Times New Roman" w:hAnsi="Times New Roman" w:cs="Times New Roman" w:eastAsia="Times New Roman" w:hint="default"/>
                <w:sz w:val="18"/>
                <w:szCs w:val="18"/>
              </w:rPr>
            </w:pPr>
            <w:r>
              <w:rPr>
                <w:rFonts w:ascii="Times New Roman"/>
                <w:sz w:val="18"/>
              </w:rPr>
              <w:t>-140,925,105.56</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-20,449,781.20</w:t>
            </w:r>
          </w:p>
        </w:tc>
      </w:tr>
      <w:tr>
        <w:trPr>
          <w:trHeight w:val="71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61"/>
              <w:jc w:val="left"/>
              <w:rPr>
                <w:rFonts w:ascii="宋体" w:hAnsi="宋体" w:cs="宋体" w:eastAsia="宋体" w:hint="default"/>
                <w:sz w:val="18"/>
                <w:szCs w:val="18"/>
              </w:rPr>
            </w:pPr>
            <w:r>
              <w:rPr>
                <w:rFonts w:ascii="宋体" w:hAnsi="宋体" w:cs="宋体" w:eastAsia="宋体" w:hint="default"/>
                <w:sz w:val="18"/>
                <w:szCs w:val="18"/>
              </w:rPr>
              <w:t>经营性应收项目的减少（增加以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929" w:right="0"/>
              <w:jc w:val="left"/>
              <w:rPr>
                <w:rFonts w:ascii="Times New Roman" w:hAnsi="Times New Roman" w:cs="Times New Roman" w:eastAsia="Times New Roman" w:hint="default"/>
                <w:sz w:val="18"/>
                <w:szCs w:val="18"/>
              </w:rPr>
            </w:pPr>
            <w:r>
              <w:rPr>
                <w:rFonts w:ascii="Times New Roman"/>
                <w:sz w:val="18"/>
              </w:rPr>
              <w:t>-88,040,383.49</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-42,010,988.77</w:t>
            </w:r>
          </w:p>
        </w:tc>
      </w:tr>
      <w:tr>
        <w:trPr>
          <w:trHeight w:val="71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61"/>
              <w:jc w:val="left"/>
              <w:rPr>
                <w:rFonts w:ascii="宋体" w:hAnsi="宋体" w:cs="宋体" w:eastAsia="宋体" w:hint="default"/>
                <w:sz w:val="18"/>
                <w:szCs w:val="18"/>
              </w:rPr>
            </w:pPr>
            <w:r>
              <w:rPr>
                <w:rFonts w:ascii="宋体" w:hAnsi="宋体" w:cs="宋体" w:eastAsia="宋体" w:hint="default"/>
                <w:sz w:val="18"/>
                <w:szCs w:val="18"/>
              </w:rPr>
              <w:t>经营性应付项目的增加（减少以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899" w:right="0"/>
              <w:jc w:val="left"/>
              <w:rPr>
                <w:rFonts w:ascii="Times New Roman" w:hAnsi="Times New Roman" w:cs="Times New Roman" w:eastAsia="Times New Roman" w:hint="default"/>
                <w:sz w:val="18"/>
                <w:szCs w:val="18"/>
              </w:rPr>
            </w:pPr>
            <w:r>
              <w:rPr>
                <w:rFonts w:ascii="Times New Roman"/>
                <w:sz w:val="18"/>
              </w:rPr>
              <w:t>166,054,104.14</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51,011,071.91</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899" w:right="0"/>
              <w:jc w:val="left"/>
              <w:rPr>
                <w:rFonts w:ascii="Times New Roman" w:hAnsi="Times New Roman" w:cs="Times New Roman" w:eastAsia="Times New Roman" w:hint="default"/>
                <w:sz w:val="18"/>
                <w:szCs w:val="18"/>
              </w:rPr>
            </w:pPr>
            <w:r>
              <w:rPr>
                <w:rFonts w:ascii="Times New Roman"/>
                <w:sz w:val="18"/>
              </w:rPr>
              <w:t>191,412,255.55</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151,805,528.22</w:t>
            </w:r>
          </w:p>
        </w:tc>
      </w:tr>
      <w:tr>
        <w:trPr>
          <w:trHeight w:val="161" w:hRule="exact"/>
        </w:trPr>
        <w:tc>
          <w:tcPr>
            <w:tcW w:w="3305" w:type="dxa"/>
            <w:vMerge w:val="restart"/>
            <w:tcBorders>
              <w:top w:val="single" w:sz="4" w:space="0" w:color="000000"/>
              <w:left w:val="single" w:sz="4" w:space="0" w:color="000000"/>
              <w:right w:val="single" w:sz="4" w:space="0" w:color="000000"/>
            </w:tcBorders>
            <w:shd w:val="clear" w:color="auto" w:fill="D2D2D2"/>
          </w:tcPr>
          <w:p>
            <w:pPr>
              <w:pStyle w:val="TableParagraph"/>
              <w:spacing w:line="302" w:lineRule="auto" w:before="51"/>
              <w:ind w:left="11" w:right="131"/>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．不涉及现金收支的重大投资和筹资活 动：</w:t>
            </w:r>
          </w:p>
        </w:tc>
        <w:tc>
          <w:tcPr>
            <w:tcW w:w="3069"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3184"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2" w:hRule="exact"/>
        </w:trPr>
        <w:tc>
          <w:tcPr>
            <w:tcW w:w="3305" w:type="dxa"/>
            <w:vMerge/>
            <w:tcBorders>
              <w:left w:val="single" w:sz="4" w:space="0" w:color="000000"/>
              <w:right w:val="single" w:sz="4" w:space="0" w:color="000000"/>
            </w:tcBorders>
            <w:shd w:val="clear" w:color="auto" w:fill="D2D2D2"/>
          </w:tcPr>
          <w:p>
            <w:pPr/>
          </w:p>
        </w:tc>
        <w:tc>
          <w:tcPr>
            <w:tcW w:w="3069" w:type="dxa"/>
            <w:gridSpan w:val="2"/>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w:t>
            </w:r>
          </w:p>
        </w:tc>
        <w:tc>
          <w:tcPr>
            <w:tcW w:w="318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161" w:hRule="exact"/>
        </w:trPr>
        <w:tc>
          <w:tcPr>
            <w:tcW w:w="3305" w:type="dxa"/>
            <w:vMerge/>
            <w:tcBorders>
              <w:left w:val="single" w:sz="4" w:space="0" w:color="000000"/>
              <w:bottom w:val="single" w:sz="4" w:space="0" w:color="000000"/>
              <w:right w:val="single" w:sz="4" w:space="0" w:color="000000"/>
            </w:tcBorders>
            <w:shd w:val="clear" w:color="auto" w:fill="D2D2D2"/>
          </w:tcPr>
          <w:p>
            <w:pPr/>
          </w:p>
        </w:tc>
        <w:tc>
          <w:tcPr>
            <w:tcW w:w="3069"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3184"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．现金及现金等价物净变动情况：</w:t>
            </w:r>
          </w:p>
        </w:tc>
        <w:tc>
          <w:tcPr>
            <w:tcW w:w="30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899" w:right="0"/>
              <w:jc w:val="left"/>
              <w:rPr>
                <w:rFonts w:ascii="Times New Roman" w:hAnsi="Times New Roman" w:cs="Times New Roman" w:eastAsia="Times New Roman" w:hint="default"/>
                <w:sz w:val="18"/>
                <w:szCs w:val="18"/>
              </w:rPr>
            </w:pPr>
            <w:r>
              <w:rPr>
                <w:rFonts w:ascii="Times New Roman"/>
                <w:sz w:val="18"/>
              </w:rPr>
              <w:t>556,842,269.19</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442,093,599.18</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899" w:right="0"/>
              <w:jc w:val="left"/>
              <w:rPr>
                <w:rFonts w:ascii="Times New Roman" w:hAnsi="Times New Roman" w:cs="Times New Roman" w:eastAsia="Times New Roman" w:hint="default"/>
                <w:sz w:val="18"/>
                <w:szCs w:val="18"/>
              </w:rPr>
            </w:pPr>
            <w:r>
              <w:rPr>
                <w:rFonts w:ascii="Times New Roman"/>
                <w:sz w:val="18"/>
              </w:rPr>
              <w:t>442,093,599.18</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420,807,009.02</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905" w:right="0"/>
              <w:jc w:val="left"/>
              <w:rPr>
                <w:rFonts w:ascii="Times New Roman" w:hAnsi="Times New Roman" w:cs="Times New Roman" w:eastAsia="Times New Roman" w:hint="default"/>
                <w:sz w:val="18"/>
                <w:szCs w:val="18"/>
              </w:rPr>
            </w:pPr>
            <w:r>
              <w:rPr>
                <w:rFonts w:ascii="Times New Roman"/>
                <w:sz w:val="18"/>
              </w:rPr>
              <w:t>114,748,670.01</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21,286,590.16</w:t>
            </w:r>
          </w:p>
        </w:tc>
      </w:tr>
    </w:tbl>
    <w:p>
      <w:pPr>
        <w:spacing w:line="240" w:lineRule="auto" w:before="2"/>
        <w:rPr>
          <w:rFonts w:ascii="宋体" w:hAnsi="宋体" w:cs="宋体" w:eastAsia="宋体" w:hint="default"/>
          <w:sz w:val="19"/>
          <w:szCs w:val="19"/>
        </w:rPr>
      </w:pPr>
    </w:p>
    <w:p>
      <w:pPr>
        <w:pStyle w:val="Heading3"/>
        <w:spacing w:line="240" w:lineRule="auto" w:before="35"/>
        <w:ind w:left="1134" w:right="0"/>
        <w:jc w:val="left"/>
        <w:rPr>
          <w:b w:val="0"/>
          <w:bCs w:val="0"/>
        </w:rPr>
      </w:pPr>
      <w:bookmarkStart w:name="（2）本期支付的取得子公司的现金净额" w:id="317"/>
      <w:bookmarkEnd w:id="317"/>
      <w:r>
        <w:rPr>
          <w:b w:val="0"/>
          <w:bCs w:val="0"/>
        </w:rPr>
      </w:r>
      <w:r>
        <w:rPr/>
        <w:t>（</w:t>
      </w:r>
      <w:r>
        <w:rPr>
          <w:rFonts w:ascii="Times New Roman" w:hAnsi="Times New Roman" w:cs="Times New Roman" w:eastAsia="Times New Roman" w:hint="default"/>
        </w:rPr>
        <w:t>2</w:t>
      </w:r>
      <w:r>
        <w:rPr/>
        <w:t>）本期支付的取得子公司的现金净额</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after="0" w:line="240" w:lineRule="auto"/>
        <w:jc w:val="right"/>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4989"/>
        <w:gridCol w:w="4580"/>
      </w:tblGrid>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本期发生的企业合并于本期支付的现金或现金等价物</w:t>
            </w:r>
          </w:p>
        </w:tc>
        <w:tc>
          <w:tcPr>
            <w:tcW w:w="45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600,000.00</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四川广迈富宇建设工程有限公司</w:t>
            </w:r>
          </w:p>
        </w:tc>
        <w:tc>
          <w:tcPr>
            <w:tcW w:w="4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600,000.00</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四川广迈富宇建设工程有限公司</w:t>
            </w:r>
          </w:p>
        </w:tc>
        <w:tc>
          <w:tcPr>
            <w:tcW w:w="458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加：以前期间发生的企业合并于本期支付的现金或现金等价物</w:t>
            </w:r>
          </w:p>
        </w:tc>
        <w:tc>
          <w:tcPr>
            <w:tcW w:w="45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4,256,743.75</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取得子公司支付的现金净额</w:t>
            </w:r>
          </w:p>
        </w:tc>
        <w:tc>
          <w:tcPr>
            <w:tcW w:w="45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4,856,743.75</w:t>
            </w:r>
          </w:p>
        </w:tc>
      </w:tr>
    </w:tbl>
    <w:p>
      <w:pPr>
        <w:pStyle w:val="BodyText"/>
        <w:spacing w:line="240" w:lineRule="auto" w:before="51"/>
        <w:ind w:left="1134"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3）本期收到的处置子公司的现金净额" w:id="318"/>
      <w:bookmarkEnd w:id="318"/>
      <w:r>
        <w:rPr>
          <w:b w:val="0"/>
          <w:bCs w:val="0"/>
        </w:rPr>
      </w:r>
      <w:r>
        <w:rPr/>
        <w:t>（</w:t>
      </w:r>
      <w:r>
        <w:rPr>
          <w:rFonts w:ascii="Times New Roman" w:hAnsi="Times New Roman" w:cs="Times New Roman" w:eastAsia="Times New Roman" w:hint="default"/>
        </w:rPr>
        <w:t>3</w:t>
      </w:r>
      <w:r>
        <w:rPr/>
        <w:t>）本期收到的处置子公司的现金净额</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4989"/>
        <w:gridCol w:w="4580"/>
      </w:tblGrid>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本期处置子公司于本期收到的现金或现金等价物</w:t>
            </w:r>
          </w:p>
        </w:tc>
        <w:tc>
          <w:tcPr>
            <w:tcW w:w="45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507,393.16</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广州市汇康仪器设备有限公司</w:t>
            </w:r>
          </w:p>
        </w:tc>
        <w:tc>
          <w:tcPr>
            <w:tcW w:w="4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507,393.16</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处置子公司收到的现金净额</w:t>
            </w:r>
          </w:p>
        </w:tc>
        <w:tc>
          <w:tcPr>
            <w:tcW w:w="45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507,393.16</w:t>
            </w:r>
          </w:p>
        </w:tc>
      </w:tr>
    </w:tbl>
    <w:p>
      <w:pPr>
        <w:pStyle w:val="BodyText"/>
        <w:spacing w:line="240" w:lineRule="auto" w:before="51"/>
        <w:ind w:left="1134"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4）现金和现金等价物的构成" w:id="319"/>
      <w:bookmarkEnd w:id="319"/>
      <w:r>
        <w:rPr>
          <w:b w:val="0"/>
          <w:bCs w:val="0"/>
        </w:rPr>
      </w:r>
      <w:r>
        <w:rPr/>
        <w:t>（</w:t>
      </w:r>
      <w:r>
        <w:rPr>
          <w:rFonts w:ascii="Times New Roman" w:hAnsi="Times New Roman" w:cs="Times New Roman" w:eastAsia="Times New Roman" w:hint="default"/>
        </w:rPr>
        <w:t>4</w:t>
      </w:r>
      <w:r>
        <w:rPr/>
        <w:t>）现金和现金等价物的构成</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3305"/>
        <w:gridCol w:w="3069"/>
        <w:gridCol w:w="3184"/>
      </w:tblGrid>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一、现金</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556,842,269.19</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442,093,599.18</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其中：库存现金</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357,276.38</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350,018.17</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可随时用于支付的银行存款</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529,803,581.12</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440,287,481.01</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可随时用于支付的其他货币资金</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26,681,411.69</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1,456,100.00</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三、期末现金及现金等价物余额</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556,842,269.19</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442,093,599.18</w:t>
            </w:r>
          </w:p>
        </w:tc>
      </w:tr>
    </w:tbl>
    <w:p>
      <w:pPr>
        <w:pStyle w:val="BodyText"/>
        <w:spacing w:line="240" w:lineRule="auto" w:before="51"/>
        <w:ind w:left="1134" w:right="0"/>
        <w:jc w:val="left"/>
      </w:pPr>
      <w:r>
        <w:rPr/>
        <w:t>其他说明：</w:t>
      </w:r>
    </w:p>
    <w:p>
      <w:pPr>
        <w:pStyle w:val="BodyText"/>
        <w:spacing w:line="240" w:lineRule="auto" w:before="116"/>
        <w:ind w:left="1494" w:right="0"/>
        <w:jc w:val="left"/>
      </w:pPr>
      <w:r>
        <w:rPr/>
        <w:t>货币资金中超过三个月保函保证金</w:t>
      </w:r>
      <w:r>
        <w:rPr>
          <w:rFonts w:ascii="Times New Roman" w:hAnsi="Times New Roman" w:cs="Times New Roman" w:eastAsia="Times New Roman" w:hint="default"/>
        </w:rPr>
        <w:t>13,344,344.50</w:t>
      </w:r>
      <w:r>
        <w:rPr/>
        <w:t>元，不属于现金和现金等价物，已从现金的期末余额中扣除</w:t>
      </w:r>
    </w:p>
    <w:p>
      <w:pPr>
        <w:spacing w:after="0" w:line="240" w:lineRule="auto"/>
        <w:jc w:val="left"/>
        <w:sectPr>
          <w:pgSz w:w="11910" w:h="16840"/>
          <w:pgMar w:header="747" w:footer="979" w:top="1060" w:bottom="1160" w:left="0" w:right="0"/>
        </w:sectPr>
      </w:pPr>
    </w:p>
    <w:p>
      <w:pPr>
        <w:spacing w:line="240" w:lineRule="auto" w:before="10"/>
        <w:rPr>
          <w:rFonts w:ascii="宋体" w:hAnsi="宋体" w:cs="宋体" w:eastAsia="宋体" w:hint="default"/>
          <w:sz w:val="24"/>
          <w:szCs w:val="24"/>
        </w:rPr>
      </w:pPr>
    </w:p>
    <w:p>
      <w:pPr>
        <w:pStyle w:val="Heading3"/>
        <w:spacing w:line="240" w:lineRule="auto" w:before="35"/>
        <w:ind w:right="0"/>
        <w:jc w:val="left"/>
        <w:rPr>
          <w:b w:val="0"/>
          <w:bCs w:val="0"/>
        </w:rPr>
      </w:pPr>
      <w:bookmarkStart w:name="44、所有权或使用权受到限制的资产" w:id="320"/>
      <w:bookmarkEnd w:id="320"/>
      <w:r>
        <w:rPr>
          <w:b w:val="0"/>
          <w:bCs w:val="0"/>
        </w:rPr>
      </w:r>
      <w:r>
        <w:rPr>
          <w:rFonts w:ascii="Times New Roman" w:hAnsi="Times New Roman" w:cs="Times New Roman" w:eastAsia="Times New Roman" w:hint="default"/>
        </w:rPr>
        <w:t>44</w:t>
      </w:r>
      <w:r>
        <w:rPr/>
        <w:t>、所有权或使用权受到限制的资产</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3305"/>
        <w:gridCol w:w="3069"/>
        <w:gridCol w:w="3184"/>
      </w:tblGrid>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95" w:right="0"/>
              <w:jc w:val="left"/>
              <w:rPr>
                <w:rFonts w:ascii="宋体" w:hAnsi="宋体" w:cs="宋体" w:eastAsia="宋体" w:hint="default"/>
                <w:sz w:val="18"/>
                <w:szCs w:val="18"/>
              </w:rPr>
            </w:pPr>
            <w:r>
              <w:rPr>
                <w:rFonts w:ascii="宋体" w:hAnsi="宋体" w:cs="宋体" w:eastAsia="宋体" w:hint="default"/>
                <w:sz w:val="18"/>
                <w:szCs w:val="18"/>
              </w:rPr>
              <w:t>期末账面价值</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受限原因</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21,246,744.07</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贷款抵押</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12,479,325.69</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贷款抵押</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69"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2"/>
              <w:ind w:right="8"/>
              <w:jc w:val="right"/>
              <w:rPr>
                <w:rFonts w:ascii="Times New Roman" w:hAnsi="Times New Roman" w:cs="Times New Roman" w:eastAsia="Times New Roman" w:hint="default"/>
                <w:sz w:val="18"/>
                <w:szCs w:val="18"/>
              </w:rPr>
            </w:pPr>
            <w:r>
              <w:rPr>
                <w:rFonts w:ascii="Times New Roman"/>
                <w:spacing w:val="-1"/>
                <w:sz w:val="18"/>
              </w:rPr>
              <w:t>33,726,069.76</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left="1134" w:right="0"/>
        <w:jc w:val="left"/>
      </w:pPr>
      <w:r>
        <w:rPr/>
        <w:t>其他说明：</w:t>
      </w:r>
    </w:p>
    <w:p>
      <w:pPr>
        <w:pStyle w:val="BodyText"/>
        <w:spacing w:line="316" w:lineRule="auto" w:before="115"/>
        <w:ind w:right="0" w:firstLine="360"/>
        <w:jc w:val="left"/>
      </w:pPr>
      <w:r>
        <w:rPr>
          <w:spacing w:val="-2"/>
        </w:rPr>
        <w:t>本公司于</w:t>
      </w:r>
      <w:r>
        <w:rPr>
          <w:rFonts w:ascii="宋体" w:hAnsi="宋体" w:cs="宋体" w:eastAsia="宋体" w:hint="default"/>
          <w:spacing w:val="-2"/>
        </w:rPr>
        <w:t>2016</w:t>
      </w:r>
      <w:r>
        <w:rPr>
          <w:spacing w:val="-2"/>
        </w:rPr>
        <w:t>年</w:t>
      </w:r>
      <w:r>
        <w:rPr>
          <w:rFonts w:ascii="宋体" w:hAnsi="宋体" w:cs="宋体" w:eastAsia="宋体" w:hint="default"/>
          <w:spacing w:val="-2"/>
        </w:rPr>
        <w:t>1</w:t>
      </w:r>
      <w:r>
        <w:rPr>
          <w:spacing w:val="-2"/>
        </w:rPr>
        <w:t>月</w:t>
      </w:r>
      <w:r>
        <w:rPr>
          <w:rFonts w:ascii="宋体" w:hAnsi="宋体" w:cs="宋体" w:eastAsia="宋体" w:hint="default"/>
          <w:spacing w:val="-2"/>
        </w:rPr>
        <w:t>29</w:t>
      </w:r>
      <w:r>
        <w:rPr>
          <w:spacing w:val="-2"/>
        </w:rPr>
        <w:t>日将房屋建筑物、土地使用权作为抵押，与中国建设银行河北省分行营业部签订了在</w:t>
      </w:r>
      <w:r>
        <w:rPr>
          <w:rFonts w:ascii="宋体" w:hAnsi="宋体" w:cs="宋体" w:eastAsia="宋体" w:hint="default"/>
          <w:spacing w:val="-2"/>
        </w:rPr>
        <w:t>2016</w:t>
      </w:r>
      <w:r>
        <w:rPr>
          <w:spacing w:val="-2"/>
        </w:rPr>
        <w:t>年</w:t>
      </w:r>
      <w:r>
        <w:rPr>
          <w:rFonts w:ascii="宋体" w:hAnsi="宋体" w:cs="宋体" w:eastAsia="宋体" w:hint="default"/>
          <w:spacing w:val="-2"/>
        </w:rPr>
        <w:t>1</w:t>
      </w:r>
      <w:r>
        <w:rPr>
          <w:spacing w:val="-2"/>
        </w:rPr>
        <w:t>月</w:t>
      </w:r>
      <w:r>
        <w:rPr>
          <w:rFonts w:ascii="宋体" w:hAnsi="宋体" w:cs="宋体" w:eastAsia="宋体" w:hint="default"/>
          <w:spacing w:val="-2"/>
        </w:rPr>
        <w:t>28</w:t>
      </w:r>
      <w:r>
        <w:rPr>
          <w:rFonts w:ascii="宋体" w:hAnsi="宋体" w:cs="宋体" w:eastAsia="宋体" w:hint="default"/>
        </w:rPr>
        <w:t> </w:t>
      </w:r>
      <w:r>
        <w:rPr/>
        <w:t>日到</w:t>
      </w:r>
      <w:r>
        <w:rPr>
          <w:rFonts w:ascii="宋体" w:hAnsi="宋体" w:cs="宋体" w:eastAsia="宋体" w:hint="default"/>
        </w:rPr>
        <w:t>2019</w:t>
      </w:r>
      <w:r>
        <w:rPr/>
        <w:t>年</w:t>
      </w:r>
      <w:r>
        <w:rPr>
          <w:rFonts w:ascii="宋体" w:hAnsi="宋体" w:cs="宋体" w:eastAsia="宋体" w:hint="default"/>
        </w:rPr>
        <w:t>1</w:t>
      </w:r>
      <w:r>
        <w:rPr/>
        <w:t>月</w:t>
      </w:r>
      <w:r>
        <w:rPr>
          <w:rFonts w:ascii="宋体" w:hAnsi="宋体" w:cs="宋体" w:eastAsia="宋体" w:hint="default"/>
        </w:rPr>
        <w:t>27</w:t>
      </w:r>
      <w:r>
        <w:rPr/>
        <w:t>日期间最高限额为</w:t>
      </w:r>
      <w:r>
        <w:rPr>
          <w:rFonts w:ascii="宋体" w:hAnsi="宋体" w:cs="宋体" w:eastAsia="宋体" w:hint="default"/>
        </w:rPr>
        <w:t>7,107</w:t>
      </w:r>
      <w:r>
        <w:rPr/>
        <w:t>万元的抵押贷款合同。</w:t>
      </w:r>
    </w:p>
    <w:p>
      <w:pPr>
        <w:spacing w:line="240" w:lineRule="auto" w:before="7"/>
        <w:rPr>
          <w:rFonts w:ascii="宋体" w:hAnsi="宋体" w:cs="宋体" w:eastAsia="宋体" w:hint="default"/>
          <w:sz w:val="22"/>
          <w:szCs w:val="22"/>
        </w:rPr>
      </w:pPr>
    </w:p>
    <w:p>
      <w:pPr>
        <w:pStyle w:val="Heading3"/>
        <w:spacing w:line="240" w:lineRule="auto"/>
        <w:ind w:left="1134" w:right="0"/>
        <w:jc w:val="left"/>
        <w:rPr>
          <w:b w:val="0"/>
          <w:bCs w:val="0"/>
        </w:rPr>
      </w:pPr>
      <w:bookmarkStart w:name="45、外币货币性项目" w:id="321"/>
      <w:bookmarkEnd w:id="321"/>
      <w:r>
        <w:rPr>
          <w:b w:val="0"/>
          <w:bCs w:val="0"/>
        </w:rPr>
      </w:r>
      <w:r>
        <w:rPr>
          <w:rFonts w:ascii="Times New Roman" w:hAnsi="Times New Roman" w:cs="Times New Roman" w:eastAsia="Times New Roman" w:hint="default"/>
        </w:rPr>
        <w:t>45</w:t>
      </w:r>
      <w:r>
        <w:rPr/>
        <w:t>、外币货币性项目</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外币货币性项目" w:id="322"/>
      <w:bookmarkEnd w:id="322"/>
      <w:r>
        <w:rPr>
          <w:b w:val="0"/>
          <w:bCs w:val="0"/>
        </w:rPr>
      </w:r>
      <w:r>
        <w:rPr/>
        <w:t>（</w:t>
      </w:r>
      <w:r>
        <w:rPr>
          <w:rFonts w:ascii="Times New Roman" w:hAnsi="Times New Roman" w:cs="Times New Roman" w:eastAsia="Times New Roman" w:hint="default"/>
        </w:rPr>
        <w:t>1</w:t>
      </w:r>
      <w:r>
        <w:rPr/>
        <w:t>）外币货币性项目</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2484"/>
        <w:gridCol w:w="2305"/>
        <w:gridCol w:w="2391"/>
        <w:gridCol w:w="2389"/>
      </w:tblGrid>
      <w:tr>
        <w:trPr>
          <w:trHeight w:val="402" w:hRule="exact"/>
        </w:trPr>
        <w:tc>
          <w:tcPr>
            <w:tcW w:w="24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12" w:right="0"/>
              <w:jc w:val="left"/>
              <w:rPr>
                <w:rFonts w:ascii="宋体" w:hAnsi="宋体" w:cs="宋体" w:eastAsia="宋体" w:hint="default"/>
                <w:sz w:val="18"/>
                <w:szCs w:val="18"/>
              </w:rPr>
            </w:pPr>
            <w:r>
              <w:rPr>
                <w:rFonts w:ascii="宋体" w:hAnsi="宋体" w:cs="宋体" w:eastAsia="宋体" w:hint="default"/>
                <w:sz w:val="18"/>
                <w:szCs w:val="18"/>
              </w:rPr>
              <w:t>期末外币余额</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折算汇率</w:t>
            </w:r>
          </w:p>
        </w:tc>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9" w:right="0"/>
              <w:jc w:val="left"/>
              <w:rPr>
                <w:rFonts w:ascii="宋体" w:hAnsi="宋体" w:cs="宋体" w:eastAsia="宋体" w:hint="default"/>
                <w:sz w:val="18"/>
                <w:szCs w:val="18"/>
              </w:rPr>
            </w:pPr>
            <w:r>
              <w:rPr>
                <w:rFonts w:ascii="宋体" w:hAnsi="宋体" w:cs="宋体" w:eastAsia="宋体" w:hint="default"/>
                <w:sz w:val="18"/>
                <w:szCs w:val="18"/>
              </w:rPr>
              <w:t>期末折算人民币余额</w:t>
            </w:r>
          </w:p>
        </w:tc>
      </w:tr>
      <w:tr>
        <w:trPr>
          <w:trHeight w:val="402" w:hRule="exact"/>
        </w:trPr>
        <w:tc>
          <w:tcPr>
            <w:tcW w:w="24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9" w:right="0"/>
              <w:jc w:val="center"/>
              <w:rPr>
                <w:rFonts w:ascii="Times New Roman" w:hAnsi="Times New Roman" w:cs="Times New Roman" w:eastAsia="Times New Roman" w:hint="default"/>
                <w:sz w:val="18"/>
                <w:szCs w:val="18"/>
              </w:rPr>
            </w:pPr>
            <w:r>
              <w:rPr>
                <w:rFonts w:ascii="Times New Roman"/>
                <w:sz w:val="18"/>
              </w:rPr>
              <w:t>--</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238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13,560,717.84</w:t>
            </w:r>
          </w:p>
        </w:tc>
      </w:tr>
      <w:tr>
        <w:trPr>
          <w:trHeight w:val="402" w:hRule="exact"/>
        </w:trPr>
        <w:tc>
          <w:tcPr>
            <w:tcW w:w="24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30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2,051,969.64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6.5342</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13,407,980.02</w:t>
            </w:r>
          </w:p>
        </w:tc>
      </w:tr>
      <w:tr>
        <w:trPr>
          <w:trHeight w:val="402" w:hRule="exact"/>
        </w:trPr>
        <w:tc>
          <w:tcPr>
            <w:tcW w:w="24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230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19,576.00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7.8023</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152,737.82</w:t>
            </w:r>
          </w:p>
        </w:tc>
      </w:tr>
      <w:tr>
        <w:trPr>
          <w:trHeight w:val="402" w:hRule="exact"/>
        </w:trPr>
        <w:tc>
          <w:tcPr>
            <w:tcW w:w="24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9" w:right="0"/>
              <w:jc w:val="center"/>
              <w:rPr>
                <w:rFonts w:ascii="Times New Roman" w:hAnsi="Times New Roman" w:cs="Times New Roman" w:eastAsia="Times New Roman" w:hint="default"/>
                <w:sz w:val="18"/>
                <w:szCs w:val="18"/>
              </w:rPr>
            </w:pPr>
            <w:r>
              <w:rPr>
                <w:rFonts w:ascii="Times New Roman"/>
                <w:sz w:val="18"/>
              </w:rPr>
              <w:t>--</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2,644,921.22</w:t>
            </w:r>
          </w:p>
        </w:tc>
      </w:tr>
      <w:tr>
        <w:trPr>
          <w:trHeight w:val="402" w:hRule="exact"/>
        </w:trPr>
        <w:tc>
          <w:tcPr>
            <w:tcW w:w="24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30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328,884.05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6.5342</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2,148,994.16</w:t>
            </w:r>
          </w:p>
        </w:tc>
      </w:tr>
      <w:tr>
        <w:trPr>
          <w:trHeight w:val="402" w:hRule="exact"/>
        </w:trPr>
        <w:tc>
          <w:tcPr>
            <w:tcW w:w="24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230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63,561.65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7.8023</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495,927.06</w:t>
            </w:r>
          </w:p>
        </w:tc>
      </w:tr>
    </w:tbl>
    <w:p>
      <w:pPr>
        <w:pStyle w:val="BodyText"/>
        <w:spacing w:line="240" w:lineRule="auto" w:before="51"/>
        <w:ind w:left="1134" w:right="0"/>
        <w:jc w:val="left"/>
      </w:pPr>
      <w:r>
        <w:rPr/>
        <w:t>其他说明：</w:t>
      </w:r>
    </w:p>
    <w:p>
      <w:pPr>
        <w:pStyle w:val="BodyText"/>
        <w:spacing w:line="316" w:lineRule="auto" w:before="116"/>
        <w:ind w:right="1130" w:firstLine="360"/>
        <w:jc w:val="both"/>
      </w:pPr>
      <w:r>
        <w:rPr>
          <w:spacing w:val="-4"/>
        </w:rPr>
        <w:t>境外经营实体说明，本公司子公司</w:t>
      </w:r>
      <w:r>
        <w:rPr>
          <w:rFonts w:ascii="宋体" w:hAnsi="宋体" w:cs="宋体" w:eastAsia="宋体" w:hint="default"/>
          <w:spacing w:val="-4"/>
        </w:rPr>
        <w:t>SAILHERO</w:t>
      </w:r>
      <w:r>
        <w:rPr>
          <w:rFonts w:ascii="宋体" w:hAnsi="宋体" w:cs="宋体" w:eastAsia="宋体" w:hint="default"/>
          <w:spacing w:val="-44"/>
        </w:rPr>
        <w:t> </w:t>
      </w:r>
      <w:r>
        <w:rPr>
          <w:rFonts w:ascii="宋体" w:hAnsi="宋体" w:cs="宋体" w:eastAsia="宋体" w:hint="default"/>
          <w:spacing w:val="-1"/>
        </w:rPr>
        <w:t>US</w:t>
      </w:r>
      <w:r>
        <w:rPr>
          <w:rFonts w:ascii="宋体" w:hAnsi="宋体" w:cs="宋体" w:eastAsia="宋体" w:hint="default"/>
          <w:spacing w:val="-44"/>
        </w:rPr>
        <w:t> </w:t>
      </w:r>
      <w:r>
        <w:rPr>
          <w:rFonts w:ascii="宋体" w:hAnsi="宋体" w:cs="宋体" w:eastAsia="宋体" w:hint="default"/>
        </w:rPr>
        <w:t>HOLDING</w:t>
      </w:r>
      <w:r>
        <w:rPr>
          <w:rFonts w:ascii="宋体" w:hAnsi="宋体" w:cs="宋体" w:eastAsia="宋体" w:hint="default"/>
          <w:spacing w:val="-44"/>
        </w:rPr>
        <w:t> </w:t>
      </w:r>
      <w:r>
        <w:rPr>
          <w:rFonts w:ascii="宋体" w:hAnsi="宋体" w:cs="宋体" w:eastAsia="宋体" w:hint="default"/>
        </w:rPr>
        <w:t>INC.</w:t>
      </w:r>
      <w:r>
        <w:rPr>
          <w:rFonts w:ascii="宋体" w:hAnsi="宋体" w:cs="宋体" w:eastAsia="宋体" w:hint="default"/>
          <w:spacing w:val="1"/>
        </w:rPr>
        <w:t> </w:t>
      </w:r>
      <w:r>
        <w:rPr>
          <w:spacing w:val="-13"/>
        </w:rPr>
        <w:t>、</w:t>
      </w:r>
      <w:r>
        <w:rPr>
          <w:rFonts w:ascii="宋体" w:hAnsi="宋体" w:cs="宋体" w:eastAsia="宋体" w:hint="default"/>
          <w:spacing w:val="-13"/>
        </w:rPr>
        <w:t>COOPER</w:t>
      </w:r>
      <w:r>
        <w:rPr>
          <w:rFonts w:ascii="宋体" w:hAnsi="宋体" w:cs="宋体" w:eastAsia="宋体" w:hint="default"/>
          <w:spacing w:val="-44"/>
        </w:rPr>
        <w:t> </w:t>
      </w:r>
      <w:r>
        <w:rPr>
          <w:rFonts w:ascii="宋体" w:hAnsi="宋体" w:cs="宋体" w:eastAsia="宋体" w:hint="default"/>
        </w:rPr>
        <w:t>ENVIRONMENTAL</w:t>
      </w:r>
      <w:r>
        <w:rPr>
          <w:rFonts w:ascii="宋体" w:hAnsi="宋体" w:cs="宋体" w:eastAsia="宋体" w:hint="default"/>
          <w:spacing w:val="-44"/>
        </w:rPr>
        <w:t> </w:t>
      </w:r>
      <w:r>
        <w:rPr>
          <w:rFonts w:ascii="宋体" w:hAnsi="宋体" w:cs="宋体" w:eastAsia="宋体" w:hint="default"/>
          <w:spacing w:val="-5"/>
        </w:rPr>
        <w:t>SERVICES,LLC</w:t>
      </w:r>
      <w:r>
        <w:rPr>
          <w:spacing w:val="-5"/>
        </w:rPr>
        <w:t>、</w:t>
      </w:r>
      <w:r>
        <w:rPr>
          <w:rFonts w:ascii="宋体" w:hAnsi="宋体" w:cs="宋体" w:eastAsia="宋体" w:hint="default"/>
          <w:spacing w:val="-5"/>
        </w:rPr>
        <w:t>Sunset</w:t>
      </w:r>
      <w:r>
        <w:rPr>
          <w:rFonts w:ascii="宋体" w:hAnsi="宋体" w:cs="宋体" w:eastAsia="宋体" w:hint="default"/>
          <w:spacing w:val="-44"/>
        </w:rPr>
        <w:t> </w:t>
      </w:r>
      <w:r>
        <w:rPr>
          <w:rFonts w:ascii="宋体" w:hAnsi="宋体" w:cs="宋体" w:eastAsia="宋体" w:hint="default"/>
        </w:rPr>
        <w:t>Laboratory</w:t>
      </w:r>
      <w:r>
        <w:rPr>
          <w:rFonts w:ascii="宋体" w:hAnsi="宋体" w:cs="宋体" w:eastAsia="宋体" w:hint="default"/>
        </w:rPr>
        <w:t> Inc.</w:t>
      </w:r>
      <w:r>
        <w:rPr/>
        <w:t>、属于在境外经营的子公司，主要经营地在美国，采用美元为记账本位币；</w:t>
      </w:r>
      <w:r>
        <w:rPr>
          <w:rFonts w:ascii="宋体" w:hAnsi="宋体" w:cs="宋体" w:eastAsia="宋体" w:hint="default"/>
        </w:rPr>
        <w:t>Sunset</w:t>
      </w:r>
      <w:r>
        <w:rPr>
          <w:rFonts w:ascii="宋体" w:hAnsi="宋体" w:cs="宋体" w:eastAsia="宋体" w:hint="default"/>
          <w:spacing w:val="-41"/>
        </w:rPr>
        <w:t> </w:t>
      </w:r>
      <w:r>
        <w:rPr>
          <w:rFonts w:ascii="宋体" w:hAnsi="宋体" w:cs="宋体" w:eastAsia="宋体" w:hint="default"/>
        </w:rPr>
        <w:t>Laboratory</w:t>
      </w:r>
      <w:r>
        <w:rPr>
          <w:rFonts w:ascii="宋体" w:hAnsi="宋体" w:cs="宋体" w:eastAsia="宋体" w:hint="default"/>
          <w:spacing w:val="-41"/>
        </w:rPr>
        <w:t> </w:t>
      </w:r>
      <w:r>
        <w:rPr>
          <w:rFonts w:ascii="宋体" w:hAnsi="宋体" w:cs="宋体" w:eastAsia="宋体" w:hint="default"/>
        </w:rPr>
        <w:t>Inc.</w:t>
      </w:r>
      <w:r>
        <w:rPr/>
        <w:t>在荷兰设立办事处 </w:t>
      </w:r>
      <w:r>
        <w:rPr>
          <w:rFonts w:ascii="宋体" w:hAnsi="宋体" w:cs="宋体" w:eastAsia="宋体" w:hint="default"/>
        </w:rPr>
        <w:t>Sunset Laboratory BV</w:t>
      </w:r>
      <w:r>
        <w:rPr/>
        <w:t>，采用欧元为记账本位币。</w:t>
      </w:r>
    </w:p>
    <w:p>
      <w:pPr>
        <w:spacing w:line="240" w:lineRule="auto" w:before="7"/>
        <w:rPr>
          <w:rFonts w:ascii="宋体" w:hAnsi="宋体" w:cs="宋体" w:eastAsia="宋体" w:hint="default"/>
          <w:sz w:val="22"/>
          <w:szCs w:val="22"/>
        </w:rPr>
      </w:pPr>
    </w:p>
    <w:p>
      <w:pPr>
        <w:pStyle w:val="Heading3"/>
        <w:spacing w:line="259" w:lineRule="auto"/>
        <w:ind w:left="1134" w:right="0"/>
        <w:jc w:val="left"/>
        <w:rPr>
          <w:b w:val="0"/>
          <w:bCs w:val="0"/>
        </w:rPr>
      </w:pPr>
      <w:bookmarkStart w:name="（2）境外经营实体说明，包括对于重要的境外经营实体，应披露其境外主要经营地、记账" w:id="323"/>
      <w:bookmarkEnd w:id="323"/>
      <w:r>
        <w:rPr>
          <w:b w:val="0"/>
          <w:bCs w:val="0"/>
        </w:rPr>
      </w:r>
      <w:r>
        <w:rPr/>
        <w:t>（</w:t>
      </w:r>
      <w:r>
        <w:rPr>
          <w:rFonts w:ascii="Times New Roman" w:hAnsi="Times New Roman" w:cs="Times New Roman" w:eastAsia="Times New Roman" w:hint="default"/>
        </w:rPr>
        <w:t>2</w:t>
      </w:r>
      <w:r>
        <w:rPr/>
        <w:t>）境外经营实体说明，包括对于重要的境外经营实体，应披露其境外主要经营地、记账本位币及选择</w:t>
      </w:r>
      <w:r>
        <w:rPr>
          <w:spacing w:val="-72"/>
        </w:rPr>
        <w:t> </w:t>
      </w:r>
      <w:r>
        <w:rPr>
          <w:spacing w:val="-72"/>
        </w:rPr>
      </w:r>
      <w:r>
        <w:rPr/>
        <w:t>依据，记账本位币发生变化的还应披露原因。</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13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八、合并范围的变更" w:id="324"/>
      <w:bookmarkEnd w:id="324"/>
      <w:r>
        <w:rPr>
          <w:b w:val="0"/>
          <w:bCs w:val="0"/>
        </w:rPr>
      </w:r>
      <w:r>
        <w:rPr/>
        <w:t>八、合并范围的变更</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1、非同一控制下企业合并" w:id="325"/>
      <w:bookmarkEnd w:id="325"/>
      <w:r>
        <w:rPr>
          <w:b w:val="0"/>
          <w:bCs w:val="0"/>
        </w:rPr>
      </w:r>
      <w:r>
        <w:rPr>
          <w:rFonts w:ascii="Times New Roman" w:hAnsi="Times New Roman" w:cs="Times New Roman" w:eastAsia="Times New Roman" w:hint="default"/>
        </w:rPr>
        <w:t>1</w:t>
      </w:r>
      <w:r>
        <w:rPr/>
        <w:t>、非同一控制下企业合并</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1）本期发生的非同一控制下企业合并" w:id="326"/>
      <w:bookmarkEnd w:id="326"/>
      <w:r>
        <w:rPr>
          <w:b w:val="0"/>
          <w:bCs w:val="0"/>
        </w:rPr>
      </w:r>
      <w:r>
        <w:rPr/>
        <w:t>（</w:t>
      </w:r>
      <w:r>
        <w:rPr>
          <w:rFonts w:ascii="Times New Roman" w:hAnsi="Times New Roman" w:cs="Times New Roman" w:eastAsia="Times New Roman" w:hint="default"/>
        </w:rPr>
        <w:t>1</w:t>
      </w:r>
      <w:r>
        <w:rPr/>
        <w:t>）本期发生的非同一控制下企业合并</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after="0" w:line="240" w:lineRule="auto"/>
        <w:jc w:val="right"/>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1064"/>
        <w:gridCol w:w="1064"/>
        <w:gridCol w:w="1063"/>
        <w:gridCol w:w="1065"/>
        <w:gridCol w:w="1064"/>
        <w:gridCol w:w="1063"/>
        <w:gridCol w:w="1062"/>
        <w:gridCol w:w="1062"/>
        <w:gridCol w:w="1062"/>
      </w:tblGrid>
      <w:tr>
        <w:trPr>
          <w:trHeight w:val="1026"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435" w:right="76" w:hanging="360"/>
              <w:jc w:val="left"/>
              <w:rPr>
                <w:rFonts w:ascii="宋体" w:hAnsi="宋体" w:cs="宋体" w:eastAsia="宋体" w:hint="default"/>
                <w:sz w:val="18"/>
                <w:szCs w:val="18"/>
              </w:rPr>
            </w:pPr>
            <w:r>
              <w:rPr>
                <w:rFonts w:ascii="宋体" w:hAnsi="宋体" w:cs="宋体" w:eastAsia="宋体" w:hint="default"/>
                <w:sz w:val="18"/>
                <w:szCs w:val="18"/>
              </w:rPr>
              <w:t>被购买方名 称</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436" w:right="77" w:hanging="360"/>
              <w:jc w:val="left"/>
              <w:rPr>
                <w:rFonts w:ascii="宋体" w:hAnsi="宋体" w:cs="宋体" w:eastAsia="宋体" w:hint="default"/>
                <w:sz w:val="18"/>
                <w:szCs w:val="18"/>
              </w:rPr>
            </w:pPr>
            <w:r>
              <w:rPr>
                <w:rFonts w:ascii="宋体" w:hAnsi="宋体" w:cs="宋体" w:eastAsia="宋体" w:hint="default"/>
                <w:sz w:val="18"/>
                <w:szCs w:val="18"/>
              </w:rPr>
              <w:t>股权取得时 点</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436" w:right="74" w:hanging="360"/>
              <w:jc w:val="left"/>
              <w:rPr>
                <w:rFonts w:ascii="宋体" w:hAnsi="宋体" w:cs="宋体" w:eastAsia="宋体" w:hint="default"/>
                <w:sz w:val="18"/>
                <w:szCs w:val="18"/>
              </w:rPr>
            </w:pPr>
            <w:r>
              <w:rPr>
                <w:rFonts w:ascii="宋体" w:hAnsi="宋体" w:cs="宋体" w:eastAsia="宋体" w:hint="default"/>
                <w:sz w:val="18"/>
                <w:szCs w:val="18"/>
              </w:rPr>
              <w:t>股权取得成 本</w:t>
            </w:r>
          </w:p>
        </w:tc>
        <w:tc>
          <w:tcPr>
            <w:tcW w:w="10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436" w:right="76" w:hanging="360"/>
              <w:jc w:val="left"/>
              <w:rPr>
                <w:rFonts w:ascii="宋体" w:hAnsi="宋体" w:cs="宋体" w:eastAsia="宋体" w:hint="default"/>
                <w:sz w:val="18"/>
                <w:szCs w:val="18"/>
              </w:rPr>
            </w:pPr>
            <w:r>
              <w:rPr>
                <w:rFonts w:ascii="宋体" w:hAnsi="宋体" w:cs="宋体" w:eastAsia="宋体" w:hint="default"/>
                <w:sz w:val="18"/>
                <w:szCs w:val="18"/>
              </w:rPr>
              <w:t>股权取得比 例</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436" w:right="77" w:hanging="360"/>
              <w:jc w:val="left"/>
              <w:rPr>
                <w:rFonts w:ascii="宋体" w:hAnsi="宋体" w:cs="宋体" w:eastAsia="宋体" w:hint="default"/>
                <w:sz w:val="18"/>
                <w:szCs w:val="18"/>
              </w:rPr>
            </w:pPr>
            <w:r>
              <w:rPr>
                <w:rFonts w:ascii="宋体" w:hAnsi="宋体" w:cs="宋体" w:eastAsia="宋体" w:hint="default"/>
                <w:sz w:val="18"/>
                <w:szCs w:val="18"/>
              </w:rPr>
              <w:t>股权取得方 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56" w:right="0"/>
              <w:jc w:val="left"/>
              <w:rPr>
                <w:rFonts w:ascii="宋体" w:hAnsi="宋体" w:cs="宋体" w:eastAsia="宋体" w:hint="default"/>
                <w:sz w:val="18"/>
                <w:szCs w:val="18"/>
              </w:rPr>
            </w:pPr>
            <w:r>
              <w:rPr>
                <w:rFonts w:ascii="宋体" w:hAnsi="宋体" w:cs="宋体" w:eastAsia="宋体" w:hint="default"/>
                <w:sz w:val="18"/>
                <w:szCs w:val="18"/>
              </w:rPr>
              <w:t>购买日</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55" w:right="75" w:hanging="180"/>
              <w:jc w:val="left"/>
              <w:rPr>
                <w:rFonts w:ascii="宋体" w:hAnsi="宋体" w:cs="宋体" w:eastAsia="宋体" w:hint="default"/>
                <w:sz w:val="18"/>
                <w:szCs w:val="18"/>
              </w:rPr>
            </w:pPr>
            <w:r>
              <w:rPr>
                <w:rFonts w:ascii="宋体" w:hAnsi="宋体" w:cs="宋体" w:eastAsia="宋体" w:hint="default"/>
                <w:sz w:val="18"/>
                <w:szCs w:val="18"/>
              </w:rPr>
              <w:t>购买日的确 定依据</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75" w:right="74"/>
              <w:jc w:val="center"/>
              <w:rPr>
                <w:rFonts w:ascii="宋体" w:hAnsi="宋体" w:cs="宋体" w:eastAsia="宋体" w:hint="default"/>
                <w:sz w:val="18"/>
                <w:szCs w:val="18"/>
              </w:rPr>
            </w:pPr>
            <w:r>
              <w:rPr>
                <w:rFonts w:ascii="宋体" w:hAnsi="宋体" w:cs="宋体" w:eastAsia="宋体" w:hint="default"/>
                <w:sz w:val="18"/>
                <w:szCs w:val="18"/>
              </w:rPr>
              <w:t>购买日至期 末被购买方 的收入</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75" w:right="74"/>
              <w:jc w:val="both"/>
              <w:rPr>
                <w:rFonts w:ascii="宋体" w:hAnsi="宋体" w:cs="宋体" w:eastAsia="宋体" w:hint="default"/>
                <w:sz w:val="18"/>
                <w:szCs w:val="18"/>
              </w:rPr>
            </w:pPr>
            <w:r>
              <w:rPr>
                <w:rFonts w:ascii="宋体" w:hAnsi="宋体" w:cs="宋体" w:eastAsia="宋体" w:hint="default"/>
                <w:sz w:val="18"/>
                <w:szCs w:val="18"/>
              </w:rPr>
              <w:t>购买日至期 末被购买方 的净利润</w:t>
            </w:r>
          </w:p>
        </w:tc>
      </w:tr>
      <w:tr>
        <w:trPr>
          <w:trHeight w:val="1026"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四川广迈富 宇建设工程 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20" w:right="0"/>
              <w:jc w:val="left"/>
              <w:rPr>
                <w:rFonts w:ascii="Times New Roman" w:hAnsi="Times New Roman" w:cs="Times New Roman" w:eastAsia="Times New Roman" w:hint="default"/>
                <w:sz w:val="18"/>
                <w:szCs w:val="18"/>
              </w:rPr>
            </w:pPr>
            <w:r>
              <w:rPr>
                <w:rFonts w:ascii="Times New Roman"/>
                <w:sz w:val="18"/>
              </w:rPr>
              <w:t>600,000.00</w:t>
            </w:r>
          </w:p>
        </w:tc>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86" w:right="0"/>
              <w:jc w:val="left"/>
              <w:rPr>
                <w:rFonts w:ascii="Times New Roman" w:hAnsi="Times New Roman" w:cs="Times New Roman" w:eastAsia="Times New Roman" w:hint="default"/>
                <w:sz w:val="18"/>
                <w:szCs w:val="18"/>
              </w:rPr>
            </w:pPr>
            <w:r>
              <w:rPr>
                <w:rFonts w:ascii="Times New Roman"/>
                <w:sz w:val="18"/>
              </w:rPr>
              <w:t>100.00%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协议转让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实际取得对 被购买方的 控制权</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51"/>
        <w:ind w:left="1134" w:right="0"/>
        <w:jc w:val="left"/>
      </w:pPr>
      <w:r>
        <w:rPr/>
        <w:t>其他说明：</w:t>
      </w:r>
    </w:p>
    <w:p>
      <w:pPr>
        <w:pStyle w:val="BodyText"/>
        <w:spacing w:line="316" w:lineRule="auto" w:before="116"/>
        <w:ind w:right="1120" w:firstLine="360"/>
        <w:jc w:val="left"/>
      </w:pPr>
      <w:r>
        <w:rPr/>
        <w:t>本公司下属子公司重庆冀华环保科技发展有限公司以</w:t>
      </w:r>
      <w:r>
        <w:rPr>
          <w:rFonts w:ascii="宋体" w:hAnsi="宋体" w:cs="宋体" w:eastAsia="宋体" w:hint="default"/>
        </w:rPr>
        <w:t>600,000.00</w:t>
      </w:r>
      <w:r>
        <w:rPr/>
        <w:t>元收购了汪渝杰和郑伟两人持有四川广迈富宇建设工 </w:t>
      </w:r>
      <w:r>
        <w:rPr>
          <w:spacing w:val="-2"/>
        </w:rPr>
        <w:t>程有限公司</w:t>
      </w:r>
      <w:r>
        <w:rPr>
          <w:rFonts w:ascii="宋体" w:hAnsi="宋体" w:cs="宋体" w:eastAsia="宋体" w:hint="default"/>
          <w:spacing w:val="-2"/>
        </w:rPr>
        <w:t>100%</w:t>
      </w:r>
      <w:r>
        <w:rPr>
          <w:spacing w:val="-2"/>
        </w:rPr>
        <w:t>的股权，形成非同一控制下企业合并。双方于</w:t>
      </w:r>
      <w:r>
        <w:rPr>
          <w:rFonts w:ascii="宋体" w:hAnsi="宋体" w:cs="宋体" w:eastAsia="宋体" w:hint="default"/>
          <w:spacing w:val="-2"/>
        </w:rPr>
        <w:t>2017</w:t>
      </w:r>
      <w:r>
        <w:rPr>
          <w:spacing w:val="-2"/>
        </w:rPr>
        <w:t>年</w:t>
      </w:r>
      <w:r>
        <w:rPr>
          <w:rFonts w:ascii="宋体" w:hAnsi="宋体" w:cs="宋体" w:eastAsia="宋体" w:hint="default"/>
          <w:spacing w:val="-2"/>
        </w:rPr>
        <w:t>10</w:t>
      </w:r>
      <w:r>
        <w:rPr>
          <w:spacing w:val="-2"/>
        </w:rPr>
        <w:t>月</w:t>
      </w:r>
      <w:r>
        <w:rPr>
          <w:rFonts w:ascii="宋体" w:hAnsi="宋体" w:cs="宋体" w:eastAsia="宋体" w:hint="default"/>
          <w:spacing w:val="-2"/>
        </w:rPr>
        <w:t>26</w:t>
      </w:r>
      <w:r>
        <w:rPr>
          <w:spacing w:val="-2"/>
        </w:rPr>
        <w:t>日签订了股权转让协议，于</w:t>
      </w:r>
      <w:r>
        <w:rPr>
          <w:rFonts w:ascii="宋体" w:hAnsi="宋体" w:cs="宋体" w:eastAsia="宋体" w:hint="default"/>
          <w:spacing w:val="-2"/>
        </w:rPr>
        <w:t>2017</w:t>
      </w:r>
      <w:r>
        <w:rPr>
          <w:spacing w:val="-2"/>
        </w:rPr>
        <w:t>年</w:t>
      </w:r>
      <w:r>
        <w:rPr>
          <w:spacing w:val="25"/>
        </w:rPr>
        <w:t> </w:t>
      </w:r>
      <w:r>
        <w:rPr>
          <w:rFonts w:ascii="宋体" w:hAnsi="宋体" w:cs="宋体" w:eastAsia="宋体" w:hint="default"/>
        </w:rPr>
        <w:t>11</w:t>
      </w:r>
      <w:r>
        <w:rPr/>
        <w:t>月</w:t>
      </w:r>
      <w:r>
        <w:rPr>
          <w:rFonts w:ascii="宋体" w:hAnsi="宋体" w:cs="宋体" w:eastAsia="宋体" w:hint="default"/>
        </w:rPr>
        <w:t>7</w:t>
      </w:r>
      <w:r>
        <w:rPr/>
        <w:t>日办妥</w:t>
      </w:r>
      <w:r>
        <w:rPr>
          <w:spacing w:val="-88"/>
        </w:rPr>
        <w:t> </w:t>
      </w:r>
      <w:r>
        <w:rPr/>
        <w:t>股权变更手续，股权转让款于</w:t>
      </w:r>
      <w:r>
        <w:rPr>
          <w:rFonts w:ascii="宋体" w:hAnsi="宋体" w:cs="宋体" w:eastAsia="宋体" w:hint="default"/>
        </w:rPr>
        <w:t>2017 </w:t>
      </w:r>
      <w:r>
        <w:rPr/>
        <w:t>年</w:t>
      </w:r>
      <w:r>
        <w:rPr>
          <w:rFonts w:ascii="宋体" w:hAnsi="宋体" w:cs="宋体" w:eastAsia="宋体" w:hint="default"/>
        </w:rPr>
        <w:t>12</w:t>
      </w:r>
      <w:r>
        <w:rPr/>
        <w:t>月</w:t>
      </w:r>
      <w:r>
        <w:rPr>
          <w:rFonts w:ascii="宋体" w:hAnsi="宋体" w:cs="宋体" w:eastAsia="宋体" w:hint="default"/>
        </w:rPr>
        <w:t>7</w:t>
      </w:r>
      <w:r>
        <w:rPr/>
        <w:t>日支付。</w:t>
      </w:r>
    </w:p>
    <w:p>
      <w:pPr>
        <w:spacing w:line="240" w:lineRule="auto" w:before="7"/>
        <w:rPr>
          <w:rFonts w:ascii="宋体" w:hAnsi="宋体" w:cs="宋体" w:eastAsia="宋体" w:hint="default"/>
          <w:sz w:val="22"/>
          <w:szCs w:val="22"/>
        </w:rPr>
      </w:pPr>
    </w:p>
    <w:p>
      <w:pPr>
        <w:pStyle w:val="Heading3"/>
        <w:spacing w:line="240" w:lineRule="auto"/>
        <w:ind w:left="1134" w:right="0"/>
        <w:jc w:val="left"/>
        <w:rPr>
          <w:b w:val="0"/>
          <w:bCs w:val="0"/>
        </w:rPr>
      </w:pPr>
      <w:bookmarkStart w:name="（2）合并成本及商誉" w:id="327"/>
      <w:bookmarkEnd w:id="327"/>
      <w:r>
        <w:rPr>
          <w:b w:val="0"/>
          <w:bCs w:val="0"/>
        </w:rPr>
      </w:r>
      <w:r>
        <w:rPr/>
        <w:t>（</w:t>
      </w:r>
      <w:r>
        <w:rPr>
          <w:rFonts w:ascii="Times New Roman" w:hAnsi="Times New Roman" w:cs="Times New Roman" w:eastAsia="Times New Roman" w:hint="default"/>
        </w:rPr>
        <w:t>2</w:t>
      </w:r>
      <w:r>
        <w:rPr/>
        <w:t>）合并成本及商誉</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4785"/>
        <w:gridCol w:w="4784"/>
      </w:tblGrid>
      <w:tr>
        <w:trPr>
          <w:trHeight w:val="403"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合并成本</w:t>
            </w:r>
          </w:p>
        </w:tc>
        <w:tc>
          <w:tcPr>
            <w:tcW w:w="478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2"/>
              <w:ind w:left="1127" w:right="0"/>
              <w:jc w:val="left"/>
              <w:rPr>
                <w:rFonts w:ascii="宋体" w:hAnsi="宋体" w:cs="宋体" w:eastAsia="宋体" w:hint="default"/>
                <w:sz w:val="18"/>
                <w:szCs w:val="18"/>
              </w:rPr>
            </w:pPr>
            <w:r>
              <w:rPr>
                <w:rFonts w:ascii="宋体" w:hAnsi="宋体" w:cs="宋体" w:eastAsia="宋体" w:hint="default"/>
                <w:sz w:val="18"/>
                <w:szCs w:val="18"/>
              </w:rPr>
              <w:t>四川广迈富宇建设工程有限公司</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现金</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600,000.00</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合并成本合计</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600,000.00</w:t>
            </w:r>
          </w:p>
        </w:tc>
      </w:tr>
      <w:tr>
        <w:trPr>
          <w:trHeight w:val="715"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22" w:right="199"/>
              <w:jc w:val="left"/>
              <w:rPr>
                <w:rFonts w:ascii="宋体" w:hAnsi="宋体" w:cs="宋体" w:eastAsia="宋体" w:hint="default"/>
                <w:sz w:val="18"/>
                <w:szCs w:val="18"/>
              </w:rPr>
            </w:pPr>
            <w:r>
              <w:rPr>
                <w:rFonts w:ascii="宋体" w:hAnsi="宋体" w:cs="宋体" w:eastAsia="宋体" w:hint="default"/>
                <w:sz w:val="18"/>
                <w:szCs w:val="18"/>
              </w:rPr>
              <w:t>商誉</w:t>
            </w:r>
            <w:r>
              <w:rPr>
                <w:rFonts w:ascii="Times New Roman" w:hAnsi="Times New Roman" w:cs="Times New Roman" w:eastAsia="Times New Roman" w:hint="default"/>
                <w:sz w:val="18"/>
                <w:szCs w:val="18"/>
              </w:rPr>
              <w:t>/</w:t>
            </w:r>
            <w:r>
              <w:rPr>
                <w:rFonts w:ascii="宋体" w:hAnsi="宋体" w:cs="宋体" w:eastAsia="宋体" w:hint="default"/>
                <w:sz w:val="18"/>
                <w:szCs w:val="18"/>
              </w:rPr>
              <w:t>合并成本小于取得的可辨认净资产公允价值份额的金 额</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600,000.00</w:t>
            </w:r>
          </w:p>
        </w:tc>
      </w:tr>
    </w:tbl>
    <w:p>
      <w:pPr>
        <w:pStyle w:val="BodyText"/>
        <w:spacing w:line="357" w:lineRule="auto" w:before="51"/>
        <w:ind w:left="1494" w:right="2472" w:hanging="360"/>
        <w:jc w:val="left"/>
      </w:pPr>
      <w:r>
        <w:rPr/>
        <w:t>合并成本公允价值的确定方法、或有对价及其变动的说明： 本公司以支付现金取得对被购买方的控制权。合并成本以现金支付，其公允价值以现金支付数确认。</w:t>
      </w:r>
    </w:p>
    <w:p>
      <w:pPr>
        <w:pStyle w:val="BodyText"/>
        <w:spacing w:line="360" w:lineRule="auto" w:before="29"/>
        <w:ind w:right="8593"/>
        <w:jc w:val="left"/>
      </w:pPr>
      <w:r>
        <w:rPr/>
        <w:t>大额商誉形成的主要原因： 其他说明：</w:t>
      </w:r>
    </w:p>
    <w:p>
      <w:pPr>
        <w:spacing w:line="240" w:lineRule="auto" w:before="11"/>
        <w:rPr>
          <w:rFonts w:ascii="宋体" w:hAnsi="宋体" w:cs="宋体" w:eastAsia="宋体" w:hint="default"/>
          <w:sz w:val="19"/>
          <w:szCs w:val="19"/>
        </w:rPr>
      </w:pPr>
    </w:p>
    <w:p>
      <w:pPr>
        <w:pStyle w:val="Heading3"/>
        <w:spacing w:line="240" w:lineRule="auto"/>
        <w:ind w:right="0"/>
        <w:jc w:val="left"/>
        <w:rPr>
          <w:b w:val="0"/>
          <w:bCs w:val="0"/>
        </w:rPr>
      </w:pPr>
      <w:bookmarkStart w:name="（3）被购买方于购买日可辨认资产、负债" w:id="328"/>
      <w:bookmarkEnd w:id="328"/>
      <w:r>
        <w:rPr>
          <w:b w:val="0"/>
          <w:bCs w:val="0"/>
        </w:rPr>
      </w:r>
      <w:r>
        <w:rPr/>
        <w:t>（</w:t>
      </w:r>
      <w:r>
        <w:rPr>
          <w:rFonts w:ascii="Times New Roman" w:hAnsi="Times New Roman" w:cs="Times New Roman" w:eastAsia="Times New Roman" w:hint="default"/>
        </w:rPr>
        <w:t>3</w:t>
      </w:r>
      <w:r>
        <w:rPr/>
        <w:t>）被购买方于购买日可辨认资产、负债</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3167"/>
        <w:gridCol w:w="3202"/>
        <w:gridCol w:w="3179"/>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381" w:type="dxa"/>
            <w:gridSpan w:val="2"/>
            <w:tcBorders>
              <w:top w:val="single" w:sz="4" w:space="0" w:color="000000"/>
              <w:left w:val="single" w:sz="13" w:space="0" w:color="D2D2D2"/>
              <w:bottom w:val="single" w:sz="4" w:space="0" w:color="000000"/>
              <w:right w:val="single" w:sz="4" w:space="0" w:color="000000"/>
            </w:tcBorders>
            <w:shd w:val="clear" w:color="auto" w:fill="E0FFFF"/>
          </w:tcPr>
          <w:p>
            <w:pPr/>
          </w:p>
        </w:tc>
      </w:tr>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72" w:right="0"/>
              <w:jc w:val="left"/>
              <w:rPr>
                <w:rFonts w:ascii="宋体" w:hAnsi="宋体" w:cs="宋体" w:eastAsia="宋体" w:hint="default"/>
                <w:sz w:val="18"/>
                <w:szCs w:val="18"/>
              </w:rPr>
            </w:pPr>
            <w:r>
              <w:rPr>
                <w:rFonts w:ascii="宋体" w:hAnsi="宋体" w:cs="宋体" w:eastAsia="宋体" w:hint="default"/>
                <w:sz w:val="18"/>
                <w:szCs w:val="18"/>
              </w:rPr>
              <w:t>购买日公允价值</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61" w:right="0"/>
              <w:jc w:val="left"/>
              <w:rPr>
                <w:rFonts w:ascii="宋体" w:hAnsi="宋体" w:cs="宋体" w:eastAsia="宋体" w:hint="default"/>
                <w:sz w:val="18"/>
                <w:szCs w:val="18"/>
              </w:rPr>
            </w:pPr>
            <w:r>
              <w:rPr>
                <w:rFonts w:ascii="宋体" w:hAnsi="宋体" w:cs="宋体" w:eastAsia="宋体" w:hint="default"/>
                <w:sz w:val="18"/>
                <w:szCs w:val="18"/>
              </w:rPr>
              <w:t>购买日账面价值</w:t>
            </w:r>
          </w:p>
        </w:tc>
      </w:tr>
    </w:tbl>
    <w:p>
      <w:pPr>
        <w:pStyle w:val="BodyText"/>
        <w:spacing w:line="357" w:lineRule="auto" w:before="51"/>
        <w:ind w:left="1494" w:right="6252" w:hanging="360"/>
        <w:jc w:val="left"/>
      </w:pPr>
      <w:r>
        <w:rPr/>
        <w:t>可辨认资产、负债公允价值的确定方法： 被购买方于购买日可辨认资产、负债公允价值为零。</w:t>
      </w:r>
    </w:p>
    <w:p>
      <w:pPr>
        <w:spacing w:line="240" w:lineRule="auto" w:before="1"/>
        <w:rPr>
          <w:rFonts w:ascii="宋体" w:hAnsi="宋体" w:cs="宋体" w:eastAsia="宋体" w:hint="default"/>
          <w:sz w:val="26"/>
          <w:szCs w:val="26"/>
        </w:rPr>
      </w:pPr>
    </w:p>
    <w:p>
      <w:pPr>
        <w:pStyle w:val="BodyText"/>
        <w:spacing w:line="360" w:lineRule="auto"/>
        <w:ind w:left="1134" w:right="7512"/>
        <w:jc w:val="left"/>
      </w:pPr>
      <w:r>
        <w:rPr/>
        <w:t>企业合并中承担的被购买方的或有负债： 其他说明：</w:t>
      </w:r>
    </w:p>
    <w:p>
      <w:pPr>
        <w:spacing w:line="240" w:lineRule="auto" w:before="11"/>
        <w:rPr>
          <w:rFonts w:ascii="宋体" w:hAnsi="宋体" w:cs="宋体" w:eastAsia="宋体" w:hint="default"/>
          <w:sz w:val="19"/>
          <w:szCs w:val="19"/>
        </w:rPr>
      </w:pPr>
    </w:p>
    <w:p>
      <w:pPr>
        <w:pStyle w:val="Heading3"/>
        <w:spacing w:line="240" w:lineRule="auto"/>
        <w:ind w:left="1134" w:right="0"/>
        <w:jc w:val="left"/>
        <w:rPr>
          <w:b w:val="0"/>
          <w:bCs w:val="0"/>
        </w:rPr>
      </w:pPr>
      <w:bookmarkStart w:name="（4）购买日之前持有的股权按照公允价值重新计量产生的利得或损失" w:id="329"/>
      <w:bookmarkEnd w:id="329"/>
      <w:r>
        <w:rPr>
          <w:b w:val="0"/>
          <w:bCs w:val="0"/>
        </w:rPr>
      </w:r>
      <w:r>
        <w:rPr/>
        <w:t>（</w:t>
      </w:r>
      <w:r>
        <w:rPr>
          <w:rFonts w:ascii="Times New Roman" w:hAnsi="Times New Roman" w:cs="Times New Roman" w:eastAsia="Times New Roman" w:hint="default"/>
        </w:rPr>
        <w:t>4</w:t>
      </w:r>
      <w:r>
        <w:rPr/>
        <w:t>）购买日之前持有的股权按照公允价值重新计量产生的利得或损失</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134" w:right="0"/>
        <w:jc w:val="left"/>
      </w:pPr>
      <w:r>
        <w:rPr/>
        <w:t>是否存在通过多次交易分步实现企业合并且在报告期内取得控制权的交易</w:t>
      </w:r>
    </w:p>
    <w:p>
      <w:pPr>
        <w:pStyle w:val="BodyText"/>
        <w:spacing w:line="240" w:lineRule="auto" w:before="117"/>
        <w:ind w:left="1134"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after="0" w:line="240" w:lineRule="auto"/>
        <w:jc w:val="left"/>
        <w:sectPr>
          <w:pgSz w:w="11910" w:h="16840"/>
          <w:pgMar w:header="747" w:footer="979" w:top="1060" w:bottom="1160" w:left="0" w:right="0"/>
        </w:sectPr>
      </w:pPr>
    </w:p>
    <w:p>
      <w:pPr>
        <w:spacing w:line="240" w:lineRule="auto" w:before="9"/>
        <w:rPr>
          <w:rFonts w:ascii="宋体" w:hAnsi="宋体" w:cs="宋体" w:eastAsia="宋体" w:hint="default"/>
          <w:sz w:val="24"/>
          <w:szCs w:val="24"/>
        </w:rPr>
      </w:pPr>
    </w:p>
    <w:p>
      <w:pPr>
        <w:pStyle w:val="Heading3"/>
        <w:spacing w:line="240" w:lineRule="auto" w:before="35"/>
        <w:ind w:right="0"/>
        <w:jc w:val="left"/>
        <w:rPr>
          <w:b w:val="0"/>
          <w:bCs w:val="0"/>
        </w:rPr>
      </w:pPr>
      <w:bookmarkStart w:name="2、处置子公司" w:id="330"/>
      <w:bookmarkEnd w:id="330"/>
      <w:r>
        <w:rPr>
          <w:b w:val="0"/>
          <w:bCs w:val="0"/>
        </w:rPr>
      </w:r>
      <w:r>
        <w:rPr>
          <w:rFonts w:ascii="Times New Roman" w:hAnsi="Times New Roman" w:cs="Times New Roman" w:eastAsia="Times New Roman" w:hint="default"/>
        </w:rPr>
        <w:t>2</w:t>
      </w:r>
      <w:r>
        <w:rPr/>
        <w:t>、处置子公司</w:t>
      </w:r>
      <w:r>
        <w:rPr>
          <w:b w:val="0"/>
          <w:bCs w:val="0"/>
        </w:rPr>
      </w:r>
    </w:p>
    <w:p>
      <w:pPr>
        <w:spacing w:line="240" w:lineRule="auto" w:before="4"/>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79" w:top="1060" w:bottom="1160" w:left="0" w:right="0"/>
        </w:sectPr>
      </w:pPr>
    </w:p>
    <w:p>
      <w:pPr>
        <w:pStyle w:val="BodyText"/>
        <w:spacing w:line="240" w:lineRule="auto" w:before="44"/>
        <w:ind w:right="-19"/>
        <w:jc w:val="left"/>
      </w:pPr>
      <w:r>
        <w:rPr/>
        <w:t>是否存在单次处置对子公司投资即丧失控制权的情形</w:t>
      </w:r>
    </w:p>
    <w:p>
      <w:pPr>
        <w:pStyle w:val="BodyText"/>
        <w:spacing w:line="240" w:lineRule="auto" w:before="116"/>
        <w:ind w:right="-2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ind w:left="1113" w:right="1112"/>
        <w:jc w:val="center"/>
      </w:pPr>
      <w:r>
        <w:rPr/>
        <w:t>单位： 元</w:t>
      </w:r>
    </w:p>
    <w:p>
      <w:pPr>
        <w:spacing w:after="0" w:line="240" w:lineRule="auto"/>
        <w:jc w:val="center"/>
        <w:sectPr>
          <w:type w:val="continuous"/>
          <w:pgSz w:w="11910" w:h="16840"/>
          <w:pgMar w:top="1060" w:bottom="1160" w:left="0" w:right="0"/>
          <w:cols w:num="2" w:equalWidth="0">
            <w:col w:w="5275" w:space="3555"/>
            <w:col w:w="3080"/>
          </w:cols>
        </w:sectPr>
      </w:pP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736"/>
        <w:gridCol w:w="737"/>
        <w:gridCol w:w="736"/>
        <w:gridCol w:w="736"/>
        <w:gridCol w:w="734"/>
        <w:gridCol w:w="736"/>
        <w:gridCol w:w="734"/>
        <w:gridCol w:w="736"/>
        <w:gridCol w:w="737"/>
        <w:gridCol w:w="736"/>
        <w:gridCol w:w="736"/>
        <w:gridCol w:w="737"/>
        <w:gridCol w:w="736"/>
      </w:tblGrid>
      <w:tr>
        <w:trPr>
          <w:trHeight w:val="3834" w:hRule="exact"/>
        </w:trPr>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319" w:lineRule="auto"/>
              <w:ind w:left="182" w:right="93" w:hanging="90"/>
              <w:jc w:val="left"/>
              <w:rPr>
                <w:rFonts w:ascii="宋体" w:hAnsi="宋体" w:cs="宋体" w:eastAsia="宋体" w:hint="default"/>
                <w:sz w:val="18"/>
                <w:szCs w:val="18"/>
              </w:rPr>
            </w:pPr>
            <w:r>
              <w:rPr>
                <w:rFonts w:ascii="宋体" w:hAnsi="宋体" w:cs="宋体" w:eastAsia="宋体" w:hint="default"/>
                <w:sz w:val="18"/>
                <w:szCs w:val="18"/>
              </w:rPr>
              <w:t>子公司 名称</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319" w:lineRule="auto"/>
              <w:ind w:left="93" w:right="91"/>
              <w:jc w:val="left"/>
              <w:rPr>
                <w:rFonts w:ascii="宋体" w:hAnsi="宋体" w:cs="宋体" w:eastAsia="宋体" w:hint="default"/>
                <w:sz w:val="18"/>
                <w:szCs w:val="18"/>
              </w:rPr>
            </w:pPr>
            <w:r>
              <w:rPr>
                <w:rFonts w:ascii="宋体" w:hAnsi="宋体" w:cs="宋体" w:eastAsia="宋体" w:hint="default"/>
                <w:sz w:val="18"/>
                <w:szCs w:val="18"/>
              </w:rPr>
              <w:t>股权处 置价款</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319" w:lineRule="auto"/>
              <w:ind w:left="92" w:right="91"/>
              <w:jc w:val="left"/>
              <w:rPr>
                <w:rFonts w:ascii="宋体" w:hAnsi="宋体" w:cs="宋体" w:eastAsia="宋体" w:hint="default"/>
                <w:sz w:val="18"/>
                <w:szCs w:val="18"/>
              </w:rPr>
            </w:pPr>
            <w:r>
              <w:rPr>
                <w:rFonts w:ascii="宋体" w:hAnsi="宋体" w:cs="宋体" w:eastAsia="宋体" w:hint="default"/>
                <w:sz w:val="18"/>
                <w:szCs w:val="18"/>
              </w:rPr>
              <w:t>股权处 置比例</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319" w:lineRule="auto"/>
              <w:ind w:left="92" w:right="91"/>
              <w:jc w:val="left"/>
              <w:rPr>
                <w:rFonts w:ascii="宋体" w:hAnsi="宋体" w:cs="宋体" w:eastAsia="宋体" w:hint="default"/>
                <w:sz w:val="18"/>
                <w:szCs w:val="18"/>
              </w:rPr>
            </w:pPr>
            <w:r>
              <w:rPr>
                <w:rFonts w:ascii="宋体" w:hAnsi="宋体" w:cs="宋体" w:eastAsia="宋体" w:hint="default"/>
                <w:sz w:val="18"/>
                <w:szCs w:val="18"/>
              </w:rPr>
              <w:t>股权处 置方式</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319" w:lineRule="auto"/>
              <w:ind w:left="92" w:right="90"/>
              <w:jc w:val="both"/>
              <w:rPr>
                <w:rFonts w:ascii="宋体" w:hAnsi="宋体" w:cs="宋体" w:eastAsia="宋体" w:hint="default"/>
                <w:sz w:val="18"/>
                <w:szCs w:val="18"/>
              </w:rPr>
            </w:pPr>
            <w:r>
              <w:rPr>
                <w:rFonts w:ascii="宋体" w:hAnsi="宋体" w:cs="宋体" w:eastAsia="宋体" w:hint="default"/>
                <w:sz w:val="18"/>
                <w:szCs w:val="18"/>
              </w:rPr>
              <w:t>丧失控 制权的 时点</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1"/>
              <w:ind w:left="92" w:right="91"/>
              <w:jc w:val="both"/>
              <w:rPr>
                <w:rFonts w:ascii="宋体" w:hAnsi="宋体" w:cs="宋体" w:eastAsia="宋体" w:hint="default"/>
                <w:sz w:val="18"/>
                <w:szCs w:val="18"/>
              </w:rPr>
            </w:pPr>
            <w:r>
              <w:rPr>
                <w:rFonts w:ascii="宋体" w:hAnsi="宋体" w:cs="宋体" w:eastAsia="宋体" w:hint="default"/>
                <w:sz w:val="18"/>
                <w:szCs w:val="18"/>
              </w:rPr>
              <w:t>丧失控 制权时 点的确 定依据</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92" w:right="90"/>
              <w:jc w:val="center"/>
              <w:rPr>
                <w:rFonts w:ascii="宋体" w:hAnsi="宋体" w:cs="宋体" w:eastAsia="宋体" w:hint="default"/>
                <w:sz w:val="18"/>
                <w:szCs w:val="18"/>
              </w:rPr>
            </w:pPr>
            <w:r>
              <w:rPr>
                <w:rFonts w:ascii="宋体" w:hAnsi="宋体" w:cs="宋体" w:eastAsia="宋体" w:hint="default"/>
                <w:sz w:val="18"/>
                <w:szCs w:val="18"/>
              </w:rPr>
              <w:t>处置价 款与处 置投资 对应的 合并财 务报表 层面享 有该子 公司净 资产份 额的差 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319" w:lineRule="auto"/>
              <w:ind w:left="92" w:right="91"/>
              <w:jc w:val="both"/>
              <w:rPr>
                <w:rFonts w:ascii="宋体" w:hAnsi="宋体" w:cs="宋体" w:eastAsia="宋体" w:hint="default"/>
                <w:sz w:val="18"/>
                <w:szCs w:val="18"/>
              </w:rPr>
            </w:pPr>
            <w:r>
              <w:rPr>
                <w:rFonts w:ascii="宋体" w:hAnsi="宋体" w:cs="宋体" w:eastAsia="宋体" w:hint="default"/>
                <w:sz w:val="18"/>
                <w:szCs w:val="18"/>
              </w:rPr>
              <w:t>丧失控 制权之 日剩余 股权的 比例</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319" w:lineRule="auto"/>
              <w:ind w:left="93" w:right="91"/>
              <w:jc w:val="center"/>
              <w:rPr>
                <w:rFonts w:ascii="宋体" w:hAnsi="宋体" w:cs="宋体" w:eastAsia="宋体" w:hint="default"/>
                <w:sz w:val="18"/>
                <w:szCs w:val="18"/>
              </w:rPr>
            </w:pPr>
            <w:r>
              <w:rPr>
                <w:rFonts w:ascii="宋体" w:hAnsi="宋体" w:cs="宋体" w:eastAsia="宋体" w:hint="default"/>
                <w:sz w:val="18"/>
                <w:szCs w:val="18"/>
              </w:rPr>
              <w:t>丧失控 制权之 日剩余 股权的 账面价 值</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319" w:lineRule="auto"/>
              <w:ind w:left="92" w:right="93"/>
              <w:jc w:val="center"/>
              <w:rPr>
                <w:rFonts w:ascii="宋体" w:hAnsi="宋体" w:cs="宋体" w:eastAsia="宋体" w:hint="default"/>
                <w:sz w:val="18"/>
                <w:szCs w:val="18"/>
              </w:rPr>
            </w:pPr>
            <w:r>
              <w:rPr>
                <w:rFonts w:ascii="宋体" w:hAnsi="宋体" w:cs="宋体" w:eastAsia="宋体" w:hint="default"/>
                <w:sz w:val="18"/>
                <w:szCs w:val="18"/>
              </w:rPr>
              <w:t>丧失控 制权之 日剩余 股权的 公允价 值</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9" w:lineRule="auto"/>
              <w:ind w:left="92" w:right="91"/>
              <w:jc w:val="center"/>
              <w:rPr>
                <w:rFonts w:ascii="宋体" w:hAnsi="宋体" w:cs="宋体" w:eastAsia="宋体" w:hint="default"/>
                <w:sz w:val="18"/>
                <w:szCs w:val="18"/>
              </w:rPr>
            </w:pPr>
            <w:r>
              <w:rPr>
                <w:rFonts w:ascii="宋体" w:hAnsi="宋体" w:cs="宋体" w:eastAsia="宋体" w:hint="default"/>
                <w:sz w:val="18"/>
                <w:szCs w:val="18"/>
              </w:rPr>
              <w:t>按照公 允价值 重新计 量剩余 股权产 生的利 得或损 失</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9" w:lineRule="auto"/>
              <w:ind w:left="93" w:right="91"/>
              <w:jc w:val="center"/>
              <w:rPr>
                <w:rFonts w:ascii="宋体" w:hAnsi="宋体" w:cs="宋体" w:eastAsia="宋体" w:hint="default"/>
                <w:sz w:val="18"/>
                <w:szCs w:val="18"/>
              </w:rPr>
            </w:pPr>
            <w:r>
              <w:rPr>
                <w:rFonts w:ascii="宋体" w:hAnsi="宋体" w:cs="宋体" w:eastAsia="宋体" w:hint="default"/>
                <w:sz w:val="18"/>
                <w:szCs w:val="18"/>
              </w:rPr>
              <w:t>丧失控 制权之 日剩余 股权公 允价值 的确定 方法及 主要假 设</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9" w:lineRule="auto"/>
              <w:ind w:left="92" w:right="91"/>
              <w:jc w:val="both"/>
              <w:rPr>
                <w:rFonts w:ascii="宋体" w:hAnsi="宋体" w:cs="宋体" w:eastAsia="宋体" w:hint="default"/>
                <w:sz w:val="18"/>
                <w:szCs w:val="18"/>
              </w:rPr>
            </w:pPr>
            <w:r>
              <w:rPr>
                <w:rFonts w:ascii="宋体" w:hAnsi="宋体" w:cs="宋体" w:eastAsia="宋体" w:hint="default"/>
                <w:sz w:val="18"/>
                <w:szCs w:val="18"/>
              </w:rPr>
              <w:t>与原子 公司股 权投资 相关的 其他综 合收益 转入投 资损益 的金额</w:t>
            </w:r>
          </w:p>
        </w:tc>
      </w:tr>
      <w:tr>
        <w:trPr>
          <w:trHeight w:val="1650" w:hRule="exact"/>
        </w:trPr>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61"/>
              <w:jc w:val="both"/>
              <w:rPr>
                <w:rFonts w:ascii="宋体" w:hAnsi="宋体" w:cs="宋体" w:eastAsia="宋体" w:hint="default"/>
                <w:sz w:val="18"/>
                <w:szCs w:val="18"/>
              </w:rPr>
            </w:pPr>
            <w:r>
              <w:rPr>
                <w:rFonts w:ascii="宋体" w:hAnsi="宋体" w:cs="宋体" w:eastAsia="宋体" w:hint="default"/>
                <w:sz w:val="18"/>
                <w:szCs w:val="18"/>
              </w:rPr>
              <w:t>广州市 汇康仪 器设备 有限公 司</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58" w:right="0"/>
              <w:jc w:val="left"/>
              <w:rPr>
                <w:rFonts w:ascii="Times New Roman" w:hAnsi="Times New Roman" w:cs="Times New Roman" w:eastAsia="Times New Roman" w:hint="default"/>
                <w:sz w:val="18"/>
                <w:szCs w:val="18"/>
              </w:rPr>
            </w:pPr>
            <w:r>
              <w:rPr>
                <w:rFonts w:ascii="Times New Roman"/>
                <w:sz w:val="18"/>
              </w:rPr>
              <w:t>100.00%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注销</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36"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-15,780.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03</w:t>
            </w: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60" w:lineRule="auto" w:before="51"/>
        <w:ind w:right="4993"/>
        <w:jc w:val="left"/>
      </w:pPr>
      <w:r>
        <w:rPr/>
        <w:t>其他说明： 是否存在通过多次交易分步处置对子公司投资且在本期丧失控制权的情形</w:t>
      </w:r>
    </w:p>
    <w:p>
      <w:pPr>
        <w:pStyle w:val="BodyText"/>
        <w:spacing w:line="240" w:lineRule="auto" w:before="26"/>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10"/>
        <w:rPr>
          <w:rFonts w:ascii="宋体" w:hAnsi="宋体" w:cs="宋体" w:eastAsia="宋体" w:hint="default"/>
          <w:sz w:val="25"/>
          <w:szCs w:val="25"/>
        </w:rPr>
      </w:pPr>
    </w:p>
    <w:p>
      <w:pPr>
        <w:pStyle w:val="Heading3"/>
        <w:spacing w:line="240" w:lineRule="auto"/>
        <w:ind w:right="0"/>
        <w:jc w:val="left"/>
        <w:rPr>
          <w:b w:val="0"/>
          <w:bCs w:val="0"/>
        </w:rPr>
      </w:pPr>
      <w:bookmarkStart w:name="3、其他原因的合并范围变动" w:id="331"/>
      <w:bookmarkEnd w:id="331"/>
      <w:r>
        <w:rPr>
          <w:b w:val="0"/>
          <w:bCs w:val="0"/>
        </w:rPr>
      </w:r>
      <w:r>
        <w:rPr>
          <w:rFonts w:ascii="Times New Roman" w:hAnsi="Times New Roman" w:cs="Times New Roman" w:eastAsia="Times New Roman" w:hint="default"/>
        </w:rPr>
        <w:t>3</w:t>
      </w:r>
      <w:r>
        <w:rPr/>
        <w:t>、其他原因的合并范围变动</w:t>
      </w:r>
      <w:r>
        <w:rPr>
          <w:b w:val="0"/>
          <w:bCs w:val="0"/>
        </w:rPr>
      </w:r>
    </w:p>
    <w:p>
      <w:pPr>
        <w:spacing w:line="240" w:lineRule="auto" w:before="8"/>
        <w:rPr>
          <w:rFonts w:ascii="宋体" w:hAnsi="宋体" w:cs="宋体" w:eastAsia="宋体" w:hint="default"/>
          <w:b/>
          <w:bCs/>
          <w:sz w:val="26"/>
          <w:szCs w:val="26"/>
        </w:rPr>
      </w:pPr>
    </w:p>
    <w:p>
      <w:pPr>
        <w:pStyle w:val="BodyText"/>
        <w:spacing w:line="357" w:lineRule="auto"/>
        <w:ind w:left="1493" w:right="0" w:hanging="360"/>
        <w:jc w:val="left"/>
      </w:pPr>
      <w:r>
        <w:rPr/>
        <w:t>说明其他原因导致的合并范围变动（如，新设子公司、清算子公司等）及其相关情况： </w:t>
      </w:r>
      <w:r>
        <w:rPr>
          <w:spacing w:val="-2"/>
        </w:rPr>
        <w:t>公司于</w:t>
      </w:r>
      <w:r>
        <w:rPr>
          <w:rFonts w:ascii="宋体" w:hAnsi="宋体" w:cs="宋体" w:eastAsia="宋体" w:hint="default"/>
          <w:spacing w:val="-2"/>
        </w:rPr>
        <w:t>2016</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16</w:t>
      </w:r>
      <w:r>
        <w:rPr>
          <w:spacing w:val="-2"/>
        </w:rPr>
        <w:t>日与智现辉、张英飞、陶金峰、王春迎共同投资设立河北先河正阳环保设备销售有限公司，设立时</w:t>
      </w:r>
    </w:p>
    <w:p>
      <w:pPr>
        <w:pStyle w:val="BodyText"/>
        <w:spacing w:line="224" w:lineRule="exact"/>
        <w:ind w:right="0"/>
        <w:jc w:val="left"/>
      </w:pPr>
      <w:r>
        <w:rPr/>
        <w:t>注册资本</w:t>
      </w:r>
      <w:r>
        <w:rPr>
          <w:rFonts w:ascii="宋体" w:hAnsi="宋体" w:cs="宋体" w:eastAsia="宋体" w:hint="default"/>
        </w:rPr>
        <w:t>2,000</w:t>
      </w:r>
      <w:r>
        <w:rPr/>
        <w:t>万元，其中公司认缴</w:t>
      </w:r>
      <w:r>
        <w:rPr>
          <w:rFonts w:ascii="宋体" w:hAnsi="宋体" w:cs="宋体" w:eastAsia="宋体" w:hint="default"/>
        </w:rPr>
        <w:t>1,735</w:t>
      </w:r>
      <w:r>
        <w:rPr/>
        <w:t>万元，智现辉认缴</w:t>
      </w:r>
      <w:r>
        <w:rPr>
          <w:rFonts w:ascii="宋体" w:hAnsi="宋体" w:cs="宋体" w:eastAsia="宋体" w:hint="default"/>
        </w:rPr>
        <w:t>110</w:t>
      </w:r>
      <w:r>
        <w:rPr/>
        <w:t>万元、张英飞认缴</w:t>
      </w:r>
      <w:r>
        <w:rPr>
          <w:rFonts w:ascii="宋体" w:hAnsi="宋体" w:cs="宋体" w:eastAsia="宋体" w:hint="default"/>
        </w:rPr>
        <w:t>55</w:t>
      </w:r>
      <w:r>
        <w:rPr/>
        <w:t>万元、陶金峰认缴</w:t>
      </w:r>
      <w:r>
        <w:rPr>
          <w:rFonts w:ascii="宋体" w:hAnsi="宋体" w:cs="宋体" w:eastAsia="宋体" w:hint="default"/>
        </w:rPr>
        <w:t>50</w:t>
      </w:r>
      <w:r>
        <w:rPr/>
        <w:t>万元、王春迎认缴</w:t>
      </w:r>
    </w:p>
    <w:p>
      <w:pPr>
        <w:pStyle w:val="BodyText"/>
        <w:spacing w:line="316" w:lineRule="auto" w:before="76"/>
        <w:ind w:right="0"/>
        <w:jc w:val="left"/>
      </w:pPr>
      <w:r>
        <w:rPr>
          <w:rFonts w:ascii="宋体" w:hAnsi="宋体" w:cs="宋体" w:eastAsia="宋体" w:hint="default"/>
          <w:spacing w:val="-2"/>
        </w:rPr>
        <w:t>50</w:t>
      </w:r>
      <w:r>
        <w:rPr>
          <w:spacing w:val="-2"/>
        </w:rPr>
        <w:t>万元。该公司</w:t>
      </w:r>
      <w:r>
        <w:rPr>
          <w:rFonts w:ascii="宋体" w:hAnsi="宋体" w:cs="宋体" w:eastAsia="宋体" w:hint="default"/>
          <w:spacing w:val="-2"/>
        </w:rPr>
        <w:t>2016</w:t>
      </w:r>
      <w:r>
        <w:rPr>
          <w:spacing w:val="-2"/>
        </w:rPr>
        <w:t>年未实际经营，截止</w:t>
      </w:r>
      <w:r>
        <w:rPr>
          <w:rFonts w:ascii="宋体" w:hAnsi="宋体" w:cs="宋体" w:eastAsia="宋体" w:hint="default"/>
          <w:spacing w:val="-2"/>
        </w:rPr>
        <w:t>2017</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31</w:t>
      </w:r>
      <w:r>
        <w:rPr>
          <w:spacing w:val="-2"/>
        </w:rPr>
        <w:t>日，各股东均未实际出资。本公司拥有对其的实质控制权，故自</w:t>
      </w:r>
      <w:r>
        <w:rPr>
          <w:rFonts w:ascii="宋体" w:hAnsi="宋体" w:cs="宋体" w:eastAsia="宋体" w:hint="default"/>
          <w:spacing w:val="-2"/>
        </w:rPr>
        <w:t>2017</w:t>
      </w:r>
      <w:r>
        <w:rPr>
          <w:rFonts w:ascii="宋体" w:hAnsi="宋体" w:cs="宋体" w:eastAsia="宋体" w:hint="default"/>
          <w:spacing w:val="-49"/>
        </w:rPr>
        <w:t> </w:t>
      </w:r>
      <w:r>
        <w:rPr>
          <w:rFonts w:ascii="宋体" w:hAnsi="宋体" w:cs="宋体" w:eastAsia="宋体" w:hint="default"/>
          <w:spacing w:val="-49"/>
        </w:rPr>
      </w:r>
      <w:r>
        <w:rPr/>
        <w:t>年起将其纳入合并财务报表范围。</w:t>
      </w:r>
    </w:p>
    <w:p>
      <w:pPr>
        <w:pStyle w:val="BodyText"/>
        <w:spacing w:line="316" w:lineRule="auto" w:before="19"/>
        <w:ind w:right="1129" w:firstLine="360"/>
        <w:jc w:val="both"/>
      </w:pPr>
      <w:r>
        <w:rPr>
          <w:spacing w:val="-2"/>
        </w:rPr>
        <w:t>公司于</w:t>
      </w:r>
      <w:r>
        <w:rPr>
          <w:rFonts w:ascii="宋体" w:hAnsi="宋体" w:cs="宋体" w:eastAsia="宋体" w:hint="default"/>
          <w:spacing w:val="-2"/>
        </w:rPr>
        <w:t>2016</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27</w:t>
      </w:r>
      <w:r>
        <w:rPr>
          <w:spacing w:val="-2"/>
        </w:rPr>
        <w:t>日与曹双利、张伟、张顺义、孙卫卫共同投资设立河北先河正达环保技术服务有限公司，设立时注</w:t>
      </w:r>
      <w:r>
        <w:rPr/>
        <w:t> </w:t>
      </w:r>
      <w:r>
        <w:rPr>
          <w:spacing w:val="-2"/>
        </w:rPr>
        <w:t>册资本</w:t>
      </w:r>
      <w:r>
        <w:rPr>
          <w:rFonts w:ascii="宋体" w:hAnsi="宋体" w:cs="宋体" w:eastAsia="宋体" w:hint="default"/>
          <w:spacing w:val="-2"/>
        </w:rPr>
        <w:t>800</w:t>
      </w:r>
      <w:r>
        <w:rPr>
          <w:spacing w:val="-2"/>
        </w:rPr>
        <w:t>万元，其中公司认缴</w:t>
      </w:r>
      <w:r>
        <w:rPr>
          <w:rFonts w:ascii="宋体" w:hAnsi="宋体" w:cs="宋体" w:eastAsia="宋体" w:hint="default"/>
          <w:spacing w:val="-2"/>
        </w:rPr>
        <w:t>620</w:t>
      </w:r>
      <w:r>
        <w:rPr>
          <w:spacing w:val="-2"/>
        </w:rPr>
        <w:t>万元，曹双利认缴</w:t>
      </w:r>
      <w:r>
        <w:rPr>
          <w:rFonts w:ascii="宋体" w:hAnsi="宋体" w:cs="宋体" w:eastAsia="宋体" w:hint="default"/>
          <w:spacing w:val="-2"/>
        </w:rPr>
        <w:t>56</w:t>
      </w:r>
      <w:r>
        <w:rPr>
          <w:spacing w:val="-2"/>
        </w:rPr>
        <w:t>万元、张伟认缴</w:t>
      </w:r>
      <w:r>
        <w:rPr>
          <w:rFonts w:ascii="宋体" w:hAnsi="宋体" w:cs="宋体" w:eastAsia="宋体" w:hint="default"/>
          <w:spacing w:val="-2"/>
        </w:rPr>
        <w:t>23</w:t>
      </w:r>
      <w:r>
        <w:rPr>
          <w:spacing w:val="-2"/>
        </w:rPr>
        <w:t>万元、张顺义认缴</w:t>
      </w:r>
      <w:r>
        <w:rPr>
          <w:rFonts w:ascii="宋体" w:hAnsi="宋体" w:cs="宋体" w:eastAsia="宋体" w:hint="default"/>
          <w:spacing w:val="-2"/>
        </w:rPr>
        <w:t>72</w:t>
      </w:r>
      <w:r>
        <w:rPr>
          <w:spacing w:val="-2"/>
        </w:rPr>
        <w:t>万元、孙卫卫认缴</w:t>
      </w:r>
      <w:r>
        <w:rPr>
          <w:rFonts w:ascii="宋体" w:hAnsi="宋体" w:cs="宋体" w:eastAsia="宋体" w:hint="default"/>
          <w:spacing w:val="-2"/>
        </w:rPr>
        <w:t>29</w:t>
      </w:r>
      <w:r>
        <w:rPr>
          <w:spacing w:val="-2"/>
        </w:rPr>
        <w:t>万元。该</w:t>
      </w:r>
      <w:r>
        <w:rPr>
          <w:spacing w:val="-56"/>
        </w:rPr>
        <w:t> </w:t>
      </w:r>
      <w:r>
        <w:rPr>
          <w:spacing w:val="-56"/>
        </w:rPr>
      </w:r>
      <w:r>
        <w:rPr>
          <w:spacing w:val="-2"/>
        </w:rPr>
        <w:t>公司</w:t>
      </w:r>
      <w:r>
        <w:rPr>
          <w:rFonts w:ascii="宋体" w:hAnsi="宋体" w:cs="宋体" w:eastAsia="宋体" w:hint="default"/>
          <w:spacing w:val="-2"/>
        </w:rPr>
        <w:t>2016</w:t>
      </w:r>
      <w:r>
        <w:rPr>
          <w:spacing w:val="-2"/>
        </w:rPr>
        <w:t>年未实际经营，截止</w:t>
      </w:r>
      <w:r>
        <w:rPr>
          <w:rFonts w:ascii="宋体" w:hAnsi="宋体" w:cs="宋体" w:eastAsia="宋体" w:hint="default"/>
          <w:spacing w:val="-2"/>
        </w:rPr>
        <w:t>2017</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31</w:t>
      </w:r>
      <w:r>
        <w:rPr>
          <w:spacing w:val="-2"/>
        </w:rPr>
        <w:t>日，各股东均未实际出资。本公司拥有对其的实质控制权，故自</w:t>
      </w:r>
      <w:r>
        <w:rPr>
          <w:rFonts w:ascii="宋体" w:hAnsi="宋体" w:cs="宋体" w:eastAsia="宋体" w:hint="default"/>
          <w:spacing w:val="-2"/>
        </w:rPr>
        <w:t>2017</w:t>
      </w:r>
      <w:r>
        <w:rPr>
          <w:spacing w:val="-2"/>
        </w:rPr>
        <w:t>年起将其纳</w:t>
      </w:r>
      <w:r>
        <w:rPr>
          <w:spacing w:val="-51"/>
        </w:rPr>
        <w:t> </w:t>
      </w:r>
      <w:r>
        <w:rPr/>
        <w:t>入合并财务报表范围。</w:t>
      </w:r>
    </w:p>
    <w:p>
      <w:pPr>
        <w:pStyle w:val="BodyText"/>
        <w:spacing w:line="319" w:lineRule="auto" w:before="19"/>
        <w:ind w:right="1042" w:firstLine="360"/>
        <w:jc w:val="both"/>
      </w:pPr>
      <w:r>
        <w:rPr/>
        <w:t>本公司的下属子公司重庆冀华环保科技发展有限公司于</w:t>
      </w:r>
      <w:r>
        <w:rPr>
          <w:rFonts w:ascii="宋体" w:hAnsi="宋体" w:cs="宋体" w:eastAsia="宋体" w:hint="default"/>
        </w:rPr>
        <w:t>2016</w:t>
      </w:r>
      <w:r>
        <w:rPr/>
        <w:t>年</w:t>
      </w:r>
      <w:r>
        <w:rPr>
          <w:rFonts w:ascii="宋体" w:hAnsi="宋体" w:cs="宋体" w:eastAsia="宋体" w:hint="default"/>
        </w:rPr>
        <w:t>4</w:t>
      </w:r>
      <w:r>
        <w:rPr/>
        <w:t>月</w:t>
      </w:r>
      <w:r>
        <w:rPr>
          <w:rFonts w:ascii="宋体" w:hAnsi="宋体" w:cs="宋体" w:eastAsia="宋体" w:hint="default"/>
        </w:rPr>
        <w:t>12</w:t>
      </w:r>
      <w:r>
        <w:rPr/>
        <w:t>日投资设立全资子公司重庆冀华正态检测技术有限 </w:t>
      </w:r>
      <w:r>
        <w:rPr>
          <w:spacing w:val="-2"/>
        </w:rPr>
        <w:t>公司，设立时注册资本</w:t>
      </w:r>
      <w:r>
        <w:rPr>
          <w:rFonts w:ascii="宋体" w:hAnsi="宋体" w:cs="宋体" w:eastAsia="宋体" w:hint="default"/>
          <w:spacing w:val="-2"/>
        </w:rPr>
        <w:t>1,000</w:t>
      </w:r>
      <w:r>
        <w:rPr>
          <w:spacing w:val="-2"/>
        </w:rPr>
        <w:t>万元；本公司的下属子公司河北先河正源环境治理技术有限公司于</w:t>
      </w:r>
      <w:r>
        <w:rPr>
          <w:rFonts w:ascii="宋体" w:hAnsi="宋体" w:cs="宋体" w:eastAsia="宋体" w:hint="default"/>
          <w:spacing w:val="-2"/>
        </w:rPr>
        <w:t>2016</w:t>
      </w:r>
      <w:r>
        <w:rPr>
          <w:spacing w:val="-2"/>
        </w:rPr>
        <w:t>年</w:t>
      </w:r>
      <w:r>
        <w:rPr>
          <w:rFonts w:ascii="宋体" w:hAnsi="宋体" w:cs="宋体" w:eastAsia="宋体" w:hint="default"/>
          <w:spacing w:val="-2"/>
        </w:rPr>
        <w:t>5</w:t>
      </w:r>
      <w:r>
        <w:rPr>
          <w:spacing w:val="-2"/>
        </w:rPr>
        <w:t>月</w:t>
      </w:r>
      <w:r>
        <w:rPr>
          <w:rFonts w:ascii="宋体" w:hAnsi="宋体" w:cs="宋体" w:eastAsia="宋体" w:hint="default"/>
          <w:spacing w:val="-2"/>
        </w:rPr>
        <w:t>13</w:t>
      </w:r>
      <w:r>
        <w:rPr>
          <w:spacing w:val="-2"/>
        </w:rPr>
        <w:t>日投资设立全资</w:t>
      </w:r>
      <w:r>
        <w:rPr>
          <w:spacing w:val="-52"/>
        </w:rPr>
        <w:t> </w:t>
      </w:r>
      <w:r>
        <w:rPr>
          <w:spacing w:val="-3"/>
        </w:rPr>
        <w:t>子公司保定先河正源环境资源科技有限公司，因上述两家子公司在</w:t>
      </w:r>
      <w:r>
        <w:rPr>
          <w:rFonts w:ascii="宋体" w:hAnsi="宋体" w:cs="宋体" w:eastAsia="宋体" w:hint="default"/>
          <w:spacing w:val="-3"/>
        </w:rPr>
        <w:t>2016</w:t>
      </w:r>
      <w:r>
        <w:rPr>
          <w:spacing w:val="-3"/>
        </w:rPr>
        <w:t>年度并未实际经营，故在</w:t>
      </w:r>
      <w:r>
        <w:rPr>
          <w:rFonts w:ascii="宋体" w:hAnsi="宋体" w:cs="宋体" w:eastAsia="宋体" w:hint="default"/>
          <w:spacing w:val="-3"/>
        </w:rPr>
        <w:t>2017</w:t>
      </w:r>
      <w:r>
        <w:rPr>
          <w:spacing w:val="-3"/>
        </w:rPr>
        <w:t>年度将其纳入合并范围。</w:t>
      </w:r>
    </w:p>
    <w:p>
      <w:pPr>
        <w:pStyle w:val="BodyText"/>
        <w:spacing w:line="316" w:lineRule="auto" w:before="17"/>
        <w:ind w:right="1131" w:firstLine="360"/>
        <w:jc w:val="both"/>
      </w:pPr>
      <w:r>
        <w:rPr/>
        <w:t>本公司美国控股孙公司</w:t>
      </w:r>
      <w:r>
        <w:rPr>
          <w:rFonts w:ascii="宋体" w:hAnsi="宋体" w:cs="宋体" w:eastAsia="宋体" w:hint="default"/>
        </w:rPr>
        <w:t>Sunset Laboratory Inc.</w:t>
      </w:r>
      <w:r>
        <w:rPr/>
        <w:t>（以下简称“</w:t>
      </w:r>
      <w:r>
        <w:rPr>
          <w:rFonts w:ascii="宋体" w:hAnsi="宋体" w:cs="宋体" w:eastAsia="宋体" w:hint="default"/>
        </w:rPr>
        <w:t>Sunset</w:t>
      </w:r>
      <w:r>
        <w:rPr/>
        <w:t>”）和</w:t>
      </w:r>
      <w:r>
        <w:rPr>
          <w:rFonts w:ascii="宋体" w:hAnsi="宋体" w:cs="宋体" w:eastAsia="宋体" w:hint="default"/>
        </w:rPr>
        <w:t>Cooper Environmental Services LLC</w:t>
      </w:r>
      <w:r>
        <w:rPr/>
        <w:t>（以 下简称“</w:t>
      </w:r>
      <w:r>
        <w:rPr>
          <w:rFonts w:ascii="宋体" w:hAnsi="宋体" w:cs="宋体" w:eastAsia="宋体" w:hint="default"/>
        </w:rPr>
        <w:t>CES</w:t>
      </w:r>
      <w:r>
        <w:rPr/>
        <w:t>”）合并成立新公司</w:t>
      </w:r>
      <w:r>
        <w:rPr>
          <w:rFonts w:ascii="宋体" w:hAnsi="宋体" w:cs="宋体" w:eastAsia="宋体" w:hint="default"/>
        </w:rPr>
        <w:t>SUNSET CES INCORPORATED</w:t>
      </w:r>
      <w:r>
        <w:rPr/>
        <w:t>，于</w:t>
      </w:r>
      <w:r>
        <w:rPr>
          <w:rFonts w:ascii="宋体" w:hAnsi="宋体" w:cs="宋体" w:eastAsia="宋体" w:hint="default"/>
        </w:rPr>
        <w:t>2017</w:t>
      </w:r>
      <w:r>
        <w:rPr/>
        <w:t>年</w:t>
      </w:r>
      <w:r>
        <w:rPr>
          <w:rFonts w:ascii="宋体" w:hAnsi="宋体" w:cs="宋体" w:eastAsia="宋体" w:hint="default"/>
        </w:rPr>
        <w:t>11</w:t>
      </w:r>
      <w:r>
        <w:rPr/>
        <w:t>月</w:t>
      </w:r>
      <w:r>
        <w:rPr>
          <w:rFonts w:ascii="宋体" w:hAnsi="宋体" w:cs="宋体" w:eastAsia="宋体" w:hint="default"/>
        </w:rPr>
        <w:t>30</w:t>
      </w:r>
      <w:r>
        <w:rPr/>
        <w:t>日取得了美国俄勒冈州</w:t>
      </w:r>
      <w:r>
        <w:rPr>
          <w:rFonts w:ascii="宋体" w:hAnsi="宋体" w:cs="宋体" w:eastAsia="宋体" w:hint="default"/>
        </w:rPr>
        <w:t>827H567M9</w:t>
      </w:r>
      <w:r>
        <w:rPr/>
        <w:t>的注册号。 新公司合并成立后，</w:t>
      </w:r>
      <w:r>
        <w:rPr>
          <w:spacing w:val="20"/>
        </w:rPr>
        <w:t> </w:t>
      </w:r>
      <w:r>
        <w:rPr>
          <w:rFonts w:ascii="宋体" w:hAnsi="宋体" w:cs="宋体" w:eastAsia="宋体" w:hint="default"/>
          <w:spacing w:val="-2"/>
        </w:rPr>
        <w:t>Sunset</w:t>
      </w:r>
      <w:r>
        <w:rPr>
          <w:spacing w:val="-2"/>
        </w:rPr>
        <w:t>各股东持有新公司权益的</w:t>
      </w:r>
      <w:r>
        <w:rPr>
          <w:rFonts w:ascii="宋体" w:hAnsi="宋体" w:cs="宋体" w:eastAsia="宋体" w:hint="default"/>
          <w:spacing w:val="-2"/>
        </w:rPr>
        <w:t>60%</w:t>
      </w:r>
      <w:r>
        <w:rPr>
          <w:spacing w:val="-2"/>
        </w:rPr>
        <w:t>，</w:t>
      </w:r>
      <w:r>
        <w:rPr>
          <w:rFonts w:ascii="宋体" w:hAnsi="宋体" w:cs="宋体" w:eastAsia="宋体" w:hint="default"/>
          <w:spacing w:val="-2"/>
        </w:rPr>
        <w:t>CES</w:t>
      </w:r>
      <w:r>
        <w:rPr>
          <w:spacing w:val="-2"/>
        </w:rPr>
        <w:t>各股东持有新公司权益的</w:t>
      </w:r>
      <w:r>
        <w:rPr>
          <w:rFonts w:ascii="宋体" w:hAnsi="宋体" w:cs="宋体" w:eastAsia="宋体" w:hint="default"/>
          <w:spacing w:val="-2"/>
        </w:rPr>
        <w:t>40%</w:t>
      </w:r>
      <w:r>
        <w:rPr>
          <w:spacing w:val="-2"/>
        </w:rPr>
        <w:t>，以此折算各股东在新公司的股</w:t>
      </w:r>
    </w:p>
    <w:p>
      <w:pPr>
        <w:spacing w:after="0" w:line="316" w:lineRule="auto"/>
        <w:jc w:val="both"/>
        <w:sectPr>
          <w:type w:val="continuous"/>
          <w:pgSz w:w="11910" w:h="16840"/>
          <w:pgMar w:top="1060" w:bottom="1160" w:left="0" w:right="0"/>
        </w:sectPr>
      </w:pPr>
    </w:p>
    <w:p>
      <w:pPr>
        <w:spacing w:line="240" w:lineRule="auto" w:before="12"/>
        <w:rPr>
          <w:rFonts w:ascii="宋体" w:hAnsi="宋体" w:cs="宋体" w:eastAsia="宋体" w:hint="default"/>
          <w:sz w:val="25"/>
          <w:szCs w:val="25"/>
        </w:rPr>
      </w:pPr>
    </w:p>
    <w:p>
      <w:pPr>
        <w:pStyle w:val="BodyText"/>
        <w:spacing w:line="316" w:lineRule="auto" w:before="44"/>
        <w:ind w:right="1130"/>
        <w:jc w:val="both"/>
      </w:pPr>
      <w:r>
        <w:rPr/>
        <w:t>权比例：</w:t>
      </w:r>
      <w:r>
        <w:rPr>
          <w:rFonts w:ascii="宋体" w:hAnsi="宋体" w:cs="宋体" w:eastAsia="宋体" w:hint="default"/>
        </w:rPr>
        <w:t>SAILHERO</w:t>
      </w:r>
      <w:r>
        <w:rPr>
          <w:rFonts w:ascii="宋体" w:hAnsi="宋体" w:cs="宋体" w:eastAsia="宋体" w:hint="default"/>
          <w:spacing w:val="-26"/>
        </w:rPr>
        <w:t> </w:t>
      </w:r>
      <w:r>
        <w:rPr>
          <w:rFonts w:ascii="宋体" w:hAnsi="宋体" w:cs="宋体" w:eastAsia="宋体" w:hint="default"/>
        </w:rPr>
        <w:t>US</w:t>
      </w:r>
      <w:r>
        <w:rPr>
          <w:rFonts w:ascii="宋体" w:hAnsi="宋体" w:cs="宋体" w:eastAsia="宋体" w:hint="default"/>
          <w:spacing w:val="-26"/>
        </w:rPr>
        <w:t> </w:t>
      </w:r>
      <w:r>
        <w:rPr>
          <w:rFonts w:ascii="宋体" w:hAnsi="宋体" w:cs="宋体" w:eastAsia="宋体" w:hint="default"/>
        </w:rPr>
        <w:t>HOLDING</w:t>
      </w:r>
      <w:r>
        <w:rPr>
          <w:rFonts w:ascii="宋体" w:hAnsi="宋体" w:cs="宋体" w:eastAsia="宋体" w:hint="default"/>
          <w:spacing w:val="-28"/>
        </w:rPr>
        <w:t> </w:t>
      </w:r>
      <w:r>
        <w:rPr>
          <w:rFonts w:ascii="宋体" w:hAnsi="宋体" w:cs="宋体" w:eastAsia="宋体" w:hint="default"/>
        </w:rPr>
        <w:t>INC.</w:t>
      </w:r>
      <w:r>
        <w:rPr/>
        <w:t>占比</w:t>
      </w:r>
      <w:r>
        <w:rPr>
          <w:rFonts w:ascii="宋体" w:hAnsi="宋体" w:cs="宋体" w:eastAsia="宋体" w:hint="default"/>
        </w:rPr>
        <w:t>60.2%</w:t>
      </w:r>
      <w:r>
        <w:rPr/>
        <w:t>、</w:t>
      </w:r>
      <w:r>
        <w:rPr>
          <w:rFonts w:ascii="宋体" w:hAnsi="宋体" w:cs="宋体" w:eastAsia="宋体" w:hint="default"/>
        </w:rPr>
        <w:t>BRISEA</w:t>
      </w:r>
      <w:r>
        <w:rPr>
          <w:rFonts w:ascii="宋体" w:hAnsi="宋体" w:cs="宋体" w:eastAsia="宋体" w:hint="default"/>
          <w:spacing w:val="-26"/>
        </w:rPr>
        <w:t> </w:t>
      </w:r>
      <w:r>
        <w:rPr>
          <w:rFonts w:ascii="宋体" w:hAnsi="宋体" w:cs="宋体" w:eastAsia="宋体" w:hint="default"/>
        </w:rPr>
        <w:t>International</w:t>
      </w:r>
      <w:r>
        <w:rPr>
          <w:rFonts w:ascii="宋体" w:hAnsi="宋体" w:cs="宋体" w:eastAsia="宋体" w:hint="default"/>
          <w:spacing w:val="-26"/>
        </w:rPr>
        <w:t> </w:t>
      </w:r>
      <w:r>
        <w:rPr>
          <w:rFonts w:ascii="宋体" w:hAnsi="宋体" w:cs="宋体" w:eastAsia="宋体" w:hint="default"/>
        </w:rPr>
        <w:t>Development,</w:t>
      </w:r>
      <w:r>
        <w:rPr>
          <w:rFonts w:ascii="宋体" w:hAnsi="宋体" w:cs="宋体" w:eastAsia="宋体" w:hint="default"/>
          <w:spacing w:val="-26"/>
        </w:rPr>
        <w:t> </w:t>
      </w:r>
      <w:r>
        <w:rPr>
          <w:rFonts w:ascii="宋体" w:hAnsi="宋体" w:cs="宋体" w:eastAsia="宋体" w:hint="default"/>
        </w:rPr>
        <w:t>Inc.</w:t>
      </w:r>
      <w:r>
        <w:rPr/>
        <w:t>占比</w:t>
      </w:r>
      <w:r>
        <w:rPr>
          <w:rFonts w:ascii="宋体" w:hAnsi="宋体" w:cs="宋体" w:eastAsia="宋体" w:hint="default"/>
        </w:rPr>
        <w:t>3.184%</w:t>
      </w:r>
      <w:r>
        <w:rPr/>
        <w:t>、</w:t>
      </w:r>
      <w:r>
        <w:rPr>
          <w:rFonts w:ascii="宋体" w:hAnsi="宋体" w:cs="宋体" w:eastAsia="宋体" w:hint="default"/>
        </w:rPr>
        <w:t>Cooper</w:t>
      </w:r>
      <w:r>
        <w:rPr>
          <w:rFonts w:ascii="宋体" w:hAnsi="宋体" w:cs="宋体" w:eastAsia="宋体" w:hint="default"/>
          <w:spacing w:val="-26"/>
        </w:rPr>
        <w:t> </w:t>
      </w:r>
      <w:r>
        <w:rPr>
          <w:rFonts w:ascii="宋体" w:hAnsi="宋体" w:cs="宋体" w:eastAsia="宋体" w:hint="default"/>
        </w:rPr>
        <w:t>Holdings,</w:t>
      </w:r>
      <w:r>
        <w:rPr>
          <w:rFonts w:ascii="宋体" w:hAnsi="宋体" w:cs="宋体" w:eastAsia="宋体" w:hint="default"/>
        </w:rPr>
        <w:t> LLC</w:t>
      </w:r>
      <w:r>
        <w:rPr/>
        <w:t>占比</w:t>
      </w:r>
      <w:r>
        <w:rPr>
          <w:rFonts w:ascii="宋体" w:hAnsi="宋体" w:cs="宋体" w:eastAsia="宋体" w:hint="default"/>
        </w:rPr>
        <w:t>14.536%</w:t>
      </w:r>
      <w:r>
        <w:rPr/>
        <w:t>、</w:t>
      </w:r>
      <w:r>
        <w:rPr>
          <w:rFonts w:ascii="宋体" w:hAnsi="宋体" w:cs="宋体" w:eastAsia="宋体" w:hint="default"/>
        </w:rPr>
        <w:t>Robert</w:t>
      </w:r>
      <w:r>
        <w:rPr>
          <w:rFonts w:ascii="宋体" w:hAnsi="宋体" w:cs="宋体" w:eastAsia="宋体" w:hint="default"/>
          <w:spacing w:val="-15"/>
        </w:rPr>
        <w:t> </w:t>
      </w:r>
      <w:r>
        <w:rPr>
          <w:rFonts w:ascii="宋体" w:hAnsi="宋体" w:cs="宋体" w:eastAsia="宋体" w:hint="default"/>
        </w:rPr>
        <w:t>A.</w:t>
      </w:r>
      <w:r>
        <w:rPr>
          <w:rFonts w:ascii="宋体" w:hAnsi="宋体" w:cs="宋体" w:eastAsia="宋体" w:hint="default"/>
          <w:spacing w:val="-16"/>
        </w:rPr>
        <w:t> </w:t>
      </w:r>
      <w:r>
        <w:rPr>
          <w:rFonts w:ascii="宋体" w:hAnsi="宋体" w:cs="宋体" w:eastAsia="宋体" w:hint="default"/>
        </w:rPr>
        <w:t>Cary</w:t>
      </w:r>
      <w:r>
        <w:rPr/>
        <w:t>占比</w:t>
      </w:r>
      <w:r>
        <w:rPr>
          <w:rFonts w:ascii="宋体" w:hAnsi="宋体" w:cs="宋体" w:eastAsia="宋体" w:hint="default"/>
        </w:rPr>
        <w:t>14.4%</w:t>
      </w:r>
      <w:r>
        <w:rPr/>
        <w:t>、</w:t>
      </w:r>
      <w:r>
        <w:rPr>
          <w:rFonts w:ascii="宋体" w:hAnsi="宋体" w:cs="宋体" w:eastAsia="宋体" w:hint="default"/>
        </w:rPr>
        <w:t>Benjamin</w:t>
      </w:r>
      <w:r>
        <w:rPr>
          <w:rFonts w:ascii="宋体" w:hAnsi="宋体" w:cs="宋体" w:eastAsia="宋体" w:hint="default"/>
          <w:spacing w:val="-15"/>
        </w:rPr>
        <w:t> </w:t>
      </w:r>
      <w:r>
        <w:rPr>
          <w:rFonts w:ascii="宋体" w:hAnsi="宋体" w:cs="宋体" w:eastAsia="宋体" w:hint="default"/>
        </w:rPr>
        <w:t>R.</w:t>
      </w:r>
      <w:r>
        <w:rPr>
          <w:rFonts w:ascii="宋体" w:hAnsi="宋体" w:cs="宋体" w:eastAsia="宋体" w:hint="default"/>
          <w:spacing w:val="-15"/>
        </w:rPr>
        <w:t> </w:t>
      </w:r>
      <w:r>
        <w:rPr>
          <w:rFonts w:ascii="宋体" w:hAnsi="宋体" w:cs="宋体" w:eastAsia="宋体" w:hint="default"/>
        </w:rPr>
        <w:t>Cary</w:t>
      </w:r>
      <w:r>
        <w:rPr/>
        <w:t>占比</w:t>
      </w:r>
      <w:r>
        <w:rPr>
          <w:rFonts w:ascii="宋体" w:hAnsi="宋体" w:cs="宋体" w:eastAsia="宋体" w:hint="default"/>
        </w:rPr>
        <w:t>5.04%</w:t>
      </w:r>
      <w:r>
        <w:rPr/>
        <w:t>、</w:t>
      </w:r>
      <w:r>
        <w:rPr>
          <w:rFonts w:ascii="宋体" w:hAnsi="宋体" w:cs="宋体" w:eastAsia="宋体" w:hint="default"/>
        </w:rPr>
        <w:t>Joshua</w:t>
      </w:r>
      <w:r>
        <w:rPr>
          <w:rFonts w:ascii="宋体" w:hAnsi="宋体" w:cs="宋体" w:eastAsia="宋体" w:hint="default"/>
          <w:spacing w:val="-15"/>
        </w:rPr>
        <w:t> </w:t>
      </w:r>
      <w:r>
        <w:rPr>
          <w:rFonts w:ascii="宋体" w:hAnsi="宋体" w:cs="宋体" w:eastAsia="宋体" w:hint="default"/>
        </w:rPr>
        <w:t>L.</w:t>
      </w:r>
      <w:r>
        <w:rPr>
          <w:rFonts w:ascii="宋体" w:hAnsi="宋体" w:cs="宋体" w:eastAsia="宋体" w:hint="default"/>
          <w:spacing w:val="-16"/>
        </w:rPr>
        <w:t> </w:t>
      </w:r>
      <w:r>
        <w:rPr>
          <w:rFonts w:ascii="宋体" w:hAnsi="宋体" w:cs="宋体" w:eastAsia="宋体" w:hint="default"/>
        </w:rPr>
        <w:t>Dixon</w:t>
      </w:r>
      <w:r>
        <w:rPr/>
        <w:t>占比</w:t>
      </w:r>
      <w:r>
        <w:rPr>
          <w:rFonts w:ascii="宋体" w:hAnsi="宋体" w:cs="宋体" w:eastAsia="宋体" w:hint="default"/>
        </w:rPr>
        <w:t>2.64%</w:t>
      </w:r>
      <w:r>
        <w:rPr/>
        <w:t>。原股东不再持有 </w:t>
      </w:r>
      <w:r>
        <w:rPr>
          <w:rFonts w:ascii="宋体" w:hAnsi="宋体" w:cs="宋体" w:eastAsia="宋体" w:hint="default"/>
          <w:spacing w:val="-2"/>
        </w:rPr>
        <w:t>Sunset</w:t>
      </w:r>
      <w:r>
        <w:rPr>
          <w:spacing w:val="-2"/>
        </w:rPr>
        <w:t>和</w:t>
      </w:r>
      <w:r>
        <w:rPr>
          <w:rFonts w:ascii="宋体" w:hAnsi="宋体" w:cs="宋体" w:eastAsia="宋体" w:hint="default"/>
          <w:spacing w:val="-2"/>
        </w:rPr>
        <w:t>CES</w:t>
      </w:r>
      <w:r>
        <w:rPr>
          <w:spacing w:val="-2"/>
        </w:rPr>
        <w:t>两家公司的权益，</w:t>
      </w:r>
      <w:r>
        <w:rPr>
          <w:rFonts w:ascii="宋体" w:hAnsi="宋体" w:cs="宋体" w:eastAsia="宋体" w:hint="default"/>
          <w:spacing w:val="-2"/>
        </w:rPr>
        <w:t>Sunset</w:t>
      </w:r>
      <w:r>
        <w:rPr>
          <w:spacing w:val="-2"/>
        </w:rPr>
        <w:t>和</w:t>
      </w:r>
      <w:r>
        <w:rPr>
          <w:rFonts w:ascii="宋体" w:hAnsi="宋体" w:cs="宋体" w:eastAsia="宋体" w:hint="default"/>
          <w:spacing w:val="-2"/>
        </w:rPr>
        <w:t>CES</w:t>
      </w:r>
      <w:r>
        <w:rPr>
          <w:spacing w:val="-2"/>
        </w:rPr>
        <w:t>两家公司成为新公司的全资子公司。因本公司拥有对其的实质控制权，故自新公</w:t>
      </w:r>
      <w:r>
        <w:rPr>
          <w:spacing w:val="-48"/>
        </w:rPr>
        <w:t> </w:t>
      </w:r>
      <w:r>
        <w:rPr>
          <w:spacing w:val="-48"/>
        </w:rPr>
      </w:r>
      <w:r>
        <w:rPr/>
        <w:t>司成立之日起，将其纳入合并财务报表范围。</w:t>
      </w:r>
    </w:p>
    <w:p>
      <w:pPr>
        <w:spacing w:line="240" w:lineRule="auto" w:before="10"/>
        <w:rPr>
          <w:rFonts w:ascii="宋体" w:hAnsi="宋体" w:cs="宋体" w:eastAsia="宋体" w:hint="default"/>
          <w:sz w:val="20"/>
          <w:szCs w:val="20"/>
        </w:rPr>
      </w:pPr>
    </w:p>
    <w:p>
      <w:pPr>
        <w:pStyle w:val="Heading2"/>
        <w:spacing w:line="240" w:lineRule="auto"/>
        <w:ind w:left="1134" w:right="0"/>
        <w:jc w:val="both"/>
        <w:rPr>
          <w:b w:val="0"/>
          <w:bCs w:val="0"/>
        </w:rPr>
      </w:pPr>
      <w:bookmarkStart w:name="九、在其他主体中的权益" w:id="332"/>
      <w:bookmarkEnd w:id="332"/>
      <w:r>
        <w:rPr>
          <w:b w:val="0"/>
          <w:bCs w:val="0"/>
        </w:rPr>
      </w:r>
      <w:r>
        <w:rPr/>
        <w:t>九、在其他主体中的权益</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34" w:right="0"/>
        <w:jc w:val="both"/>
        <w:rPr>
          <w:b w:val="0"/>
          <w:bCs w:val="0"/>
        </w:rPr>
      </w:pPr>
      <w:bookmarkStart w:name="1、在子公司中的权益" w:id="333"/>
      <w:bookmarkEnd w:id="333"/>
      <w:r>
        <w:rPr>
          <w:b w:val="0"/>
          <w:bCs w:val="0"/>
        </w:rPr>
      </w:r>
      <w:r>
        <w:rPr>
          <w:rFonts w:ascii="Times New Roman" w:hAnsi="Times New Roman" w:cs="Times New Roman" w:eastAsia="Times New Roman" w:hint="default"/>
        </w:rPr>
        <w:t>1</w:t>
      </w:r>
      <w:r>
        <w:rPr/>
        <w:t>、在子公司中的权益</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34" w:right="0"/>
        <w:jc w:val="both"/>
        <w:rPr>
          <w:b w:val="0"/>
          <w:bCs w:val="0"/>
        </w:rPr>
      </w:pPr>
      <w:bookmarkStart w:name="（1）企业集团的构成" w:id="334"/>
      <w:bookmarkEnd w:id="334"/>
      <w:r>
        <w:rPr>
          <w:b w:val="0"/>
          <w:bCs w:val="0"/>
        </w:rPr>
      </w:r>
      <w:r>
        <w:rPr/>
        <w:t>（</w:t>
      </w:r>
      <w:r>
        <w:rPr>
          <w:rFonts w:ascii="Times New Roman" w:hAnsi="Times New Roman" w:cs="Times New Roman" w:eastAsia="Times New Roman" w:hint="default"/>
        </w:rPr>
        <w:t>1</w:t>
      </w:r>
      <w:r>
        <w:rPr/>
        <w:t>）企业集团的构成</w:t>
      </w:r>
      <w:r>
        <w:rPr>
          <w:b w:val="0"/>
          <w:bCs w:val="0"/>
        </w:rPr>
      </w:r>
    </w:p>
    <w:p>
      <w:pPr>
        <w:spacing w:line="240" w:lineRule="auto" w:before="10"/>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1844"/>
        <w:gridCol w:w="1134"/>
        <w:gridCol w:w="1128"/>
        <w:gridCol w:w="1991"/>
        <w:gridCol w:w="1134"/>
        <w:gridCol w:w="976"/>
        <w:gridCol w:w="1366"/>
      </w:tblGrid>
      <w:tr>
        <w:trPr>
          <w:trHeight w:val="402" w:hRule="exact"/>
        </w:trPr>
        <w:tc>
          <w:tcPr>
            <w:tcW w:w="184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465"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13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111"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12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288"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9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630"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11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88" w:right="0"/>
              <w:jc w:val="left"/>
              <w:rPr>
                <w:rFonts w:ascii="宋体" w:hAnsi="宋体" w:cs="宋体" w:eastAsia="宋体" w:hint="default"/>
                <w:sz w:val="18"/>
                <w:szCs w:val="18"/>
              </w:rPr>
            </w:pPr>
            <w:r>
              <w:rPr>
                <w:rFonts w:ascii="宋体" w:hAnsi="宋体" w:cs="宋体" w:eastAsia="宋体" w:hint="default"/>
                <w:sz w:val="18"/>
                <w:szCs w:val="18"/>
              </w:rPr>
              <w:t>持股比例</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取得方式</w:t>
            </w:r>
          </w:p>
        </w:tc>
      </w:tr>
      <w:tr>
        <w:trPr>
          <w:trHeight w:val="401" w:hRule="exact"/>
        </w:trPr>
        <w:tc>
          <w:tcPr>
            <w:tcW w:w="1844" w:type="dxa"/>
            <w:vMerge/>
            <w:tcBorders>
              <w:left w:val="single" w:sz="4" w:space="0" w:color="000000"/>
              <w:bottom w:val="single" w:sz="4" w:space="0" w:color="000000"/>
              <w:right w:val="single" w:sz="4" w:space="0" w:color="000000"/>
            </w:tcBorders>
            <w:shd w:val="clear" w:color="auto" w:fill="D2D2D2"/>
          </w:tcPr>
          <w:p>
            <w:pPr/>
          </w:p>
        </w:tc>
        <w:tc>
          <w:tcPr>
            <w:tcW w:w="1134" w:type="dxa"/>
            <w:vMerge/>
            <w:tcBorders>
              <w:left w:val="single" w:sz="4" w:space="0" w:color="000000"/>
              <w:bottom w:val="single" w:sz="4" w:space="0" w:color="000000"/>
              <w:right w:val="single" w:sz="4" w:space="0" w:color="000000"/>
            </w:tcBorders>
            <w:shd w:val="clear" w:color="auto" w:fill="D2D2D2"/>
          </w:tcPr>
          <w:p>
            <w:pPr/>
          </w:p>
        </w:tc>
        <w:tc>
          <w:tcPr>
            <w:tcW w:w="1128" w:type="dxa"/>
            <w:vMerge/>
            <w:tcBorders>
              <w:left w:val="single" w:sz="4" w:space="0" w:color="000000"/>
              <w:bottom w:val="single" w:sz="4" w:space="0" w:color="000000"/>
              <w:right w:val="single" w:sz="4" w:space="0" w:color="000000"/>
            </w:tcBorders>
            <w:shd w:val="clear" w:color="auto" w:fill="D2D2D2"/>
          </w:tcPr>
          <w:p>
            <w:pPr/>
          </w:p>
        </w:tc>
        <w:tc>
          <w:tcPr>
            <w:tcW w:w="1991" w:type="dxa"/>
            <w:vMerge/>
            <w:tcBorders>
              <w:left w:val="single" w:sz="4" w:space="0" w:color="000000"/>
              <w:bottom w:val="single" w:sz="4" w:space="0" w:color="000000"/>
              <w:right w:val="single" w:sz="4" w:space="0" w:color="000000"/>
            </w:tcBorders>
            <w:shd w:val="clear" w:color="auto" w:fill="D2D2D2"/>
          </w:tcPr>
          <w:p>
            <w:pP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直接</w:t>
            </w:r>
          </w:p>
        </w:tc>
        <w:tc>
          <w:tcPr>
            <w:tcW w:w="9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02" w:right="0"/>
              <w:jc w:val="left"/>
              <w:rPr>
                <w:rFonts w:ascii="宋体" w:hAnsi="宋体" w:cs="宋体" w:eastAsia="宋体" w:hint="default"/>
                <w:sz w:val="18"/>
                <w:szCs w:val="18"/>
              </w:rPr>
            </w:pPr>
            <w:r>
              <w:rPr>
                <w:rFonts w:ascii="宋体" w:hAnsi="宋体" w:cs="宋体" w:eastAsia="宋体" w:hint="default"/>
                <w:sz w:val="18"/>
                <w:szCs w:val="18"/>
              </w:rPr>
              <w:t>间接</w:t>
            </w:r>
          </w:p>
        </w:tc>
        <w:tc>
          <w:tcPr>
            <w:tcW w:w="1366" w:type="dxa"/>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89"/>
              <w:jc w:val="left"/>
              <w:rPr>
                <w:rFonts w:ascii="宋体" w:hAnsi="宋体" w:cs="宋体" w:eastAsia="宋体" w:hint="default"/>
                <w:sz w:val="18"/>
                <w:szCs w:val="18"/>
              </w:rPr>
            </w:pPr>
            <w:r>
              <w:rPr>
                <w:rFonts w:ascii="宋体" w:hAnsi="宋体" w:cs="宋体" w:eastAsia="宋体" w:hint="default"/>
                <w:sz w:val="18"/>
                <w:szCs w:val="18"/>
              </w:rPr>
              <w:t>北京先河中润科技有 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1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环保设备的安装</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97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714"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89"/>
              <w:jc w:val="left"/>
              <w:rPr>
                <w:rFonts w:ascii="宋体" w:hAnsi="宋体" w:cs="宋体" w:eastAsia="宋体" w:hint="default"/>
                <w:sz w:val="18"/>
                <w:szCs w:val="18"/>
              </w:rPr>
            </w:pPr>
            <w:r>
              <w:rPr>
                <w:rFonts w:ascii="宋体" w:hAnsi="宋体" w:cs="宋体" w:eastAsia="宋体" w:hint="default"/>
                <w:sz w:val="18"/>
                <w:szCs w:val="18"/>
              </w:rPr>
              <w:t>山东先河环保科技有 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济南市</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济南市</w:t>
            </w:r>
          </w:p>
        </w:tc>
        <w:tc>
          <w:tcPr>
            <w:tcW w:w="199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20"/>
              <w:jc w:val="left"/>
              <w:rPr>
                <w:rFonts w:ascii="宋体" w:hAnsi="宋体" w:cs="宋体" w:eastAsia="宋体" w:hint="default"/>
                <w:sz w:val="18"/>
                <w:szCs w:val="18"/>
              </w:rPr>
            </w:pPr>
            <w:r>
              <w:rPr>
                <w:rFonts w:ascii="宋体" w:hAnsi="宋体" w:cs="宋体" w:eastAsia="宋体" w:hint="default"/>
                <w:spacing w:val="-5"/>
                <w:sz w:val="18"/>
                <w:szCs w:val="18"/>
              </w:rPr>
              <w:t>环保专用设备的开发、技</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术咨询、销售、安装</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97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714"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89"/>
              <w:jc w:val="left"/>
              <w:rPr>
                <w:rFonts w:ascii="宋体" w:hAnsi="宋体" w:cs="宋体" w:eastAsia="宋体" w:hint="default"/>
                <w:sz w:val="18"/>
                <w:szCs w:val="18"/>
              </w:rPr>
            </w:pPr>
            <w:r>
              <w:rPr>
                <w:rFonts w:ascii="宋体" w:hAnsi="宋体" w:cs="宋体" w:eastAsia="宋体" w:hint="default"/>
                <w:sz w:val="18"/>
                <w:szCs w:val="18"/>
              </w:rPr>
              <w:t>四川先河环保科技有 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成都市</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成都市</w:t>
            </w:r>
          </w:p>
        </w:tc>
        <w:tc>
          <w:tcPr>
            <w:tcW w:w="199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22"/>
              <w:jc w:val="left"/>
              <w:rPr>
                <w:rFonts w:ascii="宋体" w:hAnsi="宋体" w:cs="宋体" w:eastAsia="宋体" w:hint="default"/>
                <w:sz w:val="18"/>
                <w:szCs w:val="18"/>
              </w:rPr>
            </w:pPr>
            <w:r>
              <w:rPr>
                <w:rFonts w:ascii="宋体" w:hAnsi="宋体" w:cs="宋体" w:eastAsia="宋体" w:hint="default"/>
                <w:spacing w:val="-5"/>
                <w:sz w:val="18"/>
                <w:szCs w:val="18"/>
              </w:rPr>
              <w:t>环保设备、计量仪器研制</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开发</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97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714"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89"/>
              <w:jc w:val="left"/>
              <w:rPr>
                <w:rFonts w:ascii="宋体" w:hAnsi="宋体" w:cs="宋体" w:eastAsia="宋体" w:hint="default"/>
                <w:sz w:val="18"/>
                <w:szCs w:val="18"/>
              </w:rPr>
            </w:pPr>
            <w:r>
              <w:rPr>
                <w:rFonts w:ascii="宋体" w:hAnsi="宋体" w:cs="宋体" w:eastAsia="宋体" w:hint="default"/>
                <w:sz w:val="18"/>
                <w:szCs w:val="18"/>
              </w:rPr>
              <w:t>河北先河金瑞环保设 施运营服务有限公司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石家庄市</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石家庄市</w:t>
            </w:r>
          </w:p>
        </w:tc>
        <w:tc>
          <w:tcPr>
            <w:tcW w:w="199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20"/>
              <w:jc w:val="left"/>
              <w:rPr>
                <w:rFonts w:ascii="宋体" w:hAnsi="宋体" w:cs="宋体" w:eastAsia="宋体" w:hint="default"/>
                <w:sz w:val="18"/>
                <w:szCs w:val="18"/>
              </w:rPr>
            </w:pPr>
            <w:r>
              <w:rPr>
                <w:rFonts w:ascii="宋体" w:hAnsi="宋体" w:cs="宋体" w:eastAsia="宋体" w:hint="default"/>
                <w:spacing w:val="-5"/>
                <w:sz w:val="18"/>
                <w:szCs w:val="18"/>
              </w:rPr>
              <w:t>环保专用设备的安装、维</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修及技术咨询服务</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75.00%</w:t>
            </w:r>
          </w:p>
        </w:tc>
        <w:tc>
          <w:tcPr>
            <w:tcW w:w="97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1026"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2" w:right="189"/>
              <w:jc w:val="left"/>
              <w:rPr>
                <w:rFonts w:ascii="宋体" w:hAnsi="宋体" w:cs="宋体" w:eastAsia="宋体" w:hint="default"/>
                <w:sz w:val="18"/>
                <w:szCs w:val="18"/>
              </w:rPr>
            </w:pPr>
            <w:r>
              <w:rPr>
                <w:rFonts w:ascii="宋体" w:hAnsi="宋体" w:cs="宋体" w:eastAsia="宋体" w:hint="default"/>
                <w:sz w:val="18"/>
                <w:szCs w:val="18"/>
              </w:rPr>
              <w:t>河北先河正源环境治 理技术有限公司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石家庄市</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石家庄市</w:t>
            </w:r>
          </w:p>
        </w:tc>
        <w:tc>
          <w:tcPr>
            <w:tcW w:w="199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20"/>
              <w:jc w:val="left"/>
              <w:rPr>
                <w:rFonts w:ascii="宋体" w:hAnsi="宋体" w:cs="宋体" w:eastAsia="宋体" w:hint="default"/>
                <w:sz w:val="18"/>
                <w:szCs w:val="18"/>
              </w:rPr>
            </w:pPr>
            <w:r>
              <w:rPr>
                <w:rFonts w:ascii="宋体" w:hAnsi="宋体" w:cs="宋体" w:eastAsia="宋体" w:hint="default"/>
                <w:sz w:val="18"/>
                <w:szCs w:val="18"/>
              </w:rPr>
              <w:t>废气治理技术研发、生 </w:t>
            </w:r>
            <w:r>
              <w:rPr>
                <w:rFonts w:ascii="宋体" w:hAnsi="宋体" w:cs="宋体" w:eastAsia="宋体" w:hint="default"/>
                <w:spacing w:val="-5"/>
                <w:sz w:val="18"/>
                <w:szCs w:val="18"/>
              </w:rPr>
              <w:t>产、销售、技术开发、转</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让、咨询、服务</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90.00%</w:t>
            </w:r>
          </w:p>
        </w:tc>
        <w:tc>
          <w:tcPr>
            <w:tcW w:w="97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714"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89"/>
              <w:jc w:val="left"/>
              <w:rPr>
                <w:rFonts w:ascii="宋体" w:hAnsi="宋体" w:cs="宋体" w:eastAsia="宋体" w:hint="default"/>
                <w:sz w:val="18"/>
                <w:szCs w:val="18"/>
              </w:rPr>
            </w:pPr>
            <w:r>
              <w:rPr>
                <w:rFonts w:ascii="宋体" w:hAnsi="宋体" w:cs="宋体" w:eastAsia="宋体" w:hint="default"/>
                <w:sz w:val="18"/>
                <w:szCs w:val="18"/>
              </w:rPr>
              <w:t>北京卫家环境技术有 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1991" w:type="dxa"/>
            <w:tcBorders>
              <w:top w:val="single" w:sz="4" w:space="0" w:color="000000"/>
              <w:left w:val="single" w:sz="4" w:space="0" w:color="000000"/>
              <w:bottom w:val="single" w:sz="4" w:space="0" w:color="000000"/>
              <w:right w:val="single" w:sz="9" w:space="0" w:color="FFFFFF"/>
            </w:tcBorders>
          </w:tcPr>
          <w:p>
            <w:pPr>
              <w:pStyle w:val="TableParagraph"/>
              <w:spacing w:line="316" w:lineRule="auto" w:before="52"/>
              <w:ind w:left="22" w:right="-29"/>
              <w:jc w:val="left"/>
              <w:rPr>
                <w:rFonts w:ascii="宋体" w:hAnsi="宋体" w:cs="宋体" w:eastAsia="宋体" w:hint="default"/>
                <w:sz w:val="18"/>
                <w:szCs w:val="18"/>
              </w:rPr>
            </w:pPr>
            <w:r>
              <w:rPr>
                <w:rFonts w:ascii="宋体" w:hAnsi="宋体" w:cs="宋体" w:eastAsia="宋体" w:hint="default"/>
                <w:sz w:val="18"/>
                <w:szCs w:val="18"/>
              </w:rPr>
              <w:t>销售家用电器、计算机、 软件及辅助设备</w:t>
            </w:r>
          </w:p>
        </w:tc>
        <w:tc>
          <w:tcPr>
            <w:tcW w:w="1134" w:type="dxa"/>
            <w:tcBorders>
              <w:top w:val="single" w:sz="4" w:space="0" w:color="000000"/>
              <w:left w:val="single" w:sz="9" w:space="0" w:color="FFFFFF"/>
              <w:bottom w:val="single" w:sz="4" w:space="0" w:color="000000"/>
              <w:right w:val="single" w:sz="4" w:space="0" w:color="000000"/>
            </w:tcBorders>
          </w:tcPr>
          <w:p>
            <w:pPr/>
          </w:p>
        </w:tc>
        <w:tc>
          <w:tcPr>
            <w:tcW w:w="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left="297" w:right="0"/>
              <w:jc w:val="lef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1"/>
              <w:jc w:val="left"/>
              <w:rPr>
                <w:rFonts w:ascii="宋体" w:hAnsi="宋体" w:cs="宋体" w:eastAsia="宋体" w:hint="default"/>
                <w:sz w:val="18"/>
                <w:szCs w:val="18"/>
              </w:rPr>
            </w:pPr>
            <w:r>
              <w:rPr>
                <w:rFonts w:ascii="宋体" w:hAnsi="宋体" w:cs="宋体" w:eastAsia="宋体" w:hint="default"/>
                <w:sz w:val="18"/>
                <w:szCs w:val="18"/>
              </w:rPr>
              <w:t>同一控制下企业 合并取得</w:t>
            </w:r>
          </w:p>
        </w:tc>
      </w:tr>
      <w:tr>
        <w:trPr>
          <w:trHeight w:val="714"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89"/>
              <w:jc w:val="left"/>
              <w:rPr>
                <w:rFonts w:ascii="宋体" w:hAnsi="宋体" w:cs="宋体" w:eastAsia="宋体" w:hint="default"/>
                <w:sz w:val="18"/>
                <w:szCs w:val="18"/>
              </w:rPr>
            </w:pPr>
            <w:r>
              <w:rPr>
                <w:rFonts w:ascii="宋体" w:hAnsi="宋体" w:cs="宋体" w:eastAsia="宋体" w:hint="default"/>
                <w:sz w:val="18"/>
                <w:szCs w:val="18"/>
              </w:rPr>
              <w:t>保定先河正源环境资 源科技有限公司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雄县</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雄县</w:t>
            </w:r>
          </w:p>
        </w:tc>
        <w:tc>
          <w:tcPr>
            <w:tcW w:w="199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20"/>
              <w:jc w:val="left"/>
              <w:rPr>
                <w:rFonts w:ascii="宋体" w:hAnsi="宋体" w:cs="宋体" w:eastAsia="宋体" w:hint="default"/>
                <w:sz w:val="18"/>
                <w:szCs w:val="18"/>
              </w:rPr>
            </w:pPr>
            <w:r>
              <w:rPr>
                <w:rFonts w:ascii="宋体" w:hAnsi="宋体" w:cs="宋体" w:eastAsia="宋体" w:hint="default"/>
                <w:spacing w:val="-5"/>
                <w:sz w:val="18"/>
                <w:szCs w:val="18"/>
              </w:rPr>
              <w:t>从事环保治理设施、设备</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pacing w:val="-5"/>
                <w:sz w:val="18"/>
                <w:szCs w:val="18"/>
              </w:rPr>
              <w:t>的研发、生产、加工安装</w:t>
            </w:r>
          </w:p>
        </w:tc>
        <w:tc>
          <w:tcPr>
            <w:tcW w:w="1134" w:type="dxa"/>
            <w:tcBorders>
              <w:top w:val="single" w:sz="4" w:space="0" w:color="000000"/>
              <w:left w:val="single" w:sz="4" w:space="0" w:color="000000"/>
              <w:bottom w:val="single" w:sz="4" w:space="0" w:color="000000"/>
              <w:right w:val="single" w:sz="4" w:space="0" w:color="000000"/>
            </w:tcBorders>
          </w:tcPr>
          <w:p>
            <w:pPr/>
          </w:p>
        </w:tc>
        <w:tc>
          <w:tcPr>
            <w:tcW w:w="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left="297" w:right="0"/>
              <w:jc w:val="lef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714"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89"/>
              <w:jc w:val="left"/>
              <w:rPr>
                <w:rFonts w:ascii="宋体" w:hAnsi="宋体" w:cs="宋体" w:eastAsia="宋体" w:hint="default"/>
                <w:sz w:val="18"/>
                <w:szCs w:val="18"/>
              </w:rPr>
            </w:pPr>
            <w:r>
              <w:rPr>
                <w:rFonts w:ascii="宋体" w:hAnsi="宋体" w:cs="宋体" w:eastAsia="宋体" w:hint="default"/>
                <w:sz w:val="18"/>
                <w:szCs w:val="18"/>
              </w:rPr>
              <w:t>河北先河正态环境检 测有限公司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石家庄市</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石家庄市</w:t>
            </w:r>
          </w:p>
        </w:tc>
        <w:tc>
          <w:tcPr>
            <w:tcW w:w="1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第三方检测服务</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97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714"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89"/>
              <w:jc w:val="left"/>
              <w:rPr>
                <w:rFonts w:ascii="宋体" w:hAnsi="宋体" w:cs="宋体" w:eastAsia="宋体" w:hint="default"/>
                <w:sz w:val="18"/>
                <w:szCs w:val="18"/>
              </w:rPr>
            </w:pPr>
            <w:r>
              <w:rPr>
                <w:rFonts w:ascii="宋体" w:hAnsi="宋体" w:cs="宋体" w:eastAsia="宋体" w:hint="default"/>
                <w:sz w:val="18"/>
                <w:szCs w:val="18"/>
              </w:rPr>
              <w:t>河北先河正阳环保设 备销售有限公司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石家庄市</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石家庄市</w:t>
            </w:r>
          </w:p>
        </w:tc>
        <w:tc>
          <w:tcPr>
            <w:tcW w:w="1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环境设备的销售</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86.75%</w:t>
            </w:r>
          </w:p>
        </w:tc>
        <w:tc>
          <w:tcPr>
            <w:tcW w:w="97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714"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89"/>
              <w:jc w:val="left"/>
              <w:rPr>
                <w:rFonts w:ascii="宋体" w:hAnsi="宋体" w:cs="宋体" w:eastAsia="宋体" w:hint="default"/>
                <w:sz w:val="18"/>
                <w:szCs w:val="18"/>
              </w:rPr>
            </w:pPr>
            <w:r>
              <w:rPr>
                <w:rFonts w:ascii="宋体" w:hAnsi="宋体" w:cs="宋体" w:eastAsia="宋体" w:hint="default"/>
                <w:sz w:val="18"/>
                <w:szCs w:val="18"/>
              </w:rPr>
              <w:t>河北先河正达环保技 术服务有限公司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石家庄市</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石家庄市</w:t>
            </w:r>
          </w:p>
        </w:tc>
        <w:tc>
          <w:tcPr>
            <w:tcW w:w="199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23"/>
              <w:jc w:val="left"/>
              <w:rPr>
                <w:rFonts w:ascii="宋体" w:hAnsi="宋体" w:cs="宋体" w:eastAsia="宋体" w:hint="default"/>
                <w:sz w:val="18"/>
                <w:szCs w:val="18"/>
              </w:rPr>
            </w:pPr>
            <w:r>
              <w:rPr>
                <w:rFonts w:ascii="宋体" w:hAnsi="宋体" w:cs="宋体" w:eastAsia="宋体" w:hint="default"/>
                <w:spacing w:val="-5"/>
                <w:sz w:val="18"/>
                <w:szCs w:val="18"/>
              </w:rPr>
              <w:t>环境监测设施、环境治理</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设施的运营技术服务</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77.50%</w:t>
            </w:r>
          </w:p>
        </w:tc>
        <w:tc>
          <w:tcPr>
            <w:tcW w:w="97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714"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89"/>
              <w:jc w:val="left"/>
              <w:rPr>
                <w:rFonts w:ascii="宋体" w:hAnsi="宋体" w:cs="宋体" w:eastAsia="宋体" w:hint="default"/>
                <w:sz w:val="18"/>
                <w:szCs w:val="18"/>
              </w:rPr>
            </w:pPr>
            <w:r>
              <w:rPr>
                <w:rFonts w:ascii="宋体" w:hAnsi="宋体" w:cs="宋体" w:eastAsia="宋体" w:hint="default"/>
                <w:sz w:val="18"/>
                <w:szCs w:val="18"/>
              </w:rPr>
              <w:t>重庆冀华环保科技发 展有限公司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重庆市</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重庆市</w:t>
            </w:r>
          </w:p>
        </w:tc>
        <w:tc>
          <w:tcPr>
            <w:tcW w:w="1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环保设备的安装</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60.00%</w:t>
            </w:r>
          </w:p>
        </w:tc>
        <w:tc>
          <w:tcPr>
            <w:tcW w:w="97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714"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2" w:right="189"/>
              <w:jc w:val="left"/>
              <w:rPr>
                <w:rFonts w:ascii="宋体" w:hAnsi="宋体" w:cs="宋体" w:eastAsia="宋体" w:hint="default"/>
                <w:sz w:val="18"/>
                <w:szCs w:val="18"/>
              </w:rPr>
            </w:pPr>
            <w:r>
              <w:rPr>
                <w:rFonts w:ascii="宋体" w:hAnsi="宋体" w:cs="宋体" w:eastAsia="宋体" w:hint="default"/>
                <w:sz w:val="18"/>
                <w:szCs w:val="18"/>
              </w:rPr>
              <w:t>重庆冀华正态检测技 术有限公司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重庆市</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重庆市</w:t>
            </w:r>
          </w:p>
        </w:tc>
        <w:tc>
          <w:tcPr>
            <w:tcW w:w="1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环境质量检测</w:t>
            </w:r>
          </w:p>
        </w:tc>
        <w:tc>
          <w:tcPr>
            <w:tcW w:w="1134" w:type="dxa"/>
            <w:tcBorders>
              <w:top w:val="single" w:sz="4" w:space="0" w:color="000000"/>
              <w:left w:val="single" w:sz="4" w:space="0" w:color="000000"/>
              <w:bottom w:val="single" w:sz="4" w:space="0" w:color="000000"/>
              <w:right w:val="single" w:sz="4" w:space="0" w:color="000000"/>
            </w:tcBorders>
          </w:tcPr>
          <w:p>
            <w:pPr/>
          </w:p>
        </w:tc>
        <w:tc>
          <w:tcPr>
            <w:tcW w:w="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97" w:right="0"/>
              <w:jc w:val="lef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714"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89"/>
              <w:jc w:val="left"/>
              <w:rPr>
                <w:rFonts w:ascii="宋体" w:hAnsi="宋体" w:cs="宋体" w:eastAsia="宋体" w:hint="default"/>
                <w:sz w:val="18"/>
                <w:szCs w:val="18"/>
              </w:rPr>
            </w:pPr>
            <w:r>
              <w:rPr>
                <w:rFonts w:ascii="宋体" w:hAnsi="宋体" w:cs="宋体" w:eastAsia="宋体" w:hint="default"/>
                <w:sz w:val="18"/>
                <w:szCs w:val="18"/>
              </w:rPr>
              <w:t>四川广迈富宇建设工 程有限公司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成都市</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成都市</w:t>
            </w:r>
          </w:p>
        </w:tc>
        <w:tc>
          <w:tcPr>
            <w:tcW w:w="1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建筑工程施工</w:t>
            </w:r>
          </w:p>
        </w:tc>
        <w:tc>
          <w:tcPr>
            <w:tcW w:w="1134" w:type="dxa"/>
            <w:tcBorders>
              <w:top w:val="single" w:sz="4" w:space="0" w:color="000000"/>
              <w:left w:val="single" w:sz="4" w:space="0" w:color="000000"/>
              <w:bottom w:val="single" w:sz="4" w:space="0" w:color="000000"/>
              <w:right w:val="single" w:sz="4" w:space="0" w:color="000000"/>
            </w:tcBorders>
          </w:tcPr>
          <w:p>
            <w:pPr/>
          </w:p>
        </w:tc>
        <w:tc>
          <w:tcPr>
            <w:tcW w:w="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97" w:right="0"/>
              <w:jc w:val="lef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1"/>
              <w:jc w:val="left"/>
              <w:rPr>
                <w:rFonts w:ascii="宋体" w:hAnsi="宋体" w:cs="宋体" w:eastAsia="宋体" w:hint="default"/>
                <w:sz w:val="18"/>
                <w:szCs w:val="18"/>
              </w:rPr>
            </w:pPr>
            <w:r>
              <w:rPr>
                <w:rFonts w:ascii="宋体" w:hAnsi="宋体" w:cs="宋体" w:eastAsia="宋体" w:hint="default"/>
                <w:sz w:val="18"/>
                <w:szCs w:val="18"/>
              </w:rPr>
              <w:t>非同一控制下企 业合并取得</w:t>
            </w:r>
          </w:p>
        </w:tc>
      </w:tr>
    </w:tbl>
    <w:p>
      <w:pPr>
        <w:spacing w:after="0" w:line="319"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b/>
          <w:bCs/>
          <w:sz w:val="28"/>
          <w:szCs w:val="28"/>
        </w:rPr>
      </w:pPr>
    </w:p>
    <w:tbl>
      <w:tblPr>
        <w:tblW w:w="0" w:type="auto"/>
        <w:jc w:val="left"/>
        <w:tblInd w:w="1129" w:type="dxa"/>
        <w:tblLayout w:type="fixed"/>
        <w:tblCellMar>
          <w:top w:w="0" w:type="dxa"/>
          <w:left w:w="0" w:type="dxa"/>
          <w:bottom w:w="0" w:type="dxa"/>
          <w:right w:w="0" w:type="dxa"/>
        </w:tblCellMar>
        <w:tblLook w:val="01E0"/>
      </w:tblPr>
      <w:tblGrid>
        <w:gridCol w:w="1844"/>
        <w:gridCol w:w="1134"/>
        <w:gridCol w:w="1128"/>
        <w:gridCol w:w="1991"/>
        <w:gridCol w:w="1134"/>
        <w:gridCol w:w="976"/>
        <w:gridCol w:w="1366"/>
      </w:tblGrid>
      <w:tr>
        <w:trPr>
          <w:trHeight w:val="714"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2" w:right="590"/>
              <w:jc w:val="left"/>
              <w:rPr>
                <w:rFonts w:ascii="Times New Roman" w:hAnsi="Times New Roman" w:cs="Times New Roman" w:eastAsia="Times New Roman" w:hint="default"/>
                <w:sz w:val="18"/>
                <w:szCs w:val="18"/>
              </w:rPr>
            </w:pPr>
            <w:r>
              <w:rPr>
                <w:rFonts w:ascii="Times New Roman"/>
                <w:sz w:val="18"/>
              </w:rPr>
              <w:t>SAILHERO</w:t>
            </w:r>
            <w:r>
              <w:rPr>
                <w:rFonts w:ascii="Times New Roman"/>
                <w:spacing w:val="-1"/>
                <w:sz w:val="18"/>
              </w:rPr>
              <w:t> </w:t>
            </w:r>
            <w:r>
              <w:rPr>
                <w:rFonts w:ascii="Times New Roman"/>
                <w:sz w:val="18"/>
              </w:rPr>
              <w:t>US</w:t>
            </w:r>
            <w:r>
              <w:rPr>
                <w:rFonts w:ascii="Times New Roman"/>
                <w:w w:val="99"/>
                <w:sz w:val="18"/>
              </w:rPr>
              <w:t> </w:t>
            </w:r>
            <w:r>
              <w:rPr>
                <w:rFonts w:ascii="Times New Roman"/>
                <w:sz w:val="18"/>
              </w:rPr>
              <w:t>HOLDING</w:t>
            </w:r>
            <w:r>
              <w:rPr>
                <w:rFonts w:ascii="Times New Roman"/>
                <w:spacing w:val="-3"/>
                <w:sz w:val="18"/>
              </w:rPr>
              <w:t> </w:t>
            </w:r>
            <w:r>
              <w:rPr>
                <w:rFonts w:ascii="Times New Roman"/>
                <w:sz w:val="18"/>
              </w:rPr>
              <w:t>INC.</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99"/>
              <w:jc w:val="left"/>
              <w:rPr>
                <w:rFonts w:ascii="宋体" w:hAnsi="宋体" w:cs="宋体" w:eastAsia="宋体" w:hint="default"/>
                <w:sz w:val="18"/>
                <w:szCs w:val="18"/>
              </w:rPr>
            </w:pPr>
            <w:r>
              <w:rPr>
                <w:rFonts w:ascii="宋体" w:hAnsi="宋体" w:cs="宋体" w:eastAsia="宋体" w:hint="default"/>
                <w:sz w:val="18"/>
                <w:szCs w:val="18"/>
              </w:rPr>
              <w:t>美国特拉华 州</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95"/>
              <w:jc w:val="left"/>
              <w:rPr>
                <w:rFonts w:ascii="宋体" w:hAnsi="宋体" w:cs="宋体" w:eastAsia="宋体" w:hint="default"/>
                <w:sz w:val="18"/>
                <w:szCs w:val="18"/>
              </w:rPr>
            </w:pPr>
            <w:r>
              <w:rPr>
                <w:rFonts w:ascii="宋体" w:hAnsi="宋体" w:cs="宋体" w:eastAsia="宋体" w:hint="default"/>
                <w:sz w:val="18"/>
                <w:szCs w:val="18"/>
              </w:rPr>
              <w:t>美国特拉华 州</w:t>
            </w:r>
          </w:p>
        </w:tc>
        <w:tc>
          <w:tcPr>
            <w:tcW w:w="1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投资控股、国际贸易</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97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714"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2" w:right="439"/>
              <w:jc w:val="left"/>
              <w:rPr>
                <w:rFonts w:ascii="Times New Roman" w:hAnsi="Times New Roman" w:cs="Times New Roman" w:eastAsia="Times New Roman" w:hint="default"/>
                <w:sz w:val="18"/>
                <w:szCs w:val="18"/>
              </w:rPr>
            </w:pPr>
            <w:r>
              <w:rPr>
                <w:rFonts w:ascii="Times New Roman"/>
                <w:sz w:val="18"/>
              </w:rPr>
              <w:t>SUNSET</w:t>
            </w:r>
            <w:r>
              <w:rPr>
                <w:rFonts w:ascii="Times New Roman"/>
                <w:spacing w:val="-4"/>
                <w:sz w:val="18"/>
              </w:rPr>
              <w:t> </w:t>
            </w:r>
            <w:r>
              <w:rPr>
                <w:rFonts w:ascii="Times New Roman"/>
                <w:sz w:val="18"/>
              </w:rPr>
              <w:t>CES</w:t>
            </w:r>
            <w:r>
              <w:rPr>
                <w:rFonts w:ascii="Times New Roman"/>
                <w:sz w:val="18"/>
              </w:rPr>
              <w:t> </w:t>
            </w:r>
            <w:r>
              <w:rPr>
                <w:rFonts w:ascii="Times New Roman"/>
                <w:spacing w:val="-2"/>
                <w:sz w:val="18"/>
              </w:rPr>
              <w:t>INCORPORATED</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99"/>
              <w:jc w:val="left"/>
              <w:rPr>
                <w:rFonts w:ascii="宋体" w:hAnsi="宋体" w:cs="宋体" w:eastAsia="宋体" w:hint="default"/>
                <w:sz w:val="18"/>
                <w:szCs w:val="18"/>
              </w:rPr>
            </w:pPr>
            <w:r>
              <w:rPr>
                <w:rFonts w:ascii="宋体" w:hAnsi="宋体" w:cs="宋体" w:eastAsia="宋体" w:hint="default"/>
                <w:sz w:val="18"/>
                <w:szCs w:val="18"/>
              </w:rPr>
              <w:t>美国特拉华 州</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95"/>
              <w:jc w:val="left"/>
              <w:rPr>
                <w:rFonts w:ascii="宋体" w:hAnsi="宋体" w:cs="宋体" w:eastAsia="宋体" w:hint="default"/>
                <w:sz w:val="18"/>
                <w:szCs w:val="18"/>
              </w:rPr>
            </w:pPr>
            <w:r>
              <w:rPr>
                <w:rFonts w:ascii="宋体" w:hAnsi="宋体" w:cs="宋体" w:eastAsia="宋体" w:hint="default"/>
                <w:sz w:val="18"/>
                <w:szCs w:val="18"/>
              </w:rPr>
              <w:t>美国特拉华 州</w:t>
            </w:r>
          </w:p>
        </w:tc>
        <w:tc>
          <w:tcPr>
            <w:tcW w:w="1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其他服务</w:t>
            </w:r>
          </w:p>
        </w:tc>
        <w:tc>
          <w:tcPr>
            <w:tcW w:w="1134" w:type="dxa"/>
            <w:tcBorders>
              <w:top w:val="single" w:sz="4" w:space="0" w:color="000000"/>
              <w:left w:val="single" w:sz="4" w:space="0" w:color="000000"/>
              <w:bottom w:val="single" w:sz="4" w:space="0" w:color="000000"/>
              <w:right w:val="single" w:sz="4" w:space="0" w:color="000000"/>
            </w:tcBorders>
          </w:tcPr>
          <w:p>
            <w:pPr/>
          </w:p>
        </w:tc>
        <w:tc>
          <w:tcPr>
            <w:tcW w:w="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60.20%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1026"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2" w:right="263"/>
              <w:jc w:val="left"/>
              <w:rPr>
                <w:rFonts w:ascii="Times New Roman" w:hAnsi="Times New Roman" w:cs="Times New Roman" w:eastAsia="Times New Roman" w:hint="default"/>
                <w:sz w:val="18"/>
                <w:szCs w:val="18"/>
              </w:rPr>
            </w:pPr>
            <w:r>
              <w:rPr>
                <w:rFonts w:ascii="Times New Roman"/>
                <w:sz w:val="18"/>
              </w:rPr>
              <w:t>COOPER</w:t>
            </w:r>
            <w:r>
              <w:rPr>
                <w:rFonts w:ascii="Times New Roman"/>
                <w:w w:val="99"/>
                <w:sz w:val="18"/>
              </w:rPr>
              <w:t> </w:t>
            </w:r>
            <w:r>
              <w:rPr>
                <w:rFonts w:ascii="Times New Roman"/>
                <w:spacing w:val="-2"/>
                <w:sz w:val="18"/>
              </w:rPr>
              <w:t>ENVIRONMENTAL</w:t>
            </w:r>
            <w:r>
              <w:rPr>
                <w:rFonts w:ascii="Times New Roman"/>
                <w:spacing w:val="-35"/>
                <w:sz w:val="18"/>
              </w:rPr>
              <w:t> </w:t>
            </w:r>
            <w:r>
              <w:rPr>
                <w:rFonts w:ascii="Times New Roman"/>
                <w:spacing w:val="-35"/>
                <w:sz w:val="18"/>
              </w:rPr>
            </w:r>
            <w:r>
              <w:rPr>
                <w:rFonts w:ascii="Times New Roman"/>
                <w:sz w:val="18"/>
              </w:rPr>
              <w:t>SERVICES,LLC</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9" w:lineRule="auto"/>
              <w:ind w:left="22" w:right="199"/>
              <w:jc w:val="left"/>
              <w:rPr>
                <w:rFonts w:ascii="宋体" w:hAnsi="宋体" w:cs="宋体" w:eastAsia="宋体" w:hint="default"/>
                <w:sz w:val="18"/>
                <w:szCs w:val="18"/>
              </w:rPr>
            </w:pPr>
            <w:r>
              <w:rPr>
                <w:rFonts w:ascii="宋体" w:hAnsi="宋体" w:cs="宋体" w:eastAsia="宋体" w:hint="default"/>
                <w:sz w:val="18"/>
                <w:szCs w:val="18"/>
              </w:rPr>
              <w:t>美国俄勒冈 州</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9" w:lineRule="auto"/>
              <w:ind w:left="22" w:right="195"/>
              <w:jc w:val="left"/>
              <w:rPr>
                <w:rFonts w:ascii="宋体" w:hAnsi="宋体" w:cs="宋体" w:eastAsia="宋体" w:hint="default"/>
                <w:sz w:val="18"/>
                <w:szCs w:val="18"/>
              </w:rPr>
            </w:pPr>
            <w:r>
              <w:rPr>
                <w:rFonts w:ascii="宋体" w:hAnsi="宋体" w:cs="宋体" w:eastAsia="宋体" w:hint="default"/>
                <w:sz w:val="18"/>
                <w:szCs w:val="18"/>
              </w:rPr>
              <w:t>美国俄勒冈 州</w:t>
            </w:r>
          </w:p>
        </w:tc>
        <w:tc>
          <w:tcPr>
            <w:tcW w:w="1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其他服务</w:t>
            </w:r>
          </w:p>
        </w:tc>
        <w:tc>
          <w:tcPr>
            <w:tcW w:w="1134" w:type="dxa"/>
            <w:tcBorders>
              <w:top w:val="single" w:sz="4" w:space="0" w:color="000000"/>
              <w:left w:val="single" w:sz="4" w:space="0" w:color="000000"/>
              <w:bottom w:val="single" w:sz="4" w:space="0" w:color="000000"/>
              <w:right w:val="single" w:sz="4" w:space="0" w:color="000000"/>
            </w:tcBorders>
          </w:tcPr>
          <w:p>
            <w:pPr/>
          </w:p>
        </w:tc>
        <w:tc>
          <w:tcPr>
            <w:tcW w:w="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9" w:lineRule="auto"/>
              <w:ind w:left="22" w:right="71"/>
              <w:jc w:val="left"/>
              <w:rPr>
                <w:rFonts w:ascii="宋体" w:hAnsi="宋体" w:cs="宋体" w:eastAsia="宋体" w:hint="default"/>
                <w:sz w:val="18"/>
                <w:szCs w:val="18"/>
              </w:rPr>
            </w:pPr>
            <w:r>
              <w:rPr>
                <w:rFonts w:ascii="宋体" w:hAnsi="宋体" w:cs="宋体" w:eastAsia="宋体" w:hint="default"/>
                <w:sz w:val="18"/>
                <w:szCs w:val="18"/>
              </w:rPr>
              <w:t>非同一控制下企 业合并取得</w:t>
            </w:r>
          </w:p>
        </w:tc>
      </w:tr>
      <w:tr>
        <w:trPr>
          <w:trHeight w:val="714"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Sunset Laboratory</w:t>
            </w:r>
            <w:r>
              <w:rPr>
                <w:rFonts w:ascii="Times New Roman"/>
                <w:spacing w:val="-7"/>
                <w:sz w:val="18"/>
              </w:rPr>
              <w:t> </w:t>
            </w:r>
            <w:r>
              <w:rPr>
                <w:rFonts w:ascii="Times New Roman"/>
                <w:sz w:val="18"/>
              </w:rPr>
              <w:t>Inc.</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99"/>
              <w:jc w:val="left"/>
              <w:rPr>
                <w:rFonts w:ascii="宋体" w:hAnsi="宋体" w:cs="宋体" w:eastAsia="宋体" w:hint="default"/>
                <w:sz w:val="18"/>
                <w:szCs w:val="18"/>
              </w:rPr>
            </w:pPr>
            <w:r>
              <w:rPr>
                <w:rFonts w:ascii="宋体" w:hAnsi="宋体" w:cs="宋体" w:eastAsia="宋体" w:hint="default"/>
                <w:sz w:val="18"/>
                <w:szCs w:val="18"/>
              </w:rPr>
              <w:t>美国俄勒冈 州</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95"/>
              <w:jc w:val="left"/>
              <w:rPr>
                <w:rFonts w:ascii="宋体" w:hAnsi="宋体" w:cs="宋体" w:eastAsia="宋体" w:hint="default"/>
                <w:sz w:val="18"/>
                <w:szCs w:val="18"/>
              </w:rPr>
            </w:pPr>
            <w:r>
              <w:rPr>
                <w:rFonts w:ascii="宋体" w:hAnsi="宋体" w:cs="宋体" w:eastAsia="宋体" w:hint="default"/>
                <w:sz w:val="18"/>
                <w:szCs w:val="18"/>
              </w:rPr>
              <w:t>美国俄勒冈 州</w:t>
            </w:r>
          </w:p>
        </w:tc>
        <w:tc>
          <w:tcPr>
            <w:tcW w:w="1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其他服务</w:t>
            </w:r>
          </w:p>
        </w:tc>
        <w:tc>
          <w:tcPr>
            <w:tcW w:w="1134" w:type="dxa"/>
            <w:tcBorders>
              <w:top w:val="single" w:sz="4" w:space="0" w:color="000000"/>
              <w:left w:val="single" w:sz="4" w:space="0" w:color="000000"/>
              <w:bottom w:val="single" w:sz="4" w:space="0" w:color="000000"/>
              <w:right w:val="single" w:sz="4" w:space="0" w:color="000000"/>
            </w:tcBorders>
          </w:tcPr>
          <w:p>
            <w:pPr/>
          </w:p>
        </w:tc>
        <w:tc>
          <w:tcPr>
            <w:tcW w:w="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1"/>
              <w:jc w:val="left"/>
              <w:rPr>
                <w:rFonts w:ascii="宋体" w:hAnsi="宋体" w:cs="宋体" w:eastAsia="宋体" w:hint="default"/>
                <w:sz w:val="18"/>
                <w:szCs w:val="18"/>
              </w:rPr>
            </w:pPr>
            <w:r>
              <w:rPr>
                <w:rFonts w:ascii="宋体" w:hAnsi="宋体" w:cs="宋体" w:eastAsia="宋体" w:hint="default"/>
                <w:sz w:val="18"/>
                <w:szCs w:val="18"/>
              </w:rPr>
              <w:t>非同一控制下企 业合并取得</w:t>
            </w:r>
          </w:p>
        </w:tc>
      </w:tr>
      <w:tr>
        <w:trPr>
          <w:trHeight w:val="714"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89"/>
              <w:jc w:val="left"/>
              <w:rPr>
                <w:rFonts w:ascii="宋体" w:hAnsi="宋体" w:cs="宋体" w:eastAsia="宋体" w:hint="default"/>
                <w:sz w:val="18"/>
                <w:szCs w:val="18"/>
              </w:rPr>
            </w:pPr>
            <w:r>
              <w:rPr>
                <w:rFonts w:ascii="宋体" w:hAnsi="宋体" w:cs="宋体" w:eastAsia="宋体" w:hint="default"/>
                <w:sz w:val="18"/>
                <w:szCs w:val="18"/>
              </w:rPr>
              <w:t>广东先河科迪隆科技 有限公司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广州市</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广州市</w:t>
            </w:r>
          </w:p>
        </w:tc>
        <w:tc>
          <w:tcPr>
            <w:tcW w:w="1991" w:type="dxa"/>
            <w:tcBorders>
              <w:top w:val="single" w:sz="4" w:space="0" w:color="000000"/>
              <w:left w:val="single" w:sz="4" w:space="0" w:color="000000"/>
              <w:bottom w:val="single" w:sz="4" w:space="0" w:color="000000"/>
              <w:right w:val="single" w:sz="9" w:space="0" w:color="FFFFFF"/>
            </w:tcBorders>
          </w:tcPr>
          <w:p>
            <w:pPr>
              <w:pStyle w:val="TableParagraph"/>
              <w:spacing w:line="319" w:lineRule="auto" w:before="51"/>
              <w:ind w:left="22" w:right="-29"/>
              <w:jc w:val="left"/>
              <w:rPr>
                <w:rFonts w:ascii="宋体" w:hAnsi="宋体" w:cs="宋体" w:eastAsia="宋体" w:hint="default"/>
                <w:sz w:val="18"/>
                <w:szCs w:val="18"/>
              </w:rPr>
            </w:pPr>
            <w:r>
              <w:rPr>
                <w:rFonts w:ascii="宋体" w:hAnsi="宋体" w:cs="宋体" w:eastAsia="宋体" w:hint="default"/>
                <w:sz w:val="18"/>
                <w:szCs w:val="18"/>
              </w:rPr>
              <w:t>环境监测专用仪器销售、 研发及运营服务</w:t>
            </w:r>
          </w:p>
        </w:tc>
        <w:tc>
          <w:tcPr>
            <w:tcW w:w="1134" w:type="dxa"/>
            <w:tcBorders>
              <w:top w:val="single" w:sz="4" w:space="0" w:color="000000"/>
              <w:left w:val="single" w:sz="9" w:space="0" w:color="FFFFFF"/>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80.00%</w:t>
            </w:r>
          </w:p>
        </w:tc>
        <w:tc>
          <w:tcPr>
            <w:tcW w:w="97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1"/>
              <w:jc w:val="left"/>
              <w:rPr>
                <w:rFonts w:ascii="宋体" w:hAnsi="宋体" w:cs="宋体" w:eastAsia="宋体" w:hint="default"/>
                <w:sz w:val="18"/>
                <w:szCs w:val="18"/>
              </w:rPr>
            </w:pPr>
            <w:r>
              <w:rPr>
                <w:rFonts w:ascii="宋体" w:hAnsi="宋体" w:cs="宋体" w:eastAsia="宋体" w:hint="default"/>
                <w:sz w:val="18"/>
                <w:szCs w:val="18"/>
              </w:rPr>
              <w:t>非同一控制下企 业合并取得</w:t>
            </w:r>
          </w:p>
        </w:tc>
      </w:tr>
      <w:tr>
        <w:trPr>
          <w:trHeight w:val="714"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89"/>
              <w:jc w:val="left"/>
              <w:rPr>
                <w:rFonts w:ascii="宋体" w:hAnsi="宋体" w:cs="宋体" w:eastAsia="宋体" w:hint="default"/>
                <w:sz w:val="18"/>
                <w:szCs w:val="18"/>
              </w:rPr>
            </w:pPr>
            <w:r>
              <w:rPr>
                <w:rFonts w:ascii="宋体" w:hAnsi="宋体" w:cs="宋体" w:eastAsia="宋体" w:hint="default"/>
                <w:sz w:val="18"/>
                <w:szCs w:val="18"/>
              </w:rPr>
              <w:t>广州博世芬科技有限 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广州市</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广州市</w:t>
            </w:r>
          </w:p>
        </w:tc>
        <w:tc>
          <w:tcPr>
            <w:tcW w:w="199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0"/>
              <w:jc w:val="left"/>
              <w:rPr>
                <w:rFonts w:ascii="宋体" w:hAnsi="宋体" w:cs="宋体" w:eastAsia="宋体" w:hint="default"/>
                <w:sz w:val="18"/>
                <w:szCs w:val="18"/>
              </w:rPr>
            </w:pPr>
            <w:r>
              <w:rPr>
                <w:rFonts w:ascii="宋体" w:hAnsi="宋体" w:cs="宋体" w:eastAsia="宋体" w:hint="default"/>
                <w:spacing w:val="-5"/>
                <w:sz w:val="18"/>
                <w:szCs w:val="18"/>
              </w:rPr>
              <w:t>环保仪器及工程设计、货</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物进出口</w:t>
            </w:r>
          </w:p>
        </w:tc>
        <w:tc>
          <w:tcPr>
            <w:tcW w:w="1134" w:type="dxa"/>
            <w:tcBorders>
              <w:top w:val="single" w:sz="4" w:space="0" w:color="000000"/>
              <w:left w:val="single" w:sz="4" w:space="0" w:color="000000"/>
              <w:bottom w:val="single" w:sz="4" w:space="0" w:color="000000"/>
              <w:right w:val="single" w:sz="4" w:space="0" w:color="000000"/>
            </w:tcBorders>
          </w:tcPr>
          <w:p>
            <w:pPr/>
          </w:p>
        </w:tc>
        <w:tc>
          <w:tcPr>
            <w:tcW w:w="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1"/>
              <w:jc w:val="left"/>
              <w:rPr>
                <w:rFonts w:ascii="宋体" w:hAnsi="宋体" w:cs="宋体" w:eastAsia="宋体" w:hint="default"/>
                <w:sz w:val="18"/>
                <w:szCs w:val="18"/>
              </w:rPr>
            </w:pPr>
            <w:r>
              <w:rPr>
                <w:rFonts w:ascii="宋体" w:hAnsi="宋体" w:cs="宋体" w:eastAsia="宋体" w:hint="default"/>
                <w:sz w:val="18"/>
                <w:szCs w:val="18"/>
              </w:rPr>
              <w:t>非同一控制下企 业合并取得</w:t>
            </w:r>
          </w:p>
        </w:tc>
      </w:tr>
      <w:tr>
        <w:trPr>
          <w:trHeight w:val="714"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89"/>
              <w:jc w:val="left"/>
              <w:rPr>
                <w:rFonts w:ascii="宋体" w:hAnsi="宋体" w:cs="宋体" w:eastAsia="宋体" w:hint="default"/>
                <w:sz w:val="18"/>
                <w:szCs w:val="18"/>
              </w:rPr>
            </w:pPr>
            <w:r>
              <w:rPr>
                <w:rFonts w:ascii="宋体" w:hAnsi="宋体" w:cs="宋体" w:eastAsia="宋体" w:hint="default"/>
                <w:sz w:val="18"/>
                <w:szCs w:val="18"/>
              </w:rPr>
              <w:t>广州市云景信息科技 有限公司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广州市</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广州市</w:t>
            </w:r>
          </w:p>
        </w:tc>
        <w:tc>
          <w:tcPr>
            <w:tcW w:w="1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技术软件开发和服务</w:t>
            </w:r>
          </w:p>
        </w:tc>
        <w:tc>
          <w:tcPr>
            <w:tcW w:w="1134" w:type="dxa"/>
            <w:tcBorders>
              <w:top w:val="single" w:sz="4" w:space="0" w:color="000000"/>
              <w:left w:val="single" w:sz="4" w:space="0" w:color="000000"/>
              <w:bottom w:val="single" w:sz="4" w:space="0" w:color="000000"/>
              <w:right w:val="single" w:sz="4" w:space="0" w:color="000000"/>
            </w:tcBorders>
          </w:tcPr>
          <w:p>
            <w:pPr/>
          </w:p>
        </w:tc>
        <w:tc>
          <w:tcPr>
            <w:tcW w:w="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58.90%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1"/>
              <w:jc w:val="left"/>
              <w:rPr>
                <w:rFonts w:ascii="宋体" w:hAnsi="宋体" w:cs="宋体" w:eastAsia="宋体" w:hint="default"/>
                <w:sz w:val="18"/>
                <w:szCs w:val="18"/>
              </w:rPr>
            </w:pPr>
            <w:r>
              <w:rPr>
                <w:rFonts w:ascii="宋体" w:hAnsi="宋体" w:cs="宋体" w:eastAsia="宋体" w:hint="default"/>
                <w:sz w:val="18"/>
                <w:szCs w:val="18"/>
              </w:rPr>
              <w:t>非同一控制下企 业合并取得</w:t>
            </w:r>
          </w:p>
        </w:tc>
      </w:tr>
      <w:tr>
        <w:trPr>
          <w:trHeight w:val="714"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89"/>
              <w:jc w:val="left"/>
              <w:rPr>
                <w:rFonts w:ascii="宋体" w:hAnsi="宋体" w:cs="宋体" w:eastAsia="宋体" w:hint="default"/>
                <w:sz w:val="18"/>
                <w:szCs w:val="18"/>
              </w:rPr>
            </w:pPr>
            <w:r>
              <w:rPr>
                <w:rFonts w:ascii="宋体" w:hAnsi="宋体" w:cs="宋体" w:eastAsia="宋体" w:hint="default"/>
                <w:sz w:val="18"/>
                <w:szCs w:val="18"/>
              </w:rPr>
              <w:t>广西先得环保科技有 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南宁市</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南宁市</w:t>
            </w:r>
          </w:p>
        </w:tc>
        <w:tc>
          <w:tcPr>
            <w:tcW w:w="1991" w:type="dxa"/>
            <w:tcBorders>
              <w:top w:val="single" w:sz="4" w:space="0" w:color="000000"/>
              <w:left w:val="single" w:sz="4" w:space="0" w:color="000000"/>
              <w:bottom w:val="single" w:sz="4" w:space="0" w:color="000000"/>
              <w:right w:val="single" w:sz="9" w:space="0" w:color="FFFFFF"/>
            </w:tcBorders>
          </w:tcPr>
          <w:p>
            <w:pPr>
              <w:pStyle w:val="TableParagraph"/>
              <w:spacing w:line="319" w:lineRule="auto" w:before="51"/>
              <w:ind w:left="22" w:right="-29"/>
              <w:jc w:val="left"/>
              <w:rPr>
                <w:rFonts w:ascii="宋体" w:hAnsi="宋体" w:cs="宋体" w:eastAsia="宋体" w:hint="default"/>
                <w:sz w:val="18"/>
                <w:szCs w:val="18"/>
              </w:rPr>
            </w:pPr>
            <w:r>
              <w:rPr>
                <w:rFonts w:ascii="宋体" w:hAnsi="宋体" w:cs="宋体" w:eastAsia="宋体" w:hint="default"/>
                <w:sz w:val="18"/>
                <w:szCs w:val="18"/>
              </w:rPr>
              <w:t>环境监测专用仪器销售、 研发及运营服务</w:t>
            </w:r>
          </w:p>
        </w:tc>
        <w:tc>
          <w:tcPr>
            <w:tcW w:w="1134" w:type="dxa"/>
            <w:tcBorders>
              <w:top w:val="single" w:sz="4" w:space="0" w:color="000000"/>
              <w:left w:val="single" w:sz="9" w:space="0" w:color="FFFFFF"/>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80.00%</w:t>
            </w:r>
          </w:p>
        </w:tc>
        <w:tc>
          <w:tcPr>
            <w:tcW w:w="97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1"/>
              <w:jc w:val="left"/>
              <w:rPr>
                <w:rFonts w:ascii="宋体" w:hAnsi="宋体" w:cs="宋体" w:eastAsia="宋体" w:hint="default"/>
                <w:sz w:val="18"/>
                <w:szCs w:val="18"/>
              </w:rPr>
            </w:pPr>
            <w:r>
              <w:rPr>
                <w:rFonts w:ascii="宋体" w:hAnsi="宋体" w:cs="宋体" w:eastAsia="宋体" w:hint="default"/>
                <w:sz w:val="18"/>
                <w:szCs w:val="18"/>
              </w:rPr>
              <w:t>非同一控制下企 业合并取得</w:t>
            </w:r>
          </w:p>
        </w:tc>
      </w:tr>
      <w:tr>
        <w:trPr>
          <w:trHeight w:val="714"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89"/>
              <w:jc w:val="left"/>
              <w:rPr>
                <w:rFonts w:ascii="宋体" w:hAnsi="宋体" w:cs="宋体" w:eastAsia="宋体" w:hint="default"/>
                <w:sz w:val="18"/>
                <w:szCs w:val="18"/>
              </w:rPr>
            </w:pPr>
            <w:r>
              <w:rPr>
                <w:rFonts w:ascii="宋体" w:hAnsi="宋体" w:cs="宋体" w:eastAsia="宋体" w:hint="default"/>
                <w:sz w:val="18"/>
                <w:szCs w:val="18"/>
              </w:rPr>
              <w:t>广西科测检测技术有 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南宁市</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南宁市</w:t>
            </w:r>
          </w:p>
        </w:tc>
        <w:tc>
          <w:tcPr>
            <w:tcW w:w="199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0"/>
              <w:jc w:val="left"/>
              <w:rPr>
                <w:rFonts w:ascii="宋体" w:hAnsi="宋体" w:cs="宋体" w:eastAsia="宋体" w:hint="default"/>
                <w:sz w:val="18"/>
                <w:szCs w:val="18"/>
              </w:rPr>
            </w:pPr>
            <w:r>
              <w:rPr>
                <w:rFonts w:ascii="宋体" w:hAnsi="宋体" w:cs="宋体" w:eastAsia="宋体" w:hint="default"/>
                <w:spacing w:val="-5"/>
                <w:sz w:val="18"/>
                <w:szCs w:val="18"/>
              </w:rPr>
              <w:t>环境技术咨询服务；环境</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检测</w:t>
            </w:r>
          </w:p>
        </w:tc>
        <w:tc>
          <w:tcPr>
            <w:tcW w:w="1134" w:type="dxa"/>
            <w:tcBorders>
              <w:top w:val="single" w:sz="4" w:space="0" w:color="000000"/>
              <w:left w:val="single" w:sz="4" w:space="0" w:color="000000"/>
              <w:bottom w:val="single" w:sz="4" w:space="0" w:color="000000"/>
              <w:right w:val="single" w:sz="4" w:space="0" w:color="000000"/>
            </w:tcBorders>
          </w:tcPr>
          <w:p>
            <w:pPr/>
          </w:p>
        </w:tc>
        <w:tc>
          <w:tcPr>
            <w:tcW w:w="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84.00%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1"/>
              <w:jc w:val="left"/>
              <w:rPr>
                <w:rFonts w:ascii="宋体" w:hAnsi="宋体" w:cs="宋体" w:eastAsia="宋体" w:hint="default"/>
                <w:sz w:val="18"/>
                <w:szCs w:val="18"/>
              </w:rPr>
            </w:pPr>
            <w:r>
              <w:rPr>
                <w:rFonts w:ascii="宋体" w:hAnsi="宋体" w:cs="宋体" w:eastAsia="宋体" w:hint="default"/>
                <w:sz w:val="18"/>
                <w:szCs w:val="18"/>
              </w:rPr>
              <w:t>非同一控制下企 业合并取得</w:t>
            </w:r>
          </w:p>
        </w:tc>
      </w:tr>
      <w:tr>
        <w:trPr>
          <w:trHeight w:val="714"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89"/>
              <w:jc w:val="left"/>
              <w:rPr>
                <w:rFonts w:ascii="宋体" w:hAnsi="宋体" w:cs="宋体" w:eastAsia="宋体" w:hint="default"/>
                <w:sz w:val="18"/>
                <w:szCs w:val="18"/>
              </w:rPr>
            </w:pPr>
            <w:r>
              <w:rPr>
                <w:rFonts w:ascii="宋体" w:hAnsi="宋体" w:cs="宋体" w:eastAsia="宋体" w:hint="default"/>
                <w:sz w:val="18"/>
                <w:szCs w:val="18"/>
              </w:rPr>
              <w:t>四川久环环境技术有 限责任公司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绵阳市</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绵阳市</w:t>
            </w:r>
          </w:p>
        </w:tc>
        <w:tc>
          <w:tcPr>
            <w:tcW w:w="199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56"/>
              <w:jc w:val="left"/>
              <w:rPr>
                <w:rFonts w:ascii="宋体" w:hAnsi="宋体" w:cs="宋体" w:eastAsia="宋体" w:hint="default"/>
                <w:sz w:val="18"/>
                <w:szCs w:val="18"/>
              </w:rPr>
            </w:pPr>
            <w:r>
              <w:rPr>
                <w:rFonts w:ascii="宋体" w:hAnsi="宋体" w:cs="宋体" w:eastAsia="宋体" w:hint="default"/>
                <w:sz w:val="18"/>
                <w:szCs w:val="18"/>
              </w:rPr>
              <w:t>环境监测设备销售、安 装、运营；软件研发</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80.00%</w:t>
            </w:r>
          </w:p>
        </w:tc>
        <w:tc>
          <w:tcPr>
            <w:tcW w:w="97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1"/>
              <w:jc w:val="left"/>
              <w:rPr>
                <w:rFonts w:ascii="宋体" w:hAnsi="宋体" w:cs="宋体" w:eastAsia="宋体" w:hint="default"/>
                <w:sz w:val="18"/>
                <w:szCs w:val="18"/>
              </w:rPr>
            </w:pPr>
            <w:r>
              <w:rPr>
                <w:rFonts w:ascii="宋体" w:hAnsi="宋体" w:cs="宋体" w:eastAsia="宋体" w:hint="default"/>
                <w:sz w:val="18"/>
                <w:szCs w:val="18"/>
              </w:rPr>
              <w:t>非同一控制下企 业合并取得</w:t>
            </w:r>
          </w:p>
        </w:tc>
      </w:tr>
    </w:tbl>
    <w:p>
      <w:pPr>
        <w:pStyle w:val="BodyText"/>
        <w:spacing w:line="240" w:lineRule="auto" w:before="51"/>
        <w:ind w:left="1134" w:right="0"/>
        <w:jc w:val="left"/>
      </w:pPr>
      <w:r>
        <w:rPr/>
        <w:t>在子公司的持股比例不同于表决权比例的说明：</w:t>
      </w: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17"/>
          <w:szCs w:val="17"/>
        </w:rPr>
      </w:pPr>
    </w:p>
    <w:p>
      <w:pPr>
        <w:pStyle w:val="BodyText"/>
        <w:spacing w:line="360" w:lineRule="auto"/>
        <w:ind w:right="2833"/>
        <w:jc w:val="left"/>
      </w:pPr>
      <w:r>
        <w:rPr/>
        <w:t>持有半数或以下表决权但仍控制被投资单位、以及持有半数以上表决权但不控制被投资单位的依据： 对于纳入合并范围的重要的结构化主体，控制的依据：</w:t>
      </w:r>
    </w:p>
    <w:p>
      <w:pPr>
        <w:pStyle w:val="BodyText"/>
        <w:spacing w:line="357" w:lineRule="auto" w:before="26"/>
        <w:ind w:left="1134" w:right="7692"/>
        <w:jc w:val="left"/>
      </w:pPr>
      <w:r>
        <w:rPr/>
        <w:t>确定公司是代理人还是委托人的依据： 其他说明：</w:t>
      </w:r>
    </w:p>
    <w:p>
      <w:pPr>
        <w:pStyle w:val="BodyText"/>
        <w:spacing w:line="300" w:lineRule="auto" w:before="108"/>
        <w:ind w:left="1134" w:right="1119" w:firstLine="420"/>
        <w:jc w:val="left"/>
      </w:pPr>
      <w:r>
        <w:rPr>
          <w:spacing w:val="-1"/>
        </w:rPr>
        <w:t>河北先河正源环境治理技术有限公司注册资本</w:t>
      </w:r>
      <w:r>
        <w:rPr>
          <w:rFonts w:ascii="Times New Roman" w:hAnsi="Times New Roman" w:cs="Times New Roman" w:eastAsia="Times New Roman" w:hint="default"/>
          <w:spacing w:val="-1"/>
        </w:rPr>
        <w:t>3,000</w:t>
      </w:r>
      <w:r>
        <w:rPr>
          <w:spacing w:val="-1"/>
        </w:rPr>
        <w:t>万元，实收资本</w:t>
      </w:r>
      <w:r>
        <w:rPr>
          <w:rFonts w:ascii="Times New Roman" w:hAnsi="Times New Roman" w:cs="Times New Roman" w:eastAsia="Times New Roman" w:hint="default"/>
          <w:spacing w:val="-1"/>
        </w:rPr>
        <w:t>2,700</w:t>
      </w:r>
      <w:r>
        <w:rPr>
          <w:spacing w:val="-1"/>
        </w:rPr>
        <w:t>万元，均由本公司认缴。根据双方约定，股东</w:t>
      </w:r>
      <w:r>
        <w:rPr/>
        <w:t> 按照实缴的出资比例享有收益，承担亏损。本公司在编制合并报表时对该公司按</w:t>
      </w:r>
      <w:r>
        <w:rPr>
          <w:rFonts w:ascii="Times New Roman" w:hAnsi="Times New Roman" w:cs="Times New Roman" w:eastAsia="Times New Roman" w:hint="default"/>
        </w:rPr>
        <w:t>100%</w:t>
      </w:r>
      <w:r>
        <w:rPr/>
        <w:t>股权比例进行合并。</w:t>
      </w:r>
    </w:p>
    <w:p>
      <w:pPr>
        <w:pStyle w:val="BodyText"/>
        <w:spacing w:line="300" w:lineRule="auto" w:before="133"/>
        <w:ind w:right="0" w:firstLine="420"/>
        <w:jc w:val="left"/>
      </w:pPr>
      <w:r>
        <w:rPr>
          <w:spacing w:val="-1"/>
        </w:rPr>
        <w:t>河北先河正阳环保设备销售有限公司注册资本</w:t>
      </w:r>
      <w:r>
        <w:rPr>
          <w:rFonts w:ascii="Times New Roman" w:hAnsi="Times New Roman" w:cs="Times New Roman" w:eastAsia="Times New Roman" w:hint="default"/>
          <w:spacing w:val="-1"/>
        </w:rPr>
        <w:t>2000.00</w:t>
      </w:r>
      <w:r>
        <w:rPr>
          <w:spacing w:val="-1"/>
        </w:rPr>
        <w:t>万元，公司及其他股东均未实缴出资，根据补充协议，在其他股</w:t>
      </w:r>
      <w:r>
        <w:rPr/>
        <w:t> 东未实际出资前，由公司享有资产收益和重大决策等权利。本公司在编制合并报表时对该公司按</w:t>
      </w:r>
      <w:r>
        <w:rPr>
          <w:rFonts w:ascii="Times New Roman" w:hAnsi="Times New Roman" w:cs="Times New Roman" w:eastAsia="Times New Roman" w:hint="default"/>
        </w:rPr>
        <w:t>100%</w:t>
      </w:r>
      <w:r>
        <w:rPr/>
        <w:t>股权比例进行合并。</w:t>
      </w:r>
    </w:p>
    <w:p>
      <w:pPr>
        <w:pStyle w:val="BodyText"/>
        <w:spacing w:line="300" w:lineRule="auto" w:before="133"/>
        <w:ind w:right="1153" w:firstLine="420"/>
        <w:jc w:val="left"/>
      </w:pPr>
      <w:r>
        <w:rPr/>
        <w:t>河北先河正达环保技术服务有限公司注册资本</w:t>
      </w:r>
      <w:r>
        <w:rPr>
          <w:rFonts w:ascii="Times New Roman" w:hAnsi="Times New Roman" w:cs="Times New Roman" w:eastAsia="Times New Roman" w:hint="default"/>
        </w:rPr>
        <w:t>800.00</w:t>
      </w:r>
      <w:r>
        <w:rPr/>
        <w:t>万元，公司及其他股东均未实缴出资，根据补充协议，在其他股 东未实际出资前，由公司享有资产收益和重大决策等权利。本公司在编制合并报表时对该公司按</w:t>
      </w:r>
      <w:r>
        <w:rPr>
          <w:rFonts w:ascii="Times New Roman" w:hAnsi="Times New Roman" w:cs="Times New Roman" w:eastAsia="Times New Roman" w:hint="default"/>
        </w:rPr>
        <w:t>100%</w:t>
      </w:r>
      <w:r>
        <w:rPr/>
        <w:t>股权比例进行合并。</w:t>
      </w:r>
    </w:p>
    <w:p>
      <w:pPr>
        <w:spacing w:line="240" w:lineRule="auto" w:before="1"/>
        <w:rPr>
          <w:rFonts w:ascii="宋体" w:hAnsi="宋体" w:cs="宋体" w:eastAsia="宋体" w:hint="default"/>
          <w:sz w:val="22"/>
          <w:szCs w:val="22"/>
        </w:rPr>
      </w:pPr>
    </w:p>
    <w:p>
      <w:pPr>
        <w:pStyle w:val="Heading3"/>
        <w:spacing w:line="240" w:lineRule="auto"/>
        <w:ind w:right="0"/>
        <w:jc w:val="left"/>
        <w:rPr>
          <w:b w:val="0"/>
          <w:bCs w:val="0"/>
        </w:rPr>
      </w:pPr>
      <w:bookmarkStart w:name="（2）重要的非全资子公司" w:id="335"/>
      <w:bookmarkEnd w:id="335"/>
      <w:r>
        <w:rPr>
          <w:b w:val="0"/>
          <w:bCs w:val="0"/>
        </w:rPr>
      </w:r>
      <w:r>
        <w:rPr/>
        <w:t>（</w:t>
      </w:r>
      <w:r>
        <w:rPr>
          <w:rFonts w:ascii="Times New Roman" w:hAnsi="Times New Roman" w:cs="Times New Roman" w:eastAsia="Times New Roman" w:hint="default"/>
        </w:rPr>
        <w:t>2</w:t>
      </w:r>
      <w:r>
        <w:rPr/>
        <w:t>）重要的非全资子公司</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917"/>
        <w:gridCol w:w="1914"/>
        <w:gridCol w:w="1914"/>
        <w:gridCol w:w="1913"/>
        <w:gridCol w:w="1913"/>
      </w:tblGrid>
      <w:tr>
        <w:trPr>
          <w:trHeight w:val="764" w:hRule="exact"/>
        </w:trPr>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503"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231" w:right="0"/>
              <w:jc w:val="left"/>
              <w:rPr>
                <w:rFonts w:ascii="宋体" w:hAnsi="宋体" w:cs="宋体" w:eastAsia="宋体" w:hint="default"/>
                <w:sz w:val="18"/>
                <w:szCs w:val="18"/>
              </w:rPr>
            </w:pPr>
            <w:r>
              <w:rPr>
                <w:rFonts w:ascii="宋体" w:hAnsi="宋体" w:cs="宋体" w:eastAsia="宋体" w:hint="default"/>
                <w:sz w:val="18"/>
                <w:szCs w:val="18"/>
              </w:rPr>
              <w:t>少数股东持股比例</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76"/>
              <w:ind w:left="771" w:right="50" w:hanging="720"/>
              <w:jc w:val="left"/>
              <w:rPr>
                <w:rFonts w:ascii="宋体" w:hAnsi="宋体" w:cs="宋体" w:eastAsia="宋体" w:hint="default"/>
                <w:sz w:val="18"/>
                <w:szCs w:val="18"/>
              </w:rPr>
            </w:pPr>
            <w:r>
              <w:rPr>
                <w:rFonts w:ascii="宋体" w:hAnsi="宋体" w:cs="宋体" w:eastAsia="宋体" w:hint="default"/>
                <w:sz w:val="18"/>
                <w:szCs w:val="18"/>
              </w:rPr>
              <w:t>本期归属于少数股东的 损益</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76"/>
              <w:ind w:left="591" w:right="51" w:hanging="540"/>
              <w:jc w:val="left"/>
              <w:rPr>
                <w:rFonts w:ascii="宋体" w:hAnsi="宋体" w:cs="宋体" w:eastAsia="宋体" w:hint="default"/>
                <w:sz w:val="18"/>
                <w:szCs w:val="18"/>
              </w:rPr>
            </w:pPr>
            <w:r>
              <w:rPr>
                <w:rFonts w:ascii="宋体" w:hAnsi="宋体" w:cs="宋体" w:eastAsia="宋体" w:hint="default"/>
                <w:sz w:val="18"/>
                <w:szCs w:val="18"/>
              </w:rPr>
              <w:t>本期向少数股东宣告分 派的股利</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51" w:right="0"/>
              <w:jc w:val="left"/>
              <w:rPr>
                <w:rFonts w:ascii="宋体" w:hAnsi="宋体" w:cs="宋体" w:eastAsia="宋体" w:hint="default"/>
                <w:sz w:val="18"/>
                <w:szCs w:val="18"/>
              </w:rPr>
            </w:pPr>
            <w:r>
              <w:rPr>
                <w:rFonts w:ascii="宋体" w:hAnsi="宋体" w:cs="宋体" w:eastAsia="宋体" w:hint="default"/>
                <w:sz w:val="18"/>
                <w:szCs w:val="18"/>
              </w:rPr>
              <w:t>期末少数股东权益余额</w:t>
            </w:r>
          </w:p>
        </w:tc>
      </w:tr>
    </w:tbl>
    <w:p>
      <w:pPr>
        <w:spacing w:after="0" w:line="240"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1917"/>
        <w:gridCol w:w="1914"/>
        <w:gridCol w:w="1914"/>
        <w:gridCol w:w="1913"/>
        <w:gridCol w:w="1913"/>
      </w:tblGrid>
      <w:tr>
        <w:trPr>
          <w:trHeight w:val="714" w:hRule="exact"/>
        </w:trPr>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82"/>
              <w:jc w:val="left"/>
              <w:rPr>
                <w:rFonts w:ascii="宋体" w:hAnsi="宋体" w:cs="宋体" w:eastAsia="宋体" w:hint="default"/>
                <w:sz w:val="18"/>
                <w:szCs w:val="18"/>
              </w:rPr>
            </w:pPr>
            <w:r>
              <w:rPr>
                <w:rFonts w:ascii="宋体" w:hAnsi="宋体" w:cs="宋体" w:eastAsia="宋体" w:hint="default"/>
                <w:sz w:val="18"/>
                <w:szCs w:val="18"/>
              </w:rPr>
              <w:t>河北先河金瑞环保设施 运营服务有限公司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25.00%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-611,290.18</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-1,691,097.03</w:t>
            </w:r>
          </w:p>
        </w:tc>
      </w:tr>
      <w:tr>
        <w:trPr>
          <w:trHeight w:val="714" w:hRule="exact"/>
        </w:trPr>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82"/>
              <w:jc w:val="left"/>
              <w:rPr>
                <w:rFonts w:ascii="宋体" w:hAnsi="宋体" w:cs="宋体" w:eastAsia="宋体" w:hint="default"/>
                <w:sz w:val="18"/>
                <w:szCs w:val="18"/>
              </w:rPr>
            </w:pPr>
            <w:r>
              <w:rPr>
                <w:rFonts w:ascii="宋体" w:hAnsi="宋体" w:cs="宋体" w:eastAsia="宋体" w:hint="default"/>
                <w:sz w:val="18"/>
                <w:szCs w:val="18"/>
              </w:rPr>
              <w:t>重庆冀华环保科技发展 有限公司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-1,347,563.84</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1,555,119.30</w:t>
            </w:r>
          </w:p>
        </w:tc>
      </w:tr>
      <w:tr>
        <w:trPr>
          <w:trHeight w:val="714" w:hRule="exact"/>
        </w:trPr>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2" w:right="512"/>
              <w:jc w:val="left"/>
              <w:rPr>
                <w:rFonts w:ascii="Times New Roman" w:hAnsi="Times New Roman" w:cs="Times New Roman" w:eastAsia="Times New Roman" w:hint="default"/>
                <w:sz w:val="18"/>
                <w:szCs w:val="18"/>
              </w:rPr>
            </w:pPr>
            <w:r>
              <w:rPr>
                <w:rFonts w:ascii="Times New Roman"/>
                <w:sz w:val="18"/>
              </w:rPr>
              <w:t>SUNSET</w:t>
            </w:r>
            <w:r>
              <w:rPr>
                <w:rFonts w:ascii="Times New Roman"/>
                <w:spacing w:val="-4"/>
                <w:sz w:val="18"/>
              </w:rPr>
              <w:t> </w:t>
            </w:r>
            <w:r>
              <w:rPr>
                <w:rFonts w:ascii="Times New Roman"/>
                <w:sz w:val="18"/>
              </w:rPr>
              <w:t>CES</w:t>
            </w:r>
            <w:r>
              <w:rPr>
                <w:rFonts w:ascii="Times New Roman"/>
                <w:sz w:val="18"/>
              </w:rPr>
              <w:t> </w:t>
            </w:r>
            <w:r>
              <w:rPr>
                <w:rFonts w:ascii="Times New Roman"/>
                <w:spacing w:val="-2"/>
                <w:sz w:val="18"/>
              </w:rPr>
              <w:t>INCORPORATED</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39.80%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2,885,764.55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1,045,472.00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9,990,108.72</w:t>
            </w:r>
          </w:p>
        </w:tc>
      </w:tr>
      <w:tr>
        <w:trPr>
          <w:trHeight w:val="714" w:hRule="exact"/>
        </w:trPr>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82"/>
              <w:jc w:val="left"/>
              <w:rPr>
                <w:rFonts w:ascii="宋体" w:hAnsi="宋体" w:cs="宋体" w:eastAsia="宋体" w:hint="default"/>
                <w:sz w:val="18"/>
                <w:szCs w:val="18"/>
              </w:rPr>
            </w:pPr>
            <w:r>
              <w:rPr>
                <w:rFonts w:ascii="宋体" w:hAnsi="宋体" w:cs="宋体" w:eastAsia="宋体" w:hint="default"/>
                <w:sz w:val="18"/>
                <w:szCs w:val="18"/>
              </w:rPr>
              <w:t>广东先河科迪隆科技有 限公司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8,949,606.88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3,308,102.86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30,682,126.42</w:t>
            </w:r>
          </w:p>
        </w:tc>
      </w:tr>
      <w:tr>
        <w:trPr>
          <w:trHeight w:val="714" w:hRule="exact"/>
        </w:trPr>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82"/>
              <w:jc w:val="left"/>
              <w:rPr>
                <w:rFonts w:ascii="宋体" w:hAnsi="宋体" w:cs="宋体" w:eastAsia="宋体" w:hint="default"/>
                <w:sz w:val="18"/>
                <w:szCs w:val="18"/>
              </w:rPr>
            </w:pPr>
            <w:r>
              <w:rPr>
                <w:rFonts w:ascii="宋体" w:hAnsi="宋体" w:cs="宋体" w:eastAsia="宋体" w:hint="default"/>
                <w:sz w:val="18"/>
                <w:szCs w:val="18"/>
              </w:rPr>
              <w:t>广西先得环保科技有限 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912,726.56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959,717.57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9,889,608.64</w:t>
            </w:r>
          </w:p>
        </w:tc>
      </w:tr>
      <w:tr>
        <w:trPr>
          <w:trHeight w:val="714" w:hRule="exact"/>
        </w:trPr>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82"/>
              <w:jc w:val="left"/>
              <w:rPr>
                <w:rFonts w:ascii="宋体" w:hAnsi="宋体" w:cs="宋体" w:eastAsia="宋体" w:hint="default"/>
                <w:sz w:val="18"/>
                <w:szCs w:val="18"/>
              </w:rPr>
            </w:pPr>
            <w:r>
              <w:rPr>
                <w:rFonts w:ascii="宋体" w:hAnsi="宋体" w:cs="宋体" w:eastAsia="宋体" w:hint="default"/>
                <w:sz w:val="18"/>
                <w:szCs w:val="18"/>
              </w:rPr>
              <w:t>四川久环环境技术有限 责任公司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596,572.59</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902,883.33</w:t>
            </w:r>
          </w:p>
        </w:tc>
      </w:tr>
    </w:tbl>
    <w:p>
      <w:pPr>
        <w:pStyle w:val="BodyText"/>
        <w:spacing w:line="360" w:lineRule="auto" w:before="51"/>
        <w:ind w:left="1134" w:right="6432"/>
        <w:jc w:val="left"/>
      </w:pPr>
      <w:r>
        <w:rPr/>
        <w:t>子公司少数股东的持股比例不同于表决权比例的说明： 其他说明：</w:t>
      </w:r>
    </w:p>
    <w:p>
      <w:pPr>
        <w:spacing w:line="240" w:lineRule="auto" w:before="11"/>
        <w:rPr>
          <w:rFonts w:ascii="宋体" w:hAnsi="宋体" w:cs="宋体" w:eastAsia="宋体" w:hint="default"/>
          <w:sz w:val="19"/>
          <w:szCs w:val="19"/>
        </w:rPr>
      </w:pPr>
    </w:p>
    <w:p>
      <w:pPr>
        <w:pStyle w:val="Heading3"/>
        <w:spacing w:line="240" w:lineRule="auto"/>
        <w:ind w:left="1134" w:right="0"/>
        <w:jc w:val="left"/>
        <w:rPr>
          <w:b w:val="0"/>
          <w:bCs w:val="0"/>
        </w:rPr>
      </w:pPr>
      <w:bookmarkStart w:name="（3）重要非全资子公司的主要财务信息" w:id="336"/>
      <w:bookmarkEnd w:id="336"/>
      <w:r>
        <w:rPr>
          <w:b w:val="0"/>
          <w:bCs w:val="0"/>
        </w:rPr>
      </w:r>
      <w:r>
        <w:rPr/>
        <w:t>（</w:t>
      </w:r>
      <w:r>
        <w:rPr>
          <w:rFonts w:ascii="Times New Roman" w:hAnsi="Times New Roman" w:cs="Times New Roman" w:eastAsia="Times New Roman" w:hint="default"/>
        </w:rPr>
        <w:t>3</w:t>
      </w:r>
      <w:r>
        <w:rPr/>
        <w:t>）重要非全资子公司的主要财务信息</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736"/>
        <w:gridCol w:w="737"/>
        <w:gridCol w:w="736"/>
        <w:gridCol w:w="736"/>
        <w:gridCol w:w="737"/>
        <w:gridCol w:w="735"/>
        <w:gridCol w:w="736"/>
        <w:gridCol w:w="734"/>
        <w:gridCol w:w="736"/>
        <w:gridCol w:w="735"/>
        <w:gridCol w:w="737"/>
        <w:gridCol w:w="737"/>
        <w:gridCol w:w="736"/>
      </w:tblGrid>
      <w:tr>
        <w:trPr>
          <w:trHeight w:val="401" w:hRule="exact"/>
        </w:trPr>
        <w:tc>
          <w:tcPr>
            <w:tcW w:w="73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19" w:lineRule="auto"/>
              <w:ind w:left="182" w:right="93" w:hanging="90"/>
              <w:jc w:val="left"/>
              <w:rPr>
                <w:rFonts w:ascii="宋体" w:hAnsi="宋体" w:cs="宋体" w:eastAsia="宋体" w:hint="default"/>
                <w:sz w:val="18"/>
                <w:szCs w:val="18"/>
              </w:rPr>
            </w:pPr>
            <w:r>
              <w:rPr>
                <w:rFonts w:ascii="宋体" w:hAnsi="宋体" w:cs="宋体" w:eastAsia="宋体" w:hint="default"/>
                <w:sz w:val="18"/>
                <w:szCs w:val="18"/>
              </w:rPr>
              <w:t>子公司 名称</w:t>
            </w:r>
          </w:p>
        </w:tc>
        <w:tc>
          <w:tcPr>
            <w:tcW w:w="4415"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414"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714" w:hRule="exact"/>
        </w:trPr>
        <w:tc>
          <w:tcPr>
            <w:tcW w:w="736" w:type="dxa"/>
            <w:vMerge/>
            <w:tcBorders>
              <w:left w:val="single" w:sz="4" w:space="0" w:color="000000"/>
              <w:bottom w:val="single" w:sz="4" w:space="0" w:color="000000"/>
              <w:right w:val="single" w:sz="4" w:space="0" w:color="000000"/>
            </w:tcBorders>
            <w:shd w:val="clear" w:color="auto" w:fill="D2D2D2"/>
          </w:tcPr>
          <w:p>
            <w:pP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273" w:right="91" w:hanging="180"/>
              <w:jc w:val="left"/>
              <w:rPr>
                <w:rFonts w:ascii="宋体" w:hAnsi="宋体" w:cs="宋体" w:eastAsia="宋体" w:hint="default"/>
                <w:sz w:val="18"/>
                <w:szCs w:val="18"/>
              </w:rPr>
            </w:pPr>
            <w:r>
              <w:rPr>
                <w:rFonts w:ascii="宋体" w:hAnsi="宋体" w:cs="宋体" w:eastAsia="宋体" w:hint="default"/>
                <w:sz w:val="18"/>
                <w:szCs w:val="18"/>
              </w:rPr>
              <w:t>流动资 产</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182" w:right="91" w:hanging="90"/>
              <w:jc w:val="left"/>
              <w:rPr>
                <w:rFonts w:ascii="宋体" w:hAnsi="宋体" w:cs="宋体" w:eastAsia="宋体" w:hint="default"/>
                <w:sz w:val="18"/>
                <w:szCs w:val="18"/>
              </w:rPr>
            </w:pPr>
            <w:r>
              <w:rPr>
                <w:rFonts w:ascii="宋体" w:hAnsi="宋体" w:cs="宋体" w:eastAsia="宋体" w:hint="default"/>
                <w:sz w:val="18"/>
                <w:szCs w:val="18"/>
              </w:rPr>
              <w:t>非流动 资产</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272" w:right="91" w:hanging="180"/>
              <w:jc w:val="left"/>
              <w:rPr>
                <w:rFonts w:ascii="宋体" w:hAnsi="宋体" w:cs="宋体" w:eastAsia="宋体" w:hint="default"/>
                <w:sz w:val="18"/>
                <w:szCs w:val="18"/>
              </w:rPr>
            </w:pPr>
            <w:r>
              <w:rPr>
                <w:rFonts w:ascii="宋体" w:hAnsi="宋体" w:cs="宋体" w:eastAsia="宋体" w:hint="default"/>
                <w:sz w:val="18"/>
                <w:szCs w:val="18"/>
              </w:rPr>
              <w:t>资产合 计</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273" w:right="91" w:hanging="180"/>
              <w:jc w:val="left"/>
              <w:rPr>
                <w:rFonts w:ascii="宋体" w:hAnsi="宋体" w:cs="宋体" w:eastAsia="宋体" w:hint="default"/>
                <w:sz w:val="18"/>
                <w:szCs w:val="18"/>
              </w:rPr>
            </w:pPr>
            <w:r>
              <w:rPr>
                <w:rFonts w:ascii="宋体" w:hAnsi="宋体" w:cs="宋体" w:eastAsia="宋体" w:hint="default"/>
                <w:sz w:val="18"/>
                <w:szCs w:val="18"/>
              </w:rPr>
              <w:t>流动负 债</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182" w:right="90" w:hanging="90"/>
              <w:jc w:val="left"/>
              <w:rPr>
                <w:rFonts w:ascii="宋体" w:hAnsi="宋体" w:cs="宋体" w:eastAsia="宋体" w:hint="default"/>
                <w:sz w:val="18"/>
                <w:szCs w:val="18"/>
              </w:rPr>
            </w:pPr>
            <w:r>
              <w:rPr>
                <w:rFonts w:ascii="宋体" w:hAnsi="宋体" w:cs="宋体" w:eastAsia="宋体" w:hint="default"/>
                <w:sz w:val="18"/>
                <w:szCs w:val="18"/>
              </w:rPr>
              <w:t>非流动 负债</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272" w:right="91" w:hanging="180"/>
              <w:jc w:val="left"/>
              <w:rPr>
                <w:rFonts w:ascii="宋体" w:hAnsi="宋体" w:cs="宋体" w:eastAsia="宋体" w:hint="default"/>
                <w:sz w:val="18"/>
                <w:szCs w:val="18"/>
              </w:rPr>
            </w:pPr>
            <w:r>
              <w:rPr>
                <w:rFonts w:ascii="宋体" w:hAnsi="宋体" w:cs="宋体" w:eastAsia="宋体" w:hint="default"/>
                <w:sz w:val="18"/>
                <w:szCs w:val="18"/>
              </w:rPr>
              <w:t>负债合 计</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272" w:right="90" w:hanging="180"/>
              <w:jc w:val="left"/>
              <w:rPr>
                <w:rFonts w:ascii="宋体" w:hAnsi="宋体" w:cs="宋体" w:eastAsia="宋体" w:hint="default"/>
                <w:sz w:val="18"/>
                <w:szCs w:val="18"/>
              </w:rPr>
            </w:pPr>
            <w:r>
              <w:rPr>
                <w:rFonts w:ascii="宋体" w:hAnsi="宋体" w:cs="宋体" w:eastAsia="宋体" w:hint="default"/>
                <w:sz w:val="18"/>
                <w:szCs w:val="18"/>
              </w:rPr>
              <w:t>流动资 产</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182" w:right="91" w:hanging="90"/>
              <w:jc w:val="left"/>
              <w:rPr>
                <w:rFonts w:ascii="宋体" w:hAnsi="宋体" w:cs="宋体" w:eastAsia="宋体" w:hint="default"/>
                <w:sz w:val="18"/>
                <w:szCs w:val="18"/>
              </w:rPr>
            </w:pPr>
            <w:r>
              <w:rPr>
                <w:rFonts w:ascii="宋体" w:hAnsi="宋体" w:cs="宋体" w:eastAsia="宋体" w:hint="default"/>
                <w:sz w:val="18"/>
                <w:szCs w:val="18"/>
              </w:rPr>
              <w:t>非流动 资产</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272" w:right="90" w:hanging="180"/>
              <w:jc w:val="left"/>
              <w:rPr>
                <w:rFonts w:ascii="宋体" w:hAnsi="宋体" w:cs="宋体" w:eastAsia="宋体" w:hint="default"/>
                <w:sz w:val="18"/>
                <w:szCs w:val="18"/>
              </w:rPr>
            </w:pPr>
            <w:r>
              <w:rPr>
                <w:rFonts w:ascii="宋体" w:hAnsi="宋体" w:cs="宋体" w:eastAsia="宋体" w:hint="default"/>
                <w:sz w:val="18"/>
                <w:szCs w:val="18"/>
              </w:rPr>
              <w:t>资产合 计</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273" w:right="91" w:hanging="180"/>
              <w:jc w:val="left"/>
              <w:rPr>
                <w:rFonts w:ascii="宋体" w:hAnsi="宋体" w:cs="宋体" w:eastAsia="宋体" w:hint="default"/>
                <w:sz w:val="18"/>
                <w:szCs w:val="18"/>
              </w:rPr>
            </w:pPr>
            <w:r>
              <w:rPr>
                <w:rFonts w:ascii="宋体" w:hAnsi="宋体" w:cs="宋体" w:eastAsia="宋体" w:hint="default"/>
                <w:sz w:val="18"/>
                <w:szCs w:val="18"/>
              </w:rPr>
              <w:t>流动负 债</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183" w:right="91" w:hanging="90"/>
              <w:jc w:val="left"/>
              <w:rPr>
                <w:rFonts w:ascii="宋体" w:hAnsi="宋体" w:cs="宋体" w:eastAsia="宋体" w:hint="default"/>
                <w:sz w:val="18"/>
                <w:szCs w:val="18"/>
              </w:rPr>
            </w:pPr>
            <w:r>
              <w:rPr>
                <w:rFonts w:ascii="宋体" w:hAnsi="宋体" w:cs="宋体" w:eastAsia="宋体" w:hint="default"/>
                <w:sz w:val="18"/>
                <w:szCs w:val="18"/>
              </w:rPr>
              <w:t>非流动 负债</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272" w:right="91" w:hanging="180"/>
              <w:jc w:val="left"/>
              <w:rPr>
                <w:rFonts w:ascii="宋体" w:hAnsi="宋体" w:cs="宋体" w:eastAsia="宋体" w:hint="default"/>
                <w:sz w:val="18"/>
                <w:szCs w:val="18"/>
              </w:rPr>
            </w:pPr>
            <w:r>
              <w:rPr>
                <w:rFonts w:ascii="宋体" w:hAnsi="宋体" w:cs="宋体" w:eastAsia="宋体" w:hint="default"/>
                <w:sz w:val="18"/>
                <w:szCs w:val="18"/>
              </w:rPr>
              <w:t>负债合 计</w:t>
            </w:r>
          </w:p>
        </w:tc>
      </w:tr>
      <w:tr>
        <w:trPr>
          <w:trHeight w:val="1962" w:hRule="exact"/>
        </w:trPr>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61"/>
              <w:jc w:val="both"/>
              <w:rPr>
                <w:rFonts w:ascii="宋体" w:hAnsi="宋体" w:cs="宋体" w:eastAsia="宋体" w:hint="default"/>
                <w:sz w:val="18"/>
                <w:szCs w:val="18"/>
              </w:rPr>
            </w:pPr>
            <w:r>
              <w:rPr>
                <w:rFonts w:ascii="宋体" w:hAnsi="宋体" w:cs="宋体" w:eastAsia="宋体" w:hint="default"/>
                <w:sz w:val="18"/>
                <w:szCs w:val="18"/>
              </w:rPr>
              <w:t>河北先 河金瑞 环保设 施运营 服务有 限公司</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425,427.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34,601.6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460,028.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85</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7,224,41</w:t>
            </w:r>
          </w:p>
          <w:p>
            <w:pPr>
              <w:pStyle w:val="TableParagraph"/>
              <w:spacing w:line="240" w:lineRule="auto" w:before="105"/>
              <w:ind w:left="390" w:right="0"/>
              <w:jc w:val="left"/>
              <w:rPr>
                <w:rFonts w:ascii="Times New Roman" w:hAnsi="Times New Roman" w:cs="Times New Roman" w:eastAsia="Times New Roman" w:hint="default"/>
                <w:sz w:val="18"/>
                <w:szCs w:val="18"/>
              </w:rPr>
            </w:pPr>
            <w:r>
              <w:rPr>
                <w:rFonts w:ascii="Times New Roman"/>
                <w:sz w:val="18"/>
              </w:rPr>
              <w:t>6.97</w:t>
            </w:r>
          </w:p>
        </w:tc>
        <w:tc>
          <w:tcPr>
            <w:tcW w:w="735"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7,224,41</w:t>
            </w:r>
          </w:p>
          <w:p>
            <w:pPr>
              <w:pStyle w:val="TableParagraph"/>
              <w:spacing w:line="240" w:lineRule="auto" w:before="105"/>
              <w:ind w:left="387" w:right="0"/>
              <w:jc w:val="left"/>
              <w:rPr>
                <w:rFonts w:ascii="Times New Roman" w:hAnsi="Times New Roman" w:cs="Times New Roman" w:eastAsia="Times New Roman" w:hint="default"/>
                <w:sz w:val="18"/>
                <w:szCs w:val="18"/>
              </w:rPr>
            </w:pPr>
            <w:r>
              <w:rPr>
                <w:rFonts w:ascii="Times New Roman"/>
                <w:sz w:val="18"/>
              </w:rPr>
              <w:t>6.97</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933,094.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37</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218,007.</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59</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1,151,10</w:t>
            </w:r>
          </w:p>
          <w:p>
            <w:pPr>
              <w:pStyle w:val="TableParagraph"/>
              <w:spacing w:line="240" w:lineRule="auto" w:before="105"/>
              <w:ind w:left="387" w:right="0"/>
              <w:jc w:val="left"/>
              <w:rPr>
                <w:rFonts w:ascii="Times New Roman" w:hAnsi="Times New Roman" w:cs="Times New Roman" w:eastAsia="Times New Roman" w:hint="default"/>
                <w:sz w:val="18"/>
                <w:szCs w:val="18"/>
              </w:rPr>
            </w:pPr>
            <w:r>
              <w:rPr>
                <w:rFonts w:ascii="Times New Roman"/>
                <w:sz w:val="18"/>
              </w:rPr>
              <w:t>1.96</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5,470,32</w:t>
            </w:r>
          </w:p>
          <w:p>
            <w:pPr>
              <w:pStyle w:val="TableParagraph"/>
              <w:spacing w:line="240" w:lineRule="auto" w:before="105"/>
              <w:ind w:left="390" w:right="0"/>
              <w:jc w:val="left"/>
              <w:rPr>
                <w:rFonts w:ascii="Times New Roman" w:hAnsi="Times New Roman" w:cs="Times New Roman" w:eastAsia="Times New Roman" w:hint="default"/>
                <w:sz w:val="18"/>
                <w:szCs w:val="18"/>
              </w:rPr>
            </w:pPr>
            <w:r>
              <w:rPr>
                <w:rFonts w:ascii="Times New Roman"/>
                <w:sz w:val="18"/>
              </w:rPr>
              <w:t>9.34</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5,470,32</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9.34</w:t>
            </w:r>
          </w:p>
        </w:tc>
      </w:tr>
      <w:tr>
        <w:trPr>
          <w:trHeight w:val="1650" w:hRule="exact"/>
        </w:trPr>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61"/>
              <w:jc w:val="both"/>
              <w:rPr>
                <w:rFonts w:ascii="宋体" w:hAnsi="宋体" w:cs="宋体" w:eastAsia="宋体" w:hint="default"/>
                <w:sz w:val="18"/>
                <w:szCs w:val="18"/>
              </w:rPr>
            </w:pPr>
            <w:r>
              <w:rPr>
                <w:rFonts w:ascii="宋体" w:hAnsi="宋体" w:cs="宋体" w:eastAsia="宋体" w:hint="default"/>
                <w:sz w:val="18"/>
                <w:szCs w:val="18"/>
              </w:rPr>
              <w:t>重庆冀 华环保 科技发 展有限 公司</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57,884,4</w:t>
            </w:r>
          </w:p>
          <w:p>
            <w:pPr>
              <w:pStyle w:val="TableParagraph"/>
              <w:spacing w:line="240" w:lineRule="auto" w:before="105"/>
              <w:ind w:left="299" w:right="0"/>
              <w:jc w:val="left"/>
              <w:rPr>
                <w:rFonts w:ascii="Times New Roman" w:hAnsi="Times New Roman" w:cs="Times New Roman" w:eastAsia="Times New Roman" w:hint="default"/>
                <w:sz w:val="18"/>
                <w:szCs w:val="18"/>
              </w:rPr>
            </w:pPr>
            <w:r>
              <w:rPr>
                <w:rFonts w:ascii="Times New Roman"/>
                <w:sz w:val="18"/>
              </w:rPr>
              <w:t>55.68</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2,760,41</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9.75</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60,644,8</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75.43</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56,757,0</w:t>
            </w:r>
          </w:p>
          <w:p>
            <w:pPr>
              <w:pStyle w:val="TableParagraph"/>
              <w:spacing w:line="240" w:lineRule="auto" w:before="105"/>
              <w:ind w:left="300" w:right="0"/>
              <w:jc w:val="left"/>
              <w:rPr>
                <w:rFonts w:ascii="Times New Roman" w:hAnsi="Times New Roman" w:cs="Times New Roman" w:eastAsia="Times New Roman" w:hint="default"/>
                <w:sz w:val="18"/>
                <w:szCs w:val="18"/>
              </w:rPr>
            </w:pPr>
            <w:r>
              <w:rPr>
                <w:rFonts w:ascii="Times New Roman"/>
                <w:sz w:val="18"/>
              </w:rPr>
              <w:t>77.20</w:t>
            </w:r>
          </w:p>
        </w:tc>
        <w:tc>
          <w:tcPr>
            <w:tcW w:w="735"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56,757,0</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77.20</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30,036,8</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67.53</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3,159,28</w:t>
            </w:r>
          </w:p>
          <w:p>
            <w:pPr>
              <w:pStyle w:val="TableParagraph"/>
              <w:spacing w:line="240" w:lineRule="auto" w:before="105"/>
              <w:ind w:left="387" w:right="0"/>
              <w:jc w:val="left"/>
              <w:rPr>
                <w:rFonts w:ascii="Times New Roman" w:hAnsi="Times New Roman" w:cs="Times New Roman" w:eastAsia="Times New Roman" w:hint="default"/>
                <w:sz w:val="18"/>
                <w:szCs w:val="18"/>
              </w:rPr>
            </w:pPr>
            <w:r>
              <w:rPr>
                <w:rFonts w:ascii="Times New Roman"/>
                <w:sz w:val="18"/>
              </w:rPr>
              <w:t>4.22</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33,196,1</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51.75</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25,939,4</w:t>
            </w:r>
          </w:p>
          <w:p>
            <w:pPr>
              <w:pStyle w:val="TableParagraph"/>
              <w:spacing w:line="240" w:lineRule="auto" w:before="105"/>
              <w:ind w:left="300" w:right="0"/>
              <w:jc w:val="left"/>
              <w:rPr>
                <w:rFonts w:ascii="Times New Roman" w:hAnsi="Times New Roman" w:cs="Times New Roman" w:eastAsia="Times New Roman" w:hint="default"/>
                <w:sz w:val="18"/>
                <w:szCs w:val="18"/>
              </w:rPr>
            </w:pPr>
            <w:r>
              <w:rPr>
                <w:rFonts w:ascii="Times New Roman"/>
                <w:sz w:val="18"/>
              </w:rPr>
              <w:t>43.91</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25,939,4</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43.91</w:t>
            </w:r>
          </w:p>
        </w:tc>
      </w:tr>
      <w:tr>
        <w:trPr>
          <w:trHeight w:val="1650" w:hRule="exact"/>
        </w:trPr>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2"/>
              <w:ind w:left="22" w:right="23"/>
              <w:jc w:val="left"/>
              <w:rPr>
                <w:rFonts w:ascii="Times New Roman" w:hAnsi="Times New Roman" w:cs="Times New Roman" w:eastAsia="Times New Roman" w:hint="default"/>
                <w:sz w:val="18"/>
                <w:szCs w:val="18"/>
              </w:rPr>
            </w:pPr>
            <w:r>
              <w:rPr>
                <w:rFonts w:ascii="Times New Roman"/>
                <w:sz w:val="18"/>
              </w:rPr>
              <w:t>SUNSET CES INCORP</w:t>
            </w:r>
            <w:r>
              <w:rPr>
                <w:rFonts w:ascii="Times New Roman"/>
                <w:w w:val="99"/>
                <w:sz w:val="18"/>
              </w:rPr>
              <w:t> </w:t>
            </w:r>
            <w:r>
              <w:rPr>
                <w:rFonts w:ascii="Times New Roman"/>
                <w:spacing w:val="-5"/>
                <w:sz w:val="18"/>
              </w:rPr>
              <w:t>ORATE</w:t>
            </w:r>
            <w:r>
              <w:rPr>
                <w:rFonts w:ascii="Times New Roman"/>
                <w:spacing w:val="-43"/>
                <w:sz w:val="18"/>
              </w:rPr>
              <w:t> </w:t>
            </w:r>
            <w:r>
              <w:rPr>
                <w:rFonts w:ascii="Times New Roman"/>
                <w:spacing w:val="-43"/>
                <w:sz w:val="18"/>
              </w:rPr>
            </w:r>
            <w:r>
              <w:rPr>
                <w:rFonts w:ascii="Times New Roman"/>
                <w:sz w:val="18"/>
              </w:rPr>
              <w:t>D</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23,825,8</w:t>
            </w:r>
          </w:p>
          <w:p>
            <w:pPr>
              <w:pStyle w:val="TableParagraph"/>
              <w:spacing w:line="240" w:lineRule="auto" w:before="105"/>
              <w:ind w:left="299" w:right="0"/>
              <w:jc w:val="left"/>
              <w:rPr>
                <w:rFonts w:ascii="Times New Roman" w:hAnsi="Times New Roman" w:cs="Times New Roman" w:eastAsia="Times New Roman" w:hint="default"/>
                <w:sz w:val="18"/>
                <w:szCs w:val="18"/>
              </w:rPr>
            </w:pPr>
            <w:r>
              <w:rPr>
                <w:rFonts w:ascii="Times New Roman"/>
                <w:sz w:val="18"/>
              </w:rPr>
              <w:t>40.86</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9,018,23</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8.78</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32,844,0</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79.64</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7,526,61</w:t>
            </w:r>
          </w:p>
          <w:p>
            <w:pPr>
              <w:pStyle w:val="TableParagraph"/>
              <w:spacing w:line="240" w:lineRule="auto" w:before="105"/>
              <w:ind w:left="390" w:right="0"/>
              <w:jc w:val="left"/>
              <w:rPr>
                <w:rFonts w:ascii="Times New Roman" w:hAnsi="Times New Roman" w:cs="Times New Roman" w:eastAsia="Times New Roman" w:hint="default"/>
                <w:sz w:val="18"/>
                <w:szCs w:val="18"/>
              </w:rPr>
            </w:pPr>
            <w:r>
              <w:rPr>
                <w:rFonts w:ascii="Times New Roman"/>
                <w:sz w:val="18"/>
              </w:rPr>
              <w:t>9.07</w:t>
            </w:r>
          </w:p>
        </w:tc>
        <w:tc>
          <w:tcPr>
            <w:tcW w:w="735"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7,526,61</w:t>
            </w:r>
          </w:p>
          <w:p>
            <w:pPr>
              <w:pStyle w:val="TableParagraph"/>
              <w:spacing w:line="240" w:lineRule="auto" w:before="105"/>
              <w:ind w:left="387" w:right="0"/>
              <w:jc w:val="left"/>
              <w:rPr>
                <w:rFonts w:ascii="Times New Roman" w:hAnsi="Times New Roman" w:cs="Times New Roman" w:eastAsia="Times New Roman" w:hint="default"/>
                <w:sz w:val="18"/>
                <w:szCs w:val="18"/>
              </w:rPr>
            </w:pPr>
            <w:r>
              <w:rPr>
                <w:rFonts w:ascii="Times New Roman"/>
                <w:sz w:val="18"/>
              </w:rPr>
              <w:t>9.07</w:t>
            </w:r>
          </w:p>
        </w:tc>
        <w:tc>
          <w:tcPr>
            <w:tcW w:w="734"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r>
      <w:tr>
        <w:trPr>
          <w:trHeight w:val="1298" w:hRule="exact"/>
        </w:trPr>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61"/>
              <w:jc w:val="both"/>
              <w:rPr>
                <w:rFonts w:ascii="宋体" w:hAnsi="宋体" w:cs="宋体" w:eastAsia="宋体" w:hint="default"/>
                <w:sz w:val="18"/>
                <w:szCs w:val="18"/>
              </w:rPr>
            </w:pPr>
            <w:r>
              <w:rPr>
                <w:rFonts w:ascii="宋体" w:hAnsi="宋体" w:cs="宋体" w:eastAsia="宋体" w:hint="default"/>
                <w:sz w:val="18"/>
                <w:szCs w:val="18"/>
              </w:rPr>
              <w:t>广东先 河科迪 隆科技 有限公</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8"/>
              <w:ind w:left="51" w:right="0"/>
              <w:jc w:val="center"/>
              <w:rPr>
                <w:rFonts w:ascii="Times New Roman" w:hAnsi="Times New Roman" w:cs="Times New Roman" w:eastAsia="Times New Roman" w:hint="default"/>
                <w:sz w:val="18"/>
                <w:szCs w:val="18"/>
              </w:rPr>
            </w:pPr>
            <w:r>
              <w:rPr>
                <w:rFonts w:ascii="Times New Roman"/>
                <w:sz w:val="18"/>
              </w:rPr>
              <w:t>172,489,</w:t>
            </w:r>
          </w:p>
          <w:p>
            <w:pPr>
              <w:pStyle w:val="TableParagraph"/>
              <w:spacing w:line="240" w:lineRule="auto" w:before="105"/>
              <w:ind w:left="188" w:right="0"/>
              <w:jc w:val="center"/>
              <w:rPr>
                <w:rFonts w:ascii="Times New Roman" w:hAnsi="Times New Roman" w:cs="Times New Roman" w:eastAsia="Times New Roman" w:hint="default"/>
                <w:sz w:val="18"/>
                <w:szCs w:val="18"/>
              </w:rPr>
            </w:pPr>
            <w:r>
              <w:rPr>
                <w:rFonts w:ascii="Times New Roman"/>
                <w:sz w:val="18"/>
              </w:rPr>
              <w:t>844.85</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8"/>
              <w:ind w:left="73" w:right="0"/>
              <w:jc w:val="left"/>
              <w:rPr>
                <w:rFonts w:ascii="Times New Roman" w:hAnsi="Times New Roman" w:cs="Times New Roman" w:eastAsia="Times New Roman" w:hint="default"/>
                <w:sz w:val="18"/>
                <w:szCs w:val="18"/>
              </w:rPr>
            </w:pPr>
            <w:r>
              <w:rPr>
                <w:rFonts w:ascii="Times New Roman"/>
                <w:sz w:val="18"/>
              </w:rPr>
              <w:t>10,702,2</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47.59</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8"/>
              <w:ind w:left="50" w:right="0"/>
              <w:jc w:val="center"/>
              <w:rPr>
                <w:rFonts w:ascii="Times New Roman" w:hAnsi="Times New Roman" w:cs="Times New Roman" w:eastAsia="Times New Roman" w:hint="default"/>
                <w:sz w:val="18"/>
                <w:szCs w:val="18"/>
              </w:rPr>
            </w:pPr>
            <w:r>
              <w:rPr>
                <w:rFonts w:ascii="Times New Roman"/>
                <w:sz w:val="18"/>
              </w:rPr>
              <w:t>183,192,</w:t>
            </w:r>
          </w:p>
          <w:p>
            <w:pPr>
              <w:pStyle w:val="TableParagraph"/>
              <w:spacing w:line="240" w:lineRule="auto" w:before="105"/>
              <w:ind w:left="186" w:right="0"/>
              <w:jc w:val="center"/>
              <w:rPr>
                <w:rFonts w:ascii="Times New Roman" w:hAnsi="Times New Roman" w:cs="Times New Roman" w:eastAsia="Times New Roman" w:hint="default"/>
                <w:sz w:val="18"/>
                <w:szCs w:val="18"/>
              </w:rPr>
            </w:pPr>
            <w:r>
              <w:rPr>
                <w:rFonts w:ascii="Times New Roman"/>
                <w:sz w:val="18"/>
              </w:rPr>
              <w:t>092.44</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8"/>
              <w:ind w:left="74" w:right="0"/>
              <w:jc w:val="left"/>
              <w:rPr>
                <w:rFonts w:ascii="Times New Roman" w:hAnsi="Times New Roman" w:cs="Times New Roman" w:eastAsia="Times New Roman" w:hint="default"/>
                <w:sz w:val="18"/>
                <w:szCs w:val="18"/>
              </w:rPr>
            </w:pPr>
            <w:r>
              <w:rPr>
                <w:rFonts w:ascii="Times New Roman"/>
                <w:sz w:val="18"/>
              </w:rPr>
              <w:t>65,526,1</w:t>
            </w:r>
          </w:p>
          <w:p>
            <w:pPr>
              <w:pStyle w:val="TableParagraph"/>
              <w:spacing w:line="240" w:lineRule="auto" w:before="105"/>
              <w:ind w:left="300" w:right="0"/>
              <w:jc w:val="left"/>
              <w:rPr>
                <w:rFonts w:ascii="Times New Roman" w:hAnsi="Times New Roman" w:cs="Times New Roman" w:eastAsia="Times New Roman" w:hint="default"/>
                <w:sz w:val="18"/>
                <w:szCs w:val="18"/>
              </w:rPr>
            </w:pPr>
            <w:r>
              <w:rPr>
                <w:rFonts w:ascii="Times New Roman"/>
                <w:sz w:val="18"/>
              </w:rPr>
              <w:t>67.72</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8"/>
              <w:ind w:right="20"/>
              <w:jc w:val="right"/>
              <w:rPr>
                <w:rFonts w:ascii="Times New Roman" w:hAnsi="Times New Roman" w:cs="Times New Roman" w:eastAsia="Times New Roman" w:hint="default"/>
                <w:sz w:val="18"/>
                <w:szCs w:val="18"/>
              </w:rPr>
            </w:pPr>
            <w:r>
              <w:rPr>
                <w:rFonts w:ascii="Times New Roman"/>
                <w:sz w:val="18"/>
              </w:rPr>
              <w:t>481,426.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96</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8"/>
              <w:ind w:left="71" w:right="0"/>
              <w:jc w:val="left"/>
              <w:rPr>
                <w:rFonts w:ascii="Times New Roman" w:hAnsi="Times New Roman" w:cs="Times New Roman" w:eastAsia="Times New Roman" w:hint="default"/>
                <w:sz w:val="18"/>
                <w:szCs w:val="18"/>
              </w:rPr>
            </w:pPr>
            <w:r>
              <w:rPr>
                <w:rFonts w:ascii="Times New Roman"/>
                <w:sz w:val="18"/>
              </w:rPr>
              <w:t>66,007,5</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94.68</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8"/>
              <w:ind w:left="49" w:right="0"/>
              <w:jc w:val="center"/>
              <w:rPr>
                <w:rFonts w:ascii="Times New Roman" w:hAnsi="Times New Roman" w:cs="Times New Roman" w:eastAsia="Times New Roman" w:hint="default"/>
                <w:sz w:val="18"/>
                <w:szCs w:val="18"/>
              </w:rPr>
            </w:pPr>
            <w:r>
              <w:rPr>
                <w:rFonts w:ascii="Times New Roman"/>
                <w:sz w:val="18"/>
              </w:rPr>
              <w:t>161,438,</w:t>
            </w:r>
          </w:p>
          <w:p>
            <w:pPr>
              <w:pStyle w:val="TableParagraph"/>
              <w:spacing w:line="240" w:lineRule="auto" w:before="105"/>
              <w:ind w:left="185" w:right="0"/>
              <w:jc w:val="center"/>
              <w:rPr>
                <w:rFonts w:ascii="Times New Roman" w:hAnsi="Times New Roman" w:cs="Times New Roman" w:eastAsia="Times New Roman" w:hint="default"/>
                <w:sz w:val="18"/>
                <w:szCs w:val="18"/>
              </w:rPr>
            </w:pPr>
            <w:r>
              <w:rPr>
                <w:rFonts w:ascii="Times New Roman"/>
                <w:sz w:val="18"/>
              </w:rPr>
              <w:t>349.83</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8"/>
              <w:ind w:left="79" w:right="0"/>
              <w:jc w:val="left"/>
              <w:rPr>
                <w:rFonts w:ascii="Times New Roman" w:hAnsi="Times New Roman" w:cs="Times New Roman" w:eastAsia="Times New Roman" w:hint="default"/>
                <w:sz w:val="18"/>
                <w:szCs w:val="18"/>
              </w:rPr>
            </w:pPr>
            <w:r>
              <w:rPr>
                <w:rFonts w:ascii="Times New Roman"/>
                <w:sz w:val="18"/>
              </w:rPr>
              <w:t>3,680,11</w:t>
            </w:r>
          </w:p>
          <w:p>
            <w:pPr>
              <w:pStyle w:val="TableParagraph"/>
              <w:spacing w:line="240" w:lineRule="auto" w:before="105"/>
              <w:ind w:left="387" w:right="0"/>
              <w:jc w:val="left"/>
              <w:rPr>
                <w:rFonts w:ascii="Times New Roman" w:hAnsi="Times New Roman" w:cs="Times New Roman" w:eastAsia="Times New Roman" w:hint="default"/>
                <w:sz w:val="18"/>
                <w:szCs w:val="18"/>
              </w:rPr>
            </w:pPr>
            <w:r>
              <w:rPr>
                <w:rFonts w:ascii="Times New Roman"/>
                <w:sz w:val="18"/>
              </w:rPr>
              <w:t>3.38</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8"/>
              <w:ind w:left="56" w:right="0"/>
              <w:jc w:val="center"/>
              <w:rPr>
                <w:rFonts w:ascii="Times New Roman" w:hAnsi="Times New Roman" w:cs="Times New Roman" w:eastAsia="Times New Roman" w:hint="default"/>
                <w:sz w:val="18"/>
                <w:szCs w:val="18"/>
              </w:rPr>
            </w:pPr>
            <w:r>
              <w:rPr>
                <w:rFonts w:ascii="Times New Roman"/>
                <w:sz w:val="18"/>
              </w:rPr>
              <w:t>165,118,</w:t>
            </w:r>
          </w:p>
          <w:p>
            <w:pPr>
              <w:pStyle w:val="TableParagraph"/>
              <w:spacing w:line="240" w:lineRule="auto" w:before="105"/>
              <w:ind w:left="185" w:right="0"/>
              <w:jc w:val="center"/>
              <w:rPr>
                <w:rFonts w:ascii="Times New Roman" w:hAnsi="Times New Roman" w:cs="Times New Roman" w:eastAsia="Times New Roman" w:hint="default"/>
                <w:sz w:val="18"/>
                <w:szCs w:val="18"/>
              </w:rPr>
            </w:pPr>
            <w:r>
              <w:rPr>
                <w:rFonts w:ascii="Times New Roman"/>
                <w:sz w:val="18"/>
              </w:rPr>
              <w:t>463.21</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8"/>
              <w:ind w:left="74" w:right="0"/>
              <w:jc w:val="left"/>
              <w:rPr>
                <w:rFonts w:ascii="Times New Roman" w:hAnsi="Times New Roman" w:cs="Times New Roman" w:eastAsia="Times New Roman" w:hint="default"/>
                <w:sz w:val="18"/>
                <w:szCs w:val="18"/>
              </w:rPr>
            </w:pPr>
            <w:r>
              <w:rPr>
                <w:rFonts w:ascii="Times New Roman"/>
                <w:sz w:val="18"/>
              </w:rPr>
              <w:t>63,756,7</w:t>
            </w:r>
          </w:p>
          <w:p>
            <w:pPr>
              <w:pStyle w:val="TableParagraph"/>
              <w:spacing w:line="240" w:lineRule="auto" w:before="105"/>
              <w:ind w:left="300" w:right="0"/>
              <w:jc w:val="left"/>
              <w:rPr>
                <w:rFonts w:ascii="Times New Roman" w:hAnsi="Times New Roman" w:cs="Times New Roman" w:eastAsia="Times New Roman" w:hint="default"/>
                <w:sz w:val="18"/>
                <w:szCs w:val="18"/>
              </w:rPr>
            </w:pPr>
            <w:r>
              <w:rPr>
                <w:rFonts w:ascii="Times New Roman"/>
                <w:sz w:val="18"/>
              </w:rPr>
              <w:t>28.30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8"/>
              <w:ind w:right="20"/>
              <w:jc w:val="right"/>
              <w:rPr>
                <w:rFonts w:ascii="Times New Roman" w:hAnsi="Times New Roman" w:cs="Times New Roman" w:eastAsia="Times New Roman" w:hint="default"/>
                <w:sz w:val="18"/>
                <w:szCs w:val="18"/>
              </w:rPr>
            </w:pPr>
            <w:r>
              <w:rPr>
                <w:rFonts w:ascii="Times New Roman"/>
                <w:sz w:val="18"/>
              </w:rPr>
              <w:t>615,000.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8"/>
              <w:ind w:left="73" w:right="0"/>
              <w:jc w:val="left"/>
              <w:rPr>
                <w:rFonts w:ascii="Times New Roman" w:hAnsi="Times New Roman" w:cs="Times New Roman" w:eastAsia="Times New Roman" w:hint="default"/>
                <w:sz w:val="18"/>
                <w:szCs w:val="18"/>
              </w:rPr>
            </w:pPr>
            <w:r>
              <w:rPr>
                <w:rFonts w:ascii="Times New Roman"/>
                <w:sz w:val="18"/>
              </w:rPr>
              <w:t>64,371,7</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28.30</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736"/>
        <w:gridCol w:w="737"/>
        <w:gridCol w:w="736"/>
        <w:gridCol w:w="736"/>
        <w:gridCol w:w="737"/>
        <w:gridCol w:w="735"/>
        <w:gridCol w:w="736"/>
        <w:gridCol w:w="734"/>
        <w:gridCol w:w="736"/>
        <w:gridCol w:w="735"/>
        <w:gridCol w:w="737"/>
        <w:gridCol w:w="737"/>
        <w:gridCol w:w="736"/>
      </w:tblGrid>
      <w:tr>
        <w:trPr>
          <w:trHeight w:val="362" w:hRule="exact"/>
        </w:trPr>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司</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61"/>
              <w:jc w:val="both"/>
              <w:rPr>
                <w:rFonts w:ascii="宋体" w:hAnsi="宋体" w:cs="宋体" w:eastAsia="宋体" w:hint="default"/>
                <w:sz w:val="18"/>
                <w:szCs w:val="18"/>
              </w:rPr>
            </w:pPr>
            <w:r>
              <w:rPr>
                <w:rFonts w:ascii="宋体" w:hAnsi="宋体" w:cs="宋体" w:eastAsia="宋体" w:hint="default"/>
                <w:sz w:val="18"/>
                <w:szCs w:val="18"/>
              </w:rPr>
              <w:t>广西先 得环保 科技有 限公司</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65,647,6</w:t>
            </w:r>
          </w:p>
          <w:p>
            <w:pPr>
              <w:pStyle w:val="TableParagraph"/>
              <w:spacing w:line="240" w:lineRule="auto" w:before="105"/>
              <w:ind w:left="299" w:right="0"/>
              <w:jc w:val="left"/>
              <w:rPr>
                <w:rFonts w:ascii="Times New Roman" w:hAnsi="Times New Roman" w:cs="Times New Roman" w:eastAsia="Times New Roman" w:hint="default"/>
                <w:sz w:val="18"/>
                <w:szCs w:val="18"/>
              </w:rPr>
            </w:pPr>
            <w:r>
              <w:rPr>
                <w:rFonts w:ascii="Times New Roman"/>
                <w:sz w:val="18"/>
              </w:rPr>
              <w:t>78.49</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4,084,18</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5.43</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69,731,8</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63.92</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22,828,3</w:t>
            </w:r>
          </w:p>
          <w:p>
            <w:pPr>
              <w:pStyle w:val="TableParagraph"/>
              <w:spacing w:line="240" w:lineRule="auto" w:before="105"/>
              <w:ind w:left="300" w:right="0"/>
              <w:jc w:val="left"/>
              <w:rPr>
                <w:rFonts w:ascii="Times New Roman" w:hAnsi="Times New Roman" w:cs="Times New Roman" w:eastAsia="Times New Roman" w:hint="default"/>
                <w:sz w:val="18"/>
                <w:szCs w:val="18"/>
              </w:rPr>
            </w:pPr>
            <w:r>
              <w:rPr>
                <w:rFonts w:ascii="Times New Roman"/>
                <w:sz w:val="18"/>
              </w:rPr>
              <w:t>65.65</w:t>
            </w:r>
          </w:p>
        </w:tc>
        <w:tc>
          <w:tcPr>
            <w:tcW w:w="735"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22,828,3</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65.65</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95,788,1</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50.00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4,483,32</w:t>
            </w:r>
          </w:p>
          <w:p>
            <w:pPr>
              <w:pStyle w:val="TableParagraph"/>
              <w:spacing w:line="240" w:lineRule="auto" w:before="105"/>
              <w:ind w:left="387" w:right="0"/>
              <w:jc w:val="left"/>
              <w:rPr>
                <w:rFonts w:ascii="Times New Roman" w:hAnsi="Times New Roman" w:cs="Times New Roman" w:eastAsia="Times New Roman" w:hint="default"/>
                <w:sz w:val="18"/>
                <w:szCs w:val="18"/>
              </w:rPr>
            </w:pPr>
            <w:r>
              <w:rPr>
                <w:rFonts w:ascii="Times New Roman"/>
                <w:sz w:val="18"/>
              </w:rPr>
              <w:t>6.37</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9" w:right="0"/>
              <w:jc w:val="center"/>
              <w:rPr>
                <w:rFonts w:ascii="Times New Roman" w:hAnsi="Times New Roman" w:cs="Times New Roman" w:eastAsia="Times New Roman" w:hint="default"/>
                <w:sz w:val="18"/>
                <w:szCs w:val="18"/>
              </w:rPr>
            </w:pPr>
            <w:r>
              <w:rPr>
                <w:rFonts w:ascii="Times New Roman"/>
                <w:sz w:val="18"/>
              </w:rPr>
              <w:t>100,271,</w:t>
            </w:r>
          </w:p>
          <w:p>
            <w:pPr>
              <w:pStyle w:val="TableParagraph"/>
              <w:spacing w:line="240" w:lineRule="auto" w:before="105"/>
              <w:ind w:left="185" w:right="0"/>
              <w:jc w:val="center"/>
              <w:rPr>
                <w:rFonts w:ascii="Times New Roman" w:hAnsi="Times New Roman" w:cs="Times New Roman" w:eastAsia="Times New Roman" w:hint="default"/>
                <w:sz w:val="18"/>
                <w:szCs w:val="18"/>
              </w:rPr>
            </w:pPr>
            <w:r>
              <w:rPr>
                <w:rFonts w:ascii="Times New Roman"/>
                <w:sz w:val="18"/>
              </w:rPr>
              <w:t>476.37</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53,097,7</w:t>
            </w:r>
          </w:p>
          <w:p>
            <w:pPr>
              <w:pStyle w:val="TableParagraph"/>
              <w:spacing w:line="240" w:lineRule="auto" w:before="105"/>
              <w:ind w:left="300" w:right="0"/>
              <w:jc w:val="left"/>
              <w:rPr>
                <w:rFonts w:ascii="Times New Roman" w:hAnsi="Times New Roman" w:cs="Times New Roman" w:eastAsia="Times New Roman" w:hint="default"/>
                <w:sz w:val="18"/>
                <w:szCs w:val="18"/>
              </w:rPr>
            </w:pPr>
            <w:r>
              <w:rPr>
                <w:rFonts w:ascii="Times New Roman"/>
                <w:sz w:val="18"/>
              </w:rPr>
              <w:t>65.33</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53,097,7</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65.33</w:t>
            </w:r>
          </w:p>
        </w:tc>
      </w:tr>
      <w:tr>
        <w:trPr>
          <w:trHeight w:val="1650" w:hRule="exact"/>
        </w:trPr>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61"/>
              <w:jc w:val="both"/>
              <w:rPr>
                <w:rFonts w:ascii="宋体" w:hAnsi="宋体" w:cs="宋体" w:eastAsia="宋体" w:hint="default"/>
                <w:sz w:val="18"/>
                <w:szCs w:val="18"/>
              </w:rPr>
            </w:pPr>
            <w:r>
              <w:rPr>
                <w:rFonts w:ascii="宋体" w:hAnsi="宋体" w:cs="宋体" w:eastAsia="宋体" w:hint="default"/>
                <w:sz w:val="18"/>
                <w:szCs w:val="18"/>
              </w:rPr>
              <w:t>四川久 环环境 技术有 限责任 公司</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13,074,5</w:t>
            </w:r>
          </w:p>
          <w:p>
            <w:pPr>
              <w:pStyle w:val="TableParagraph"/>
              <w:spacing w:line="240" w:lineRule="auto" w:before="105"/>
              <w:ind w:left="299" w:right="0"/>
              <w:jc w:val="left"/>
              <w:rPr>
                <w:rFonts w:ascii="Times New Roman" w:hAnsi="Times New Roman" w:cs="Times New Roman" w:eastAsia="Times New Roman" w:hint="default"/>
                <w:sz w:val="18"/>
                <w:szCs w:val="18"/>
              </w:rPr>
            </w:pPr>
            <w:r>
              <w:rPr>
                <w:rFonts w:ascii="Times New Roman"/>
                <w:sz w:val="18"/>
              </w:rPr>
              <w:t>26.20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964,771.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13</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14,039,2</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97.33</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9,405,36</w:t>
            </w:r>
          </w:p>
          <w:p>
            <w:pPr>
              <w:pStyle w:val="TableParagraph"/>
              <w:spacing w:line="240" w:lineRule="auto" w:before="105"/>
              <w:ind w:left="390" w:right="0"/>
              <w:jc w:val="left"/>
              <w:rPr>
                <w:rFonts w:ascii="Times New Roman" w:hAnsi="Times New Roman" w:cs="Times New Roman" w:eastAsia="Times New Roman" w:hint="default"/>
                <w:sz w:val="18"/>
                <w:szCs w:val="18"/>
              </w:rPr>
            </w:pPr>
            <w:r>
              <w:rPr>
                <w:rFonts w:ascii="Times New Roman"/>
                <w:sz w:val="18"/>
              </w:rPr>
              <w:t>3.12</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w w:val="95"/>
                <w:sz w:val="18"/>
              </w:rPr>
              <w:t>119,517.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54</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9,524,88</w:t>
            </w:r>
          </w:p>
          <w:p>
            <w:pPr>
              <w:pStyle w:val="TableParagraph"/>
              <w:spacing w:line="240" w:lineRule="auto" w:before="105"/>
              <w:ind w:left="387" w:right="0"/>
              <w:jc w:val="left"/>
              <w:rPr>
                <w:rFonts w:ascii="Times New Roman" w:hAnsi="Times New Roman" w:cs="Times New Roman" w:eastAsia="Times New Roman" w:hint="default"/>
                <w:sz w:val="18"/>
                <w:szCs w:val="18"/>
              </w:rPr>
            </w:pPr>
            <w:r>
              <w:rPr>
                <w:rFonts w:ascii="Times New Roman"/>
                <w:sz w:val="18"/>
              </w:rPr>
              <w:t>0.66</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7,449,95</w:t>
            </w:r>
          </w:p>
          <w:p>
            <w:pPr>
              <w:pStyle w:val="TableParagraph"/>
              <w:spacing w:line="240" w:lineRule="auto" w:before="105"/>
              <w:ind w:left="387" w:right="0"/>
              <w:jc w:val="left"/>
              <w:rPr>
                <w:rFonts w:ascii="Times New Roman" w:hAnsi="Times New Roman" w:cs="Times New Roman" w:eastAsia="Times New Roman" w:hint="default"/>
                <w:sz w:val="18"/>
                <w:szCs w:val="18"/>
              </w:rPr>
            </w:pPr>
            <w:r>
              <w:rPr>
                <w:rFonts w:ascii="Times New Roman"/>
                <w:sz w:val="18"/>
              </w:rPr>
              <w:t>8.58</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1,197,00</w:t>
            </w:r>
          </w:p>
          <w:p>
            <w:pPr>
              <w:pStyle w:val="TableParagraph"/>
              <w:spacing w:line="240" w:lineRule="auto" w:before="105"/>
              <w:ind w:left="387" w:right="0"/>
              <w:jc w:val="left"/>
              <w:rPr>
                <w:rFonts w:ascii="Times New Roman" w:hAnsi="Times New Roman" w:cs="Times New Roman" w:eastAsia="Times New Roman" w:hint="default"/>
                <w:sz w:val="18"/>
                <w:szCs w:val="18"/>
              </w:rPr>
            </w:pPr>
            <w:r>
              <w:rPr>
                <w:rFonts w:ascii="Times New Roman"/>
                <w:sz w:val="18"/>
              </w:rPr>
              <w:t>2.55</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8,646,96</w:t>
            </w:r>
          </w:p>
          <w:p>
            <w:pPr>
              <w:pStyle w:val="TableParagraph"/>
              <w:spacing w:line="240" w:lineRule="auto" w:before="105"/>
              <w:ind w:left="387" w:right="0"/>
              <w:jc w:val="left"/>
              <w:rPr>
                <w:rFonts w:ascii="Times New Roman" w:hAnsi="Times New Roman" w:cs="Times New Roman" w:eastAsia="Times New Roman" w:hint="default"/>
                <w:sz w:val="18"/>
                <w:szCs w:val="18"/>
              </w:rPr>
            </w:pPr>
            <w:r>
              <w:rPr>
                <w:rFonts w:ascii="Times New Roman"/>
                <w:sz w:val="18"/>
              </w:rPr>
              <w:t>1.13</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6,952,34</w:t>
            </w:r>
          </w:p>
          <w:p>
            <w:pPr>
              <w:pStyle w:val="TableParagraph"/>
              <w:spacing w:line="240" w:lineRule="auto" w:before="105"/>
              <w:ind w:left="390" w:right="0"/>
              <w:jc w:val="left"/>
              <w:rPr>
                <w:rFonts w:ascii="Times New Roman" w:hAnsi="Times New Roman" w:cs="Times New Roman" w:eastAsia="Times New Roman" w:hint="default"/>
                <w:sz w:val="18"/>
                <w:szCs w:val="18"/>
              </w:rPr>
            </w:pPr>
            <w:r>
              <w:rPr>
                <w:rFonts w:ascii="Times New Roman"/>
                <w:sz w:val="18"/>
              </w:rPr>
              <w:t>3.37</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163,064.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05</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80" w:right="0"/>
              <w:jc w:val="left"/>
              <w:rPr>
                <w:rFonts w:ascii="Times New Roman" w:hAnsi="Times New Roman" w:cs="Times New Roman" w:eastAsia="Times New Roman" w:hint="default"/>
                <w:sz w:val="18"/>
                <w:szCs w:val="18"/>
              </w:rPr>
            </w:pPr>
            <w:r>
              <w:rPr>
                <w:rFonts w:ascii="Times New Roman"/>
                <w:sz w:val="18"/>
              </w:rPr>
              <w:t>7,115,40</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7.42</w:t>
            </w:r>
          </w:p>
        </w:tc>
      </w:tr>
      <w:tr>
        <w:trPr>
          <w:trHeight w:val="1026" w:hRule="exact"/>
        </w:trPr>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2" w:right="51"/>
              <w:jc w:val="left"/>
              <w:rPr>
                <w:rFonts w:ascii="Times New Roman" w:hAnsi="Times New Roman" w:cs="Times New Roman" w:eastAsia="Times New Roman" w:hint="default"/>
                <w:sz w:val="18"/>
                <w:szCs w:val="18"/>
              </w:rPr>
            </w:pPr>
            <w:r>
              <w:rPr>
                <w:rFonts w:ascii="Times New Roman"/>
                <w:sz w:val="18"/>
              </w:rPr>
              <w:t>Sunset Laborato ry</w:t>
            </w:r>
            <w:r>
              <w:rPr>
                <w:rFonts w:ascii="Times New Roman"/>
                <w:spacing w:val="-2"/>
                <w:sz w:val="18"/>
              </w:rPr>
              <w:t> </w:t>
            </w:r>
            <w:r>
              <w:rPr>
                <w:rFonts w:ascii="Times New Roman"/>
                <w:sz w:val="18"/>
              </w:rPr>
              <w:t>Inc.</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7,996,21</w:t>
            </w:r>
          </w:p>
          <w:p>
            <w:pPr>
              <w:pStyle w:val="TableParagraph"/>
              <w:spacing w:line="240" w:lineRule="auto" w:before="105"/>
              <w:ind w:left="387" w:right="0"/>
              <w:jc w:val="left"/>
              <w:rPr>
                <w:rFonts w:ascii="Times New Roman" w:hAnsi="Times New Roman" w:cs="Times New Roman" w:eastAsia="Times New Roman" w:hint="default"/>
                <w:sz w:val="18"/>
                <w:szCs w:val="18"/>
              </w:rPr>
            </w:pPr>
            <w:r>
              <w:rPr>
                <w:rFonts w:ascii="Times New Roman"/>
                <w:sz w:val="18"/>
              </w:rPr>
              <w:t>8.09</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149,794.</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60</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8,146,01</w:t>
            </w:r>
          </w:p>
          <w:p>
            <w:pPr>
              <w:pStyle w:val="TableParagraph"/>
              <w:spacing w:line="240" w:lineRule="auto" w:before="105"/>
              <w:ind w:left="387" w:right="0"/>
              <w:jc w:val="left"/>
              <w:rPr>
                <w:rFonts w:ascii="Times New Roman" w:hAnsi="Times New Roman" w:cs="Times New Roman" w:eastAsia="Times New Roman" w:hint="default"/>
                <w:sz w:val="18"/>
                <w:szCs w:val="18"/>
              </w:rPr>
            </w:pPr>
            <w:r>
              <w:rPr>
                <w:rFonts w:ascii="Times New Roman"/>
                <w:sz w:val="18"/>
              </w:rPr>
              <w:t>2.69</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587,913.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31</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587,913.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31</w:t>
            </w:r>
          </w:p>
        </w:tc>
      </w:tr>
      <w:tr>
        <w:trPr>
          <w:trHeight w:val="2274" w:hRule="exact"/>
        </w:trPr>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2" w:right="21"/>
              <w:jc w:val="left"/>
              <w:rPr>
                <w:rFonts w:ascii="Times New Roman" w:hAnsi="Times New Roman" w:cs="Times New Roman" w:eastAsia="Times New Roman" w:hint="default"/>
                <w:sz w:val="18"/>
                <w:szCs w:val="18"/>
              </w:rPr>
            </w:pPr>
            <w:r>
              <w:rPr>
                <w:rFonts w:ascii="Times New Roman"/>
                <w:sz w:val="18"/>
              </w:rPr>
              <w:t>COOPE</w:t>
            </w:r>
            <w:r>
              <w:rPr>
                <w:rFonts w:ascii="Times New Roman"/>
                <w:w w:val="99"/>
                <w:sz w:val="18"/>
              </w:rPr>
              <w:t> </w:t>
            </w:r>
            <w:r>
              <w:rPr>
                <w:rFonts w:ascii="Times New Roman"/>
                <w:sz w:val="18"/>
              </w:rPr>
              <w:t>R</w:t>
            </w:r>
            <w:r>
              <w:rPr>
                <w:rFonts w:ascii="Times New Roman"/>
                <w:sz w:val="18"/>
              </w:rPr>
              <w:t> ENVIRO</w:t>
            </w:r>
            <w:r>
              <w:rPr>
                <w:rFonts w:ascii="Times New Roman"/>
                <w:w w:val="99"/>
                <w:sz w:val="18"/>
              </w:rPr>
              <w:t> </w:t>
            </w:r>
            <w:r>
              <w:rPr>
                <w:rFonts w:ascii="Times New Roman"/>
                <w:sz w:val="18"/>
              </w:rPr>
              <w:t>NMENT</w:t>
            </w:r>
            <w:r>
              <w:rPr>
                <w:rFonts w:ascii="Times New Roman"/>
                <w:w w:val="99"/>
                <w:sz w:val="18"/>
              </w:rPr>
              <w:t> </w:t>
            </w:r>
            <w:r>
              <w:rPr>
                <w:rFonts w:ascii="Times New Roman"/>
                <w:sz w:val="18"/>
              </w:rPr>
              <w:t>AL</w:t>
            </w:r>
            <w:r>
              <w:rPr>
                <w:rFonts w:ascii="Times New Roman"/>
                <w:w w:val="99"/>
                <w:sz w:val="18"/>
              </w:rPr>
              <w:t> </w:t>
            </w:r>
            <w:r>
              <w:rPr>
                <w:rFonts w:ascii="Times New Roman"/>
                <w:spacing w:val="-3"/>
                <w:sz w:val="18"/>
              </w:rPr>
              <w:t>SERVIC</w:t>
            </w:r>
            <w:r>
              <w:rPr>
                <w:rFonts w:ascii="Times New Roman"/>
                <w:spacing w:val="-43"/>
                <w:sz w:val="18"/>
              </w:rPr>
              <w:t> </w:t>
            </w:r>
            <w:r>
              <w:rPr>
                <w:rFonts w:ascii="Times New Roman"/>
                <w:spacing w:val="-43"/>
                <w:sz w:val="18"/>
              </w:rPr>
            </w:r>
            <w:r>
              <w:rPr>
                <w:rFonts w:ascii="Times New Roman"/>
                <w:sz w:val="18"/>
              </w:rPr>
              <w:t>ES,LLC</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5,373,01</w:t>
            </w:r>
          </w:p>
          <w:p>
            <w:pPr>
              <w:pStyle w:val="TableParagraph"/>
              <w:spacing w:line="240" w:lineRule="auto" w:before="105"/>
              <w:ind w:left="387" w:right="0"/>
              <w:jc w:val="left"/>
              <w:rPr>
                <w:rFonts w:ascii="Times New Roman" w:hAnsi="Times New Roman" w:cs="Times New Roman" w:eastAsia="Times New Roman" w:hint="default"/>
                <w:sz w:val="18"/>
                <w:szCs w:val="18"/>
              </w:rPr>
            </w:pPr>
            <w:r>
              <w:rPr>
                <w:rFonts w:ascii="Times New Roman"/>
                <w:sz w:val="18"/>
              </w:rPr>
              <w:t>5.54</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sz w:val="18"/>
              </w:rPr>
              <w:t>11,728,2</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38.56</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17,101,2</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54.10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2,509,51</w:t>
            </w:r>
          </w:p>
          <w:p>
            <w:pPr>
              <w:pStyle w:val="TableParagraph"/>
              <w:spacing w:line="240" w:lineRule="auto" w:before="105"/>
              <w:ind w:left="390" w:right="0"/>
              <w:jc w:val="left"/>
              <w:rPr>
                <w:rFonts w:ascii="Times New Roman" w:hAnsi="Times New Roman" w:cs="Times New Roman" w:eastAsia="Times New Roman" w:hint="default"/>
                <w:sz w:val="18"/>
                <w:szCs w:val="18"/>
              </w:rPr>
            </w:pPr>
            <w:r>
              <w:rPr>
                <w:rFonts w:ascii="Times New Roman"/>
                <w:sz w:val="18"/>
              </w:rPr>
              <w:t>8.37</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2,509,51</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8.37</w:t>
            </w:r>
          </w:p>
        </w:tc>
      </w:tr>
    </w:tbl>
    <w:p>
      <w:pPr>
        <w:pStyle w:val="BodyText"/>
        <w:spacing w:line="240" w:lineRule="auto" w:before="51"/>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061"/>
        <w:gridCol w:w="1061"/>
        <w:gridCol w:w="1062"/>
        <w:gridCol w:w="1066"/>
        <w:gridCol w:w="1064"/>
        <w:gridCol w:w="1063"/>
        <w:gridCol w:w="1064"/>
        <w:gridCol w:w="1063"/>
        <w:gridCol w:w="1066"/>
      </w:tblGrid>
      <w:tr>
        <w:trPr>
          <w:trHeight w:val="402" w:hRule="exact"/>
        </w:trPr>
        <w:tc>
          <w:tcPr>
            <w:tcW w:w="106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75"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4253"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4256"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4" w:hRule="exact"/>
        </w:trPr>
        <w:tc>
          <w:tcPr>
            <w:tcW w:w="1061" w:type="dxa"/>
            <w:vMerge/>
            <w:tcBorders>
              <w:left w:val="single" w:sz="4" w:space="0" w:color="000000"/>
              <w:bottom w:val="single" w:sz="4" w:space="0" w:color="000000"/>
              <w:right w:val="single" w:sz="4" w:space="0" w:color="000000"/>
            </w:tcBorders>
            <w:shd w:val="clear" w:color="auto" w:fill="D2D2D2"/>
          </w:tcPr>
          <w:p>
            <w:pP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净利润</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38" w:right="76" w:hanging="360"/>
              <w:jc w:val="left"/>
              <w:rPr>
                <w:rFonts w:ascii="宋体" w:hAnsi="宋体" w:cs="宋体" w:eastAsia="宋体" w:hint="default"/>
                <w:sz w:val="18"/>
                <w:szCs w:val="18"/>
              </w:rPr>
            </w:pPr>
            <w:r>
              <w:rPr>
                <w:rFonts w:ascii="宋体" w:hAnsi="宋体" w:cs="宋体" w:eastAsia="宋体" w:hint="default"/>
                <w:sz w:val="18"/>
                <w:szCs w:val="18"/>
              </w:rPr>
              <w:t>综合收益总 额</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56" w:right="77" w:hanging="180"/>
              <w:jc w:val="left"/>
              <w:rPr>
                <w:rFonts w:ascii="宋体" w:hAnsi="宋体" w:cs="宋体" w:eastAsia="宋体" w:hint="default"/>
                <w:sz w:val="18"/>
                <w:szCs w:val="18"/>
              </w:rPr>
            </w:pPr>
            <w:r>
              <w:rPr>
                <w:rFonts w:ascii="宋体" w:hAnsi="宋体" w:cs="宋体" w:eastAsia="宋体" w:hint="default"/>
                <w:sz w:val="18"/>
                <w:szCs w:val="18"/>
              </w:rPr>
              <w:t>经营活动现 金流量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6"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净利润</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35" w:right="77" w:hanging="360"/>
              <w:jc w:val="left"/>
              <w:rPr>
                <w:rFonts w:ascii="宋体" w:hAnsi="宋体" w:cs="宋体" w:eastAsia="宋体" w:hint="default"/>
                <w:sz w:val="18"/>
                <w:szCs w:val="18"/>
              </w:rPr>
            </w:pPr>
            <w:r>
              <w:rPr>
                <w:rFonts w:ascii="宋体" w:hAnsi="宋体" w:cs="宋体" w:eastAsia="宋体" w:hint="default"/>
                <w:sz w:val="18"/>
                <w:szCs w:val="18"/>
              </w:rPr>
              <w:t>综合收益总 额</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57" w:right="77" w:hanging="180"/>
              <w:jc w:val="left"/>
              <w:rPr>
                <w:rFonts w:ascii="宋体" w:hAnsi="宋体" w:cs="宋体" w:eastAsia="宋体" w:hint="default"/>
                <w:sz w:val="18"/>
                <w:szCs w:val="18"/>
              </w:rPr>
            </w:pPr>
            <w:r>
              <w:rPr>
                <w:rFonts w:ascii="宋体" w:hAnsi="宋体" w:cs="宋体" w:eastAsia="宋体" w:hint="default"/>
                <w:sz w:val="18"/>
                <w:szCs w:val="18"/>
              </w:rPr>
              <w:t>经营活动现 金流量</w:t>
            </w:r>
          </w:p>
        </w:tc>
      </w:tr>
      <w:tr>
        <w:trPr>
          <w:trHeight w:val="1338"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6"/>
              <w:jc w:val="both"/>
              <w:rPr>
                <w:rFonts w:ascii="宋体" w:hAnsi="宋体" w:cs="宋体" w:eastAsia="宋体" w:hint="default"/>
                <w:sz w:val="18"/>
                <w:szCs w:val="18"/>
              </w:rPr>
            </w:pPr>
            <w:r>
              <w:rPr>
                <w:rFonts w:ascii="宋体" w:hAnsi="宋体" w:cs="宋体" w:eastAsia="宋体" w:hint="default"/>
                <w:sz w:val="18"/>
                <w:szCs w:val="18"/>
              </w:rPr>
              <w:t>河北先河金 瑞环保设施 运营服务有 限公司</w:t>
            </w:r>
          </w:p>
        </w:tc>
        <w:tc>
          <w:tcPr>
            <w:tcW w:w="1061"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-2,445,160.74</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6" w:right="0"/>
              <w:jc w:val="center"/>
              <w:rPr>
                <w:rFonts w:ascii="Times New Roman" w:hAnsi="Times New Roman" w:cs="Times New Roman" w:eastAsia="Times New Roman" w:hint="default"/>
                <w:sz w:val="18"/>
                <w:szCs w:val="18"/>
              </w:rPr>
            </w:pPr>
            <w:r>
              <w:rPr>
                <w:rFonts w:ascii="Times New Roman"/>
                <w:sz w:val="18"/>
              </w:rPr>
              <w:t>-2,445,160.74</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78,354.73</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-2,157,061.43</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-2,157,061.43</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82,162.79</w:t>
            </w:r>
          </w:p>
        </w:tc>
      </w:tr>
      <w:tr>
        <w:trPr>
          <w:trHeight w:val="1026"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6"/>
              <w:jc w:val="both"/>
              <w:rPr>
                <w:rFonts w:ascii="宋体" w:hAnsi="宋体" w:cs="宋体" w:eastAsia="宋体" w:hint="default"/>
                <w:sz w:val="18"/>
                <w:szCs w:val="18"/>
              </w:rPr>
            </w:pPr>
            <w:r>
              <w:rPr>
                <w:rFonts w:ascii="宋体" w:hAnsi="宋体" w:cs="宋体" w:eastAsia="宋体" w:hint="default"/>
                <w:sz w:val="18"/>
                <w:szCs w:val="18"/>
              </w:rPr>
              <w:t>重庆冀华环 保科技发展 有限公司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23,952,315.8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-3,368,909.61</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 w:right="0"/>
              <w:jc w:val="center"/>
              <w:rPr>
                <w:rFonts w:ascii="Times New Roman" w:hAnsi="Times New Roman" w:cs="Times New Roman" w:eastAsia="Times New Roman" w:hint="default"/>
                <w:sz w:val="18"/>
                <w:szCs w:val="18"/>
              </w:rPr>
            </w:pPr>
            <w:r>
              <w:rPr>
                <w:rFonts w:ascii="Times New Roman"/>
                <w:sz w:val="18"/>
              </w:rPr>
              <w:t>-3,368,909.61</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-332,637.06</w:t>
            </w:r>
            <w:r>
              <w:rPr>
                <w:rFonts w:ascii="Times New Roman"/>
                <w:sz w:val="18"/>
              </w:rPr>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16,962,115.2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-1,148,952.53</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-1,148,952.53</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6,580,317.87</w:t>
            </w:r>
          </w:p>
        </w:tc>
      </w:tr>
      <w:tr>
        <w:trPr>
          <w:trHeight w:val="1338"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2" w:right="119"/>
              <w:jc w:val="left"/>
              <w:rPr>
                <w:rFonts w:ascii="Times New Roman" w:hAnsi="Times New Roman" w:cs="Times New Roman" w:eastAsia="Times New Roman" w:hint="default"/>
                <w:sz w:val="18"/>
                <w:szCs w:val="18"/>
              </w:rPr>
            </w:pPr>
            <w:r>
              <w:rPr>
                <w:rFonts w:ascii="Times New Roman"/>
                <w:sz w:val="18"/>
              </w:rPr>
              <w:t>SUNSET CES INCORPOR</w:t>
            </w:r>
            <w:r>
              <w:rPr>
                <w:rFonts w:ascii="Times New Roman"/>
                <w:w w:val="99"/>
                <w:sz w:val="18"/>
              </w:rPr>
              <w:t> </w:t>
            </w:r>
            <w:r>
              <w:rPr>
                <w:rFonts w:ascii="Times New Roman"/>
                <w:spacing w:val="-6"/>
                <w:sz w:val="18"/>
              </w:rPr>
              <w:t>ATED</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56,449,705.3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62" w:right="0"/>
              <w:jc w:val="center"/>
              <w:rPr>
                <w:rFonts w:ascii="Times New Roman" w:hAnsi="Times New Roman" w:cs="Times New Roman" w:eastAsia="Times New Roman" w:hint="default"/>
                <w:sz w:val="18"/>
                <w:szCs w:val="18"/>
              </w:rPr>
            </w:pPr>
            <w:r>
              <w:rPr>
                <w:rFonts w:ascii="Times New Roman"/>
                <w:sz w:val="18"/>
              </w:rPr>
              <w:t>7,214,313.25</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66" w:right="0"/>
              <w:jc w:val="center"/>
              <w:rPr>
                <w:rFonts w:ascii="Times New Roman" w:hAnsi="Times New Roman" w:cs="Times New Roman" w:eastAsia="Times New Roman" w:hint="default"/>
                <w:sz w:val="18"/>
                <w:szCs w:val="18"/>
              </w:rPr>
            </w:pPr>
            <w:r>
              <w:rPr>
                <w:rFonts w:ascii="Times New Roman"/>
                <w:sz w:val="18"/>
              </w:rPr>
              <w:t>5,781,305.46</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7,417,875.34</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2" w:right="227"/>
              <w:jc w:val="left"/>
              <w:rPr>
                <w:rFonts w:ascii="Times New Roman" w:hAnsi="Times New Roman" w:cs="Times New Roman" w:eastAsia="Times New Roman" w:hint="default"/>
                <w:sz w:val="18"/>
                <w:szCs w:val="18"/>
              </w:rPr>
            </w:pPr>
            <w:r>
              <w:rPr>
                <w:rFonts w:ascii="Times New Roman"/>
                <w:sz w:val="18"/>
              </w:rPr>
              <w:t>Sunset Laboratory Inc.</w:t>
            </w:r>
          </w:p>
        </w:tc>
        <w:tc>
          <w:tcPr>
            <w:tcW w:w="1061"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16,522,628.6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1" w:right="0"/>
              <w:jc w:val="center"/>
              <w:rPr>
                <w:rFonts w:ascii="Times New Roman" w:hAnsi="Times New Roman" w:cs="Times New Roman" w:eastAsia="Times New Roman" w:hint="default"/>
                <w:sz w:val="18"/>
                <w:szCs w:val="18"/>
              </w:rPr>
            </w:pPr>
            <w:r>
              <w:rPr>
                <w:rFonts w:ascii="Times New Roman"/>
                <w:sz w:val="18"/>
              </w:rPr>
              <w:t>2,583,344.68</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2,968,622.70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1,234,965.88</w:t>
            </w:r>
          </w:p>
        </w:tc>
      </w:tr>
      <w:tr>
        <w:trPr>
          <w:trHeight w:val="986"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60" w:lineRule="auto" w:before="91"/>
              <w:ind w:left="22" w:right="57"/>
              <w:jc w:val="left"/>
              <w:rPr>
                <w:rFonts w:ascii="Times New Roman" w:hAnsi="Times New Roman" w:cs="Times New Roman" w:eastAsia="Times New Roman" w:hint="default"/>
                <w:sz w:val="18"/>
                <w:szCs w:val="18"/>
              </w:rPr>
            </w:pPr>
            <w:r>
              <w:rPr>
                <w:rFonts w:ascii="Times New Roman"/>
                <w:sz w:val="18"/>
              </w:rPr>
              <w:t>COOPER</w:t>
            </w:r>
            <w:r>
              <w:rPr>
                <w:rFonts w:ascii="Times New Roman"/>
                <w:w w:val="99"/>
                <w:sz w:val="18"/>
              </w:rPr>
              <w:t> </w:t>
            </w:r>
            <w:r>
              <w:rPr>
                <w:rFonts w:ascii="Times New Roman"/>
                <w:sz w:val="18"/>
              </w:rPr>
              <w:t>ENVIRONM</w:t>
            </w:r>
            <w:r>
              <w:rPr>
                <w:rFonts w:ascii="Times New Roman"/>
                <w:w w:val="99"/>
                <w:sz w:val="18"/>
              </w:rPr>
              <w:t> </w:t>
            </w:r>
            <w:r>
              <w:rPr>
                <w:rFonts w:ascii="Times New Roman"/>
                <w:spacing w:val="-3"/>
                <w:sz w:val="18"/>
              </w:rPr>
              <w:t>ENTAL</w:t>
            </w:r>
          </w:p>
        </w:tc>
        <w:tc>
          <w:tcPr>
            <w:tcW w:w="1061"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24,048,427.8</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4</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7"/>
              <w:ind w:left="7" w:right="0"/>
              <w:jc w:val="center"/>
              <w:rPr>
                <w:rFonts w:ascii="Times New Roman" w:hAnsi="Times New Roman" w:cs="Times New Roman" w:eastAsia="Times New Roman" w:hint="default"/>
                <w:sz w:val="18"/>
                <w:szCs w:val="18"/>
              </w:rPr>
            </w:pPr>
            <w:r>
              <w:rPr>
                <w:rFonts w:ascii="Times New Roman"/>
                <w:sz w:val="18"/>
              </w:rPr>
              <w:t>-4,156,110.01</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7"/>
              <w:ind w:right="21"/>
              <w:jc w:val="right"/>
              <w:rPr>
                <w:rFonts w:ascii="Times New Roman" w:hAnsi="Times New Roman" w:cs="Times New Roman" w:eastAsia="Times New Roman" w:hint="default"/>
                <w:sz w:val="18"/>
                <w:szCs w:val="18"/>
              </w:rPr>
            </w:pPr>
            <w:r>
              <w:rPr>
                <w:rFonts w:ascii="Times New Roman"/>
                <w:spacing w:val="-1"/>
                <w:sz w:val="18"/>
              </w:rPr>
              <w:t>-2,978,419.01</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7"/>
              <w:ind w:right="20"/>
              <w:jc w:val="right"/>
              <w:rPr>
                <w:rFonts w:ascii="Times New Roman" w:hAnsi="Times New Roman" w:cs="Times New Roman" w:eastAsia="Times New Roman" w:hint="default"/>
                <w:sz w:val="18"/>
                <w:szCs w:val="18"/>
              </w:rPr>
            </w:pPr>
            <w:r>
              <w:rPr>
                <w:rFonts w:ascii="Times New Roman"/>
                <w:sz w:val="18"/>
              </w:rPr>
              <w:t>94,108.24</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1061"/>
        <w:gridCol w:w="1061"/>
        <w:gridCol w:w="1062"/>
        <w:gridCol w:w="1066"/>
        <w:gridCol w:w="1064"/>
        <w:gridCol w:w="1063"/>
        <w:gridCol w:w="1064"/>
        <w:gridCol w:w="1063"/>
        <w:gridCol w:w="1066"/>
      </w:tblGrid>
      <w:tr>
        <w:trPr>
          <w:trHeight w:val="674"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50"/>
              <w:ind w:left="22" w:right="36"/>
              <w:jc w:val="left"/>
              <w:rPr>
                <w:rFonts w:ascii="Times New Roman" w:hAnsi="Times New Roman" w:cs="Times New Roman" w:eastAsia="Times New Roman" w:hint="default"/>
                <w:sz w:val="18"/>
                <w:szCs w:val="18"/>
              </w:rPr>
            </w:pPr>
            <w:r>
              <w:rPr>
                <w:rFonts w:ascii="Times New Roman"/>
                <w:spacing w:val="-2"/>
                <w:sz w:val="18"/>
              </w:rPr>
              <w:t>SERVICES,L</w:t>
            </w:r>
            <w:r>
              <w:rPr>
                <w:rFonts w:ascii="Times New Roman"/>
                <w:spacing w:val="-41"/>
                <w:sz w:val="18"/>
              </w:rPr>
              <w:t> </w:t>
            </w:r>
            <w:r>
              <w:rPr>
                <w:rFonts w:ascii="Times New Roman"/>
                <w:spacing w:val="-41"/>
                <w:sz w:val="18"/>
              </w:rPr>
            </w:r>
            <w:r>
              <w:rPr>
                <w:rFonts w:ascii="Times New Roman"/>
                <w:sz w:val="18"/>
              </w:rPr>
              <w:t>LC</w:t>
            </w:r>
          </w:p>
        </w:tc>
        <w:tc>
          <w:tcPr>
            <w:tcW w:w="1061"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6"/>
              <w:jc w:val="both"/>
              <w:rPr>
                <w:rFonts w:ascii="宋体" w:hAnsi="宋体" w:cs="宋体" w:eastAsia="宋体" w:hint="default"/>
                <w:sz w:val="18"/>
                <w:szCs w:val="18"/>
              </w:rPr>
            </w:pPr>
            <w:r>
              <w:rPr>
                <w:rFonts w:ascii="宋体" w:hAnsi="宋体" w:cs="宋体" w:eastAsia="宋体" w:hint="default"/>
                <w:sz w:val="18"/>
                <w:szCs w:val="18"/>
              </w:rPr>
              <w:t>广东先河科 迪隆科技有 限公司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164,243,086.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62</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33,327,059.2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33,327,059.2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54,404,113.9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190,989,455.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39</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47,725,640.4</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9</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47,725,640.4</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9</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6" w:right="0"/>
              <w:jc w:val="center"/>
              <w:rPr>
                <w:rFonts w:ascii="Times New Roman" w:hAnsi="Times New Roman" w:cs="Times New Roman" w:eastAsia="Times New Roman" w:hint="default"/>
                <w:sz w:val="18"/>
                <w:szCs w:val="18"/>
              </w:rPr>
            </w:pPr>
            <w:r>
              <w:rPr>
                <w:rFonts w:ascii="Times New Roman"/>
                <w:sz w:val="18"/>
              </w:rPr>
              <w:t>2,066,077.01</w:t>
            </w:r>
          </w:p>
        </w:tc>
      </w:tr>
      <w:tr>
        <w:trPr>
          <w:trHeight w:val="1026"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6"/>
              <w:jc w:val="both"/>
              <w:rPr>
                <w:rFonts w:ascii="宋体" w:hAnsi="宋体" w:cs="宋体" w:eastAsia="宋体" w:hint="default"/>
                <w:sz w:val="18"/>
                <w:szCs w:val="18"/>
              </w:rPr>
            </w:pPr>
            <w:r>
              <w:rPr>
                <w:rFonts w:ascii="宋体" w:hAnsi="宋体" w:cs="宋体" w:eastAsia="宋体" w:hint="default"/>
                <w:sz w:val="18"/>
                <w:szCs w:val="18"/>
              </w:rPr>
              <w:t>广西先得环 保科技有限 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45,026,261.2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4,528,375.09</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4,528,375.09</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-31,844,995.0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74,971,078.6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12,316,047.4</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12,316,047.4</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44,180,273.8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w:t>
            </w:r>
          </w:p>
        </w:tc>
      </w:tr>
      <w:tr>
        <w:trPr>
          <w:trHeight w:val="1026"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6"/>
              <w:jc w:val="both"/>
              <w:rPr>
                <w:rFonts w:ascii="宋体" w:hAnsi="宋体" w:cs="宋体" w:eastAsia="宋体" w:hint="default"/>
                <w:sz w:val="18"/>
                <w:szCs w:val="18"/>
              </w:rPr>
            </w:pPr>
            <w:r>
              <w:rPr>
                <w:rFonts w:ascii="宋体" w:hAnsi="宋体" w:cs="宋体" w:eastAsia="宋体" w:hint="default"/>
                <w:sz w:val="18"/>
                <w:szCs w:val="18"/>
              </w:rPr>
              <w:t>四川久环环 境技术有限 责任公司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17,224,099.6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2,982,862.96</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2,982,862.96</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7" w:right="0"/>
              <w:jc w:val="left"/>
              <w:rPr>
                <w:rFonts w:ascii="Times New Roman" w:hAnsi="Times New Roman" w:cs="Times New Roman" w:eastAsia="Times New Roman" w:hint="default"/>
                <w:sz w:val="18"/>
                <w:szCs w:val="18"/>
              </w:rPr>
            </w:pPr>
            <w:r>
              <w:rPr>
                <w:rFonts w:ascii="Times New Roman"/>
                <w:sz w:val="18"/>
              </w:rPr>
              <w:t>3,030,362.06</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6" w:right="0"/>
              <w:jc w:val="left"/>
              <w:rPr>
                <w:rFonts w:ascii="Times New Roman" w:hAnsi="Times New Roman" w:cs="Times New Roman" w:eastAsia="Times New Roman" w:hint="default"/>
                <w:sz w:val="18"/>
                <w:szCs w:val="18"/>
              </w:rPr>
            </w:pPr>
            <w:r>
              <w:rPr>
                <w:rFonts w:ascii="Times New Roman"/>
                <w:sz w:val="18"/>
              </w:rPr>
              <w:t>6,423,544.61</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5" w:right="0"/>
              <w:jc w:val="left"/>
              <w:rPr>
                <w:rFonts w:ascii="Times New Roman" w:hAnsi="Times New Roman" w:cs="Times New Roman" w:eastAsia="Times New Roman" w:hint="default"/>
                <w:sz w:val="18"/>
                <w:szCs w:val="18"/>
              </w:rPr>
            </w:pPr>
            <w:r>
              <w:rPr>
                <w:rFonts w:ascii="Times New Roman"/>
                <w:sz w:val="18"/>
              </w:rPr>
              <w:t>-1,816,518.40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5" w:right="0"/>
              <w:jc w:val="left"/>
              <w:rPr>
                <w:rFonts w:ascii="Times New Roman" w:hAnsi="Times New Roman" w:cs="Times New Roman" w:eastAsia="Times New Roman" w:hint="default"/>
                <w:sz w:val="18"/>
                <w:szCs w:val="18"/>
              </w:rPr>
            </w:pPr>
            <w:r>
              <w:rPr>
                <w:rFonts w:ascii="Times New Roman"/>
                <w:sz w:val="18"/>
              </w:rPr>
              <w:t>-1,816,518.40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 w:right="0"/>
              <w:jc w:val="center"/>
              <w:rPr>
                <w:rFonts w:ascii="Times New Roman" w:hAnsi="Times New Roman" w:cs="Times New Roman" w:eastAsia="Times New Roman" w:hint="default"/>
                <w:sz w:val="18"/>
                <w:szCs w:val="18"/>
              </w:rPr>
            </w:pPr>
            <w:r>
              <w:rPr>
                <w:rFonts w:ascii="Times New Roman"/>
                <w:sz w:val="18"/>
              </w:rPr>
              <w:t>-1,082,830.70</w:t>
            </w:r>
          </w:p>
        </w:tc>
      </w:tr>
    </w:tbl>
    <w:p>
      <w:pPr>
        <w:pStyle w:val="BodyText"/>
        <w:spacing w:line="240" w:lineRule="auto" w:before="51"/>
        <w:ind w:left="1134" w:right="0"/>
        <w:jc w:val="left"/>
      </w:pPr>
      <w:r>
        <w:rPr/>
        <w:t>其他说明：</w:t>
      </w:r>
    </w:p>
    <w:p>
      <w:pPr>
        <w:spacing w:line="240" w:lineRule="auto" w:before="1"/>
        <w:rPr>
          <w:rFonts w:ascii="宋体" w:hAnsi="宋体" w:cs="宋体" w:eastAsia="宋体" w:hint="default"/>
          <w:sz w:val="25"/>
          <w:szCs w:val="25"/>
        </w:rPr>
      </w:pPr>
    </w:p>
    <w:p>
      <w:pPr>
        <w:pStyle w:val="Heading2"/>
        <w:spacing w:line="240" w:lineRule="auto"/>
        <w:ind w:right="0"/>
        <w:jc w:val="left"/>
        <w:rPr>
          <w:b w:val="0"/>
          <w:bCs w:val="0"/>
        </w:rPr>
      </w:pPr>
      <w:bookmarkStart w:name="十、与金融工具相关的风险" w:id="337"/>
      <w:bookmarkEnd w:id="337"/>
      <w:r>
        <w:rPr>
          <w:b w:val="0"/>
          <w:bCs w:val="0"/>
        </w:rPr>
      </w:r>
      <w:r>
        <w:rPr/>
        <w:t>十、与金融工具相关的风险</w:t>
      </w:r>
      <w:r>
        <w:rPr>
          <w:b w:val="0"/>
          <w:bCs w:val="0"/>
        </w:rPr>
      </w:r>
    </w:p>
    <w:p>
      <w:pPr>
        <w:spacing w:line="240" w:lineRule="auto" w:before="6"/>
        <w:rPr>
          <w:rFonts w:ascii="宋体" w:hAnsi="宋体" w:cs="宋体" w:eastAsia="宋体" w:hint="default"/>
          <w:b/>
          <w:bCs/>
          <w:sz w:val="26"/>
          <w:szCs w:val="26"/>
        </w:rPr>
      </w:pPr>
    </w:p>
    <w:p>
      <w:pPr>
        <w:pStyle w:val="BodyText"/>
        <w:spacing w:line="316" w:lineRule="auto"/>
        <w:ind w:right="1131" w:firstLine="420"/>
        <w:jc w:val="both"/>
      </w:pPr>
      <w:r>
        <w:rPr/>
        <w:t>本公司从事风险管理的目标是在风险和收益之间取得适当的平衡，将风险对本公司经营业绩的负面影响降低到最低水 </w:t>
      </w:r>
      <w:r>
        <w:rPr>
          <w:spacing w:val="-2"/>
        </w:rPr>
        <w:t>平，使股东及其其他权益投资者的利益最大化。基于该风险管理目标，本公司风险管理的基本策略是确定和分析本公司所面</w:t>
      </w:r>
      <w:r>
        <w:rPr>
          <w:spacing w:val="-66"/>
        </w:rPr>
        <w:t> </w:t>
      </w:r>
      <w:r>
        <w:rPr>
          <w:spacing w:val="-66"/>
        </w:rPr>
      </w:r>
      <w:r>
        <w:rPr>
          <w:spacing w:val="-2"/>
        </w:rPr>
        <w:t>临的各种风险，建立适当的风险承受底线和进行风险管理，并及时可靠地对各种风险进行监督，将风险控制在限定的范围之</w:t>
      </w:r>
      <w:r>
        <w:rPr>
          <w:spacing w:val="-66"/>
        </w:rPr>
        <w:t> </w:t>
      </w:r>
      <w:r>
        <w:rPr>
          <w:spacing w:val="-66"/>
        </w:rPr>
      </w:r>
      <w:r>
        <w:rPr/>
        <w:t>内。</w:t>
      </w:r>
    </w:p>
    <w:p>
      <w:pPr>
        <w:pStyle w:val="BodyText"/>
        <w:spacing w:line="316" w:lineRule="auto" w:before="19"/>
        <w:ind w:left="1134" w:right="0" w:firstLine="420"/>
        <w:jc w:val="left"/>
      </w:pPr>
      <w:r>
        <w:rPr/>
        <w:t>本公司的主要金融工具包括股权投资、借款、应收账款、应付账款等，各项金融工具的详细情况说明见本附注五相关 项目。与这些金融工具有关的风险，主要包括市场风险、信用风险和流动风险</w:t>
      </w:r>
    </w:p>
    <w:p>
      <w:pPr>
        <w:pStyle w:val="Heading5"/>
        <w:spacing w:line="240" w:lineRule="auto" w:before="19"/>
        <w:ind w:left="1556" w:right="0"/>
        <w:jc w:val="left"/>
        <w:rPr>
          <w:b w:val="0"/>
          <w:bCs w:val="0"/>
        </w:rPr>
      </w:pPr>
      <w:r>
        <w:rPr>
          <w:rFonts w:ascii="Times New Roman" w:hAnsi="Times New Roman" w:cs="Times New Roman" w:eastAsia="Times New Roman" w:hint="default"/>
        </w:rPr>
        <w:t>1</w:t>
      </w:r>
      <w:r>
        <w:rPr/>
        <w:t>、市场风险</w:t>
      </w:r>
      <w:r>
        <w:rPr>
          <w:b w:val="0"/>
          <w:bCs w:val="0"/>
        </w:rPr>
      </w:r>
    </w:p>
    <w:p>
      <w:pPr>
        <w:pStyle w:val="BodyText"/>
        <w:spacing w:line="300" w:lineRule="auto" w:before="63"/>
        <w:ind w:left="1553" w:right="1118"/>
        <w:jc w:val="left"/>
      </w:pPr>
      <w:r>
        <w:rPr/>
        <w:t>（</w:t>
      </w:r>
      <w:r>
        <w:rPr>
          <w:rFonts w:ascii="Times New Roman" w:hAnsi="Times New Roman" w:cs="Times New Roman" w:eastAsia="Times New Roman" w:hint="default"/>
        </w:rPr>
        <w:t>1</w:t>
      </w:r>
      <w:r>
        <w:rPr/>
        <w:t>）外汇风险 外汇风险指因汇率变动产生损失的风险。于本财务报告年间，由于本公司的主要经营业务开展于中国大陆，其主要的</w:t>
      </w:r>
    </w:p>
    <w:p>
      <w:pPr>
        <w:pStyle w:val="BodyText"/>
        <w:spacing w:line="240" w:lineRule="auto" w:before="31"/>
        <w:ind w:right="0"/>
        <w:jc w:val="left"/>
      </w:pPr>
      <w:r>
        <w:rPr/>
        <w:t>收入和支出主要以人民币计价。外币汇率的浮动对本公司的经营业绩预期并不产生重大影响。</w:t>
      </w:r>
    </w:p>
    <w:p>
      <w:pPr>
        <w:pStyle w:val="BodyText"/>
        <w:spacing w:line="300" w:lineRule="auto" w:before="76"/>
        <w:ind w:right="1115" w:firstLine="420"/>
        <w:jc w:val="left"/>
      </w:pPr>
      <w:r>
        <w:rPr>
          <w:spacing w:val="-1"/>
        </w:rPr>
        <w:t>（</w:t>
      </w:r>
      <w:r>
        <w:rPr>
          <w:rFonts w:ascii="Times New Roman" w:hAnsi="Times New Roman" w:cs="Times New Roman" w:eastAsia="Times New Roman" w:hint="default"/>
          <w:spacing w:val="-1"/>
        </w:rPr>
        <w:t>2</w:t>
      </w:r>
      <w:r>
        <w:rPr>
          <w:spacing w:val="-1"/>
        </w:rPr>
        <w:t>）利率风险：是指金融工具的公允价值或未来现金流量因市场利率变动而发生波动的风险。本公司期末不存在重大</w:t>
      </w:r>
      <w:r>
        <w:rPr/>
        <w:t> 的计息资产和计息负债，故利率风险较小。</w:t>
      </w:r>
    </w:p>
    <w:p>
      <w:pPr>
        <w:pStyle w:val="BodyText"/>
        <w:spacing w:line="300" w:lineRule="auto" w:before="31"/>
        <w:ind w:left="1553" w:right="1118" w:firstLine="2"/>
        <w:jc w:val="left"/>
      </w:pPr>
      <w:r>
        <w:rPr>
          <w:rFonts w:ascii="Times New Roman" w:hAnsi="Times New Roman" w:cs="Times New Roman" w:eastAsia="Times New Roman" w:hint="default"/>
          <w:b/>
          <w:bCs/>
        </w:rPr>
        <w:t>2</w:t>
      </w:r>
      <w:r>
        <w:rPr>
          <w:rFonts w:ascii="宋体" w:hAnsi="宋体" w:cs="宋体" w:eastAsia="宋体" w:hint="default"/>
          <w:b/>
          <w:bCs/>
        </w:rPr>
        <w:t>、信用风险</w:t>
      </w:r>
      <w:r>
        <w:rPr>
          <w:rFonts w:ascii="宋体" w:hAnsi="宋体" w:cs="宋体" w:eastAsia="宋体" w:hint="default"/>
          <w:b/>
          <w:bCs/>
          <w:w w:val="99"/>
        </w:rPr>
        <w:t> </w:t>
      </w:r>
      <w:r>
        <w:rPr/>
        <w:t>信用风险，是指金融工具的一方不能履行义务，造成另一方发生财务损失的风险。本公司的信用风险来自银行存款、</w:t>
      </w:r>
    </w:p>
    <w:p>
      <w:pPr>
        <w:pStyle w:val="BodyText"/>
        <w:spacing w:line="240" w:lineRule="auto" w:before="31"/>
        <w:ind w:right="0"/>
        <w:jc w:val="left"/>
      </w:pPr>
      <w:r>
        <w:rPr/>
        <w:t>应收款项。</w:t>
      </w:r>
    </w:p>
    <w:p>
      <w:pPr>
        <w:pStyle w:val="BodyText"/>
        <w:spacing w:line="316" w:lineRule="auto" w:before="76"/>
        <w:ind w:left="1553" w:right="0"/>
        <w:jc w:val="left"/>
      </w:pPr>
      <w:r>
        <w:rPr/>
        <w:t>本公司的大部分银行存款存放在信用评级较高的大型国有银行，本公司认为该等资产不存在重大的信用风险。 对于应收账款、其他应收款和应收票据，销售部基于财务状况、历史经验及其它因素来评估客户的信用品质。本公司</w:t>
      </w:r>
    </w:p>
    <w:p>
      <w:pPr>
        <w:pStyle w:val="BodyText"/>
        <w:spacing w:line="316" w:lineRule="auto" w:before="19"/>
        <w:ind w:right="1118"/>
        <w:jc w:val="left"/>
      </w:pPr>
      <w:r>
        <w:rPr>
          <w:spacing w:val="-2"/>
        </w:rPr>
        <w:t>定期评估客户的信用品质并且认为在财务报表中已经计提了足额坏账准备。管理层认为不存在由于对方违约带来的进一步损</w:t>
      </w:r>
      <w:r>
        <w:rPr>
          <w:spacing w:val="-64"/>
        </w:rPr>
        <w:t> </w:t>
      </w:r>
      <w:r>
        <w:rPr>
          <w:spacing w:val="-64"/>
        </w:rPr>
      </w:r>
      <w:r>
        <w:rPr/>
        <w:t>失。</w:t>
      </w:r>
    </w:p>
    <w:p>
      <w:pPr>
        <w:pStyle w:val="BodyText"/>
        <w:spacing w:line="240" w:lineRule="auto" w:before="19"/>
        <w:ind w:left="1554" w:right="0"/>
        <w:jc w:val="left"/>
      </w:pPr>
      <w:r>
        <w:rPr/>
        <w:t>由于本公司的风险敞口分布在多个合同方和多个客户，因此本公司没有重大的信用集中风险。</w:t>
      </w:r>
    </w:p>
    <w:p>
      <w:pPr>
        <w:pStyle w:val="BodyText"/>
        <w:spacing w:line="300" w:lineRule="auto" w:before="76"/>
        <w:ind w:left="1553" w:right="1118" w:firstLine="2"/>
        <w:jc w:val="left"/>
      </w:pPr>
      <w:r>
        <w:rPr>
          <w:rFonts w:ascii="Times New Roman" w:hAnsi="Times New Roman" w:cs="Times New Roman" w:eastAsia="Times New Roman" w:hint="default"/>
          <w:b/>
          <w:bCs/>
        </w:rPr>
        <w:t>3</w:t>
      </w:r>
      <w:r>
        <w:rPr>
          <w:rFonts w:ascii="宋体" w:hAnsi="宋体" w:cs="宋体" w:eastAsia="宋体" w:hint="default"/>
          <w:b/>
          <w:bCs/>
        </w:rPr>
        <w:t>、流动风险</w:t>
      </w:r>
      <w:r>
        <w:rPr>
          <w:rFonts w:ascii="宋体" w:hAnsi="宋体" w:cs="宋体" w:eastAsia="宋体" w:hint="default"/>
          <w:b/>
          <w:bCs/>
          <w:w w:val="99"/>
        </w:rPr>
        <w:t> </w:t>
      </w:r>
      <w:r>
        <w:rPr/>
        <w:t>流动风险，是指企业在履行以交付现金或其他金融资产的方式结算的义务时发生资金短缺的风险。管理流动风险时，</w:t>
      </w:r>
    </w:p>
    <w:p>
      <w:pPr>
        <w:pStyle w:val="BodyText"/>
        <w:spacing w:line="240" w:lineRule="auto" w:before="31"/>
        <w:ind w:right="0"/>
        <w:jc w:val="left"/>
      </w:pPr>
      <w:r>
        <w:rPr/>
        <w:t>本公司保持管理层认为充分的现金及现金等价物并对其进行监控，以满足本公司经营需要，并降低现金流量波动的影响。</w:t>
      </w:r>
    </w:p>
    <w:p>
      <w:pPr>
        <w:spacing w:after="0" w:line="240" w:lineRule="auto"/>
        <w:jc w:val="left"/>
        <w:sectPr>
          <w:pgSz w:w="11910" w:h="16840"/>
          <w:pgMar w:header="747" w:footer="979" w:top="1060" w:bottom="1160" w:left="0" w:right="0"/>
        </w:sectPr>
      </w:pPr>
    </w:p>
    <w:p>
      <w:pPr>
        <w:spacing w:line="240" w:lineRule="auto" w:before="9"/>
        <w:rPr>
          <w:rFonts w:ascii="宋体" w:hAnsi="宋体" w:cs="宋体" w:eastAsia="宋体" w:hint="default"/>
          <w:sz w:val="23"/>
          <w:szCs w:val="23"/>
        </w:rPr>
      </w:pPr>
    </w:p>
    <w:p>
      <w:pPr>
        <w:pStyle w:val="Heading2"/>
        <w:spacing w:line="240" w:lineRule="auto" w:before="26"/>
        <w:ind w:right="0"/>
        <w:jc w:val="left"/>
        <w:rPr>
          <w:b w:val="0"/>
          <w:bCs w:val="0"/>
        </w:rPr>
      </w:pPr>
      <w:bookmarkStart w:name="十一、关联方及关联交易" w:id="338"/>
      <w:bookmarkEnd w:id="338"/>
      <w:r>
        <w:rPr>
          <w:b w:val="0"/>
          <w:bCs w:val="0"/>
        </w:rPr>
      </w:r>
      <w:r>
        <w:rPr/>
        <w:t>十一、关联方及关联交易</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本企业的母公司情况" w:id="339"/>
      <w:bookmarkEnd w:id="339"/>
      <w:r>
        <w:rPr>
          <w:b w:val="0"/>
          <w:bCs w:val="0"/>
        </w:rPr>
      </w:r>
      <w:r>
        <w:rPr>
          <w:rFonts w:ascii="Times New Roman" w:hAnsi="Times New Roman" w:cs="Times New Roman" w:eastAsia="Times New Roman" w:hint="default"/>
        </w:rPr>
        <w:t>1</w:t>
      </w:r>
      <w:r>
        <w:rPr/>
        <w:t>、本企业的母公司情况</w:t>
      </w:r>
      <w:r>
        <w:rPr>
          <w:b w:val="0"/>
          <w:bCs w:val="0"/>
        </w:rPr>
      </w:r>
    </w:p>
    <w:p>
      <w:pPr>
        <w:spacing w:line="240" w:lineRule="auto" w:before="9"/>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1595"/>
        <w:gridCol w:w="1595"/>
        <w:gridCol w:w="1594"/>
        <w:gridCol w:w="1594"/>
        <w:gridCol w:w="1595"/>
        <w:gridCol w:w="1595"/>
      </w:tblGrid>
      <w:tr>
        <w:trPr>
          <w:trHeight w:val="714" w:hRule="exact"/>
        </w:trPr>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342" w:right="0"/>
              <w:jc w:val="left"/>
              <w:rPr>
                <w:rFonts w:ascii="宋体" w:hAnsi="宋体" w:cs="宋体" w:eastAsia="宋体" w:hint="default"/>
                <w:sz w:val="18"/>
                <w:szCs w:val="18"/>
              </w:rPr>
            </w:pPr>
            <w:r>
              <w:rPr>
                <w:rFonts w:ascii="宋体" w:hAnsi="宋体" w:cs="宋体" w:eastAsia="宋体" w:hint="default"/>
                <w:sz w:val="18"/>
                <w:szCs w:val="18"/>
              </w:rPr>
              <w:t>母公司名称</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522"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432" w:right="71" w:hanging="360"/>
              <w:jc w:val="left"/>
              <w:rPr>
                <w:rFonts w:ascii="宋体" w:hAnsi="宋体" w:cs="宋体" w:eastAsia="宋体" w:hint="default"/>
                <w:sz w:val="18"/>
                <w:szCs w:val="18"/>
              </w:rPr>
            </w:pPr>
            <w:r>
              <w:rPr>
                <w:rFonts w:ascii="宋体" w:hAnsi="宋体" w:cs="宋体" w:eastAsia="宋体" w:hint="default"/>
                <w:sz w:val="18"/>
                <w:szCs w:val="18"/>
              </w:rPr>
              <w:t>母公司对本企业的 持股比例</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341" w:right="71" w:hanging="270"/>
              <w:jc w:val="left"/>
              <w:rPr>
                <w:rFonts w:ascii="宋体" w:hAnsi="宋体" w:cs="宋体" w:eastAsia="宋体" w:hint="default"/>
                <w:sz w:val="18"/>
                <w:szCs w:val="18"/>
              </w:rPr>
            </w:pPr>
            <w:r>
              <w:rPr>
                <w:rFonts w:ascii="宋体" w:hAnsi="宋体" w:cs="宋体" w:eastAsia="宋体" w:hint="default"/>
                <w:sz w:val="18"/>
                <w:szCs w:val="18"/>
              </w:rPr>
              <w:t>母公司对本企业的 表决权比例</w:t>
            </w:r>
          </w:p>
        </w:tc>
      </w:tr>
    </w:tbl>
    <w:p>
      <w:pPr>
        <w:pStyle w:val="BodyText"/>
        <w:spacing w:line="357" w:lineRule="auto" w:before="51"/>
        <w:ind w:left="1494" w:right="1197" w:hanging="360"/>
        <w:jc w:val="left"/>
      </w:pPr>
      <w:r>
        <w:rPr/>
        <w:t>本企业的母公司情况的说明 本公司第一大股东和实际控制人为：李玉国，截止</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日李玉国持股比例和表决权比例同为</w:t>
      </w:r>
      <w:r>
        <w:rPr>
          <w:rFonts w:ascii="Times New Roman" w:hAnsi="Times New Roman" w:cs="Times New Roman" w:eastAsia="Times New Roman" w:hint="default"/>
        </w:rPr>
        <w:t>13.86%</w:t>
      </w:r>
      <w:r>
        <w:rPr/>
        <w:t>。本公司</w:t>
      </w:r>
    </w:p>
    <w:p>
      <w:pPr>
        <w:pStyle w:val="BodyText"/>
        <w:spacing w:line="201" w:lineRule="exact"/>
        <w:ind w:right="0"/>
        <w:jc w:val="left"/>
      </w:pPr>
      <w:r>
        <w:rPr/>
        <w:t>最终控制人为李玉国。</w:t>
      </w:r>
    </w:p>
    <w:p>
      <w:pPr>
        <w:pStyle w:val="BodyText"/>
        <w:spacing w:line="360" w:lineRule="auto" w:before="117"/>
        <w:ind w:right="8053" w:firstLine="360"/>
        <w:jc w:val="left"/>
      </w:pPr>
      <w:r>
        <w:rPr/>
        <w:t>本企业最终控制方是李玉国。 其他说明：</w:t>
      </w:r>
    </w:p>
    <w:p>
      <w:pPr>
        <w:spacing w:line="240" w:lineRule="auto" w:before="11"/>
        <w:rPr>
          <w:rFonts w:ascii="宋体" w:hAnsi="宋体" w:cs="宋体" w:eastAsia="宋体" w:hint="default"/>
          <w:sz w:val="19"/>
          <w:szCs w:val="19"/>
        </w:rPr>
      </w:pPr>
    </w:p>
    <w:p>
      <w:pPr>
        <w:spacing w:line="547" w:lineRule="auto" w:before="0"/>
        <w:ind w:left="1133" w:right="6163" w:firstLine="0"/>
        <w:jc w:val="left"/>
        <w:rPr>
          <w:rFonts w:ascii="宋体" w:hAnsi="宋体" w:cs="宋体" w:eastAsia="宋体" w:hint="default"/>
          <w:sz w:val="21"/>
          <w:szCs w:val="21"/>
        </w:rPr>
      </w:pPr>
      <w:bookmarkStart w:name="2、本企业的子公司情况" w:id="340"/>
      <w:bookmarkEnd w:id="340"/>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、本企业的子公司情况</w:t>
      </w:r>
      <w:r>
        <w:rPr>
          <w:rFonts w:ascii="宋体" w:hAnsi="宋体" w:cs="宋体" w:eastAsia="宋体" w:hint="default"/>
          <w:b/>
          <w:bCs/>
          <w:w w:val="99"/>
          <w:sz w:val="21"/>
          <w:szCs w:val="21"/>
        </w:rPr>
        <w:t> </w:t>
      </w:r>
      <w:r>
        <w:rPr>
          <w:rFonts w:ascii="宋体" w:hAnsi="宋体" w:cs="宋体" w:eastAsia="宋体" w:hint="default"/>
          <w:sz w:val="18"/>
          <w:szCs w:val="18"/>
        </w:rPr>
        <w:t>本企业子公司的情况详见附注九、</w:t>
      </w:r>
      <w:r>
        <w:rPr>
          <w:rFonts w:ascii="Times New Roman" w:hAnsi="Times New Roman" w:cs="Times New Roman" w:eastAsia="Times New Roman" w:hint="default"/>
          <w:sz w:val="18"/>
          <w:szCs w:val="18"/>
        </w:rPr>
        <w:t>1</w:t>
      </w:r>
      <w:r>
        <w:rPr>
          <w:rFonts w:ascii="宋体" w:hAnsi="宋体" w:cs="宋体" w:eastAsia="宋体" w:hint="default"/>
          <w:sz w:val="18"/>
          <w:szCs w:val="18"/>
        </w:rPr>
        <w:t>、在子公司中的权益。 </w:t>
      </w:r>
      <w:bookmarkStart w:name="3、关联交易情况" w:id="341"/>
      <w:bookmarkEnd w:id="341"/>
      <w:r>
        <w:rPr>
          <w:rFonts w:ascii="宋体" w:hAnsi="宋体" w:cs="宋体" w:eastAsia="宋体" w:hint="default"/>
          <w:sz w:val="18"/>
          <w:szCs w:val="18"/>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、关联交易情况</w:t>
      </w:r>
      <w:r>
        <w:rPr>
          <w:rFonts w:ascii="宋体" w:hAnsi="宋体" w:cs="宋体" w:eastAsia="宋体" w:hint="default"/>
          <w:sz w:val="21"/>
          <w:szCs w:val="21"/>
        </w:rPr>
      </w:r>
    </w:p>
    <w:p>
      <w:pPr>
        <w:pStyle w:val="Heading3"/>
        <w:spacing w:line="240" w:lineRule="auto" w:before="26"/>
        <w:ind w:left="1134" w:right="0"/>
        <w:jc w:val="left"/>
        <w:rPr>
          <w:b w:val="0"/>
          <w:bCs w:val="0"/>
        </w:rPr>
      </w:pPr>
      <w:bookmarkStart w:name="（1）关键管理人员报酬" w:id="342"/>
      <w:bookmarkEnd w:id="342"/>
      <w:r>
        <w:rPr>
          <w:b w:val="0"/>
          <w:bCs w:val="0"/>
        </w:rPr>
      </w:r>
      <w:r>
        <w:rPr/>
        <w:t>（</w:t>
      </w:r>
      <w:r>
        <w:rPr>
          <w:rFonts w:ascii="Times New Roman" w:hAnsi="Times New Roman" w:cs="Times New Roman" w:eastAsia="Times New Roman" w:hint="default"/>
        </w:rPr>
        <w:t>1</w:t>
      </w:r>
      <w:r>
        <w:rPr/>
        <w:t>）关键管理人员报酬</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9"/>
        <w:gridCol w:w="3190"/>
        <w:gridCol w:w="3191"/>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关键管理人员薪酬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2,997,310.00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2,342,390.00</w:t>
            </w:r>
          </w:p>
        </w:tc>
      </w:tr>
    </w:tbl>
    <w:p>
      <w:pPr>
        <w:spacing w:line="240" w:lineRule="auto" w:before="2"/>
        <w:rPr>
          <w:rFonts w:ascii="宋体" w:hAnsi="宋体" w:cs="宋体" w:eastAsia="宋体" w:hint="default"/>
          <w:sz w:val="19"/>
          <w:szCs w:val="19"/>
        </w:rPr>
      </w:pPr>
    </w:p>
    <w:p>
      <w:pPr>
        <w:pStyle w:val="Heading3"/>
        <w:spacing w:line="240" w:lineRule="auto" w:before="35"/>
        <w:ind w:left="1134" w:right="0"/>
        <w:jc w:val="left"/>
        <w:rPr>
          <w:b w:val="0"/>
          <w:bCs w:val="0"/>
        </w:rPr>
      </w:pPr>
      <w:bookmarkStart w:name="4、关联方承诺" w:id="343"/>
      <w:bookmarkEnd w:id="343"/>
      <w:r>
        <w:rPr>
          <w:b w:val="0"/>
          <w:bCs w:val="0"/>
        </w:rPr>
      </w:r>
      <w:r>
        <w:rPr>
          <w:rFonts w:ascii="Times New Roman" w:hAnsi="Times New Roman" w:cs="Times New Roman" w:eastAsia="Times New Roman" w:hint="default"/>
        </w:rPr>
        <w:t>4</w:t>
      </w:r>
      <w:r>
        <w:rPr/>
        <w:t>、关联方承诺</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560" w:right="0"/>
        <w:jc w:val="left"/>
      </w:pPr>
      <w:r>
        <w:rPr/>
        <w:t>本公司无需披露的重大承诺事项</w:t>
      </w:r>
    </w:p>
    <w:p>
      <w:pPr>
        <w:spacing w:line="240" w:lineRule="auto" w:before="2"/>
        <w:rPr>
          <w:rFonts w:ascii="宋体" w:hAnsi="宋体" w:cs="宋体" w:eastAsia="宋体" w:hint="default"/>
          <w:sz w:val="25"/>
          <w:szCs w:val="25"/>
        </w:rPr>
      </w:pPr>
    </w:p>
    <w:p>
      <w:pPr>
        <w:pStyle w:val="Heading2"/>
        <w:spacing w:line="240" w:lineRule="auto"/>
        <w:ind w:right="0"/>
        <w:jc w:val="left"/>
        <w:rPr>
          <w:b w:val="0"/>
          <w:bCs w:val="0"/>
        </w:rPr>
      </w:pPr>
      <w:bookmarkStart w:name="十二、承诺及或有事项" w:id="344"/>
      <w:bookmarkEnd w:id="344"/>
      <w:r>
        <w:rPr>
          <w:b w:val="0"/>
          <w:bCs w:val="0"/>
        </w:rPr>
      </w:r>
      <w:r>
        <w:rPr/>
        <w:t>十二、承诺及或有事项</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重要承诺事项" w:id="345"/>
      <w:bookmarkEnd w:id="345"/>
      <w:r>
        <w:rPr>
          <w:b w:val="0"/>
          <w:bCs w:val="0"/>
        </w:rPr>
      </w:r>
      <w:r>
        <w:rPr>
          <w:rFonts w:ascii="Times New Roman" w:hAnsi="Times New Roman" w:cs="Times New Roman" w:eastAsia="Times New Roman" w:hint="default"/>
        </w:rPr>
        <w:t>1</w:t>
      </w:r>
      <w:r>
        <w:rPr/>
        <w:t>、重要承诺事项</w:t>
      </w:r>
      <w:r>
        <w:rPr>
          <w:b w:val="0"/>
          <w:bCs w:val="0"/>
        </w:rPr>
      </w:r>
    </w:p>
    <w:p>
      <w:pPr>
        <w:spacing w:line="240" w:lineRule="auto" w:before="8"/>
        <w:rPr>
          <w:rFonts w:ascii="宋体" w:hAnsi="宋体" w:cs="宋体" w:eastAsia="宋体" w:hint="default"/>
          <w:b/>
          <w:bCs/>
          <w:sz w:val="26"/>
          <w:szCs w:val="26"/>
        </w:rPr>
      </w:pPr>
    </w:p>
    <w:p>
      <w:pPr>
        <w:pStyle w:val="BodyText"/>
        <w:spacing w:line="376" w:lineRule="auto"/>
        <w:ind w:left="1560" w:right="7806" w:hanging="426"/>
        <w:jc w:val="left"/>
      </w:pPr>
      <w:r>
        <w:rPr/>
        <w:t>资产负债表日存在的重要承诺 本公司无需披露的重大承诺事项</w:t>
      </w:r>
    </w:p>
    <w:p>
      <w:pPr>
        <w:spacing w:line="240" w:lineRule="auto" w:before="1"/>
        <w:rPr>
          <w:rFonts w:ascii="宋体" w:hAnsi="宋体" w:cs="宋体" w:eastAsia="宋体" w:hint="default"/>
          <w:sz w:val="19"/>
          <w:szCs w:val="19"/>
        </w:rPr>
      </w:pPr>
    </w:p>
    <w:p>
      <w:pPr>
        <w:pStyle w:val="Heading3"/>
        <w:spacing w:line="240" w:lineRule="auto"/>
        <w:ind w:right="0"/>
        <w:jc w:val="left"/>
        <w:rPr>
          <w:b w:val="0"/>
          <w:bCs w:val="0"/>
        </w:rPr>
      </w:pPr>
      <w:bookmarkStart w:name="2、或有事项" w:id="346"/>
      <w:bookmarkEnd w:id="346"/>
      <w:r>
        <w:rPr>
          <w:b w:val="0"/>
          <w:bCs w:val="0"/>
        </w:rPr>
      </w:r>
      <w:r>
        <w:rPr>
          <w:rFonts w:ascii="Times New Roman" w:hAnsi="Times New Roman" w:cs="Times New Roman" w:eastAsia="Times New Roman" w:hint="default"/>
        </w:rPr>
        <w:t>2</w:t>
      </w:r>
      <w:r>
        <w:rPr/>
        <w:t>、或有事项</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资产负债表日存在的重要或有事项" w:id="347"/>
      <w:bookmarkEnd w:id="347"/>
      <w:r>
        <w:rPr>
          <w:b w:val="0"/>
          <w:bCs w:val="0"/>
        </w:rPr>
      </w:r>
      <w:r>
        <w:rPr/>
        <w:t>（</w:t>
      </w:r>
      <w:r>
        <w:rPr>
          <w:rFonts w:ascii="Times New Roman" w:hAnsi="Times New Roman" w:cs="Times New Roman" w:eastAsia="Times New Roman" w:hint="default"/>
        </w:rPr>
        <w:t>1</w:t>
      </w:r>
      <w:r>
        <w:rPr/>
        <w:t>）资产负债表日存在的重要或有事项</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公司不存在需要披露的重要或有事项。</w:t>
      </w:r>
    </w:p>
    <w:p>
      <w:pPr>
        <w:spacing w:after="0" w:line="240" w:lineRule="auto"/>
        <w:jc w:val="left"/>
        <w:sectPr>
          <w:pgSz w:w="11910" w:h="16840"/>
          <w:pgMar w:header="747" w:footer="979" w:top="1060" w:bottom="1160" w:left="0" w:right="0"/>
        </w:sectPr>
      </w:pPr>
    </w:p>
    <w:p>
      <w:pPr>
        <w:spacing w:line="240" w:lineRule="auto" w:before="10"/>
        <w:rPr>
          <w:rFonts w:ascii="宋体" w:hAnsi="宋体" w:cs="宋体" w:eastAsia="宋体" w:hint="default"/>
          <w:sz w:val="24"/>
          <w:szCs w:val="24"/>
        </w:rPr>
      </w:pPr>
    </w:p>
    <w:p>
      <w:pPr>
        <w:pStyle w:val="Heading3"/>
        <w:spacing w:line="240" w:lineRule="auto" w:before="35"/>
        <w:ind w:right="0"/>
        <w:jc w:val="left"/>
        <w:rPr>
          <w:b w:val="0"/>
          <w:bCs w:val="0"/>
        </w:rPr>
      </w:pPr>
      <w:bookmarkStart w:name="（2）公司没有需要披露的重要或有事项，也应予以说明" w:id="348"/>
      <w:bookmarkEnd w:id="348"/>
      <w:r>
        <w:rPr>
          <w:b w:val="0"/>
          <w:bCs w:val="0"/>
        </w:rPr>
      </w:r>
      <w:r>
        <w:rPr/>
        <w:t>（</w:t>
      </w:r>
      <w:r>
        <w:rPr>
          <w:rFonts w:ascii="Times New Roman" w:hAnsi="Times New Roman" w:cs="Times New Roman" w:eastAsia="Times New Roman" w:hint="default"/>
        </w:rPr>
        <w:t>2</w:t>
      </w:r>
      <w:r>
        <w:rPr/>
        <w:t>）公司没有需要披露的重要或有事项，也应予以说明</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公司不存在需要披露的重要或有事项。</w:t>
      </w:r>
    </w:p>
    <w:p>
      <w:pPr>
        <w:spacing w:line="240" w:lineRule="auto" w:before="0"/>
        <w:rPr>
          <w:rFonts w:ascii="宋体" w:hAnsi="宋体" w:cs="宋体" w:eastAsia="宋体" w:hint="default"/>
          <w:sz w:val="25"/>
          <w:szCs w:val="25"/>
        </w:rPr>
      </w:pPr>
    </w:p>
    <w:p>
      <w:pPr>
        <w:pStyle w:val="Heading2"/>
        <w:spacing w:line="240" w:lineRule="auto"/>
        <w:ind w:right="0"/>
        <w:jc w:val="left"/>
        <w:rPr>
          <w:b w:val="0"/>
          <w:bCs w:val="0"/>
        </w:rPr>
      </w:pPr>
      <w:bookmarkStart w:name="十三、资产负债表日后事项" w:id="349"/>
      <w:bookmarkEnd w:id="349"/>
      <w:r>
        <w:rPr>
          <w:b w:val="0"/>
          <w:bCs w:val="0"/>
        </w:rPr>
      </w:r>
      <w:r>
        <w:rPr/>
        <w:t>十三、资产负债表日后事项</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1、利润分配情况" w:id="350"/>
      <w:bookmarkEnd w:id="350"/>
      <w:r>
        <w:rPr>
          <w:b w:val="0"/>
          <w:bCs w:val="0"/>
        </w:rPr>
      </w:r>
      <w:r>
        <w:rPr>
          <w:rFonts w:ascii="Times New Roman" w:hAnsi="Times New Roman" w:cs="Times New Roman" w:eastAsia="Times New Roman" w:hint="default"/>
        </w:rPr>
        <w:t>1</w:t>
      </w:r>
      <w:r>
        <w:rPr/>
        <w:t>、利润分配情况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4984"/>
        <w:gridCol w:w="4585"/>
      </w:tblGrid>
      <w:tr>
        <w:trPr>
          <w:trHeight w:val="402"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拟分配的利润或股利</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17,219,767.20</w:t>
            </w:r>
          </w:p>
        </w:tc>
      </w:tr>
    </w:tbl>
    <w:p>
      <w:pPr>
        <w:spacing w:line="240" w:lineRule="auto" w:before="2"/>
        <w:rPr>
          <w:rFonts w:ascii="宋体" w:hAnsi="宋体" w:cs="宋体" w:eastAsia="宋体" w:hint="default"/>
          <w:sz w:val="18"/>
          <w:szCs w:val="18"/>
        </w:rPr>
      </w:pPr>
    </w:p>
    <w:p>
      <w:pPr>
        <w:pStyle w:val="Heading2"/>
        <w:spacing w:line="477" w:lineRule="auto" w:before="26"/>
        <w:ind w:right="6793"/>
        <w:jc w:val="left"/>
        <w:rPr>
          <w:b w:val="0"/>
          <w:bCs w:val="0"/>
          <w:sz w:val="21"/>
          <w:szCs w:val="21"/>
        </w:rPr>
      </w:pPr>
      <w:bookmarkStart w:name="十四、其他重要事项" w:id="351"/>
      <w:bookmarkEnd w:id="351"/>
      <w:r>
        <w:rPr>
          <w:b w:val="0"/>
          <w:bCs w:val="0"/>
        </w:rPr>
      </w:r>
      <w:r>
        <w:rPr/>
        <w:t>十四、其他重要事项</w:t>
      </w:r>
      <w:r>
        <w:rPr>
          <w:w w:val="99"/>
        </w:rPr>
        <w:t> </w:t>
      </w:r>
      <w:bookmarkStart w:name="十五、母公司财务报表主要项目注释" w:id="352"/>
      <w:bookmarkEnd w:id="352"/>
      <w:r>
        <w:rPr>
          <w:w w:val="95"/>
        </w:rPr>
        <w:t>十五、母公司财务报表主要项目注释</w:t>
      </w:r>
      <w:r>
        <w:rPr>
          <w:spacing w:val="62"/>
          <w:w w:val="95"/>
        </w:rPr>
        <w:t> </w:t>
      </w:r>
      <w:r>
        <w:rPr>
          <w:spacing w:val="62"/>
          <w:w w:val="95"/>
        </w:rPr>
      </w:r>
      <w:bookmarkStart w:name="1、应收账款" w:id="353"/>
      <w:bookmarkEnd w:id="353"/>
      <w:r>
        <w:rPr>
          <w:spacing w:val="62"/>
          <w:w w:val="95"/>
        </w:rPr>
      </w:r>
      <w:r>
        <w:rPr>
          <w:rFonts w:ascii="Times New Roman" w:hAnsi="Times New Roman" w:cs="Times New Roman" w:eastAsia="Times New Roman" w:hint="default"/>
          <w:sz w:val="21"/>
          <w:szCs w:val="21"/>
        </w:rPr>
        <w:t>1</w:t>
      </w:r>
      <w:r>
        <w:rPr>
          <w:sz w:val="21"/>
          <w:szCs w:val="21"/>
        </w:rPr>
        <w:t>、应收账款</w:t>
      </w:r>
      <w:r>
        <w:rPr>
          <w:b w:val="0"/>
          <w:bCs w:val="0"/>
          <w:sz w:val="21"/>
          <w:szCs w:val="21"/>
        </w:rPr>
      </w:r>
    </w:p>
    <w:p>
      <w:pPr>
        <w:pStyle w:val="Heading3"/>
        <w:spacing w:line="240" w:lineRule="auto" w:before="92"/>
        <w:ind w:right="0"/>
        <w:jc w:val="left"/>
        <w:rPr>
          <w:b w:val="0"/>
          <w:bCs w:val="0"/>
        </w:rPr>
      </w:pPr>
      <w:bookmarkStart w:name="（1）应收账款分类披露" w:id="354"/>
      <w:bookmarkEnd w:id="354"/>
      <w:r>
        <w:rPr>
          <w:b w:val="0"/>
          <w:bCs w:val="0"/>
        </w:rPr>
      </w:r>
      <w:r>
        <w:rPr/>
        <w:t>（</w:t>
      </w:r>
      <w:r>
        <w:rPr>
          <w:rFonts w:ascii="Times New Roman" w:hAnsi="Times New Roman" w:cs="Times New Roman" w:eastAsia="Times New Roman" w:hint="default"/>
        </w:rPr>
        <w:t>1</w:t>
      </w:r>
      <w:r>
        <w:rPr/>
        <w:t>）应收账款分类披露</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1611"/>
        <w:gridCol w:w="775"/>
        <w:gridCol w:w="762"/>
        <w:gridCol w:w="762"/>
        <w:gridCol w:w="762"/>
        <w:gridCol w:w="790"/>
        <w:gridCol w:w="654"/>
        <w:gridCol w:w="762"/>
        <w:gridCol w:w="813"/>
        <w:gridCol w:w="932"/>
        <w:gridCol w:w="932"/>
      </w:tblGrid>
      <w:tr>
        <w:trPr>
          <w:trHeight w:val="397" w:hRule="exact"/>
        </w:trPr>
        <w:tc>
          <w:tcPr>
            <w:tcW w:w="1611" w:type="dxa"/>
            <w:vMerge w:val="restart"/>
            <w:tcBorders>
              <w:top w:val="single" w:sz="4" w:space="0" w:color="000000"/>
              <w:left w:val="single" w:sz="4" w:space="0" w:color="000000"/>
              <w:right w:val="single" w:sz="4" w:space="0" w:color="000000"/>
            </w:tcBorders>
            <w:shd w:val="clear" w:color="auto" w:fill="D2D2D2"/>
          </w:tcPr>
          <w:p>
            <w:pPr/>
          </w:p>
        </w:tc>
        <w:tc>
          <w:tcPr>
            <w:tcW w:w="3851"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6" w:hRule="exact"/>
        </w:trPr>
        <w:tc>
          <w:tcPr>
            <w:tcW w:w="1611" w:type="dxa"/>
            <w:vMerge/>
            <w:tcBorders>
              <w:left w:val="single" w:sz="4" w:space="0" w:color="000000"/>
              <w:bottom w:val="nil" w:sz="6" w:space="0" w:color="auto"/>
              <w:right w:val="single" w:sz="4" w:space="0" w:color="000000"/>
            </w:tcBorders>
            <w:shd w:val="clear" w:color="auto" w:fill="D2D2D2"/>
          </w:tcPr>
          <w:p>
            <w:pPr/>
          </w:p>
        </w:tc>
        <w:tc>
          <w:tcPr>
            <w:tcW w:w="153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40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
        </w:tc>
        <w:tc>
          <w:tcPr>
            <w:tcW w:w="14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4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
        </w:tc>
      </w:tr>
      <w:tr>
        <w:trPr>
          <w:trHeight w:val="242" w:hRule="exact"/>
        </w:trPr>
        <w:tc>
          <w:tcPr>
            <w:tcW w:w="161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1537" w:type="dxa"/>
            <w:gridSpan w:val="2"/>
            <w:vMerge/>
            <w:tcBorders>
              <w:left w:val="single" w:sz="4" w:space="0" w:color="000000"/>
              <w:bottom w:val="single" w:sz="4" w:space="0" w:color="000000"/>
              <w:right w:val="single" w:sz="4" w:space="0" w:color="000000"/>
            </w:tcBorders>
            <w:shd w:val="clear" w:color="auto" w:fill="D2D2D2"/>
          </w:tcPr>
          <w:p>
            <w:pPr/>
          </w:p>
        </w:tc>
        <w:tc>
          <w:tcPr>
            <w:tcW w:w="1524" w:type="dxa"/>
            <w:gridSpan w:val="2"/>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1416" w:type="dxa"/>
            <w:gridSpan w:val="2"/>
            <w:vMerge/>
            <w:tcBorders>
              <w:left w:val="single" w:sz="4" w:space="0" w:color="000000"/>
              <w:bottom w:val="single" w:sz="4" w:space="0" w:color="000000"/>
              <w:right w:val="single" w:sz="4" w:space="0" w:color="000000"/>
            </w:tcBorders>
            <w:shd w:val="clear" w:color="auto" w:fill="D2D2D2"/>
          </w:tcPr>
          <w:p>
            <w:pPr/>
          </w:p>
        </w:tc>
        <w:tc>
          <w:tcPr>
            <w:tcW w:w="1745" w:type="dxa"/>
            <w:gridSpan w:val="2"/>
            <w:vMerge/>
            <w:tcBorders>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158" w:hRule="exact"/>
        </w:trPr>
        <w:tc>
          <w:tcPr>
            <w:tcW w:w="1611" w:type="dxa"/>
            <w:vMerge/>
            <w:tcBorders>
              <w:left w:val="single" w:sz="4" w:space="0" w:color="000000"/>
              <w:bottom w:val="single" w:sz="4" w:space="0" w:color="FFFFFF"/>
              <w:right w:val="single" w:sz="4" w:space="0" w:color="000000"/>
            </w:tcBorders>
            <w:shd w:val="clear" w:color="auto" w:fill="D2D2D2"/>
          </w:tcPr>
          <w:p>
            <w:pPr/>
          </w:p>
        </w:tc>
        <w:tc>
          <w:tcPr>
            <w:tcW w:w="775"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left="3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4"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3" w:hRule="exact"/>
        </w:trPr>
        <w:tc>
          <w:tcPr>
            <w:tcW w:w="1611" w:type="dxa"/>
            <w:vMerge w:val="restart"/>
            <w:tcBorders>
              <w:top w:val="single" w:sz="4" w:space="0" w:color="FFFFFF"/>
              <w:left w:val="single" w:sz="4" w:space="0" w:color="000000"/>
              <w:right w:val="single" w:sz="4" w:space="0" w:color="000000"/>
            </w:tcBorders>
            <w:shd w:val="clear" w:color="auto" w:fill="D2D2D2"/>
          </w:tcPr>
          <w:p>
            <w:pPr/>
          </w:p>
        </w:tc>
        <w:tc>
          <w:tcPr>
            <w:tcW w:w="775"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207"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tcBorders>
              <w:left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65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611" w:type="dxa"/>
            <w:vMerge/>
            <w:tcBorders>
              <w:left w:val="single" w:sz="4" w:space="0" w:color="000000"/>
              <w:right w:val="single" w:sz="4" w:space="0" w:color="000000"/>
            </w:tcBorders>
            <w:shd w:val="clear" w:color="auto" w:fill="D2D2D2"/>
          </w:tcPr>
          <w:p>
            <w:pPr/>
          </w:p>
        </w:tc>
        <w:tc>
          <w:tcPr>
            <w:tcW w:w="775"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right w:val="single" w:sz="4" w:space="0" w:color="000000"/>
            </w:tcBorders>
            <w:shd w:val="clear" w:color="auto" w:fill="D2D2D2"/>
          </w:tcPr>
          <w:p>
            <w:pPr/>
          </w:p>
        </w:tc>
        <w:tc>
          <w:tcPr>
            <w:tcW w:w="790" w:type="dxa"/>
            <w:vMerge w:val="restart"/>
            <w:tcBorders>
              <w:top w:val="nil" w:sz="6" w:space="0" w:color="auto"/>
              <w:left w:val="single" w:sz="4" w:space="0" w:color="000000"/>
              <w:right w:val="single" w:sz="4" w:space="0" w:color="000000"/>
            </w:tcBorders>
            <w:shd w:val="clear" w:color="auto" w:fill="D2D2D2"/>
          </w:tcPr>
          <w:p>
            <w:pPr/>
          </w:p>
        </w:tc>
        <w:tc>
          <w:tcPr>
            <w:tcW w:w="654"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813" w:type="dxa"/>
            <w:vMerge/>
            <w:tcBorders>
              <w:left w:val="single" w:sz="4" w:space="0" w:color="000000"/>
              <w:bottom w:val="nil" w:sz="6" w:space="0" w:color="auto"/>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11" w:type="dxa"/>
            <w:vMerge/>
            <w:tcBorders>
              <w:left w:val="single" w:sz="4" w:space="0" w:color="000000"/>
              <w:bottom w:val="single" w:sz="4" w:space="0" w:color="000000"/>
              <w:right w:val="single" w:sz="4" w:space="0" w:color="000000"/>
            </w:tcBorders>
            <w:shd w:val="clear" w:color="auto" w:fill="D2D2D2"/>
          </w:tcPr>
          <w:p>
            <w:pPr/>
          </w:p>
        </w:tc>
        <w:tc>
          <w:tcPr>
            <w:tcW w:w="775"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813"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6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48"/>
              <w:jc w:val="both"/>
              <w:rPr>
                <w:rFonts w:ascii="宋体" w:hAnsi="宋体" w:cs="宋体" w:eastAsia="宋体" w:hint="default"/>
                <w:sz w:val="18"/>
                <w:szCs w:val="18"/>
              </w:rPr>
            </w:pPr>
            <w:r>
              <w:rPr>
                <w:rFonts w:ascii="宋体" w:hAnsi="宋体" w:cs="宋体" w:eastAsia="宋体" w:hint="default"/>
                <w:sz w:val="18"/>
                <w:szCs w:val="18"/>
              </w:rPr>
              <w:t>单项金额重大并单 独计提坏账准备的 应收账款</w:t>
            </w:r>
          </w:p>
        </w:tc>
        <w:tc>
          <w:tcPr>
            <w:tcW w:w="77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9" w:right="0"/>
              <w:jc w:val="left"/>
              <w:rPr>
                <w:rFonts w:ascii="Times New Roman" w:hAnsi="Times New Roman" w:cs="Times New Roman" w:eastAsia="Times New Roman" w:hint="default"/>
                <w:sz w:val="18"/>
                <w:szCs w:val="18"/>
              </w:rPr>
            </w:pPr>
            <w:r>
              <w:rPr>
                <w:rFonts w:ascii="Times New Roman"/>
                <w:sz w:val="18"/>
              </w:rPr>
              <w:t>62,629,5</w:t>
            </w:r>
          </w:p>
          <w:p>
            <w:pPr>
              <w:pStyle w:val="TableParagraph"/>
              <w:spacing w:line="240" w:lineRule="auto" w:before="105"/>
              <w:ind w:left="325" w:right="0"/>
              <w:jc w:val="left"/>
              <w:rPr>
                <w:rFonts w:ascii="Times New Roman" w:hAnsi="Times New Roman" w:cs="Times New Roman" w:eastAsia="Times New Roman" w:hint="default"/>
                <w:sz w:val="18"/>
                <w:szCs w:val="18"/>
              </w:rPr>
            </w:pPr>
            <w:r>
              <w:rPr>
                <w:rFonts w:ascii="Times New Roman"/>
                <w:sz w:val="18"/>
              </w:rPr>
              <w:t>66.23</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16.31%</w:t>
            </w:r>
          </w:p>
        </w:tc>
        <w:tc>
          <w:tcPr>
            <w:tcW w:w="762"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62,629,56</w:t>
            </w:r>
          </w:p>
          <w:p>
            <w:pPr>
              <w:pStyle w:val="TableParagraph"/>
              <w:spacing w:line="240" w:lineRule="auto" w:before="105"/>
              <w:ind w:left="442" w:right="0"/>
              <w:jc w:val="left"/>
              <w:rPr>
                <w:rFonts w:ascii="Times New Roman" w:hAnsi="Times New Roman" w:cs="Times New Roman" w:eastAsia="Times New Roman" w:hint="default"/>
                <w:sz w:val="18"/>
                <w:szCs w:val="18"/>
              </w:rPr>
            </w:pPr>
            <w:r>
              <w:rPr>
                <w:rFonts w:ascii="Times New Roman"/>
                <w:sz w:val="18"/>
              </w:rPr>
              <w:t>6.23</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0" w:right="0"/>
              <w:jc w:val="left"/>
              <w:rPr>
                <w:rFonts w:ascii="Times New Roman" w:hAnsi="Times New Roman" w:cs="Times New Roman" w:eastAsia="Times New Roman" w:hint="default"/>
                <w:sz w:val="18"/>
                <w:szCs w:val="18"/>
              </w:rPr>
            </w:pPr>
            <w:r>
              <w:rPr>
                <w:rFonts w:ascii="Times New Roman"/>
                <w:sz w:val="18"/>
              </w:rPr>
              <w:t>23,909,</w:t>
            </w:r>
          </w:p>
          <w:p>
            <w:pPr>
              <w:pStyle w:val="TableParagraph"/>
              <w:spacing w:line="240" w:lineRule="auto" w:before="105"/>
              <w:ind w:left="125" w:right="0"/>
              <w:jc w:val="left"/>
              <w:rPr>
                <w:rFonts w:ascii="Times New Roman" w:hAnsi="Times New Roman" w:cs="Times New Roman" w:eastAsia="Times New Roman" w:hint="default"/>
                <w:sz w:val="18"/>
                <w:szCs w:val="18"/>
              </w:rPr>
            </w:pPr>
            <w:r>
              <w:rPr>
                <w:rFonts w:ascii="Times New Roman"/>
                <w:sz w:val="18"/>
              </w:rPr>
              <w:t>455.20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7.42%</w:t>
            </w:r>
          </w:p>
        </w:tc>
        <w:tc>
          <w:tcPr>
            <w:tcW w:w="813"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23,909,455.</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20</w:t>
            </w:r>
          </w:p>
        </w:tc>
      </w:tr>
      <w:tr>
        <w:trPr>
          <w:trHeight w:val="1026" w:hRule="exact"/>
        </w:trPr>
        <w:tc>
          <w:tcPr>
            <w:tcW w:w="16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48"/>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应收账款</w:t>
            </w:r>
          </w:p>
        </w:tc>
        <w:tc>
          <w:tcPr>
            <w:tcW w:w="77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5" w:right="0"/>
              <w:jc w:val="center"/>
              <w:rPr>
                <w:rFonts w:ascii="Times New Roman" w:hAnsi="Times New Roman" w:cs="Times New Roman" w:eastAsia="Times New Roman" w:hint="default"/>
                <w:sz w:val="18"/>
                <w:szCs w:val="18"/>
              </w:rPr>
            </w:pPr>
            <w:r>
              <w:rPr>
                <w:rFonts w:ascii="Times New Roman"/>
                <w:sz w:val="18"/>
              </w:rPr>
              <w:t>320,959,</w:t>
            </w:r>
          </w:p>
          <w:p>
            <w:pPr>
              <w:pStyle w:val="TableParagraph"/>
              <w:spacing w:line="240" w:lineRule="auto" w:before="105"/>
              <w:ind w:left="212" w:right="0"/>
              <w:jc w:val="center"/>
              <w:rPr>
                <w:rFonts w:ascii="Times New Roman" w:hAnsi="Times New Roman" w:cs="Times New Roman" w:eastAsia="Times New Roman" w:hint="default"/>
                <w:sz w:val="18"/>
                <w:szCs w:val="18"/>
              </w:rPr>
            </w:pPr>
            <w:r>
              <w:rPr>
                <w:rFonts w:ascii="Times New Roman"/>
                <w:sz w:val="18"/>
              </w:rPr>
              <w:t>526.46</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83.60%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4" w:right="0"/>
              <w:jc w:val="center"/>
              <w:rPr>
                <w:rFonts w:ascii="Times New Roman" w:hAnsi="Times New Roman" w:cs="Times New Roman" w:eastAsia="Times New Roman" w:hint="default"/>
                <w:sz w:val="18"/>
                <w:szCs w:val="18"/>
              </w:rPr>
            </w:pPr>
            <w:r>
              <w:rPr>
                <w:rFonts w:ascii="Times New Roman"/>
                <w:sz w:val="18"/>
              </w:rPr>
              <w:t>108,388,</w:t>
            </w:r>
          </w:p>
          <w:p>
            <w:pPr>
              <w:pStyle w:val="TableParagraph"/>
              <w:spacing w:line="240" w:lineRule="auto" w:before="105"/>
              <w:ind w:left="210" w:right="0"/>
              <w:jc w:val="center"/>
              <w:rPr>
                <w:rFonts w:ascii="Times New Roman" w:hAnsi="Times New Roman" w:cs="Times New Roman" w:eastAsia="Times New Roman" w:hint="default"/>
                <w:sz w:val="18"/>
                <w:szCs w:val="18"/>
              </w:rPr>
            </w:pPr>
            <w:r>
              <w:rPr>
                <w:rFonts w:ascii="Times New Roman"/>
                <w:sz w:val="18"/>
              </w:rPr>
              <w:t>933.40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75" w:right="0"/>
              <w:jc w:val="left"/>
              <w:rPr>
                <w:rFonts w:ascii="Times New Roman" w:hAnsi="Times New Roman" w:cs="Times New Roman" w:eastAsia="Times New Roman" w:hint="default"/>
                <w:sz w:val="18"/>
                <w:szCs w:val="18"/>
              </w:rPr>
            </w:pPr>
            <w:r>
              <w:rPr>
                <w:rFonts w:ascii="Times New Roman"/>
                <w:sz w:val="18"/>
              </w:rPr>
              <w:t>33.77%</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212,570,5</w:t>
            </w:r>
          </w:p>
          <w:p>
            <w:pPr>
              <w:pStyle w:val="TableParagraph"/>
              <w:spacing w:line="240" w:lineRule="auto" w:before="105"/>
              <w:ind w:left="352" w:right="0"/>
              <w:jc w:val="left"/>
              <w:rPr>
                <w:rFonts w:ascii="Times New Roman" w:hAnsi="Times New Roman" w:cs="Times New Roman" w:eastAsia="Times New Roman" w:hint="default"/>
                <w:sz w:val="18"/>
                <w:szCs w:val="18"/>
              </w:rPr>
            </w:pPr>
            <w:r>
              <w:rPr>
                <w:rFonts w:ascii="Times New Roman"/>
                <w:sz w:val="18"/>
              </w:rPr>
              <w:t>93.06</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297,845</w:t>
            </w:r>
          </w:p>
          <w:p>
            <w:pPr>
              <w:pStyle w:val="TableParagraph"/>
              <w:spacing w:line="240" w:lineRule="auto" w:before="105"/>
              <w:ind w:left="80" w:right="0"/>
              <w:jc w:val="left"/>
              <w:rPr>
                <w:rFonts w:ascii="Times New Roman" w:hAnsi="Times New Roman" w:cs="Times New Roman" w:eastAsia="Times New Roman" w:hint="default"/>
                <w:sz w:val="18"/>
                <w:szCs w:val="18"/>
              </w:rPr>
            </w:pPr>
            <w:r>
              <w:rPr>
                <w:rFonts w:ascii="Times New Roman"/>
                <w:sz w:val="18"/>
              </w:rPr>
              <w:t>,405.21</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92.40%</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0" w:right="0"/>
              <w:jc w:val="left"/>
              <w:rPr>
                <w:rFonts w:ascii="Times New Roman" w:hAnsi="Times New Roman" w:cs="Times New Roman" w:eastAsia="Times New Roman" w:hint="default"/>
                <w:sz w:val="18"/>
                <w:szCs w:val="18"/>
              </w:rPr>
            </w:pPr>
            <w:r>
              <w:rPr>
                <w:rFonts w:ascii="Times New Roman"/>
                <w:sz w:val="18"/>
              </w:rPr>
              <w:t>91,206,10</w:t>
            </w:r>
          </w:p>
          <w:p>
            <w:pPr>
              <w:pStyle w:val="TableParagraph"/>
              <w:spacing w:line="240" w:lineRule="auto" w:before="105"/>
              <w:ind w:left="466" w:right="0"/>
              <w:jc w:val="left"/>
              <w:rPr>
                <w:rFonts w:ascii="Times New Roman" w:hAnsi="Times New Roman" w:cs="Times New Roman" w:eastAsia="Times New Roman" w:hint="default"/>
                <w:sz w:val="18"/>
                <w:szCs w:val="18"/>
              </w:rPr>
            </w:pPr>
            <w:r>
              <w:rPr>
                <w:rFonts w:ascii="Times New Roman"/>
                <w:sz w:val="18"/>
              </w:rPr>
              <w:t>7.32</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45" w:right="0"/>
              <w:jc w:val="left"/>
              <w:rPr>
                <w:rFonts w:ascii="Times New Roman" w:hAnsi="Times New Roman" w:cs="Times New Roman" w:eastAsia="Times New Roman" w:hint="default"/>
                <w:sz w:val="18"/>
                <w:szCs w:val="18"/>
              </w:rPr>
            </w:pPr>
            <w:r>
              <w:rPr>
                <w:rFonts w:ascii="Times New Roman"/>
                <w:sz w:val="18"/>
              </w:rPr>
              <w:t>30.62%</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8" w:right="0"/>
              <w:jc w:val="left"/>
              <w:rPr>
                <w:rFonts w:ascii="Times New Roman" w:hAnsi="Times New Roman" w:cs="Times New Roman" w:eastAsia="Times New Roman" w:hint="default"/>
                <w:sz w:val="18"/>
                <w:szCs w:val="18"/>
              </w:rPr>
            </w:pPr>
            <w:r>
              <w:rPr>
                <w:rFonts w:ascii="Times New Roman"/>
                <w:sz w:val="18"/>
              </w:rPr>
              <w:t>206,639,29</w:t>
            </w:r>
          </w:p>
          <w:p>
            <w:pPr>
              <w:pStyle w:val="TableParagraph"/>
              <w:spacing w:line="240" w:lineRule="auto" w:before="105"/>
              <w:ind w:left="584" w:right="0"/>
              <w:jc w:val="left"/>
              <w:rPr>
                <w:rFonts w:ascii="Times New Roman" w:hAnsi="Times New Roman" w:cs="Times New Roman" w:eastAsia="Times New Roman" w:hint="default"/>
                <w:sz w:val="18"/>
                <w:szCs w:val="18"/>
              </w:rPr>
            </w:pPr>
            <w:r>
              <w:rPr>
                <w:rFonts w:ascii="Times New Roman"/>
                <w:sz w:val="18"/>
              </w:rPr>
              <w:t>7.89</w:t>
            </w:r>
          </w:p>
        </w:tc>
      </w:tr>
      <w:tr>
        <w:trPr>
          <w:trHeight w:val="1026" w:hRule="exact"/>
        </w:trPr>
        <w:tc>
          <w:tcPr>
            <w:tcW w:w="16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48"/>
              <w:jc w:val="both"/>
              <w:rPr>
                <w:rFonts w:ascii="宋体" w:hAnsi="宋体" w:cs="宋体" w:eastAsia="宋体" w:hint="default"/>
                <w:sz w:val="18"/>
                <w:szCs w:val="18"/>
              </w:rPr>
            </w:pPr>
            <w:r>
              <w:rPr>
                <w:rFonts w:ascii="宋体" w:hAnsi="宋体" w:cs="宋体" w:eastAsia="宋体" w:hint="default"/>
                <w:sz w:val="18"/>
                <w:szCs w:val="18"/>
              </w:rPr>
              <w:t>单项金额不重大但 单独计提坏账准备 的应收账款</w:t>
            </w:r>
          </w:p>
        </w:tc>
        <w:tc>
          <w:tcPr>
            <w:tcW w:w="77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349,345.</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0.09%</w:t>
            </w:r>
          </w:p>
        </w:tc>
        <w:tc>
          <w:tcPr>
            <w:tcW w:w="762"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349,345.0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584,592</w:t>
            </w:r>
          </w:p>
          <w:p>
            <w:pPr>
              <w:pStyle w:val="TableParagraph"/>
              <w:spacing w:line="240" w:lineRule="auto" w:before="105"/>
              <w:ind w:left="395" w:right="0"/>
              <w:jc w:val="left"/>
              <w:rPr>
                <w:rFonts w:ascii="Times New Roman" w:hAnsi="Times New Roman" w:cs="Times New Roman" w:eastAsia="Times New Roman" w:hint="default"/>
                <w:sz w:val="18"/>
                <w:szCs w:val="18"/>
              </w:rPr>
            </w:pPr>
            <w:r>
              <w:rPr>
                <w:rFonts w:ascii="Times New Roman"/>
                <w:sz w:val="18"/>
              </w:rPr>
              <w:t>.00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0.18%</w:t>
            </w:r>
          </w:p>
        </w:tc>
        <w:tc>
          <w:tcPr>
            <w:tcW w:w="813"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8" w:right="0"/>
              <w:jc w:val="left"/>
              <w:rPr>
                <w:rFonts w:ascii="Times New Roman" w:hAnsi="Times New Roman" w:cs="Times New Roman" w:eastAsia="Times New Roman" w:hint="default"/>
                <w:sz w:val="18"/>
                <w:szCs w:val="18"/>
              </w:rPr>
            </w:pPr>
            <w:r>
              <w:rPr>
                <w:rFonts w:ascii="Times New Roman"/>
                <w:sz w:val="18"/>
              </w:rPr>
              <w:t>584,592.00</w:t>
            </w:r>
          </w:p>
        </w:tc>
      </w:tr>
      <w:tr>
        <w:trPr>
          <w:trHeight w:val="161" w:hRule="exact"/>
        </w:trPr>
        <w:tc>
          <w:tcPr>
            <w:tcW w:w="1611" w:type="dxa"/>
            <w:tcBorders>
              <w:top w:val="single" w:sz="4" w:space="0" w:color="000000"/>
              <w:left w:val="single" w:sz="4" w:space="0" w:color="000000"/>
              <w:bottom w:val="nil" w:sz="6" w:space="0" w:color="auto"/>
              <w:right w:val="single" w:sz="4" w:space="0" w:color="000000"/>
            </w:tcBorders>
            <w:shd w:val="clear" w:color="auto" w:fill="D2D2D2"/>
          </w:tcPr>
          <w:p>
            <w:pPr/>
          </w:p>
        </w:tc>
        <w:tc>
          <w:tcPr>
            <w:tcW w:w="775" w:type="dxa"/>
            <w:vMerge w:val="restart"/>
            <w:tcBorders>
              <w:top w:val="single" w:sz="4" w:space="0" w:color="000000"/>
              <w:left w:val="single" w:sz="9" w:space="0" w:color="D2D2D2"/>
              <w:right w:val="single" w:sz="4" w:space="0" w:color="000000"/>
            </w:tcBorders>
          </w:tcPr>
          <w:p>
            <w:pPr>
              <w:pStyle w:val="TableParagraph"/>
              <w:spacing w:line="240" w:lineRule="auto" w:before="91"/>
              <w:ind w:left="81" w:right="0"/>
              <w:jc w:val="center"/>
              <w:rPr>
                <w:rFonts w:ascii="Times New Roman" w:hAnsi="Times New Roman" w:cs="Times New Roman" w:eastAsia="Times New Roman" w:hint="default"/>
                <w:sz w:val="18"/>
                <w:szCs w:val="18"/>
              </w:rPr>
            </w:pPr>
            <w:r>
              <w:rPr>
                <w:rFonts w:ascii="Times New Roman"/>
                <w:sz w:val="18"/>
              </w:rPr>
              <w:t>383,938,</w:t>
            </w:r>
          </w:p>
          <w:p>
            <w:pPr>
              <w:pStyle w:val="TableParagraph"/>
              <w:spacing w:line="240" w:lineRule="auto" w:before="105"/>
              <w:ind w:left="217" w:right="0"/>
              <w:jc w:val="center"/>
              <w:rPr>
                <w:rFonts w:ascii="Times New Roman" w:hAnsi="Times New Roman" w:cs="Times New Roman" w:eastAsia="Times New Roman" w:hint="default"/>
                <w:sz w:val="18"/>
                <w:szCs w:val="18"/>
              </w:rPr>
            </w:pPr>
            <w:r>
              <w:rPr>
                <w:rFonts w:ascii="Times New Roman"/>
                <w:sz w:val="18"/>
              </w:rPr>
              <w:t>437.69</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91"/>
              <w:ind w:left="74" w:right="0"/>
              <w:jc w:val="center"/>
              <w:rPr>
                <w:rFonts w:ascii="Times New Roman" w:hAnsi="Times New Roman" w:cs="Times New Roman" w:eastAsia="Times New Roman" w:hint="default"/>
                <w:sz w:val="18"/>
                <w:szCs w:val="18"/>
              </w:rPr>
            </w:pPr>
            <w:r>
              <w:rPr>
                <w:rFonts w:ascii="Times New Roman"/>
                <w:sz w:val="18"/>
              </w:rPr>
              <w:t>108,388,</w:t>
            </w:r>
          </w:p>
          <w:p>
            <w:pPr>
              <w:pStyle w:val="TableParagraph"/>
              <w:spacing w:line="240" w:lineRule="auto" w:before="105"/>
              <w:ind w:left="210" w:right="0"/>
              <w:jc w:val="center"/>
              <w:rPr>
                <w:rFonts w:ascii="Times New Roman" w:hAnsi="Times New Roman" w:cs="Times New Roman" w:eastAsia="Times New Roman" w:hint="default"/>
                <w:sz w:val="18"/>
                <w:szCs w:val="18"/>
              </w:rPr>
            </w:pPr>
            <w:r>
              <w:rPr>
                <w:rFonts w:ascii="Times New Roman"/>
                <w:sz w:val="18"/>
              </w:rPr>
              <w:t>933.40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75" w:right="0"/>
              <w:jc w:val="left"/>
              <w:rPr>
                <w:rFonts w:ascii="Times New Roman" w:hAnsi="Times New Roman" w:cs="Times New Roman" w:eastAsia="Times New Roman" w:hint="default"/>
                <w:sz w:val="18"/>
                <w:szCs w:val="18"/>
              </w:rPr>
            </w:pPr>
            <w:r>
              <w:rPr>
                <w:rFonts w:ascii="Times New Roman"/>
                <w:sz w:val="18"/>
              </w:rPr>
              <w:t>28.23%</w:t>
            </w:r>
          </w:p>
        </w:tc>
        <w:tc>
          <w:tcPr>
            <w:tcW w:w="790" w:type="dxa"/>
            <w:vMerge w:val="restart"/>
            <w:tcBorders>
              <w:top w:val="single" w:sz="4" w:space="0" w:color="000000"/>
              <w:left w:val="single" w:sz="4" w:space="0" w:color="000000"/>
              <w:right w:val="single" w:sz="4" w:space="0" w:color="000000"/>
            </w:tcBorders>
          </w:tcPr>
          <w:p>
            <w:pPr>
              <w:pStyle w:val="TableParagraph"/>
              <w:spacing w:line="240" w:lineRule="auto" w:before="91"/>
              <w:ind w:left="37" w:right="0"/>
              <w:jc w:val="left"/>
              <w:rPr>
                <w:rFonts w:ascii="Times New Roman" w:hAnsi="Times New Roman" w:cs="Times New Roman" w:eastAsia="Times New Roman" w:hint="default"/>
                <w:sz w:val="18"/>
                <w:szCs w:val="18"/>
              </w:rPr>
            </w:pPr>
            <w:r>
              <w:rPr>
                <w:rFonts w:ascii="Times New Roman"/>
                <w:sz w:val="18"/>
              </w:rPr>
              <w:t>275,549,5</w:t>
            </w:r>
          </w:p>
          <w:p>
            <w:pPr>
              <w:pStyle w:val="TableParagraph"/>
              <w:spacing w:line="240" w:lineRule="auto" w:before="105"/>
              <w:ind w:left="352" w:right="0"/>
              <w:jc w:val="left"/>
              <w:rPr>
                <w:rFonts w:ascii="Times New Roman" w:hAnsi="Times New Roman" w:cs="Times New Roman" w:eastAsia="Times New Roman" w:hint="default"/>
                <w:sz w:val="18"/>
                <w:szCs w:val="18"/>
              </w:rPr>
            </w:pPr>
            <w:r>
              <w:rPr>
                <w:rFonts w:ascii="Times New Roman"/>
                <w:sz w:val="18"/>
              </w:rPr>
              <w:t>04.29</w:t>
            </w:r>
          </w:p>
        </w:tc>
        <w:tc>
          <w:tcPr>
            <w:tcW w:w="654" w:type="dxa"/>
            <w:vMerge w:val="restart"/>
            <w:tcBorders>
              <w:top w:val="single" w:sz="4" w:space="0" w:color="000000"/>
              <w:left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322,339</w:t>
            </w:r>
          </w:p>
          <w:p>
            <w:pPr>
              <w:pStyle w:val="TableParagraph"/>
              <w:spacing w:line="240" w:lineRule="auto" w:before="105"/>
              <w:ind w:left="80" w:right="0"/>
              <w:jc w:val="left"/>
              <w:rPr>
                <w:rFonts w:ascii="Times New Roman" w:hAnsi="Times New Roman" w:cs="Times New Roman" w:eastAsia="Times New Roman" w:hint="default"/>
                <w:sz w:val="18"/>
                <w:szCs w:val="18"/>
              </w:rPr>
            </w:pPr>
            <w:r>
              <w:rPr>
                <w:rFonts w:ascii="Times New Roman"/>
                <w:sz w:val="18"/>
              </w:rPr>
              <w:t>,452.41</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vMerge w:val="restart"/>
            <w:tcBorders>
              <w:top w:val="single" w:sz="4" w:space="0" w:color="000000"/>
              <w:left w:val="single" w:sz="4" w:space="0" w:color="000000"/>
              <w:right w:val="single" w:sz="4" w:space="0" w:color="000000"/>
            </w:tcBorders>
          </w:tcPr>
          <w:p>
            <w:pPr>
              <w:pStyle w:val="TableParagraph"/>
              <w:spacing w:line="240" w:lineRule="auto" w:before="91"/>
              <w:ind w:left="60" w:right="0"/>
              <w:jc w:val="left"/>
              <w:rPr>
                <w:rFonts w:ascii="Times New Roman" w:hAnsi="Times New Roman" w:cs="Times New Roman" w:eastAsia="Times New Roman" w:hint="default"/>
                <w:sz w:val="18"/>
                <w:szCs w:val="18"/>
              </w:rPr>
            </w:pPr>
            <w:r>
              <w:rPr>
                <w:rFonts w:ascii="Times New Roman"/>
                <w:sz w:val="18"/>
              </w:rPr>
              <w:t>91,206,10</w:t>
            </w:r>
          </w:p>
          <w:p>
            <w:pPr>
              <w:pStyle w:val="TableParagraph"/>
              <w:spacing w:line="240" w:lineRule="auto" w:before="105"/>
              <w:ind w:left="466" w:right="0"/>
              <w:jc w:val="left"/>
              <w:rPr>
                <w:rFonts w:ascii="Times New Roman" w:hAnsi="Times New Roman" w:cs="Times New Roman" w:eastAsia="Times New Roman" w:hint="default"/>
                <w:sz w:val="18"/>
                <w:szCs w:val="18"/>
              </w:rPr>
            </w:pPr>
            <w:r>
              <w:rPr>
                <w:rFonts w:ascii="Times New Roman"/>
                <w:sz w:val="18"/>
              </w:rPr>
              <w:t>7.32</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45" w:right="0"/>
              <w:jc w:val="left"/>
              <w:rPr>
                <w:rFonts w:ascii="Times New Roman" w:hAnsi="Times New Roman" w:cs="Times New Roman" w:eastAsia="Times New Roman" w:hint="default"/>
                <w:sz w:val="18"/>
                <w:szCs w:val="18"/>
              </w:rPr>
            </w:pPr>
            <w:r>
              <w:rPr>
                <w:rFonts w:ascii="Times New Roman"/>
                <w:sz w:val="18"/>
              </w:rPr>
              <w:t>28.30%</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91"/>
              <w:ind w:left="88" w:right="0"/>
              <w:jc w:val="left"/>
              <w:rPr>
                <w:rFonts w:ascii="Times New Roman" w:hAnsi="Times New Roman" w:cs="Times New Roman" w:eastAsia="Times New Roman" w:hint="default"/>
                <w:sz w:val="18"/>
                <w:szCs w:val="18"/>
              </w:rPr>
            </w:pPr>
            <w:r>
              <w:rPr>
                <w:rFonts w:ascii="Times New Roman"/>
                <w:sz w:val="18"/>
              </w:rPr>
              <w:t>231,133,34</w:t>
            </w:r>
          </w:p>
          <w:p>
            <w:pPr>
              <w:pStyle w:val="TableParagraph"/>
              <w:spacing w:line="240" w:lineRule="auto" w:before="105"/>
              <w:ind w:left="584" w:right="0"/>
              <w:jc w:val="left"/>
              <w:rPr>
                <w:rFonts w:ascii="Times New Roman" w:hAnsi="Times New Roman" w:cs="Times New Roman" w:eastAsia="Times New Roman" w:hint="default"/>
                <w:sz w:val="18"/>
                <w:szCs w:val="18"/>
              </w:rPr>
            </w:pPr>
            <w:r>
              <w:rPr>
                <w:rFonts w:ascii="Times New Roman"/>
                <w:sz w:val="18"/>
              </w:rPr>
              <w:t>5.09</w:t>
            </w:r>
          </w:p>
        </w:tc>
      </w:tr>
      <w:tr>
        <w:trPr>
          <w:trHeight w:val="392" w:hRule="exact"/>
        </w:trPr>
        <w:tc>
          <w:tcPr>
            <w:tcW w:w="161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75" w:type="dxa"/>
            <w:vMerge/>
            <w:tcBorders>
              <w:left w:val="single" w:sz="9" w:space="0" w:color="D2D2D2"/>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90" w:type="dxa"/>
            <w:vMerge/>
            <w:tcBorders>
              <w:left w:val="single" w:sz="4" w:space="0" w:color="000000"/>
              <w:right w:val="single" w:sz="4" w:space="0" w:color="000000"/>
            </w:tcBorders>
          </w:tcPr>
          <w:p>
            <w:pPr/>
          </w:p>
        </w:tc>
        <w:tc>
          <w:tcPr>
            <w:tcW w:w="654"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813"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r>
      <w:tr>
        <w:trPr>
          <w:trHeight w:val="161" w:hRule="exact"/>
        </w:trPr>
        <w:tc>
          <w:tcPr>
            <w:tcW w:w="1611" w:type="dxa"/>
            <w:tcBorders>
              <w:top w:val="nil" w:sz="6" w:space="0" w:color="auto"/>
              <w:left w:val="single" w:sz="4" w:space="0" w:color="000000"/>
              <w:bottom w:val="single" w:sz="4" w:space="0" w:color="000000"/>
              <w:right w:val="single" w:sz="4" w:space="0" w:color="000000"/>
            </w:tcBorders>
            <w:shd w:val="clear" w:color="auto" w:fill="D2D2D2"/>
          </w:tcPr>
          <w:p>
            <w:pPr/>
          </w:p>
        </w:tc>
        <w:tc>
          <w:tcPr>
            <w:tcW w:w="775" w:type="dxa"/>
            <w:vMerge/>
            <w:tcBorders>
              <w:left w:val="single" w:sz="9" w:space="0" w:color="D2D2D2"/>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90" w:type="dxa"/>
            <w:vMerge/>
            <w:tcBorders>
              <w:left w:val="single" w:sz="4" w:space="0" w:color="000000"/>
              <w:bottom w:val="single" w:sz="4" w:space="0" w:color="000000"/>
              <w:right w:val="single" w:sz="4" w:space="0" w:color="000000"/>
            </w:tcBorders>
          </w:tcPr>
          <w:p>
            <w:pPr/>
          </w:p>
        </w:tc>
        <w:tc>
          <w:tcPr>
            <w:tcW w:w="654"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813"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pStyle w:val="BodyText"/>
        <w:spacing w:line="240" w:lineRule="auto" w:before="51"/>
        <w:ind w:left="1134" w:right="-20"/>
        <w:jc w:val="left"/>
      </w:pPr>
      <w:r>
        <w:rPr/>
        <w:t>期末单项金额重大并单项计提坏账准备的应收账款：</w:t>
      </w:r>
    </w:p>
    <w:p>
      <w:pPr>
        <w:pStyle w:val="BodyText"/>
        <w:spacing w:line="240" w:lineRule="auto" w:before="117"/>
        <w:ind w:left="1134"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1"/>
          <w:szCs w:val="21"/>
        </w:rPr>
      </w:pPr>
    </w:p>
    <w:p>
      <w:pPr>
        <w:pStyle w:val="BodyText"/>
        <w:spacing w:line="240" w:lineRule="auto"/>
        <w:ind w:left="1113" w:right="1112"/>
        <w:jc w:val="center"/>
      </w:pPr>
      <w:r>
        <w:rPr/>
        <w:t>单位： 元</w:t>
      </w:r>
    </w:p>
    <w:p>
      <w:pPr>
        <w:spacing w:after="0" w:line="240" w:lineRule="auto"/>
        <w:jc w:val="center"/>
        <w:sectPr>
          <w:type w:val="continuous"/>
          <w:pgSz w:w="11910" w:h="16840"/>
          <w:pgMar w:top="1060" w:bottom="1160" w:left="0" w:right="0"/>
          <w:cols w:num="2" w:equalWidth="0">
            <w:col w:w="5275" w:space="3555"/>
            <w:col w:w="3080"/>
          </w:cols>
        </w:sectPr>
      </w:pP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402"/>
        <w:gridCol w:w="1702"/>
        <w:gridCol w:w="1276"/>
        <w:gridCol w:w="1278"/>
        <w:gridCol w:w="1901"/>
      </w:tblGrid>
      <w:tr>
        <w:trPr>
          <w:trHeight w:val="402" w:hRule="exact"/>
        </w:trPr>
        <w:tc>
          <w:tcPr>
            <w:tcW w:w="340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886" w:right="0"/>
              <w:jc w:val="left"/>
              <w:rPr>
                <w:rFonts w:ascii="宋体" w:hAnsi="宋体" w:cs="宋体" w:eastAsia="宋体" w:hint="default"/>
                <w:sz w:val="18"/>
                <w:szCs w:val="18"/>
              </w:rPr>
            </w:pPr>
            <w:r>
              <w:rPr>
                <w:rFonts w:ascii="宋体" w:hAnsi="宋体" w:cs="宋体" w:eastAsia="宋体" w:hint="default"/>
                <w:sz w:val="18"/>
                <w:szCs w:val="18"/>
              </w:rPr>
              <w:t>应收账款（按单位）</w:t>
            </w:r>
          </w:p>
        </w:tc>
        <w:tc>
          <w:tcPr>
            <w:tcW w:w="6157"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3402" w:type="dxa"/>
            <w:vMerge/>
            <w:tcBorders>
              <w:left w:val="single" w:sz="4" w:space="0" w:color="000000"/>
              <w:bottom w:val="single" w:sz="4" w:space="0" w:color="000000"/>
              <w:right w:val="single" w:sz="4" w:space="0" w:color="000000"/>
            </w:tcBorders>
            <w:shd w:val="clear" w:color="auto" w:fill="D2D2D2"/>
          </w:tcPr>
          <w:p>
            <w:pPr/>
          </w:p>
        </w:tc>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85"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72"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73"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计提理由</w:t>
            </w:r>
          </w:p>
        </w:tc>
      </w:tr>
      <w:tr>
        <w:trPr>
          <w:trHeight w:val="402"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河北先河正态环境检测有限公司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23" w:right="0"/>
              <w:jc w:val="left"/>
              <w:rPr>
                <w:rFonts w:ascii="Times New Roman" w:hAnsi="Times New Roman" w:cs="Times New Roman" w:eastAsia="Times New Roman" w:hint="default"/>
                <w:sz w:val="18"/>
                <w:szCs w:val="18"/>
              </w:rPr>
            </w:pPr>
            <w:r>
              <w:rPr>
                <w:rFonts w:ascii="Times New Roman"/>
                <w:sz w:val="18"/>
              </w:rPr>
              <w:t>2,430,000.00</w:t>
            </w:r>
          </w:p>
        </w:tc>
        <w:tc>
          <w:tcPr>
            <w:tcW w:w="1276" w:type="dxa"/>
            <w:tcBorders>
              <w:top w:val="single" w:sz="4" w:space="0" w:color="000000"/>
              <w:left w:val="single" w:sz="4" w:space="0" w:color="000000"/>
              <w:bottom w:val="single" w:sz="4" w:space="0" w:color="000000"/>
              <w:right w:val="single" w:sz="4" w:space="0" w:color="000000"/>
            </w:tcBorders>
          </w:tcPr>
          <w:p>
            <w:pPr/>
          </w:p>
        </w:tc>
        <w:tc>
          <w:tcPr>
            <w:tcW w:w="1278" w:type="dxa"/>
            <w:tcBorders>
              <w:top w:val="single" w:sz="4" w:space="0" w:color="000000"/>
              <w:left w:val="single" w:sz="4" w:space="0" w:color="000000"/>
              <w:bottom w:val="single" w:sz="4" w:space="0" w:color="000000"/>
              <w:right w:val="single" w:sz="4" w:space="0" w:color="000000"/>
            </w:tcBorders>
          </w:tcPr>
          <w:p>
            <w:pPr/>
          </w:p>
        </w:tc>
        <w:tc>
          <w:tcPr>
            <w:tcW w:w="1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确信可以全部收回</w:t>
            </w:r>
          </w:p>
        </w:tc>
      </w:tr>
    </w:tbl>
    <w:p>
      <w:pPr>
        <w:spacing w:after="0" w:line="240" w:lineRule="auto"/>
        <w:jc w:val="left"/>
        <w:rPr>
          <w:rFonts w:ascii="宋体" w:hAnsi="宋体" w:cs="宋体" w:eastAsia="宋体" w:hint="default"/>
          <w:sz w:val="18"/>
          <w:szCs w:val="18"/>
        </w:rPr>
        <w:sectPr>
          <w:type w:val="continuous"/>
          <w:pgSz w:w="11910" w:h="16840"/>
          <w:pgMar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3402"/>
        <w:gridCol w:w="1702"/>
        <w:gridCol w:w="1276"/>
        <w:gridCol w:w="1278"/>
        <w:gridCol w:w="1913"/>
      </w:tblGrid>
      <w:tr>
        <w:trPr>
          <w:trHeight w:val="402"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北京先河中润科技有限公司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2,275,360.00</w:t>
            </w:r>
          </w:p>
        </w:tc>
        <w:tc>
          <w:tcPr>
            <w:tcW w:w="1276" w:type="dxa"/>
            <w:tcBorders>
              <w:top w:val="single" w:sz="4" w:space="0" w:color="000000"/>
              <w:left w:val="single" w:sz="4" w:space="0" w:color="000000"/>
              <w:bottom w:val="single" w:sz="4" w:space="0" w:color="000000"/>
              <w:right w:val="single" w:sz="4" w:space="0" w:color="000000"/>
            </w:tcBorders>
          </w:tcPr>
          <w:p>
            <w:pPr/>
          </w:p>
        </w:tc>
        <w:tc>
          <w:tcPr>
            <w:tcW w:w="1278"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确信可以全部收回</w:t>
            </w:r>
          </w:p>
        </w:tc>
      </w:tr>
      <w:tr>
        <w:trPr>
          <w:trHeight w:val="402"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河北先河正达环保技术服务有限公司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9,026,186.03</w:t>
            </w:r>
          </w:p>
        </w:tc>
        <w:tc>
          <w:tcPr>
            <w:tcW w:w="1276" w:type="dxa"/>
            <w:tcBorders>
              <w:top w:val="single" w:sz="4" w:space="0" w:color="000000"/>
              <w:left w:val="single" w:sz="4" w:space="0" w:color="000000"/>
              <w:bottom w:val="single" w:sz="4" w:space="0" w:color="000000"/>
              <w:right w:val="single" w:sz="4" w:space="0" w:color="000000"/>
            </w:tcBorders>
          </w:tcPr>
          <w:p>
            <w:pPr/>
          </w:p>
        </w:tc>
        <w:tc>
          <w:tcPr>
            <w:tcW w:w="1278"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确信可以全部收回</w:t>
            </w:r>
          </w:p>
        </w:tc>
      </w:tr>
      <w:tr>
        <w:trPr>
          <w:trHeight w:val="402"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四川先河环保科技有限公司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10,149,176.00</w:t>
            </w:r>
          </w:p>
        </w:tc>
        <w:tc>
          <w:tcPr>
            <w:tcW w:w="1276" w:type="dxa"/>
            <w:tcBorders>
              <w:top w:val="single" w:sz="4" w:space="0" w:color="000000"/>
              <w:left w:val="single" w:sz="4" w:space="0" w:color="000000"/>
              <w:bottom w:val="single" w:sz="4" w:space="0" w:color="000000"/>
              <w:right w:val="single" w:sz="4" w:space="0" w:color="000000"/>
            </w:tcBorders>
          </w:tcPr>
          <w:p>
            <w:pPr/>
          </w:p>
        </w:tc>
        <w:tc>
          <w:tcPr>
            <w:tcW w:w="1278"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确信可以全部收回</w:t>
            </w:r>
          </w:p>
        </w:tc>
      </w:tr>
      <w:tr>
        <w:trPr>
          <w:trHeight w:val="402"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重庆冀华环保科技发展有限公司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36,925,844.20</w:t>
            </w:r>
          </w:p>
        </w:tc>
        <w:tc>
          <w:tcPr>
            <w:tcW w:w="1276" w:type="dxa"/>
            <w:tcBorders>
              <w:top w:val="single" w:sz="4" w:space="0" w:color="000000"/>
              <w:left w:val="single" w:sz="4" w:space="0" w:color="000000"/>
              <w:bottom w:val="single" w:sz="4" w:space="0" w:color="000000"/>
              <w:right w:val="single" w:sz="4" w:space="0" w:color="000000"/>
            </w:tcBorders>
          </w:tcPr>
          <w:p>
            <w:pPr/>
          </w:p>
        </w:tc>
        <w:tc>
          <w:tcPr>
            <w:tcW w:w="1278"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确信可以全部收回</w:t>
            </w:r>
          </w:p>
        </w:tc>
      </w:tr>
      <w:tr>
        <w:trPr>
          <w:trHeight w:val="402"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山东先河环保科技有限公司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1,823,000.00</w:t>
            </w:r>
          </w:p>
        </w:tc>
        <w:tc>
          <w:tcPr>
            <w:tcW w:w="1276" w:type="dxa"/>
            <w:tcBorders>
              <w:top w:val="single" w:sz="4" w:space="0" w:color="000000"/>
              <w:left w:val="single" w:sz="4" w:space="0" w:color="000000"/>
              <w:bottom w:val="single" w:sz="4" w:space="0" w:color="000000"/>
              <w:right w:val="single" w:sz="4" w:space="0" w:color="000000"/>
            </w:tcBorders>
          </w:tcPr>
          <w:p>
            <w:pPr/>
          </w:p>
        </w:tc>
        <w:tc>
          <w:tcPr>
            <w:tcW w:w="1278"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确信可以全部收回</w:t>
            </w:r>
          </w:p>
        </w:tc>
      </w:tr>
      <w:tr>
        <w:trPr>
          <w:trHeight w:val="402" w:hRule="exact"/>
        </w:trPr>
        <w:tc>
          <w:tcPr>
            <w:tcW w:w="34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62,629,566.23</w:t>
            </w:r>
          </w:p>
        </w:tc>
        <w:tc>
          <w:tcPr>
            <w:tcW w:w="1276" w:type="dxa"/>
            <w:tcBorders>
              <w:top w:val="single" w:sz="4" w:space="0" w:color="000000"/>
              <w:left w:val="single" w:sz="4" w:space="0" w:color="000000"/>
              <w:bottom w:val="single" w:sz="4" w:space="0" w:color="000000"/>
              <w:right w:val="single" w:sz="4" w:space="0" w:color="000000"/>
            </w:tcBorders>
          </w:tcPr>
          <w:p>
            <w:pPr/>
          </w:p>
        </w:tc>
        <w:tc>
          <w:tcPr>
            <w:tcW w:w="1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747" w:footer="979" w:top="1060" w:bottom="1160" w:left="0" w:right="0"/>
        </w:sectPr>
      </w:pPr>
    </w:p>
    <w:p>
      <w:pPr>
        <w:pStyle w:val="BodyText"/>
        <w:spacing w:line="240" w:lineRule="auto" w:before="51"/>
        <w:ind w:left="1134" w:right="-20"/>
        <w:jc w:val="left"/>
      </w:pPr>
      <w:r>
        <w:rPr/>
        <w:t>组合中，按账龄分析法计提坏账准备的应收账款：</w:t>
      </w:r>
    </w:p>
    <w:p>
      <w:pPr>
        <w:pStyle w:val="BodyText"/>
        <w:spacing w:line="240" w:lineRule="auto" w:before="117"/>
        <w:ind w:left="1134"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1"/>
          <w:szCs w:val="21"/>
        </w:rPr>
      </w:pPr>
    </w:p>
    <w:p>
      <w:pPr>
        <w:pStyle w:val="BodyText"/>
        <w:spacing w:line="240" w:lineRule="auto"/>
        <w:ind w:left="1113" w:right="1112"/>
        <w:jc w:val="center"/>
      </w:pPr>
      <w:r>
        <w:rPr/>
        <w:t>单位： 元</w:t>
      </w:r>
    </w:p>
    <w:p>
      <w:pPr>
        <w:spacing w:after="0" w:line="240" w:lineRule="auto"/>
        <w:jc w:val="center"/>
        <w:sectPr>
          <w:type w:val="continuous"/>
          <w:pgSz w:w="11910" w:h="16840"/>
          <w:pgMar w:top="1060" w:bottom="1160" w:left="0" w:right="0"/>
          <w:cols w:num="2" w:equalWidth="0">
            <w:col w:w="5095" w:space="3735"/>
            <w:col w:w="3080"/>
          </w:cols>
        </w:sectPr>
      </w:pPr>
    </w:p>
    <w:p>
      <w:pPr>
        <w:spacing w:line="240" w:lineRule="auto" w:before="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2476"/>
        <w:gridCol w:w="2301"/>
        <w:gridCol w:w="2391"/>
        <w:gridCol w:w="2390"/>
      </w:tblGrid>
      <w:tr>
        <w:trPr>
          <w:trHeight w:val="205" w:hRule="exact"/>
        </w:trPr>
        <w:tc>
          <w:tcPr>
            <w:tcW w:w="2476" w:type="dxa"/>
            <w:tcBorders>
              <w:top w:val="single" w:sz="4" w:space="0" w:color="000000"/>
              <w:left w:val="single" w:sz="4" w:space="0" w:color="000000"/>
              <w:bottom w:val="nil" w:sz="6" w:space="0" w:color="auto"/>
              <w:right w:val="single" w:sz="4" w:space="0" w:color="000000"/>
            </w:tcBorders>
            <w:shd w:val="clear" w:color="auto" w:fill="D2D2D2"/>
          </w:tcPr>
          <w:p>
            <w:pPr/>
          </w:p>
        </w:tc>
        <w:tc>
          <w:tcPr>
            <w:tcW w:w="7081"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5"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2" w:hRule="exact"/>
        </w:trPr>
        <w:tc>
          <w:tcPr>
            <w:tcW w:w="247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5"/>
              <w:jc w:val="center"/>
              <w:rPr>
                <w:rFonts w:ascii="宋体" w:hAnsi="宋体" w:cs="宋体" w:eastAsia="宋体" w:hint="default"/>
                <w:sz w:val="18"/>
                <w:szCs w:val="18"/>
              </w:rPr>
            </w:pPr>
            <w:r>
              <w:rPr>
                <w:rFonts w:ascii="宋体" w:hAnsi="宋体" w:cs="宋体" w:eastAsia="宋体" w:hint="default"/>
                <w:sz w:val="18"/>
                <w:szCs w:val="18"/>
              </w:rPr>
              <w:t>账龄</w:t>
            </w:r>
          </w:p>
        </w:tc>
        <w:tc>
          <w:tcPr>
            <w:tcW w:w="7081" w:type="dxa"/>
            <w:gridSpan w:val="3"/>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2476" w:type="dxa"/>
            <w:vMerge/>
            <w:tcBorders>
              <w:left w:val="single" w:sz="4" w:space="0" w:color="000000"/>
              <w:bottom w:val="nil" w:sz="6" w:space="0" w:color="auto"/>
              <w:right w:val="single" w:sz="4" w:space="0" w:color="000000"/>
            </w:tcBorders>
            <w:shd w:val="clear" w:color="auto" w:fill="D2D2D2"/>
          </w:tcPr>
          <w:p>
            <w:pPr/>
          </w:p>
        </w:tc>
        <w:tc>
          <w:tcPr>
            <w:tcW w:w="230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3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211" w:hRule="exact"/>
        </w:trPr>
        <w:tc>
          <w:tcPr>
            <w:tcW w:w="2476" w:type="dxa"/>
            <w:tcBorders>
              <w:top w:val="nil" w:sz="6" w:space="0" w:color="auto"/>
              <w:left w:val="single" w:sz="4" w:space="0" w:color="000000"/>
              <w:bottom w:val="single" w:sz="4" w:space="0" w:color="000000"/>
              <w:right w:val="single" w:sz="4" w:space="0" w:color="000000"/>
            </w:tcBorders>
            <w:shd w:val="clear" w:color="auto" w:fill="D2D2D2"/>
          </w:tcPr>
          <w:p>
            <w:pPr/>
          </w:p>
        </w:tc>
        <w:tc>
          <w:tcPr>
            <w:tcW w:w="2301" w:type="dxa"/>
            <w:vMerge/>
            <w:tcBorders>
              <w:left w:val="single" w:sz="4" w:space="0" w:color="000000"/>
              <w:bottom w:val="single" w:sz="4" w:space="0" w:color="000000"/>
              <w:right w:val="single" w:sz="4" w:space="0" w:color="000000"/>
            </w:tcBorders>
            <w:shd w:val="clear" w:color="auto" w:fill="D2D2D2"/>
          </w:tcPr>
          <w:p>
            <w:pPr/>
          </w:p>
        </w:tc>
        <w:tc>
          <w:tcPr>
            <w:tcW w:w="2391" w:type="dxa"/>
            <w:vMerge/>
            <w:tcBorders>
              <w:left w:val="single" w:sz="4" w:space="0" w:color="000000"/>
              <w:bottom w:val="single" w:sz="4" w:space="0" w:color="000000"/>
              <w:right w:val="single" w:sz="4" w:space="0" w:color="000000"/>
            </w:tcBorders>
            <w:shd w:val="clear" w:color="auto" w:fill="D2D2D2"/>
          </w:tcPr>
          <w:p>
            <w:pPr/>
          </w:p>
        </w:tc>
        <w:tc>
          <w:tcPr>
            <w:tcW w:w="2390" w:type="dxa"/>
            <w:vMerge/>
            <w:tcBorders>
              <w:left w:val="single" w:sz="4" w:space="0" w:color="000000"/>
              <w:bottom w:val="single" w:sz="4" w:space="0" w:color="000000"/>
              <w:right w:val="single" w:sz="4" w:space="0" w:color="000000"/>
            </w:tcBorders>
            <w:shd w:val="clear" w:color="auto" w:fill="D2D2D2"/>
          </w:tcPr>
          <w:p>
            <w:pPr/>
          </w:p>
        </w:tc>
      </w:tr>
      <w:tr>
        <w:trPr>
          <w:trHeight w:val="397" w:hRule="exact"/>
        </w:trPr>
        <w:tc>
          <w:tcPr>
            <w:tcW w:w="9557"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161,440,190.05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8,072,009.50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44,442,588.33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4,444,258.83</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27,434,404.30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8,230,321.29</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30.00%</w:t>
            </w:r>
          </w:p>
        </w:tc>
      </w:tr>
      <w:tr>
        <w:trPr>
          <w:trHeight w:val="402"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87,642,343.78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87,642,343.78</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320,959,526.46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108,388,933.40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33.77%</w:t>
            </w:r>
          </w:p>
        </w:tc>
      </w:tr>
    </w:tbl>
    <w:p>
      <w:pPr>
        <w:pStyle w:val="BodyText"/>
        <w:spacing w:line="240" w:lineRule="auto" w:before="51"/>
        <w:ind w:left="1134" w:right="0"/>
        <w:jc w:val="left"/>
      </w:pPr>
      <w:r>
        <w:rPr/>
        <w:t>确定该组合依据的说明：</w:t>
      </w:r>
    </w:p>
    <w:p>
      <w:pPr>
        <w:pStyle w:val="BodyText"/>
        <w:spacing w:line="338" w:lineRule="auto" w:before="116"/>
        <w:ind w:right="1123"/>
        <w:jc w:val="left"/>
      </w:pPr>
      <w:r>
        <w:rPr/>
        <w:t>已单独计提减值准备的应收账款除外，公司根据以前年度与之相同或相类似的、按账 龄段划分的具有类似信用风险特征的 应收账款组合的实际损失率为基础，结合现时情况分析法确定坏账准备计提的比例。 组合中，采用余额百分比法计提坏账准备的应收账款：</w:t>
      </w:r>
    </w:p>
    <w:p>
      <w:pPr>
        <w:pStyle w:val="BodyText"/>
        <w:spacing w:line="340" w:lineRule="auto" w:before="42"/>
        <w:ind w:right="67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组合中，采用其他方法计提坏账准备的应收账款：</w:t>
      </w:r>
    </w:p>
    <w:p>
      <w:pPr>
        <w:spacing w:line="240" w:lineRule="auto" w:before="12"/>
        <w:rPr>
          <w:rFonts w:ascii="宋体" w:hAnsi="宋体" w:cs="宋体" w:eastAsia="宋体" w:hint="default"/>
          <w:sz w:val="20"/>
          <w:szCs w:val="20"/>
        </w:rPr>
      </w:pPr>
    </w:p>
    <w:p>
      <w:pPr>
        <w:pStyle w:val="Heading3"/>
        <w:spacing w:line="240" w:lineRule="auto"/>
        <w:ind w:right="0"/>
        <w:jc w:val="left"/>
        <w:rPr>
          <w:b w:val="0"/>
          <w:bCs w:val="0"/>
        </w:rPr>
      </w:pPr>
      <w:bookmarkStart w:name="（2）本期计提、收回或转回的坏账准备情况" w:id="355"/>
      <w:bookmarkEnd w:id="355"/>
      <w:r>
        <w:rPr>
          <w:b w:val="0"/>
          <w:bCs w:val="0"/>
        </w:rPr>
      </w: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4"/>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type w:val="continuous"/>
          <w:pgSz w:w="11910" w:h="16840"/>
          <w:pgMar w:top="1060" w:bottom="1160" w:left="0" w:right="0"/>
        </w:sectPr>
      </w:pPr>
    </w:p>
    <w:p>
      <w:pPr>
        <w:pStyle w:val="BodyText"/>
        <w:spacing w:line="338" w:lineRule="auto" w:before="44"/>
        <w:ind w:left="1134" w:right="-18"/>
        <w:jc w:val="left"/>
      </w:pPr>
      <w:r>
        <w:rPr/>
        <w:t>本期计提坏账准备金额</w:t>
      </w:r>
      <w:r>
        <w:rPr>
          <w:spacing w:val="-47"/>
        </w:rPr>
        <w:t> </w:t>
      </w:r>
      <w:r>
        <w:rPr>
          <w:rFonts w:ascii="Times New Roman" w:hAnsi="Times New Roman" w:cs="Times New Roman" w:eastAsia="Times New Roman" w:hint="default"/>
        </w:rPr>
        <w:t>17,182,826.08</w:t>
      </w:r>
      <w:r>
        <w:rPr>
          <w:rFonts w:ascii="Times New Roman" w:hAnsi="Times New Roman" w:cs="Times New Roman" w:eastAsia="Times New Roman" w:hint="default"/>
          <w:spacing w:val="-1"/>
        </w:rPr>
        <w:t> </w:t>
      </w:r>
      <w:r>
        <w:rPr/>
        <w:t>元；本期收回或转回坏账准备金额元。 其中本期坏账准备收回或转回金额重要的：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left="1113" w:right="1112"/>
        <w:jc w:val="center"/>
      </w:pPr>
      <w:r>
        <w:rPr/>
        <w:t>单位： 元</w:t>
      </w:r>
    </w:p>
    <w:p>
      <w:pPr>
        <w:spacing w:after="0" w:line="240" w:lineRule="auto"/>
        <w:jc w:val="center"/>
        <w:sectPr>
          <w:type w:val="continuous"/>
          <w:pgSz w:w="11910" w:h="16840"/>
          <w:pgMar w:top="1060" w:bottom="1160" w:left="0" w:right="0"/>
          <w:cols w:num="2" w:equalWidth="0">
            <w:col w:w="7119" w:space="1710"/>
            <w:col w:w="3081"/>
          </w:cols>
        </w:sectPr>
      </w:pP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369"/>
        <w:gridCol w:w="3100"/>
        <w:gridCol w:w="3100"/>
      </w:tblGrid>
      <w:tr>
        <w:trPr>
          <w:trHeight w:val="402" w:hRule="exact"/>
        </w:trPr>
        <w:tc>
          <w:tcPr>
            <w:tcW w:w="3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4" w:right="0"/>
              <w:jc w:val="left"/>
              <w:rPr>
                <w:rFonts w:ascii="宋体" w:hAnsi="宋体" w:cs="宋体" w:eastAsia="宋体" w:hint="default"/>
                <w:sz w:val="18"/>
                <w:szCs w:val="18"/>
              </w:rPr>
            </w:pPr>
            <w:r>
              <w:rPr>
                <w:rFonts w:ascii="宋体" w:hAnsi="宋体" w:cs="宋体" w:eastAsia="宋体" w:hint="default"/>
                <w:sz w:val="18"/>
                <w:szCs w:val="18"/>
              </w:rPr>
              <w:t>收回或转回金额</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spacing w:line="240" w:lineRule="auto" w:before="2"/>
        <w:rPr>
          <w:rFonts w:ascii="宋体" w:hAnsi="宋体" w:cs="宋体" w:eastAsia="宋体" w:hint="default"/>
          <w:sz w:val="19"/>
          <w:szCs w:val="19"/>
        </w:rPr>
      </w:pPr>
    </w:p>
    <w:p>
      <w:pPr>
        <w:pStyle w:val="Heading3"/>
        <w:spacing w:line="240" w:lineRule="auto" w:before="35"/>
        <w:ind w:left="1134" w:right="0"/>
        <w:jc w:val="left"/>
        <w:rPr>
          <w:b w:val="0"/>
          <w:bCs w:val="0"/>
        </w:rPr>
      </w:pPr>
      <w:bookmarkStart w:name="（3）按欠款方归集的期末余额前五名的应收账款情况" w:id="356"/>
      <w:bookmarkEnd w:id="356"/>
      <w:r>
        <w:rPr>
          <w:b w:val="0"/>
          <w:bCs w:val="0"/>
        </w:rPr>
      </w:r>
      <w:r>
        <w:rPr/>
        <w:t>（</w:t>
      </w:r>
      <w:r>
        <w:rPr>
          <w:rFonts w:ascii="Times New Roman" w:hAnsi="Times New Roman" w:cs="Times New Roman" w:eastAsia="Times New Roman" w:hint="default"/>
        </w:rPr>
        <w:t>3</w:t>
      </w:r>
      <w:r>
        <w:rPr/>
        <w:t>）按欠款方归集的期末余额前五名的应收账款情况</w:t>
      </w:r>
      <w:r>
        <w:rPr>
          <w:b w:val="0"/>
          <w:bCs w:val="0"/>
        </w:rPr>
      </w:r>
    </w:p>
    <w:p>
      <w:pPr>
        <w:spacing w:line="240" w:lineRule="auto" w:before="9"/>
        <w:rPr>
          <w:rFonts w:ascii="宋体" w:hAnsi="宋体" w:cs="宋体" w:eastAsia="宋体" w:hint="default"/>
          <w:b/>
          <w:bCs/>
          <w:sz w:val="25"/>
          <w:szCs w:val="25"/>
        </w:rPr>
      </w:pPr>
    </w:p>
    <w:tbl>
      <w:tblPr>
        <w:tblW w:w="0" w:type="auto"/>
        <w:jc w:val="left"/>
        <w:tblInd w:w="1134" w:type="dxa"/>
        <w:tblLayout w:type="fixed"/>
        <w:tblCellMar>
          <w:top w:w="0" w:type="dxa"/>
          <w:left w:w="0" w:type="dxa"/>
          <w:bottom w:w="0" w:type="dxa"/>
          <w:right w:w="0" w:type="dxa"/>
        </w:tblCellMar>
        <w:tblLook w:val="01E0"/>
      </w:tblPr>
      <w:tblGrid>
        <w:gridCol w:w="3275"/>
        <w:gridCol w:w="1739"/>
        <w:gridCol w:w="3045"/>
        <w:gridCol w:w="1672"/>
      </w:tblGrid>
      <w:tr>
        <w:trPr>
          <w:trHeight w:val="387" w:hRule="exact"/>
        </w:trPr>
        <w:tc>
          <w:tcPr>
            <w:tcW w:w="3275" w:type="dxa"/>
            <w:vMerge w:val="restart"/>
            <w:tcBorders>
              <w:top w:val="single" w:sz="12" w:space="0" w:color="000000"/>
              <w:left w:val="nil" w:sz="6" w:space="0" w:color="auto"/>
              <w:right w:val="single" w:sz="4" w:space="0" w:color="000000"/>
            </w:tcBorders>
          </w:tcPr>
          <w:p>
            <w:pPr>
              <w:pStyle w:val="TableParagraph"/>
              <w:spacing w:line="240" w:lineRule="auto" w:before="2"/>
              <w:ind w:right="0"/>
              <w:jc w:val="left"/>
              <w:rPr>
                <w:rFonts w:ascii="宋体" w:hAnsi="宋体" w:cs="宋体" w:eastAsia="宋体" w:hint="default"/>
                <w:b/>
                <w:bCs/>
                <w:sz w:val="18"/>
                <w:szCs w:val="18"/>
              </w:rPr>
            </w:pPr>
          </w:p>
          <w:p>
            <w:pPr>
              <w:pStyle w:val="TableParagraph"/>
              <w:spacing w:line="240" w:lineRule="auto"/>
              <w:ind w:left="3" w:right="0"/>
              <w:jc w:val="center"/>
              <w:rPr>
                <w:rFonts w:ascii="宋体" w:hAnsi="宋体" w:cs="宋体" w:eastAsia="宋体" w:hint="default"/>
                <w:sz w:val="18"/>
                <w:szCs w:val="18"/>
              </w:rPr>
            </w:pPr>
            <w:r>
              <w:rPr>
                <w:rFonts w:ascii="宋体" w:hAnsi="宋体" w:cs="宋体" w:eastAsia="宋体" w:hint="default"/>
                <w:b/>
                <w:bCs/>
                <w:sz w:val="18"/>
                <w:szCs w:val="18"/>
              </w:rPr>
              <w:t>单位名称</w:t>
            </w:r>
            <w:r>
              <w:rPr>
                <w:rFonts w:ascii="宋体" w:hAnsi="宋体" w:cs="宋体" w:eastAsia="宋体" w:hint="default"/>
                <w:sz w:val="18"/>
                <w:szCs w:val="18"/>
              </w:rPr>
            </w:r>
          </w:p>
        </w:tc>
        <w:tc>
          <w:tcPr>
            <w:tcW w:w="6456" w:type="dxa"/>
            <w:gridSpan w:val="3"/>
            <w:tcBorders>
              <w:top w:val="single" w:sz="12" w:space="0" w:color="000000"/>
              <w:left w:val="single" w:sz="4" w:space="0" w:color="000000"/>
              <w:bottom w:val="single" w:sz="4" w:space="0" w:color="000000"/>
              <w:right w:val="nil" w:sz="6" w:space="0" w:color="auto"/>
            </w:tcBorders>
          </w:tcPr>
          <w:p>
            <w:pPr>
              <w:pStyle w:val="TableParagraph"/>
              <w:spacing w:line="240" w:lineRule="auto" w:before="51"/>
              <w:ind w:right="4"/>
              <w:jc w:val="center"/>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r>
      <w:tr>
        <w:trPr>
          <w:trHeight w:val="398" w:hRule="exact"/>
        </w:trPr>
        <w:tc>
          <w:tcPr>
            <w:tcW w:w="3275" w:type="dxa"/>
            <w:vMerge/>
            <w:tcBorders>
              <w:left w:val="nil" w:sz="6" w:space="0" w:color="auto"/>
              <w:bottom w:val="single" w:sz="4" w:space="0" w:color="000000"/>
              <w:right w:val="single" w:sz="4" w:space="0" w:color="000000"/>
            </w:tcBorders>
          </w:tcPr>
          <w:p>
            <w:pP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503" w:right="0"/>
              <w:jc w:val="left"/>
              <w:rPr>
                <w:rFonts w:ascii="宋体" w:hAnsi="宋体" w:cs="宋体" w:eastAsia="宋体" w:hint="default"/>
                <w:sz w:val="18"/>
                <w:szCs w:val="18"/>
              </w:rPr>
            </w:pPr>
            <w:r>
              <w:rPr>
                <w:rFonts w:ascii="宋体" w:hAnsi="宋体" w:cs="宋体" w:eastAsia="宋体" w:hint="default"/>
                <w:b/>
                <w:bCs/>
                <w:sz w:val="18"/>
                <w:szCs w:val="18"/>
              </w:rPr>
              <w:t>应收账款</w:t>
            </w:r>
            <w:r>
              <w:rPr>
                <w:rFonts w:ascii="宋体" w:hAnsi="宋体" w:cs="宋体" w:eastAsia="宋体" w:hint="default"/>
                <w:sz w:val="18"/>
                <w:szCs w:val="18"/>
              </w:rPr>
            </w:r>
          </w:p>
        </w:tc>
        <w:tc>
          <w:tcPr>
            <w:tcW w:w="3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476" w:right="0"/>
              <w:jc w:val="left"/>
              <w:rPr>
                <w:rFonts w:ascii="宋体" w:hAnsi="宋体" w:cs="宋体" w:eastAsia="宋体" w:hint="default"/>
                <w:sz w:val="18"/>
                <w:szCs w:val="18"/>
              </w:rPr>
            </w:pPr>
            <w:r>
              <w:rPr>
                <w:rFonts w:ascii="宋体" w:hAnsi="宋体" w:cs="宋体" w:eastAsia="宋体" w:hint="default"/>
                <w:b/>
                <w:bCs/>
                <w:sz w:val="18"/>
                <w:szCs w:val="18"/>
              </w:rPr>
              <w:t>占应收账款合计数比例</w:t>
            </w:r>
            <w:r>
              <w:rPr>
                <w:rFonts w:ascii="宋体" w:hAnsi="宋体" w:cs="宋体" w:eastAsia="宋体" w:hint="default"/>
                <w:b/>
                <w:bCs/>
                <w:sz w:val="18"/>
                <w:szCs w:val="18"/>
              </w:rPr>
              <w:t>(%)</w:t>
            </w:r>
            <w:r>
              <w:rPr>
                <w:rFonts w:ascii="宋体" w:hAnsi="宋体" w:cs="宋体" w:eastAsia="宋体" w:hint="default"/>
                <w:sz w:val="18"/>
                <w:szCs w:val="18"/>
              </w:rPr>
            </w:r>
          </w:p>
        </w:tc>
        <w:tc>
          <w:tcPr>
            <w:tcW w:w="167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2"/>
              <w:ind w:left="469" w:right="0"/>
              <w:jc w:val="left"/>
              <w:rPr>
                <w:rFonts w:ascii="宋体" w:hAnsi="宋体" w:cs="宋体" w:eastAsia="宋体" w:hint="default"/>
                <w:sz w:val="18"/>
                <w:szCs w:val="18"/>
              </w:rPr>
            </w:pPr>
            <w:r>
              <w:rPr>
                <w:rFonts w:ascii="宋体" w:hAnsi="宋体" w:cs="宋体" w:eastAsia="宋体" w:hint="default"/>
                <w:b/>
                <w:bCs/>
                <w:sz w:val="18"/>
                <w:szCs w:val="18"/>
              </w:rPr>
              <w:t>坏账准备</w:t>
            </w:r>
            <w:r>
              <w:rPr>
                <w:rFonts w:ascii="宋体" w:hAnsi="宋体" w:cs="宋体" w:eastAsia="宋体" w:hint="default"/>
                <w:sz w:val="18"/>
                <w:szCs w:val="18"/>
              </w:rPr>
            </w:r>
          </w:p>
        </w:tc>
      </w:tr>
      <w:tr>
        <w:trPr>
          <w:trHeight w:val="407" w:hRule="exact"/>
        </w:trPr>
        <w:tc>
          <w:tcPr>
            <w:tcW w:w="3275" w:type="dxa"/>
            <w:tcBorders>
              <w:top w:val="single" w:sz="4" w:space="0" w:color="000000"/>
              <w:left w:val="nil" w:sz="6" w:space="0" w:color="auto"/>
              <w:bottom w:val="nil" w:sz="6" w:space="0" w:color="auto"/>
              <w:right w:val="single" w:sz="4" w:space="0" w:color="000000"/>
            </w:tcBorders>
          </w:tcPr>
          <w:p>
            <w:pPr>
              <w:pStyle w:val="TableParagraph"/>
              <w:spacing w:line="240" w:lineRule="auto" w:before="51"/>
              <w:ind w:left="107" w:right="0"/>
              <w:jc w:val="left"/>
              <w:rPr>
                <w:rFonts w:ascii="宋体" w:hAnsi="宋体" w:cs="宋体" w:eastAsia="宋体" w:hint="default"/>
                <w:sz w:val="18"/>
                <w:szCs w:val="18"/>
              </w:rPr>
            </w:pPr>
            <w:r>
              <w:rPr>
                <w:rFonts w:ascii="宋体" w:hAnsi="宋体" w:cs="宋体" w:eastAsia="宋体" w:hint="default"/>
                <w:sz w:val="18"/>
                <w:szCs w:val="18"/>
              </w:rPr>
              <w:t>重庆冀华环保科技发展有限公司</w:t>
            </w:r>
          </w:p>
        </w:tc>
        <w:tc>
          <w:tcPr>
            <w:tcW w:w="173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2"/>
              <w:ind w:right="102"/>
              <w:jc w:val="right"/>
              <w:rPr>
                <w:rFonts w:ascii="Arial Narrow" w:hAnsi="Arial Narrow" w:cs="Arial Narrow" w:eastAsia="Arial Narrow" w:hint="default"/>
                <w:sz w:val="20"/>
                <w:szCs w:val="20"/>
              </w:rPr>
            </w:pPr>
            <w:r>
              <w:rPr>
                <w:rFonts w:ascii="Arial Narrow"/>
                <w:spacing w:val="-1"/>
                <w:sz w:val="20"/>
              </w:rPr>
              <w:t>36,925,844.20</w:t>
            </w:r>
            <w:r>
              <w:rPr>
                <w:rFonts w:ascii="Arial Narrow"/>
                <w:sz w:val="20"/>
              </w:rPr>
            </w:r>
          </w:p>
        </w:tc>
        <w:tc>
          <w:tcPr>
            <w:tcW w:w="304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2"/>
              <w:ind w:right="102"/>
              <w:jc w:val="right"/>
              <w:rPr>
                <w:rFonts w:ascii="Arial Narrow" w:hAnsi="Arial Narrow" w:cs="Arial Narrow" w:eastAsia="Arial Narrow" w:hint="default"/>
                <w:sz w:val="20"/>
                <w:szCs w:val="20"/>
              </w:rPr>
            </w:pPr>
            <w:r>
              <w:rPr>
                <w:rFonts w:ascii="Arial Narrow"/>
                <w:spacing w:val="-1"/>
                <w:sz w:val="20"/>
              </w:rPr>
              <w:t>9.62</w:t>
            </w:r>
            <w:r>
              <w:rPr>
                <w:rFonts w:ascii="Arial Narrow"/>
                <w:sz w:val="20"/>
              </w:rPr>
            </w:r>
          </w:p>
        </w:tc>
        <w:tc>
          <w:tcPr>
            <w:tcW w:w="1672" w:type="dxa"/>
            <w:vMerge w:val="restart"/>
            <w:tcBorders>
              <w:top w:val="single" w:sz="4" w:space="0" w:color="000000"/>
              <w:left w:val="single" w:sz="4" w:space="0" w:color="000000"/>
              <w:right w:val="nil" w:sz="6" w:space="0" w:color="auto"/>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2"/>
              <w:ind w:right="0"/>
              <w:jc w:val="left"/>
              <w:rPr>
                <w:rFonts w:ascii="宋体" w:hAnsi="宋体" w:cs="宋体" w:eastAsia="宋体" w:hint="default"/>
                <w:b/>
                <w:bCs/>
                <w:sz w:val="16"/>
                <w:szCs w:val="16"/>
              </w:rPr>
            </w:pPr>
          </w:p>
          <w:p>
            <w:pPr>
              <w:pStyle w:val="TableParagraph"/>
              <w:spacing w:line="240" w:lineRule="auto"/>
              <w:ind w:left="737" w:right="0"/>
              <w:jc w:val="left"/>
              <w:rPr>
                <w:rFonts w:ascii="Arial Narrow" w:hAnsi="Arial Narrow" w:cs="Arial Narrow" w:eastAsia="Arial Narrow" w:hint="default"/>
                <w:sz w:val="20"/>
                <w:szCs w:val="20"/>
              </w:rPr>
            </w:pPr>
            <w:r>
              <w:rPr>
                <w:rFonts w:ascii="Arial Narrow"/>
                <w:sz w:val="20"/>
              </w:rPr>
              <w:t>803,750.00</w:t>
            </w:r>
          </w:p>
        </w:tc>
      </w:tr>
      <w:tr>
        <w:trPr>
          <w:trHeight w:val="382" w:hRule="exact"/>
        </w:trPr>
        <w:tc>
          <w:tcPr>
            <w:tcW w:w="3275" w:type="dxa"/>
            <w:tcBorders>
              <w:top w:val="nil" w:sz="6" w:space="0" w:color="auto"/>
              <w:left w:val="nil" w:sz="6" w:space="0" w:color="auto"/>
              <w:bottom w:val="nil" w:sz="6" w:space="0" w:color="auto"/>
              <w:right w:val="single" w:sz="4" w:space="0" w:color="000000"/>
            </w:tcBorders>
          </w:tcPr>
          <w:p>
            <w:pPr>
              <w:pStyle w:val="TableParagraph"/>
              <w:spacing w:line="240" w:lineRule="auto" w:before="39"/>
              <w:ind w:left="107" w:right="0"/>
              <w:jc w:val="left"/>
              <w:rPr>
                <w:rFonts w:ascii="宋体" w:hAnsi="宋体" w:cs="宋体" w:eastAsia="宋体" w:hint="default"/>
                <w:sz w:val="18"/>
                <w:szCs w:val="18"/>
              </w:rPr>
            </w:pPr>
            <w:r>
              <w:rPr>
                <w:rFonts w:ascii="宋体" w:hAnsi="宋体" w:cs="宋体" w:eastAsia="宋体" w:hint="default"/>
                <w:sz w:val="18"/>
                <w:szCs w:val="18"/>
              </w:rPr>
              <w:t>阜阳市环境保护监测站</w:t>
            </w:r>
          </w:p>
        </w:tc>
        <w:tc>
          <w:tcPr>
            <w:tcW w:w="1739" w:type="dxa"/>
            <w:tcBorders>
              <w:top w:val="nil" w:sz="6" w:space="0" w:color="auto"/>
              <w:left w:val="single" w:sz="4" w:space="0" w:color="000000"/>
              <w:bottom w:val="nil" w:sz="6" w:space="0" w:color="auto"/>
              <w:right w:val="single" w:sz="4" w:space="0" w:color="000000"/>
            </w:tcBorders>
          </w:tcPr>
          <w:p>
            <w:pPr>
              <w:pStyle w:val="TableParagraph"/>
              <w:spacing w:line="240" w:lineRule="auto" w:before="70"/>
              <w:ind w:right="102"/>
              <w:jc w:val="right"/>
              <w:rPr>
                <w:rFonts w:ascii="Arial Narrow" w:hAnsi="Arial Narrow" w:cs="Arial Narrow" w:eastAsia="Arial Narrow" w:hint="default"/>
                <w:sz w:val="20"/>
                <w:szCs w:val="20"/>
              </w:rPr>
            </w:pPr>
            <w:r>
              <w:rPr>
                <w:rFonts w:ascii="Arial Narrow"/>
                <w:spacing w:val="-1"/>
                <w:sz w:val="20"/>
              </w:rPr>
              <w:t>16,075,000.00</w:t>
            </w:r>
            <w:r>
              <w:rPr>
                <w:rFonts w:ascii="Arial Narrow"/>
                <w:sz w:val="20"/>
              </w:rPr>
            </w:r>
          </w:p>
        </w:tc>
        <w:tc>
          <w:tcPr>
            <w:tcW w:w="3045" w:type="dxa"/>
            <w:tcBorders>
              <w:top w:val="nil" w:sz="6" w:space="0" w:color="auto"/>
              <w:left w:val="single" w:sz="4" w:space="0" w:color="000000"/>
              <w:bottom w:val="nil" w:sz="6" w:space="0" w:color="auto"/>
              <w:right w:val="single" w:sz="4" w:space="0" w:color="000000"/>
            </w:tcBorders>
          </w:tcPr>
          <w:p>
            <w:pPr>
              <w:pStyle w:val="TableParagraph"/>
              <w:spacing w:line="240" w:lineRule="auto" w:before="70"/>
              <w:ind w:right="102"/>
              <w:jc w:val="right"/>
              <w:rPr>
                <w:rFonts w:ascii="Arial Narrow" w:hAnsi="Arial Narrow" w:cs="Arial Narrow" w:eastAsia="Arial Narrow" w:hint="default"/>
                <w:sz w:val="20"/>
                <w:szCs w:val="20"/>
              </w:rPr>
            </w:pPr>
            <w:r>
              <w:rPr>
                <w:rFonts w:ascii="Arial Narrow"/>
                <w:spacing w:val="-1"/>
                <w:sz w:val="20"/>
              </w:rPr>
              <w:t>4.19</w:t>
            </w:r>
            <w:r>
              <w:rPr>
                <w:rFonts w:ascii="Arial Narrow"/>
                <w:sz w:val="20"/>
              </w:rPr>
            </w:r>
          </w:p>
        </w:tc>
        <w:tc>
          <w:tcPr>
            <w:tcW w:w="1672" w:type="dxa"/>
            <w:vMerge/>
            <w:tcBorders>
              <w:left w:val="single" w:sz="4" w:space="0" w:color="000000"/>
              <w:bottom w:val="nil" w:sz="6" w:space="0" w:color="auto"/>
              <w:right w:val="nil" w:sz="6" w:space="0" w:color="auto"/>
            </w:tcBorders>
          </w:tcPr>
          <w:p>
            <w:pPr/>
          </w:p>
        </w:tc>
      </w:tr>
    </w:tbl>
    <w:p>
      <w:pPr>
        <w:spacing w:after="0"/>
        <w:sectPr>
          <w:type w:val="continuous"/>
          <w:pgSz w:w="11910" w:h="16840"/>
          <w:pgMar w:top="1060" w:bottom="1160" w:left="0" w:right="0"/>
        </w:sectPr>
      </w:pPr>
    </w:p>
    <w:p>
      <w:pPr>
        <w:spacing w:line="240" w:lineRule="auto" w:before="6"/>
        <w:rPr>
          <w:rFonts w:ascii="宋体" w:hAnsi="宋体" w:cs="宋体" w:eastAsia="宋体" w:hint="default"/>
          <w:b/>
          <w:bCs/>
          <w:sz w:val="28"/>
          <w:szCs w:val="28"/>
        </w:rPr>
      </w:pPr>
    </w:p>
    <w:tbl>
      <w:tblPr>
        <w:tblW w:w="0" w:type="auto"/>
        <w:jc w:val="left"/>
        <w:tblInd w:w="1119" w:type="dxa"/>
        <w:tblLayout w:type="fixed"/>
        <w:tblCellMar>
          <w:top w:w="0" w:type="dxa"/>
          <w:left w:w="0" w:type="dxa"/>
          <w:bottom w:w="0" w:type="dxa"/>
          <w:right w:w="0" w:type="dxa"/>
        </w:tblCellMar>
        <w:tblLook w:val="01E0"/>
      </w:tblPr>
      <w:tblGrid>
        <w:gridCol w:w="3290"/>
        <w:gridCol w:w="1739"/>
        <w:gridCol w:w="3045"/>
        <w:gridCol w:w="1672"/>
      </w:tblGrid>
      <w:tr>
        <w:trPr>
          <w:trHeight w:val="408" w:hRule="exact"/>
        </w:trPr>
        <w:tc>
          <w:tcPr>
            <w:tcW w:w="3290" w:type="dxa"/>
            <w:tcBorders>
              <w:top w:val="nil" w:sz="6" w:space="0" w:color="auto"/>
              <w:left w:val="nil" w:sz="6" w:space="0" w:color="auto"/>
              <w:bottom w:val="nil" w:sz="6" w:space="0" w:color="auto"/>
              <w:right w:val="single" w:sz="4" w:space="0" w:color="000000"/>
            </w:tcBorders>
          </w:tcPr>
          <w:p>
            <w:pPr>
              <w:pStyle w:val="TableParagraph"/>
              <w:spacing w:line="240" w:lineRule="auto" w:before="53"/>
              <w:ind w:left="122" w:right="0"/>
              <w:jc w:val="left"/>
              <w:rPr>
                <w:rFonts w:ascii="宋体" w:hAnsi="宋体" w:cs="宋体" w:eastAsia="宋体" w:hint="default"/>
                <w:sz w:val="18"/>
                <w:szCs w:val="18"/>
              </w:rPr>
            </w:pPr>
            <w:r>
              <w:rPr>
                <w:rFonts w:ascii="宋体" w:hAnsi="宋体" w:cs="宋体" w:eastAsia="宋体" w:hint="default"/>
                <w:sz w:val="18"/>
                <w:szCs w:val="18"/>
              </w:rPr>
              <w:t>石家庄市环境保护局</w:t>
            </w:r>
          </w:p>
        </w:tc>
        <w:tc>
          <w:tcPr>
            <w:tcW w:w="1739" w:type="dxa"/>
            <w:tcBorders>
              <w:top w:val="nil" w:sz="6" w:space="0" w:color="auto"/>
              <w:left w:val="single" w:sz="4" w:space="0" w:color="000000"/>
              <w:bottom w:val="nil" w:sz="6" w:space="0" w:color="auto"/>
              <w:right w:val="single" w:sz="4" w:space="0" w:color="000000"/>
            </w:tcBorders>
          </w:tcPr>
          <w:p>
            <w:pPr>
              <w:pStyle w:val="TableParagraph"/>
              <w:spacing w:line="240" w:lineRule="auto" w:before="85"/>
              <w:ind w:right="102"/>
              <w:jc w:val="right"/>
              <w:rPr>
                <w:rFonts w:ascii="Arial Narrow" w:hAnsi="Arial Narrow" w:cs="Arial Narrow" w:eastAsia="Arial Narrow" w:hint="default"/>
                <w:sz w:val="20"/>
                <w:szCs w:val="20"/>
              </w:rPr>
            </w:pPr>
            <w:r>
              <w:rPr>
                <w:rFonts w:ascii="Arial Narrow"/>
                <w:spacing w:val="-1"/>
                <w:sz w:val="20"/>
              </w:rPr>
              <w:t>15,415,800.00</w:t>
            </w:r>
            <w:r>
              <w:rPr>
                <w:rFonts w:ascii="Arial Narrow"/>
                <w:sz w:val="20"/>
              </w:rPr>
            </w:r>
          </w:p>
        </w:tc>
        <w:tc>
          <w:tcPr>
            <w:tcW w:w="3045" w:type="dxa"/>
            <w:tcBorders>
              <w:top w:val="nil" w:sz="6" w:space="0" w:color="auto"/>
              <w:left w:val="single" w:sz="4" w:space="0" w:color="000000"/>
              <w:bottom w:val="nil" w:sz="6" w:space="0" w:color="auto"/>
              <w:right w:val="single" w:sz="4" w:space="0" w:color="000000"/>
            </w:tcBorders>
          </w:tcPr>
          <w:p>
            <w:pPr>
              <w:pStyle w:val="TableParagraph"/>
              <w:spacing w:line="240" w:lineRule="auto" w:before="85"/>
              <w:ind w:right="102"/>
              <w:jc w:val="right"/>
              <w:rPr>
                <w:rFonts w:ascii="Arial Narrow" w:hAnsi="Arial Narrow" w:cs="Arial Narrow" w:eastAsia="Arial Narrow" w:hint="default"/>
                <w:sz w:val="20"/>
                <w:szCs w:val="20"/>
              </w:rPr>
            </w:pPr>
            <w:r>
              <w:rPr>
                <w:rFonts w:ascii="Arial Narrow"/>
                <w:spacing w:val="-1"/>
                <w:sz w:val="20"/>
              </w:rPr>
              <w:t>4.02</w:t>
            </w:r>
            <w:r>
              <w:rPr>
                <w:rFonts w:ascii="Arial Narrow"/>
                <w:sz w:val="20"/>
              </w:rPr>
            </w:r>
          </w:p>
        </w:tc>
        <w:tc>
          <w:tcPr>
            <w:tcW w:w="1672" w:type="dxa"/>
            <w:tcBorders>
              <w:top w:val="nil" w:sz="6" w:space="0" w:color="auto"/>
              <w:left w:val="single" w:sz="4" w:space="0" w:color="000000"/>
              <w:bottom w:val="nil" w:sz="6" w:space="0" w:color="auto"/>
              <w:right w:val="nil" w:sz="6" w:space="0" w:color="auto"/>
            </w:tcBorders>
          </w:tcPr>
          <w:p>
            <w:pPr>
              <w:pStyle w:val="TableParagraph"/>
              <w:spacing w:line="240" w:lineRule="auto" w:before="85"/>
              <w:ind w:right="106"/>
              <w:jc w:val="right"/>
              <w:rPr>
                <w:rFonts w:ascii="Arial Narrow" w:hAnsi="Arial Narrow" w:cs="Arial Narrow" w:eastAsia="Arial Narrow" w:hint="default"/>
                <w:sz w:val="20"/>
                <w:szCs w:val="20"/>
              </w:rPr>
            </w:pPr>
            <w:r>
              <w:rPr>
                <w:rFonts w:ascii="Arial Narrow"/>
                <w:spacing w:val="-1"/>
                <w:sz w:val="20"/>
              </w:rPr>
              <w:t>770,790.00</w:t>
            </w:r>
            <w:r>
              <w:rPr>
                <w:rFonts w:ascii="Arial Narrow"/>
                <w:sz w:val="20"/>
              </w:rPr>
            </w:r>
          </w:p>
        </w:tc>
      </w:tr>
      <w:tr>
        <w:trPr>
          <w:trHeight w:val="397" w:hRule="exact"/>
        </w:trPr>
        <w:tc>
          <w:tcPr>
            <w:tcW w:w="3290" w:type="dxa"/>
            <w:tcBorders>
              <w:top w:val="nil" w:sz="6" w:space="0" w:color="auto"/>
              <w:left w:val="nil" w:sz="6" w:space="0" w:color="auto"/>
              <w:bottom w:val="nil" w:sz="6" w:space="0" w:color="auto"/>
              <w:right w:val="single" w:sz="4" w:space="0" w:color="000000"/>
            </w:tcBorders>
          </w:tcPr>
          <w:p>
            <w:pPr>
              <w:pStyle w:val="TableParagraph"/>
              <w:spacing w:line="240" w:lineRule="auto" w:before="43"/>
              <w:ind w:left="122" w:right="0"/>
              <w:jc w:val="left"/>
              <w:rPr>
                <w:rFonts w:ascii="宋体" w:hAnsi="宋体" w:cs="宋体" w:eastAsia="宋体" w:hint="default"/>
                <w:sz w:val="18"/>
                <w:szCs w:val="18"/>
              </w:rPr>
            </w:pPr>
            <w:r>
              <w:rPr>
                <w:rFonts w:ascii="宋体" w:hAnsi="宋体" w:cs="宋体" w:eastAsia="宋体" w:hint="default"/>
                <w:sz w:val="18"/>
                <w:szCs w:val="18"/>
              </w:rPr>
              <w:t>廊坊经济技术开发区环境保护局</w:t>
            </w:r>
          </w:p>
        </w:tc>
        <w:tc>
          <w:tcPr>
            <w:tcW w:w="1739" w:type="dxa"/>
            <w:tcBorders>
              <w:top w:val="nil" w:sz="6" w:space="0" w:color="auto"/>
              <w:left w:val="single" w:sz="4" w:space="0" w:color="000000"/>
              <w:bottom w:val="nil" w:sz="6" w:space="0" w:color="auto"/>
              <w:right w:val="single" w:sz="4" w:space="0" w:color="000000"/>
            </w:tcBorders>
          </w:tcPr>
          <w:p>
            <w:pPr>
              <w:pStyle w:val="TableParagraph"/>
              <w:spacing w:line="240" w:lineRule="auto" w:before="74"/>
              <w:ind w:right="102"/>
              <w:jc w:val="right"/>
              <w:rPr>
                <w:rFonts w:ascii="Arial Narrow" w:hAnsi="Arial Narrow" w:cs="Arial Narrow" w:eastAsia="Arial Narrow" w:hint="default"/>
                <w:sz w:val="20"/>
                <w:szCs w:val="20"/>
              </w:rPr>
            </w:pPr>
            <w:r>
              <w:rPr>
                <w:rFonts w:ascii="Arial Narrow"/>
                <w:spacing w:val="-1"/>
                <w:sz w:val="20"/>
              </w:rPr>
              <w:t>10,855,200.00</w:t>
            </w:r>
            <w:r>
              <w:rPr>
                <w:rFonts w:ascii="Arial Narrow"/>
                <w:sz w:val="20"/>
              </w:rPr>
            </w:r>
          </w:p>
        </w:tc>
        <w:tc>
          <w:tcPr>
            <w:tcW w:w="3045" w:type="dxa"/>
            <w:tcBorders>
              <w:top w:val="nil" w:sz="6" w:space="0" w:color="auto"/>
              <w:left w:val="single" w:sz="4" w:space="0" w:color="000000"/>
              <w:bottom w:val="nil" w:sz="6" w:space="0" w:color="auto"/>
              <w:right w:val="single" w:sz="4" w:space="0" w:color="000000"/>
            </w:tcBorders>
          </w:tcPr>
          <w:p>
            <w:pPr>
              <w:pStyle w:val="TableParagraph"/>
              <w:spacing w:line="240" w:lineRule="auto" w:before="74"/>
              <w:ind w:right="102"/>
              <w:jc w:val="right"/>
              <w:rPr>
                <w:rFonts w:ascii="Arial Narrow" w:hAnsi="Arial Narrow" w:cs="Arial Narrow" w:eastAsia="Arial Narrow" w:hint="default"/>
                <w:sz w:val="20"/>
                <w:szCs w:val="20"/>
              </w:rPr>
            </w:pPr>
            <w:r>
              <w:rPr>
                <w:rFonts w:ascii="Arial Narrow"/>
                <w:spacing w:val="-1"/>
                <w:sz w:val="20"/>
              </w:rPr>
              <w:t>2.83</w:t>
            </w:r>
            <w:r>
              <w:rPr>
                <w:rFonts w:ascii="Arial Narrow"/>
                <w:sz w:val="20"/>
              </w:rPr>
            </w:r>
          </w:p>
        </w:tc>
        <w:tc>
          <w:tcPr>
            <w:tcW w:w="1672" w:type="dxa"/>
            <w:tcBorders>
              <w:top w:val="nil" w:sz="6" w:space="0" w:color="auto"/>
              <w:left w:val="single" w:sz="4" w:space="0" w:color="000000"/>
              <w:bottom w:val="nil" w:sz="6" w:space="0" w:color="auto"/>
              <w:right w:val="nil" w:sz="6" w:space="0" w:color="auto"/>
            </w:tcBorders>
          </w:tcPr>
          <w:p>
            <w:pPr>
              <w:pStyle w:val="TableParagraph"/>
              <w:spacing w:line="240" w:lineRule="auto" w:before="74"/>
              <w:ind w:right="106"/>
              <w:jc w:val="right"/>
              <w:rPr>
                <w:rFonts w:ascii="Arial Narrow" w:hAnsi="Arial Narrow" w:cs="Arial Narrow" w:eastAsia="Arial Narrow" w:hint="default"/>
                <w:sz w:val="20"/>
                <w:szCs w:val="20"/>
              </w:rPr>
            </w:pPr>
            <w:r>
              <w:rPr>
                <w:rFonts w:ascii="Arial Narrow"/>
                <w:spacing w:val="-1"/>
                <w:sz w:val="20"/>
              </w:rPr>
              <w:t>542,760.00</w:t>
            </w:r>
            <w:r>
              <w:rPr>
                <w:rFonts w:ascii="Arial Narrow"/>
                <w:sz w:val="20"/>
              </w:rPr>
            </w:r>
          </w:p>
        </w:tc>
      </w:tr>
      <w:tr>
        <w:trPr>
          <w:trHeight w:val="391" w:hRule="exact"/>
        </w:trPr>
        <w:tc>
          <w:tcPr>
            <w:tcW w:w="3290" w:type="dxa"/>
            <w:tcBorders>
              <w:top w:val="nil" w:sz="6" w:space="0" w:color="auto"/>
              <w:left w:val="nil" w:sz="6" w:space="0" w:color="auto"/>
              <w:bottom w:val="single" w:sz="4" w:space="0" w:color="000000"/>
              <w:right w:val="single" w:sz="4" w:space="0" w:color="000000"/>
            </w:tcBorders>
          </w:tcPr>
          <w:p>
            <w:pPr>
              <w:pStyle w:val="TableParagraph"/>
              <w:spacing w:line="240" w:lineRule="auto" w:before="43"/>
              <w:ind w:left="122" w:right="0"/>
              <w:jc w:val="left"/>
              <w:rPr>
                <w:rFonts w:ascii="宋体" w:hAnsi="宋体" w:cs="宋体" w:eastAsia="宋体" w:hint="default"/>
                <w:sz w:val="18"/>
                <w:szCs w:val="18"/>
              </w:rPr>
            </w:pPr>
            <w:r>
              <w:rPr>
                <w:rFonts w:ascii="宋体" w:hAnsi="宋体" w:cs="宋体" w:eastAsia="宋体" w:hint="default"/>
                <w:sz w:val="18"/>
                <w:szCs w:val="18"/>
              </w:rPr>
              <w:t>四川先河环保科技有限公司</w:t>
            </w:r>
          </w:p>
        </w:tc>
        <w:tc>
          <w:tcPr>
            <w:tcW w:w="173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74"/>
              <w:ind w:right="102"/>
              <w:jc w:val="right"/>
              <w:rPr>
                <w:rFonts w:ascii="Arial Narrow" w:hAnsi="Arial Narrow" w:cs="Arial Narrow" w:eastAsia="Arial Narrow" w:hint="default"/>
                <w:sz w:val="20"/>
                <w:szCs w:val="20"/>
              </w:rPr>
            </w:pPr>
            <w:r>
              <w:rPr>
                <w:rFonts w:ascii="Arial Narrow"/>
                <w:spacing w:val="-1"/>
                <w:sz w:val="20"/>
              </w:rPr>
              <w:t>10,149,176.00</w:t>
            </w:r>
            <w:r>
              <w:rPr>
                <w:rFonts w:ascii="Arial Narrow"/>
                <w:sz w:val="20"/>
              </w:rPr>
            </w:r>
          </w:p>
        </w:tc>
        <w:tc>
          <w:tcPr>
            <w:tcW w:w="304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74"/>
              <w:ind w:right="102"/>
              <w:jc w:val="right"/>
              <w:rPr>
                <w:rFonts w:ascii="Arial Narrow" w:hAnsi="Arial Narrow" w:cs="Arial Narrow" w:eastAsia="Arial Narrow" w:hint="default"/>
                <w:sz w:val="20"/>
                <w:szCs w:val="20"/>
              </w:rPr>
            </w:pPr>
            <w:r>
              <w:rPr>
                <w:rFonts w:ascii="Arial Narrow"/>
                <w:spacing w:val="-1"/>
                <w:sz w:val="20"/>
              </w:rPr>
              <w:t>2.64</w:t>
            </w:r>
            <w:r>
              <w:rPr>
                <w:rFonts w:ascii="Arial Narrow"/>
                <w:sz w:val="20"/>
              </w:rPr>
            </w:r>
          </w:p>
        </w:tc>
        <w:tc>
          <w:tcPr>
            <w:tcW w:w="1672" w:type="dxa"/>
            <w:tcBorders>
              <w:top w:val="nil" w:sz="6" w:space="0" w:color="auto"/>
              <w:left w:val="single" w:sz="4" w:space="0" w:color="000000"/>
              <w:bottom w:val="single" w:sz="4" w:space="0" w:color="000000"/>
              <w:right w:val="nil" w:sz="6" w:space="0" w:color="auto"/>
            </w:tcBorders>
          </w:tcPr>
          <w:p>
            <w:pPr/>
          </w:p>
        </w:tc>
      </w:tr>
      <w:tr>
        <w:trPr>
          <w:trHeight w:val="407" w:hRule="exact"/>
        </w:trPr>
        <w:tc>
          <w:tcPr>
            <w:tcW w:w="3290"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51"/>
              <w:ind w:left="20" w:right="0"/>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73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81"/>
              <w:ind w:right="102"/>
              <w:jc w:val="right"/>
              <w:rPr>
                <w:rFonts w:ascii="Arial Narrow" w:hAnsi="Arial Narrow" w:cs="Arial Narrow" w:eastAsia="Arial Narrow" w:hint="default"/>
                <w:sz w:val="20"/>
                <w:szCs w:val="20"/>
              </w:rPr>
            </w:pPr>
            <w:r>
              <w:rPr>
                <w:rFonts w:ascii="Arial Narrow"/>
                <w:b/>
                <w:spacing w:val="-1"/>
                <w:sz w:val="20"/>
              </w:rPr>
              <w:t>89,421,020.20</w:t>
            </w:r>
            <w:r>
              <w:rPr>
                <w:rFonts w:ascii="Arial Narrow"/>
                <w:sz w:val="20"/>
              </w:rPr>
            </w:r>
          </w:p>
        </w:tc>
        <w:tc>
          <w:tcPr>
            <w:tcW w:w="304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81"/>
              <w:ind w:right="102"/>
              <w:jc w:val="right"/>
              <w:rPr>
                <w:rFonts w:ascii="Arial Narrow" w:hAnsi="Arial Narrow" w:cs="Arial Narrow" w:eastAsia="Arial Narrow" w:hint="default"/>
                <w:sz w:val="20"/>
                <w:szCs w:val="20"/>
              </w:rPr>
            </w:pPr>
            <w:r>
              <w:rPr>
                <w:rFonts w:ascii="Arial Narrow"/>
                <w:b/>
                <w:spacing w:val="-1"/>
                <w:sz w:val="20"/>
              </w:rPr>
              <w:t>23.29</w:t>
            </w:r>
            <w:r>
              <w:rPr>
                <w:rFonts w:ascii="Arial Narrow"/>
                <w:sz w:val="20"/>
              </w:rPr>
            </w:r>
          </w:p>
        </w:tc>
        <w:tc>
          <w:tcPr>
            <w:tcW w:w="1672"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81"/>
              <w:ind w:right="105"/>
              <w:jc w:val="right"/>
              <w:rPr>
                <w:rFonts w:ascii="Arial Narrow" w:hAnsi="Arial Narrow" w:cs="Arial Narrow" w:eastAsia="Arial Narrow" w:hint="default"/>
                <w:sz w:val="20"/>
                <w:szCs w:val="20"/>
              </w:rPr>
            </w:pPr>
            <w:r>
              <w:rPr>
                <w:rFonts w:ascii="Arial Narrow"/>
                <w:b/>
                <w:spacing w:val="-1"/>
                <w:sz w:val="20"/>
              </w:rPr>
              <w:t>2,117,300.00</w:t>
            </w:r>
            <w:r>
              <w:rPr>
                <w:rFonts w:ascii="Arial Narrow"/>
                <w:spacing w:val="-1"/>
                <w:sz w:val="20"/>
              </w:rPr>
            </w:r>
          </w:p>
        </w:tc>
      </w:tr>
    </w:tbl>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3"/>
          <w:szCs w:val="23"/>
        </w:rPr>
      </w:pPr>
    </w:p>
    <w:p>
      <w:pPr>
        <w:pStyle w:val="Heading3"/>
        <w:spacing w:line="240" w:lineRule="auto" w:before="35"/>
        <w:ind w:left="1134" w:right="0"/>
        <w:jc w:val="left"/>
        <w:rPr>
          <w:b w:val="0"/>
          <w:bCs w:val="0"/>
        </w:rPr>
      </w:pPr>
      <w:bookmarkStart w:name="2、其他应收款" w:id="357"/>
      <w:bookmarkEnd w:id="357"/>
      <w:r>
        <w:rPr>
          <w:b w:val="0"/>
          <w:bCs w:val="0"/>
        </w:rPr>
      </w:r>
      <w:r>
        <w:rPr>
          <w:rFonts w:ascii="Times New Roman" w:hAnsi="Times New Roman" w:cs="Times New Roman" w:eastAsia="Times New Roman" w:hint="default"/>
        </w:rPr>
        <w:t>2</w:t>
      </w:r>
      <w:r>
        <w:rPr/>
        <w:t>、其他应收款</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34" w:right="0"/>
        <w:jc w:val="left"/>
        <w:rPr>
          <w:b w:val="0"/>
          <w:bCs w:val="0"/>
        </w:rPr>
      </w:pPr>
      <w:bookmarkStart w:name="（1）其他应收款分类披露" w:id="358"/>
      <w:bookmarkEnd w:id="358"/>
      <w:r>
        <w:rPr>
          <w:b w:val="0"/>
          <w:bCs w:val="0"/>
        </w:rPr>
      </w:r>
      <w:r>
        <w:rPr/>
        <w:t>（</w:t>
      </w:r>
      <w:r>
        <w:rPr>
          <w:rFonts w:ascii="Times New Roman" w:hAnsi="Times New Roman" w:cs="Times New Roman" w:eastAsia="Times New Roman" w:hint="default"/>
        </w:rPr>
        <w:t>1</w:t>
      </w:r>
      <w:r>
        <w:rPr/>
        <w:t>）其他应收款分类披露</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1611"/>
        <w:gridCol w:w="775"/>
        <w:gridCol w:w="762"/>
        <w:gridCol w:w="762"/>
        <w:gridCol w:w="762"/>
        <w:gridCol w:w="790"/>
        <w:gridCol w:w="654"/>
        <w:gridCol w:w="762"/>
        <w:gridCol w:w="813"/>
        <w:gridCol w:w="932"/>
        <w:gridCol w:w="932"/>
      </w:tblGrid>
      <w:tr>
        <w:trPr>
          <w:trHeight w:val="397" w:hRule="exact"/>
        </w:trPr>
        <w:tc>
          <w:tcPr>
            <w:tcW w:w="1611" w:type="dxa"/>
            <w:vMerge w:val="restart"/>
            <w:tcBorders>
              <w:top w:val="single" w:sz="4" w:space="0" w:color="000000"/>
              <w:left w:val="single" w:sz="4" w:space="0" w:color="000000"/>
              <w:right w:val="single" w:sz="4" w:space="0" w:color="000000"/>
            </w:tcBorders>
            <w:shd w:val="clear" w:color="auto" w:fill="D2D2D2"/>
          </w:tcPr>
          <w:p>
            <w:pPr/>
          </w:p>
        </w:tc>
        <w:tc>
          <w:tcPr>
            <w:tcW w:w="3851"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6" w:hRule="exact"/>
        </w:trPr>
        <w:tc>
          <w:tcPr>
            <w:tcW w:w="1611" w:type="dxa"/>
            <w:vMerge/>
            <w:tcBorders>
              <w:left w:val="single" w:sz="4" w:space="0" w:color="000000"/>
              <w:bottom w:val="nil" w:sz="6" w:space="0" w:color="auto"/>
              <w:right w:val="single" w:sz="4" w:space="0" w:color="000000"/>
            </w:tcBorders>
            <w:shd w:val="clear" w:color="auto" w:fill="D2D2D2"/>
          </w:tcPr>
          <w:p>
            <w:pPr/>
          </w:p>
        </w:tc>
        <w:tc>
          <w:tcPr>
            <w:tcW w:w="153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40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
        </w:tc>
        <w:tc>
          <w:tcPr>
            <w:tcW w:w="14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4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
        </w:tc>
      </w:tr>
      <w:tr>
        <w:trPr>
          <w:trHeight w:val="241" w:hRule="exact"/>
        </w:trPr>
        <w:tc>
          <w:tcPr>
            <w:tcW w:w="161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1537" w:type="dxa"/>
            <w:gridSpan w:val="2"/>
            <w:vMerge/>
            <w:tcBorders>
              <w:left w:val="single" w:sz="4" w:space="0" w:color="000000"/>
              <w:bottom w:val="single" w:sz="4" w:space="0" w:color="000000"/>
              <w:right w:val="single" w:sz="4" w:space="0" w:color="000000"/>
            </w:tcBorders>
            <w:shd w:val="clear" w:color="auto" w:fill="D2D2D2"/>
          </w:tcPr>
          <w:p>
            <w:pPr/>
          </w:p>
        </w:tc>
        <w:tc>
          <w:tcPr>
            <w:tcW w:w="1524" w:type="dxa"/>
            <w:gridSpan w:val="2"/>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1416" w:type="dxa"/>
            <w:gridSpan w:val="2"/>
            <w:vMerge/>
            <w:tcBorders>
              <w:left w:val="single" w:sz="4" w:space="0" w:color="000000"/>
              <w:bottom w:val="single" w:sz="4" w:space="0" w:color="000000"/>
              <w:right w:val="single" w:sz="4" w:space="0" w:color="000000"/>
            </w:tcBorders>
            <w:shd w:val="clear" w:color="auto" w:fill="D2D2D2"/>
          </w:tcPr>
          <w:p>
            <w:pPr/>
          </w:p>
        </w:tc>
        <w:tc>
          <w:tcPr>
            <w:tcW w:w="1745" w:type="dxa"/>
            <w:gridSpan w:val="2"/>
            <w:vMerge/>
            <w:tcBorders>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158" w:hRule="exact"/>
        </w:trPr>
        <w:tc>
          <w:tcPr>
            <w:tcW w:w="1611" w:type="dxa"/>
            <w:vMerge/>
            <w:tcBorders>
              <w:left w:val="single" w:sz="4" w:space="0" w:color="000000"/>
              <w:bottom w:val="single" w:sz="4" w:space="0" w:color="FFFFFF"/>
              <w:right w:val="single" w:sz="4" w:space="0" w:color="000000"/>
            </w:tcBorders>
            <w:shd w:val="clear" w:color="auto" w:fill="D2D2D2"/>
          </w:tcPr>
          <w:p>
            <w:pPr/>
          </w:p>
        </w:tc>
        <w:tc>
          <w:tcPr>
            <w:tcW w:w="775"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3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4"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3" w:hRule="exact"/>
        </w:trPr>
        <w:tc>
          <w:tcPr>
            <w:tcW w:w="1611" w:type="dxa"/>
            <w:vMerge w:val="restart"/>
            <w:tcBorders>
              <w:top w:val="single" w:sz="4" w:space="0" w:color="FFFFFF"/>
              <w:left w:val="single" w:sz="4" w:space="0" w:color="000000"/>
              <w:right w:val="single" w:sz="4" w:space="0" w:color="000000"/>
            </w:tcBorders>
            <w:shd w:val="clear" w:color="auto" w:fill="D2D2D2"/>
          </w:tcPr>
          <w:p>
            <w:pPr/>
          </w:p>
        </w:tc>
        <w:tc>
          <w:tcPr>
            <w:tcW w:w="775"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207"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tcBorders>
              <w:left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65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611" w:type="dxa"/>
            <w:vMerge/>
            <w:tcBorders>
              <w:left w:val="single" w:sz="4" w:space="0" w:color="000000"/>
              <w:right w:val="single" w:sz="4" w:space="0" w:color="000000"/>
            </w:tcBorders>
            <w:shd w:val="clear" w:color="auto" w:fill="D2D2D2"/>
          </w:tcPr>
          <w:p>
            <w:pPr/>
          </w:p>
        </w:tc>
        <w:tc>
          <w:tcPr>
            <w:tcW w:w="775"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right w:val="single" w:sz="4" w:space="0" w:color="000000"/>
            </w:tcBorders>
            <w:shd w:val="clear" w:color="auto" w:fill="D2D2D2"/>
          </w:tcPr>
          <w:p>
            <w:pPr/>
          </w:p>
        </w:tc>
        <w:tc>
          <w:tcPr>
            <w:tcW w:w="790" w:type="dxa"/>
            <w:vMerge w:val="restart"/>
            <w:tcBorders>
              <w:top w:val="nil" w:sz="6" w:space="0" w:color="auto"/>
              <w:left w:val="single" w:sz="4" w:space="0" w:color="000000"/>
              <w:right w:val="single" w:sz="4" w:space="0" w:color="000000"/>
            </w:tcBorders>
            <w:shd w:val="clear" w:color="auto" w:fill="D2D2D2"/>
          </w:tcPr>
          <w:p>
            <w:pPr/>
          </w:p>
        </w:tc>
        <w:tc>
          <w:tcPr>
            <w:tcW w:w="654"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813" w:type="dxa"/>
            <w:vMerge/>
            <w:tcBorders>
              <w:left w:val="single" w:sz="4" w:space="0" w:color="000000"/>
              <w:bottom w:val="nil" w:sz="6" w:space="0" w:color="auto"/>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11" w:type="dxa"/>
            <w:vMerge/>
            <w:tcBorders>
              <w:left w:val="single" w:sz="4" w:space="0" w:color="000000"/>
              <w:bottom w:val="single" w:sz="4" w:space="0" w:color="000000"/>
              <w:right w:val="single" w:sz="4" w:space="0" w:color="000000"/>
            </w:tcBorders>
            <w:shd w:val="clear" w:color="auto" w:fill="D2D2D2"/>
          </w:tcPr>
          <w:p>
            <w:pPr/>
          </w:p>
        </w:tc>
        <w:tc>
          <w:tcPr>
            <w:tcW w:w="775"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813"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6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48"/>
              <w:jc w:val="both"/>
              <w:rPr>
                <w:rFonts w:ascii="宋体" w:hAnsi="宋体" w:cs="宋体" w:eastAsia="宋体" w:hint="default"/>
                <w:sz w:val="18"/>
                <w:szCs w:val="18"/>
              </w:rPr>
            </w:pPr>
            <w:r>
              <w:rPr>
                <w:rFonts w:ascii="宋体" w:hAnsi="宋体" w:cs="宋体" w:eastAsia="宋体" w:hint="default"/>
                <w:sz w:val="18"/>
                <w:szCs w:val="18"/>
              </w:rPr>
              <w:t>单项金额重大并单 独计提坏账准备的 其他应收款</w:t>
            </w:r>
          </w:p>
        </w:tc>
        <w:tc>
          <w:tcPr>
            <w:tcW w:w="77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9" w:right="0"/>
              <w:jc w:val="left"/>
              <w:rPr>
                <w:rFonts w:ascii="Times New Roman" w:hAnsi="Times New Roman" w:cs="Times New Roman" w:eastAsia="Times New Roman" w:hint="default"/>
                <w:sz w:val="18"/>
                <w:szCs w:val="18"/>
              </w:rPr>
            </w:pPr>
            <w:r>
              <w:rPr>
                <w:rFonts w:ascii="Times New Roman"/>
                <w:sz w:val="18"/>
              </w:rPr>
              <w:t>74,953,1</w:t>
            </w:r>
          </w:p>
          <w:p>
            <w:pPr>
              <w:pStyle w:val="TableParagraph"/>
              <w:spacing w:line="240" w:lineRule="auto" w:before="105"/>
              <w:ind w:left="325" w:right="0"/>
              <w:jc w:val="left"/>
              <w:rPr>
                <w:rFonts w:ascii="Times New Roman" w:hAnsi="Times New Roman" w:cs="Times New Roman" w:eastAsia="Times New Roman" w:hint="default"/>
                <w:sz w:val="18"/>
                <w:szCs w:val="18"/>
              </w:rPr>
            </w:pPr>
            <w:r>
              <w:rPr>
                <w:rFonts w:ascii="Times New Roman"/>
                <w:sz w:val="18"/>
              </w:rPr>
              <w:t>29.97</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51.72%</w:t>
            </w:r>
          </w:p>
        </w:tc>
        <w:tc>
          <w:tcPr>
            <w:tcW w:w="762"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74,953,12</w:t>
            </w:r>
          </w:p>
          <w:p>
            <w:pPr>
              <w:pStyle w:val="TableParagraph"/>
              <w:spacing w:line="240" w:lineRule="auto" w:before="105"/>
              <w:ind w:left="442" w:right="0"/>
              <w:jc w:val="left"/>
              <w:rPr>
                <w:rFonts w:ascii="Times New Roman" w:hAnsi="Times New Roman" w:cs="Times New Roman" w:eastAsia="Times New Roman" w:hint="default"/>
                <w:sz w:val="18"/>
                <w:szCs w:val="18"/>
              </w:rPr>
            </w:pPr>
            <w:r>
              <w:rPr>
                <w:rFonts w:ascii="Times New Roman"/>
                <w:sz w:val="18"/>
              </w:rPr>
              <w:t>9.97</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0" w:right="0"/>
              <w:jc w:val="left"/>
              <w:rPr>
                <w:rFonts w:ascii="Times New Roman" w:hAnsi="Times New Roman" w:cs="Times New Roman" w:eastAsia="Times New Roman" w:hint="default"/>
                <w:sz w:val="18"/>
                <w:szCs w:val="18"/>
              </w:rPr>
            </w:pPr>
            <w:r>
              <w:rPr>
                <w:rFonts w:ascii="Times New Roman"/>
                <w:sz w:val="18"/>
              </w:rPr>
              <w:t>22,201,</w:t>
            </w:r>
          </w:p>
          <w:p>
            <w:pPr>
              <w:pStyle w:val="TableParagraph"/>
              <w:spacing w:line="240" w:lineRule="auto" w:before="105"/>
              <w:ind w:left="125" w:right="0"/>
              <w:jc w:val="left"/>
              <w:rPr>
                <w:rFonts w:ascii="Times New Roman" w:hAnsi="Times New Roman" w:cs="Times New Roman" w:eastAsia="Times New Roman" w:hint="default"/>
                <w:sz w:val="18"/>
                <w:szCs w:val="18"/>
              </w:rPr>
            </w:pPr>
            <w:r>
              <w:rPr>
                <w:rFonts w:ascii="Times New Roman"/>
                <w:sz w:val="18"/>
              </w:rPr>
              <w:t>900.66</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28.90%</w:t>
            </w:r>
          </w:p>
        </w:tc>
        <w:tc>
          <w:tcPr>
            <w:tcW w:w="813"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22,201,900.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66</w:t>
            </w:r>
          </w:p>
        </w:tc>
      </w:tr>
      <w:tr>
        <w:trPr>
          <w:trHeight w:val="1026" w:hRule="exact"/>
        </w:trPr>
        <w:tc>
          <w:tcPr>
            <w:tcW w:w="16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48"/>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其他应收款</w:t>
            </w:r>
          </w:p>
        </w:tc>
        <w:tc>
          <w:tcPr>
            <w:tcW w:w="77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9" w:right="0"/>
              <w:jc w:val="left"/>
              <w:rPr>
                <w:rFonts w:ascii="Times New Roman" w:hAnsi="Times New Roman" w:cs="Times New Roman" w:eastAsia="Times New Roman" w:hint="default"/>
                <w:sz w:val="18"/>
                <w:szCs w:val="18"/>
              </w:rPr>
            </w:pPr>
            <w:r>
              <w:rPr>
                <w:rFonts w:ascii="Times New Roman"/>
                <w:sz w:val="18"/>
              </w:rPr>
              <w:t>68,941,1</w:t>
            </w:r>
          </w:p>
          <w:p>
            <w:pPr>
              <w:pStyle w:val="TableParagraph"/>
              <w:spacing w:line="240" w:lineRule="auto" w:before="105"/>
              <w:ind w:left="325" w:right="0"/>
              <w:jc w:val="left"/>
              <w:rPr>
                <w:rFonts w:ascii="Times New Roman" w:hAnsi="Times New Roman" w:cs="Times New Roman" w:eastAsia="Times New Roman" w:hint="default"/>
                <w:sz w:val="18"/>
                <w:szCs w:val="18"/>
              </w:rPr>
            </w:pPr>
            <w:r>
              <w:rPr>
                <w:rFonts w:ascii="Times New Roman"/>
                <w:sz w:val="18"/>
              </w:rPr>
              <w:t>24.70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47.57%</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12,778,4</w:t>
            </w:r>
          </w:p>
          <w:p>
            <w:pPr>
              <w:pStyle w:val="TableParagraph"/>
              <w:spacing w:line="240" w:lineRule="auto" w:before="105"/>
              <w:ind w:left="323" w:right="0"/>
              <w:jc w:val="left"/>
              <w:rPr>
                <w:rFonts w:ascii="Times New Roman" w:hAnsi="Times New Roman" w:cs="Times New Roman" w:eastAsia="Times New Roman" w:hint="default"/>
                <w:sz w:val="18"/>
                <w:szCs w:val="18"/>
              </w:rPr>
            </w:pPr>
            <w:r>
              <w:rPr>
                <w:rFonts w:ascii="Times New Roman"/>
                <w:sz w:val="18"/>
              </w:rPr>
              <w:t>77.23</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75" w:right="0"/>
              <w:jc w:val="left"/>
              <w:rPr>
                <w:rFonts w:ascii="Times New Roman" w:hAnsi="Times New Roman" w:cs="Times New Roman" w:eastAsia="Times New Roman" w:hint="default"/>
                <w:sz w:val="18"/>
                <w:szCs w:val="18"/>
              </w:rPr>
            </w:pPr>
            <w:r>
              <w:rPr>
                <w:rFonts w:ascii="Times New Roman"/>
                <w:sz w:val="18"/>
              </w:rPr>
              <w:t>18.54%</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56,162,64</w:t>
            </w:r>
          </w:p>
          <w:p>
            <w:pPr>
              <w:pStyle w:val="TableParagraph"/>
              <w:spacing w:line="240" w:lineRule="auto" w:before="105"/>
              <w:ind w:left="442" w:right="0"/>
              <w:jc w:val="left"/>
              <w:rPr>
                <w:rFonts w:ascii="Times New Roman" w:hAnsi="Times New Roman" w:cs="Times New Roman" w:eastAsia="Times New Roman" w:hint="default"/>
                <w:sz w:val="18"/>
                <w:szCs w:val="18"/>
              </w:rPr>
            </w:pPr>
            <w:r>
              <w:rPr>
                <w:rFonts w:ascii="Times New Roman"/>
                <w:sz w:val="18"/>
              </w:rPr>
              <w:t>7.47</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7" w:right="0"/>
              <w:jc w:val="left"/>
              <w:rPr>
                <w:rFonts w:ascii="Times New Roman" w:hAnsi="Times New Roman" w:cs="Times New Roman" w:eastAsia="Times New Roman" w:hint="default"/>
                <w:sz w:val="18"/>
                <w:szCs w:val="18"/>
              </w:rPr>
            </w:pPr>
            <w:r>
              <w:rPr>
                <w:rFonts w:ascii="Times New Roman"/>
                <w:sz w:val="18"/>
              </w:rPr>
              <w:t>54,116,</w:t>
            </w:r>
          </w:p>
          <w:p>
            <w:pPr>
              <w:pStyle w:val="TableParagraph"/>
              <w:spacing w:line="240" w:lineRule="auto" w:before="105"/>
              <w:ind w:left="125" w:right="0"/>
              <w:jc w:val="left"/>
              <w:rPr>
                <w:rFonts w:ascii="Times New Roman" w:hAnsi="Times New Roman" w:cs="Times New Roman" w:eastAsia="Times New Roman" w:hint="default"/>
                <w:sz w:val="18"/>
                <w:szCs w:val="18"/>
              </w:rPr>
            </w:pPr>
            <w:r>
              <w:rPr>
                <w:rFonts w:ascii="Times New Roman"/>
                <w:sz w:val="18"/>
              </w:rPr>
              <w:t>452.75</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70.43%</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8,345,591</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.73</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45" w:right="0"/>
              <w:jc w:val="left"/>
              <w:rPr>
                <w:rFonts w:ascii="Times New Roman" w:hAnsi="Times New Roman" w:cs="Times New Roman" w:eastAsia="Times New Roman" w:hint="default"/>
                <w:sz w:val="18"/>
                <w:szCs w:val="18"/>
              </w:rPr>
            </w:pPr>
            <w:r>
              <w:rPr>
                <w:rFonts w:ascii="Times New Roman"/>
                <w:sz w:val="18"/>
              </w:rPr>
              <w:t>15.42%</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45,770,861.</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02</w:t>
            </w:r>
          </w:p>
        </w:tc>
      </w:tr>
      <w:tr>
        <w:trPr>
          <w:trHeight w:val="1026" w:hRule="exact"/>
        </w:trPr>
        <w:tc>
          <w:tcPr>
            <w:tcW w:w="16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48"/>
              <w:jc w:val="both"/>
              <w:rPr>
                <w:rFonts w:ascii="宋体" w:hAnsi="宋体" w:cs="宋体" w:eastAsia="宋体" w:hint="default"/>
                <w:sz w:val="18"/>
                <w:szCs w:val="18"/>
              </w:rPr>
            </w:pPr>
            <w:r>
              <w:rPr>
                <w:rFonts w:ascii="宋体" w:hAnsi="宋体" w:cs="宋体" w:eastAsia="宋体" w:hint="default"/>
                <w:sz w:val="18"/>
                <w:szCs w:val="18"/>
              </w:rPr>
              <w:t>单项金额不重大但 单独计提坏账准备 的其他应收款</w:t>
            </w:r>
          </w:p>
        </w:tc>
        <w:tc>
          <w:tcPr>
            <w:tcW w:w="77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9" w:right="0"/>
              <w:jc w:val="left"/>
              <w:rPr>
                <w:rFonts w:ascii="Times New Roman" w:hAnsi="Times New Roman" w:cs="Times New Roman" w:eastAsia="Times New Roman" w:hint="default"/>
                <w:sz w:val="18"/>
                <w:szCs w:val="18"/>
              </w:rPr>
            </w:pPr>
            <w:r>
              <w:rPr>
                <w:rFonts w:ascii="Times New Roman"/>
                <w:sz w:val="18"/>
              </w:rPr>
              <w:t>1,032,66</w:t>
            </w:r>
          </w:p>
          <w:p>
            <w:pPr>
              <w:pStyle w:val="TableParagraph"/>
              <w:spacing w:line="240" w:lineRule="auto" w:before="105"/>
              <w:ind w:left="415" w:right="0"/>
              <w:jc w:val="left"/>
              <w:rPr>
                <w:rFonts w:ascii="Times New Roman" w:hAnsi="Times New Roman" w:cs="Times New Roman" w:eastAsia="Times New Roman" w:hint="default"/>
                <w:sz w:val="18"/>
                <w:szCs w:val="18"/>
              </w:rPr>
            </w:pPr>
            <w:r>
              <w:rPr>
                <w:rFonts w:ascii="Times New Roman"/>
                <w:sz w:val="18"/>
              </w:rPr>
              <w:t>5.07</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0.71%</w:t>
            </w:r>
          </w:p>
        </w:tc>
        <w:tc>
          <w:tcPr>
            <w:tcW w:w="762"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1,032,665</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.07</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517,510</w:t>
            </w:r>
          </w:p>
          <w:p>
            <w:pPr>
              <w:pStyle w:val="TableParagraph"/>
              <w:spacing w:line="240" w:lineRule="auto" w:before="105"/>
              <w:ind w:left="395" w:right="0"/>
              <w:jc w:val="left"/>
              <w:rPr>
                <w:rFonts w:ascii="Times New Roman" w:hAnsi="Times New Roman" w:cs="Times New Roman" w:eastAsia="Times New Roman" w:hint="default"/>
                <w:sz w:val="18"/>
                <w:szCs w:val="18"/>
              </w:rPr>
            </w:pPr>
            <w:r>
              <w:rPr>
                <w:rFonts w:ascii="Times New Roman"/>
                <w:sz w:val="18"/>
              </w:rPr>
              <w:t>.43</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0.67%</w:t>
            </w:r>
          </w:p>
        </w:tc>
        <w:tc>
          <w:tcPr>
            <w:tcW w:w="813"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8" w:right="0"/>
              <w:jc w:val="left"/>
              <w:rPr>
                <w:rFonts w:ascii="Times New Roman" w:hAnsi="Times New Roman" w:cs="Times New Roman" w:eastAsia="Times New Roman" w:hint="default"/>
                <w:sz w:val="18"/>
                <w:szCs w:val="18"/>
              </w:rPr>
            </w:pPr>
            <w:r>
              <w:rPr>
                <w:rFonts w:ascii="Times New Roman"/>
                <w:sz w:val="18"/>
              </w:rPr>
              <w:t>517,510.43</w:t>
            </w:r>
          </w:p>
        </w:tc>
      </w:tr>
      <w:tr>
        <w:trPr>
          <w:trHeight w:val="161" w:hRule="exact"/>
        </w:trPr>
        <w:tc>
          <w:tcPr>
            <w:tcW w:w="1611" w:type="dxa"/>
            <w:tcBorders>
              <w:top w:val="single" w:sz="4" w:space="0" w:color="000000"/>
              <w:left w:val="single" w:sz="4" w:space="0" w:color="000000"/>
              <w:bottom w:val="nil" w:sz="6" w:space="0" w:color="auto"/>
              <w:right w:val="single" w:sz="4" w:space="0" w:color="000000"/>
            </w:tcBorders>
            <w:shd w:val="clear" w:color="auto" w:fill="D2D2D2"/>
          </w:tcPr>
          <w:p>
            <w:pPr/>
          </w:p>
        </w:tc>
        <w:tc>
          <w:tcPr>
            <w:tcW w:w="775" w:type="dxa"/>
            <w:vMerge w:val="restart"/>
            <w:tcBorders>
              <w:top w:val="single" w:sz="4" w:space="0" w:color="000000"/>
              <w:left w:val="single" w:sz="9" w:space="0" w:color="D2D2D2"/>
              <w:right w:val="single" w:sz="4" w:space="0" w:color="000000"/>
            </w:tcBorders>
          </w:tcPr>
          <w:p>
            <w:pPr>
              <w:pStyle w:val="TableParagraph"/>
              <w:spacing w:line="240" w:lineRule="auto" w:before="91"/>
              <w:ind w:left="81" w:right="0"/>
              <w:jc w:val="center"/>
              <w:rPr>
                <w:rFonts w:ascii="Times New Roman" w:hAnsi="Times New Roman" w:cs="Times New Roman" w:eastAsia="Times New Roman" w:hint="default"/>
                <w:sz w:val="18"/>
                <w:szCs w:val="18"/>
              </w:rPr>
            </w:pPr>
            <w:r>
              <w:rPr>
                <w:rFonts w:ascii="Times New Roman"/>
                <w:sz w:val="18"/>
              </w:rPr>
              <w:t>144,926,</w:t>
            </w:r>
          </w:p>
          <w:p>
            <w:pPr>
              <w:pStyle w:val="TableParagraph"/>
              <w:spacing w:line="240" w:lineRule="auto" w:before="105"/>
              <w:ind w:left="217" w:right="0"/>
              <w:jc w:val="center"/>
              <w:rPr>
                <w:rFonts w:ascii="Times New Roman" w:hAnsi="Times New Roman" w:cs="Times New Roman" w:eastAsia="Times New Roman" w:hint="default"/>
                <w:sz w:val="18"/>
                <w:szCs w:val="18"/>
              </w:rPr>
            </w:pPr>
            <w:r>
              <w:rPr>
                <w:rFonts w:ascii="Times New Roman"/>
                <w:sz w:val="18"/>
              </w:rPr>
              <w:t>919.74</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12,778,4</w:t>
            </w:r>
          </w:p>
          <w:p>
            <w:pPr>
              <w:pStyle w:val="TableParagraph"/>
              <w:spacing w:line="240" w:lineRule="auto" w:before="105"/>
              <w:ind w:left="323" w:right="0"/>
              <w:jc w:val="left"/>
              <w:rPr>
                <w:rFonts w:ascii="Times New Roman" w:hAnsi="Times New Roman" w:cs="Times New Roman" w:eastAsia="Times New Roman" w:hint="default"/>
                <w:sz w:val="18"/>
                <w:szCs w:val="18"/>
              </w:rPr>
            </w:pPr>
            <w:r>
              <w:rPr>
                <w:rFonts w:ascii="Times New Roman"/>
                <w:sz w:val="18"/>
              </w:rPr>
              <w:t>77.23</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65" w:right="0"/>
              <w:jc w:val="left"/>
              <w:rPr>
                <w:rFonts w:ascii="Times New Roman" w:hAnsi="Times New Roman" w:cs="Times New Roman" w:eastAsia="Times New Roman" w:hint="default"/>
                <w:sz w:val="18"/>
                <w:szCs w:val="18"/>
              </w:rPr>
            </w:pPr>
            <w:r>
              <w:rPr>
                <w:rFonts w:ascii="Times New Roman"/>
                <w:sz w:val="18"/>
              </w:rPr>
              <w:t>8.82%</w:t>
            </w:r>
          </w:p>
        </w:tc>
        <w:tc>
          <w:tcPr>
            <w:tcW w:w="790" w:type="dxa"/>
            <w:vMerge w:val="restart"/>
            <w:tcBorders>
              <w:top w:val="single" w:sz="4" w:space="0" w:color="000000"/>
              <w:left w:val="single" w:sz="4" w:space="0" w:color="000000"/>
              <w:right w:val="single" w:sz="4" w:space="0" w:color="000000"/>
            </w:tcBorders>
          </w:tcPr>
          <w:p>
            <w:pPr>
              <w:pStyle w:val="TableParagraph"/>
              <w:spacing w:line="240" w:lineRule="auto" w:before="91"/>
              <w:ind w:left="37" w:right="0"/>
              <w:jc w:val="left"/>
              <w:rPr>
                <w:rFonts w:ascii="Times New Roman" w:hAnsi="Times New Roman" w:cs="Times New Roman" w:eastAsia="Times New Roman" w:hint="default"/>
                <w:sz w:val="18"/>
                <w:szCs w:val="18"/>
              </w:rPr>
            </w:pPr>
            <w:r>
              <w:rPr>
                <w:rFonts w:ascii="Times New Roman"/>
                <w:sz w:val="18"/>
              </w:rPr>
              <w:t>132,148,4</w:t>
            </w:r>
          </w:p>
          <w:p>
            <w:pPr>
              <w:pStyle w:val="TableParagraph"/>
              <w:spacing w:line="240" w:lineRule="auto" w:before="105"/>
              <w:ind w:left="352" w:right="0"/>
              <w:jc w:val="left"/>
              <w:rPr>
                <w:rFonts w:ascii="Times New Roman" w:hAnsi="Times New Roman" w:cs="Times New Roman" w:eastAsia="Times New Roman" w:hint="default"/>
                <w:sz w:val="18"/>
                <w:szCs w:val="18"/>
              </w:rPr>
            </w:pPr>
            <w:r>
              <w:rPr>
                <w:rFonts w:ascii="Times New Roman"/>
                <w:sz w:val="18"/>
              </w:rPr>
              <w:t>42.51</w:t>
            </w:r>
          </w:p>
        </w:tc>
        <w:tc>
          <w:tcPr>
            <w:tcW w:w="654" w:type="dxa"/>
            <w:vMerge w:val="restart"/>
            <w:tcBorders>
              <w:top w:val="single" w:sz="4" w:space="0" w:color="000000"/>
              <w:left w:val="single" w:sz="4" w:space="0" w:color="000000"/>
              <w:right w:val="single" w:sz="4" w:space="0" w:color="000000"/>
            </w:tcBorders>
          </w:tcPr>
          <w:p>
            <w:pPr>
              <w:pStyle w:val="TableParagraph"/>
              <w:spacing w:line="240" w:lineRule="auto" w:before="91"/>
              <w:ind w:left="80" w:right="0"/>
              <w:jc w:val="left"/>
              <w:rPr>
                <w:rFonts w:ascii="Times New Roman" w:hAnsi="Times New Roman" w:cs="Times New Roman" w:eastAsia="Times New Roman" w:hint="default"/>
                <w:sz w:val="18"/>
                <w:szCs w:val="18"/>
              </w:rPr>
            </w:pPr>
            <w:r>
              <w:rPr>
                <w:rFonts w:ascii="Times New Roman"/>
                <w:sz w:val="18"/>
              </w:rPr>
              <w:t>76,835,</w:t>
            </w:r>
          </w:p>
          <w:p>
            <w:pPr>
              <w:pStyle w:val="TableParagraph"/>
              <w:spacing w:line="240" w:lineRule="auto" w:before="105"/>
              <w:ind w:left="125" w:right="0"/>
              <w:jc w:val="left"/>
              <w:rPr>
                <w:rFonts w:ascii="Times New Roman" w:hAnsi="Times New Roman" w:cs="Times New Roman" w:eastAsia="Times New Roman" w:hint="default"/>
                <w:sz w:val="18"/>
                <w:szCs w:val="18"/>
              </w:rPr>
            </w:pPr>
            <w:r>
              <w:rPr>
                <w:rFonts w:ascii="Times New Roman"/>
                <w:sz w:val="18"/>
              </w:rPr>
              <w:t>863.84</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8,345,591</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.73</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45" w:right="0"/>
              <w:jc w:val="left"/>
              <w:rPr>
                <w:rFonts w:ascii="Times New Roman" w:hAnsi="Times New Roman" w:cs="Times New Roman" w:eastAsia="Times New Roman" w:hint="default"/>
                <w:sz w:val="18"/>
                <w:szCs w:val="18"/>
              </w:rPr>
            </w:pPr>
            <w:r>
              <w:rPr>
                <w:rFonts w:ascii="Times New Roman"/>
                <w:sz w:val="18"/>
              </w:rPr>
              <w:t>10.86%</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68,490,272.</w:t>
            </w:r>
          </w:p>
          <w:p>
            <w:pPr>
              <w:pStyle w:val="TableParagraph"/>
              <w:spacing w:line="240" w:lineRule="auto" w:before="105"/>
              <w:ind w:right="29"/>
              <w:jc w:val="right"/>
              <w:rPr>
                <w:rFonts w:ascii="Times New Roman" w:hAnsi="Times New Roman" w:cs="Times New Roman" w:eastAsia="Times New Roman" w:hint="default"/>
                <w:sz w:val="18"/>
                <w:szCs w:val="18"/>
              </w:rPr>
            </w:pPr>
            <w:r>
              <w:rPr>
                <w:rFonts w:ascii="Times New Roman"/>
                <w:spacing w:val="-8"/>
                <w:sz w:val="18"/>
              </w:rPr>
              <w:t>11</w:t>
            </w:r>
            <w:r>
              <w:rPr>
                <w:rFonts w:ascii="Times New Roman"/>
                <w:sz w:val="18"/>
              </w:rPr>
            </w:r>
          </w:p>
        </w:tc>
      </w:tr>
      <w:tr>
        <w:trPr>
          <w:trHeight w:val="392" w:hRule="exact"/>
        </w:trPr>
        <w:tc>
          <w:tcPr>
            <w:tcW w:w="161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75" w:type="dxa"/>
            <w:vMerge/>
            <w:tcBorders>
              <w:left w:val="single" w:sz="9" w:space="0" w:color="D2D2D2"/>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90" w:type="dxa"/>
            <w:vMerge/>
            <w:tcBorders>
              <w:left w:val="single" w:sz="4" w:space="0" w:color="000000"/>
              <w:right w:val="single" w:sz="4" w:space="0" w:color="000000"/>
            </w:tcBorders>
          </w:tcPr>
          <w:p>
            <w:pPr/>
          </w:p>
        </w:tc>
        <w:tc>
          <w:tcPr>
            <w:tcW w:w="654"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813"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r>
      <w:tr>
        <w:trPr>
          <w:trHeight w:val="161" w:hRule="exact"/>
        </w:trPr>
        <w:tc>
          <w:tcPr>
            <w:tcW w:w="1611" w:type="dxa"/>
            <w:tcBorders>
              <w:top w:val="nil" w:sz="6" w:space="0" w:color="auto"/>
              <w:left w:val="single" w:sz="4" w:space="0" w:color="000000"/>
              <w:bottom w:val="single" w:sz="4" w:space="0" w:color="000000"/>
              <w:right w:val="single" w:sz="4" w:space="0" w:color="000000"/>
            </w:tcBorders>
            <w:shd w:val="clear" w:color="auto" w:fill="D2D2D2"/>
          </w:tcPr>
          <w:p>
            <w:pPr/>
          </w:p>
        </w:tc>
        <w:tc>
          <w:tcPr>
            <w:tcW w:w="775" w:type="dxa"/>
            <w:vMerge/>
            <w:tcBorders>
              <w:left w:val="single" w:sz="9" w:space="0" w:color="D2D2D2"/>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90" w:type="dxa"/>
            <w:vMerge/>
            <w:tcBorders>
              <w:left w:val="single" w:sz="4" w:space="0" w:color="000000"/>
              <w:bottom w:val="single" w:sz="4" w:space="0" w:color="000000"/>
              <w:right w:val="single" w:sz="4" w:space="0" w:color="000000"/>
            </w:tcBorders>
          </w:tcPr>
          <w:p>
            <w:pPr/>
          </w:p>
        </w:tc>
        <w:tc>
          <w:tcPr>
            <w:tcW w:w="654"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813"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pStyle w:val="BodyText"/>
        <w:spacing w:line="240" w:lineRule="auto" w:before="51"/>
        <w:ind w:left="1134" w:right="-20"/>
        <w:jc w:val="left"/>
      </w:pPr>
      <w:r>
        <w:rPr/>
        <w:t>期末单项金额重大并单项计提坏账准备的其他应收款：</w:t>
      </w:r>
    </w:p>
    <w:p>
      <w:pPr>
        <w:pStyle w:val="BodyText"/>
        <w:spacing w:line="240" w:lineRule="auto" w:before="117"/>
        <w:ind w:left="1134" w:right="-1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1"/>
          <w:szCs w:val="21"/>
        </w:rPr>
      </w:pPr>
    </w:p>
    <w:p>
      <w:pPr>
        <w:pStyle w:val="BodyText"/>
        <w:spacing w:line="240" w:lineRule="auto"/>
        <w:ind w:left="1113" w:right="1112"/>
        <w:jc w:val="center"/>
      </w:pPr>
      <w:r>
        <w:rPr/>
        <w:t>单位： 元</w:t>
      </w:r>
    </w:p>
    <w:p>
      <w:pPr>
        <w:spacing w:after="0" w:line="240" w:lineRule="auto"/>
        <w:jc w:val="center"/>
        <w:sectPr>
          <w:type w:val="continuous"/>
          <w:pgSz w:w="11910" w:h="16840"/>
          <w:pgMar w:top="1060" w:bottom="1160" w:left="0" w:right="0"/>
          <w:cols w:num="2" w:equalWidth="0">
            <w:col w:w="5455" w:space="3375"/>
            <w:col w:w="3080"/>
          </w:cols>
        </w:sectPr>
      </w:pP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544"/>
        <w:gridCol w:w="1702"/>
        <w:gridCol w:w="1276"/>
        <w:gridCol w:w="1137"/>
        <w:gridCol w:w="1913"/>
      </w:tblGrid>
      <w:tr>
        <w:trPr>
          <w:trHeight w:val="402" w:hRule="exact"/>
        </w:trPr>
        <w:tc>
          <w:tcPr>
            <w:tcW w:w="354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866" w:right="0"/>
              <w:jc w:val="left"/>
              <w:rPr>
                <w:rFonts w:ascii="宋体" w:hAnsi="宋体" w:cs="宋体" w:eastAsia="宋体" w:hint="default"/>
                <w:sz w:val="18"/>
                <w:szCs w:val="18"/>
              </w:rPr>
            </w:pPr>
            <w:r>
              <w:rPr>
                <w:rFonts w:ascii="宋体" w:hAnsi="宋体" w:cs="宋体" w:eastAsia="宋体" w:hint="default"/>
                <w:sz w:val="18"/>
                <w:szCs w:val="18"/>
              </w:rPr>
              <w:t>其他应收款（按单位）</w:t>
            </w:r>
          </w:p>
        </w:tc>
        <w:tc>
          <w:tcPr>
            <w:tcW w:w="6027"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3544" w:type="dxa"/>
            <w:vMerge/>
            <w:tcBorders>
              <w:left w:val="single" w:sz="4" w:space="0" w:color="000000"/>
              <w:bottom w:val="single" w:sz="4" w:space="0" w:color="000000"/>
              <w:right w:val="single" w:sz="4" w:space="0" w:color="000000"/>
            </w:tcBorders>
            <w:shd w:val="clear" w:color="auto" w:fill="D2D2D2"/>
          </w:tcPr>
          <w:p>
            <w:pPr/>
          </w:p>
        </w:tc>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96"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72"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1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02"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计提理由</w:t>
            </w:r>
          </w:p>
        </w:tc>
      </w:tr>
      <w:tr>
        <w:trPr>
          <w:trHeight w:val="402" w:hRule="exact"/>
        </w:trPr>
        <w:tc>
          <w:tcPr>
            <w:tcW w:w="3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河北先河正源环境治理技术有限公司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30,987,261.51</w:t>
            </w:r>
          </w:p>
        </w:tc>
        <w:tc>
          <w:tcPr>
            <w:tcW w:w="1276" w:type="dxa"/>
            <w:tcBorders>
              <w:top w:val="single" w:sz="4" w:space="0" w:color="000000"/>
              <w:left w:val="single" w:sz="4" w:space="0" w:color="000000"/>
              <w:bottom w:val="single" w:sz="4" w:space="0" w:color="000000"/>
              <w:right w:val="single" w:sz="4" w:space="0" w:color="000000"/>
            </w:tcBorders>
          </w:tcPr>
          <w:p>
            <w:pPr/>
          </w:p>
        </w:tc>
        <w:tc>
          <w:tcPr>
            <w:tcW w:w="1137"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确信可以全部收回</w:t>
            </w:r>
          </w:p>
        </w:tc>
      </w:tr>
      <w:tr>
        <w:trPr>
          <w:trHeight w:val="402" w:hRule="exact"/>
        </w:trPr>
        <w:tc>
          <w:tcPr>
            <w:tcW w:w="3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北京卫家环境技术有限公司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10,422,493.78</w:t>
            </w:r>
          </w:p>
        </w:tc>
        <w:tc>
          <w:tcPr>
            <w:tcW w:w="1276" w:type="dxa"/>
            <w:tcBorders>
              <w:top w:val="single" w:sz="4" w:space="0" w:color="000000"/>
              <w:left w:val="single" w:sz="4" w:space="0" w:color="000000"/>
              <w:bottom w:val="single" w:sz="4" w:space="0" w:color="000000"/>
              <w:right w:val="single" w:sz="4" w:space="0" w:color="000000"/>
            </w:tcBorders>
          </w:tcPr>
          <w:p>
            <w:pPr/>
          </w:p>
        </w:tc>
        <w:tc>
          <w:tcPr>
            <w:tcW w:w="1137"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确信可以全部收回</w:t>
            </w:r>
          </w:p>
        </w:tc>
      </w:tr>
      <w:tr>
        <w:trPr>
          <w:trHeight w:val="402" w:hRule="exact"/>
        </w:trPr>
        <w:tc>
          <w:tcPr>
            <w:tcW w:w="3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重庆冀华环保科技发展有限公司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9,900,000.00</w:t>
            </w:r>
          </w:p>
        </w:tc>
        <w:tc>
          <w:tcPr>
            <w:tcW w:w="1276" w:type="dxa"/>
            <w:tcBorders>
              <w:top w:val="single" w:sz="4" w:space="0" w:color="000000"/>
              <w:left w:val="single" w:sz="4" w:space="0" w:color="000000"/>
              <w:bottom w:val="single" w:sz="4" w:space="0" w:color="000000"/>
              <w:right w:val="single" w:sz="4" w:space="0" w:color="000000"/>
            </w:tcBorders>
          </w:tcPr>
          <w:p>
            <w:pPr/>
          </w:p>
        </w:tc>
        <w:tc>
          <w:tcPr>
            <w:tcW w:w="1137"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确信可以全部收回</w:t>
            </w:r>
          </w:p>
        </w:tc>
      </w:tr>
      <w:tr>
        <w:trPr>
          <w:trHeight w:val="402" w:hRule="exact"/>
        </w:trPr>
        <w:tc>
          <w:tcPr>
            <w:tcW w:w="3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河北先河正阳环保设备销售有限公司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8,595,620.93</w:t>
            </w:r>
          </w:p>
        </w:tc>
        <w:tc>
          <w:tcPr>
            <w:tcW w:w="1276" w:type="dxa"/>
            <w:tcBorders>
              <w:top w:val="single" w:sz="4" w:space="0" w:color="000000"/>
              <w:left w:val="single" w:sz="4" w:space="0" w:color="000000"/>
              <w:bottom w:val="single" w:sz="4" w:space="0" w:color="000000"/>
              <w:right w:val="single" w:sz="4" w:space="0" w:color="000000"/>
            </w:tcBorders>
          </w:tcPr>
          <w:p>
            <w:pPr/>
          </w:p>
        </w:tc>
        <w:tc>
          <w:tcPr>
            <w:tcW w:w="1137"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确信可以全部收回</w:t>
            </w:r>
          </w:p>
        </w:tc>
      </w:tr>
      <w:tr>
        <w:trPr>
          <w:trHeight w:val="402" w:hRule="exact"/>
        </w:trPr>
        <w:tc>
          <w:tcPr>
            <w:tcW w:w="3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河北先河金瑞环保设施运营服务有限公司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7,226,599.56</w:t>
            </w:r>
          </w:p>
        </w:tc>
        <w:tc>
          <w:tcPr>
            <w:tcW w:w="1276" w:type="dxa"/>
            <w:tcBorders>
              <w:top w:val="single" w:sz="4" w:space="0" w:color="000000"/>
              <w:left w:val="single" w:sz="4" w:space="0" w:color="000000"/>
              <w:bottom w:val="single" w:sz="4" w:space="0" w:color="000000"/>
              <w:right w:val="single" w:sz="4" w:space="0" w:color="000000"/>
            </w:tcBorders>
          </w:tcPr>
          <w:p>
            <w:pPr/>
          </w:p>
        </w:tc>
        <w:tc>
          <w:tcPr>
            <w:tcW w:w="1137"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确信可以全部收回</w:t>
            </w:r>
          </w:p>
        </w:tc>
      </w:tr>
      <w:tr>
        <w:trPr>
          <w:trHeight w:val="402" w:hRule="exact"/>
        </w:trPr>
        <w:tc>
          <w:tcPr>
            <w:tcW w:w="3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北京先河中润科技有限公司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3,884,385.73</w:t>
            </w:r>
          </w:p>
        </w:tc>
        <w:tc>
          <w:tcPr>
            <w:tcW w:w="1276" w:type="dxa"/>
            <w:tcBorders>
              <w:top w:val="single" w:sz="4" w:space="0" w:color="000000"/>
              <w:left w:val="single" w:sz="4" w:space="0" w:color="000000"/>
              <w:bottom w:val="single" w:sz="4" w:space="0" w:color="000000"/>
              <w:right w:val="single" w:sz="4" w:space="0" w:color="000000"/>
            </w:tcBorders>
          </w:tcPr>
          <w:p>
            <w:pPr/>
          </w:p>
        </w:tc>
        <w:tc>
          <w:tcPr>
            <w:tcW w:w="1137"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确信可以全部收回</w:t>
            </w:r>
          </w:p>
        </w:tc>
      </w:tr>
      <w:tr>
        <w:trPr>
          <w:trHeight w:val="403" w:hRule="exact"/>
        </w:trPr>
        <w:tc>
          <w:tcPr>
            <w:tcW w:w="3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四川先河环保科技有限公司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2,900,000.00</w:t>
            </w:r>
          </w:p>
        </w:tc>
        <w:tc>
          <w:tcPr>
            <w:tcW w:w="1276" w:type="dxa"/>
            <w:tcBorders>
              <w:top w:val="single" w:sz="4" w:space="0" w:color="000000"/>
              <w:left w:val="single" w:sz="4" w:space="0" w:color="000000"/>
              <w:bottom w:val="single" w:sz="4" w:space="0" w:color="000000"/>
              <w:right w:val="single" w:sz="4" w:space="0" w:color="000000"/>
            </w:tcBorders>
          </w:tcPr>
          <w:p>
            <w:pPr/>
          </w:p>
        </w:tc>
        <w:tc>
          <w:tcPr>
            <w:tcW w:w="1137"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确信可以全部收回</w:t>
            </w:r>
          </w:p>
        </w:tc>
      </w:tr>
    </w:tbl>
    <w:p>
      <w:pPr>
        <w:spacing w:after="0" w:line="240" w:lineRule="auto"/>
        <w:jc w:val="left"/>
        <w:rPr>
          <w:rFonts w:ascii="宋体" w:hAnsi="宋体" w:cs="宋体" w:eastAsia="宋体" w:hint="default"/>
          <w:sz w:val="18"/>
          <w:szCs w:val="18"/>
        </w:rPr>
        <w:sectPr>
          <w:type w:val="continuous"/>
          <w:pgSz w:w="11910" w:h="16840"/>
          <w:pgMar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3544"/>
        <w:gridCol w:w="1702"/>
        <w:gridCol w:w="1276"/>
        <w:gridCol w:w="1137"/>
        <w:gridCol w:w="1913"/>
      </w:tblGrid>
      <w:tr>
        <w:trPr>
          <w:trHeight w:val="402" w:hRule="exact"/>
        </w:trPr>
        <w:tc>
          <w:tcPr>
            <w:tcW w:w="3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四川久环环境技术有限责任公司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1,036,768.46</w:t>
            </w:r>
          </w:p>
        </w:tc>
        <w:tc>
          <w:tcPr>
            <w:tcW w:w="1276" w:type="dxa"/>
            <w:tcBorders>
              <w:top w:val="single" w:sz="4" w:space="0" w:color="000000"/>
              <w:left w:val="single" w:sz="4" w:space="0" w:color="000000"/>
              <w:bottom w:val="single" w:sz="4" w:space="0" w:color="000000"/>
              <w:right w:val="single" w:sz="4" w:space="0" w:color="000000"/>
            </w:tcBorders>
          </w:tcPr>
          <w:p>
            <w:pPr/>
          </w:p>
        </w:tc>
        <w:tc>
          <w:tcPr>
            <w:tcW w:w="1137"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确信可以全部收回</w:t>
            </w:r>
          </w:p>
        </w:tc>
      </w:tr>
      <w:tr>
        <w:trPr>
          <w:trHeight w:val="402" w:hRule="exact"/>
        </w:trPr>
        <w:tc>
          <w:tcPr>
            <w:tcW w:w="35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702"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74,953,129.97</w:t>
            </w:r>
          </w:p>
        </w:tc>
        <w:tc>
          <w:tcPr>
            <w:tcW w:w="1276" w:type="dxa"/>
            <w:tcBorders>
              <w:top w:val="single" w:sz="4" w:space="0" w:color="000000"/>
              <w:left w:val="single" w:sz="4" w:space="0" w:color="000000"/>
              <w:bottom w:val="single" w:sz="4" w:space="0" w:color="000000"/>
              <w:right w:val="single" w:sz="9" w:space="0" w:color="D2D2D2"/>
            </w:tcBorders>
          </w:tcPr>
          <w:p>
            <w:pPr/>
          </w:p>
        </w:tc>
        <w:tc>
          <w:tcPr>
            <w:tcW w:w="11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747" w:footer="979" w:top="1060" w:bottom="1160" w:left="0" w:right="0"/>
        </w:sectPr>
      </w:pPr>
    </w:p>
    <w:p>
      <w:pPr>
        <w:pStyle w:val="BodyText"/>
        <w:spacing w:line="240" w:lineRule="auto" w:before="51"/>
        <w:ind w:left="1134" w:right="-20"/>
        <w:jc w:val="left"/>
      </w:pPr>
      <w:r>
        <w:rPr/>
        <w:t>组合中，按账龄分析法计提坏账准备的其他应收款：</w:t>
      </w:r>
    </w:p>
    <w:p>
      <w:pPr>
        <w:pStyle w:val="BodyText"/>
        <w:spacing w:line="240" w:lineRule="auto" w:before="117"/>
        <w:ind w:left="1134"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1"/>
          <w:szCs w:val="21"/>
        </w:rPr>
      </w:pPr>
    </w:p>
    <w:p>
      <w:pPr>
        <w:pStyle w:val="BodyText"/>
        <w:spacing w:line="240" w:lineRule="auto"/>
        <w:ind w:left="1113" w:right="1112"/>
        <w:jc w:val="center"/>
      </w:pPr>
      <w:r>
        <w:rPr/>
        <w:t>单位： 元</w:t>
      </w:r>
    </w:p>
    <w:p>
      <w:pPr>
        <w:spacing w:after="0" w:line="240" w:lineRule="auto"/>
        <w:jc w:val="center"/>
        <w:sectPr>
          <w:type w:val="continuous"/>
          <w:pgSz w:w="11910" w:h="16840"/>
          <w:pgMar w:top="1060" w:bottom="1160" w:left="0" w:right="0"/>
          <w:cols w:num="2" w:equalWidth="0">
            <w:col w:w="5275" w:space="3555"/>
            <w:col w:w="3080"/>
          </w:cols>
        </w:sectPr>
      </w:pPr>
    </w:p>
    <w:p>
      <w:pPr>
        <w:spacing w:line="240" w:lineRule="auto" w:before="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2476"/>
        <w:gridCol w:w="2301"/>
        <w:gridCol w:w="2391"/>
        <w:gridCol w:w="2390"/>
      </w:tblGrid>
      <w:tr>
        <w:trPr>
          <w:trHeight w:val="205" w:hRule="exact"/>
        </w:trPr>
        <w:tc>
          <w:tcPr>
            <w:tcW w:w="2476" w:type="dxa"/>
            <w:tcBorders>
              <w:top w:val="single" w:sz="4" w:space="0" w:color="000000"/>
              <w:left w:val="single" w:sz="4" w:space="0" w:color="000000"/>
              <w:bottom w:val="nil" w:sz="6" w:space="0" w:color="auto"/>
              <w:right w:val="single" w:sz="4" w:space="0" w:color="000000"/>
            </w:tcBorders>
            <w:shd w:val="clear" w:color="auto" w:fill="D2D2D2"/>
          </w:tcPr>
          <w:p>
            <w:pPr/>
          </w:p>
        </w:tc>
        <w:tc>
          <w:tcPr>
            <w:tcW w:w="7081"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5"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2" w:hRule="exact"/>
        </w:trPr>
        <w:tc>
          <w:tcPr>
            <w:tcW w:w="247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5"/>
              <w:jc w:val="center"/>
              <w:rPr>
                <w:rFonts w:ascii="宋体" w:hAnsi="宋体" w:cs="宋体" w:eastAsia="宋体" w:hint="default"/>
                <w:sz w:val="18"/>
                <w:szCs w:val="18"/>
              </w:rPr>
            </w:pPr>
            <w:r>
              <w:rPr>
                <w:rFonts w:ascii="宋体" w:hAnsi="宋体" w:cs="宋体" w:eastAsia="宋体" w:hint="default"/>
                <w:sz w:val="18"/>
                <w:szCs w:val="18"/>
              </w:rPr>
              <w:t>账龄</w:t>
            </w:r>
          </w:p>
        </w:tc>
        <w:tc>
          <w:tcPr>
            <w:tcW w:w="7081" w:type="dxa"/>
            <w:gridSpan w:val="3"/>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2476" w:type="dxa"/>
            <w:vMerge/>
            <w:tcBorders>
              <w:left w:val="single" w:sz="4" w:space="0" w:color="000000"/>
              <w:bottom w:val="nil" w:sz="6" w:space="0" w:color="auto"/>
              <w:right w:val="single" w:sz="4" w:space="0" w:color="000000"/>
            </w:tcBorders>
            <w:shd w:val="clear" w:color="auto" w:fill="D2D2D2"/>
          </w:tcPr>
          <w:p>
            <w:pPr/>
          </w:p>
        </w:tc>
        <w:tc>
          <w:tcPr>
            <w:tcW w:w="230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698"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211" w:hRule="exact"/>
        </w:trPr>
        <w:tc>
          <w:tcPr>
            <w:tcW w:w="2476" w:type="dxa"/>
            <w:tcBorders>
              <w:top w:val="nil" w:sz="6" w:space="0" w:color="auto"/>
              <w:left w:val="single" w:sz="4" w:space="0" w:color="000000"/>
              <w:bottom w:val="single" w:sz="4" w:space="0" w:color="000000"/>
              <w:right w:val="single" w:sz="4" w:space="0" w:color="000000"/>
            </w:tcBorders>
            <w:shd w:val="clear" w:color="auto" w:fill="D2D2D2"/>
          </w:tcPr>
          <w:p>
            <w:pPr/>
          </w:p>
        </w:tc>
        <w:tc>
          <w:tcPr>
            <w:tcW w:w="2301" w:type="dxa"/>
            <w:vMerge/>
            <w:tcBorders>
              <w:left w:val="single" w:sz="4" w:space="0" w:color="000000"/>
              <w:bottom w:val="single" w:sz="4" w:space="0" w:color="000000"/>
              <w:right w:val="single" w:sz="4" w:space="0" w:color="000000"/>
            </w:tcBorders>
            <w:shd w:val="clear" w:color="auto" w:fill="D2D2D2"/>
          </w:tcPr>
          <w:p>
            <w:pPr/>
          </w:p>
        </w:tc>
        <w:tc>
          <w:tcPr>
            <w:tcW w:w="2391" w:type="dxa"/>
            <w:vMerge/>
            <w:tcBorders>
              <w:left w:val="single" w:sz="4" w:space="0" w:color="000000"/>
              <w:bottom w:val="single" w:sz="4" w:space="0" w:color="000000"/>
              <w:right w:val="single" w:sz="4" w:space="0" w:color="000000"/>
            </w:tcBorders>
            <w:shd w:val="clear" w:color="auto" w:fill="D2D2D2"/>
          </w:tcPr>
          <w:p>
            <w:pPr/>
          </w:p>
        </w:tc>
        <w:tc>
          <w:tcPr>
            <w:tcW w:w="2390" w:type="dxa"/>
            <w:vMerge/>
            <w:tcBorders>
              <w:left w:val="single" w:sz="4" w:space="0" w:color="000000"/>
              <w:bottom w:val="single" w:sz="4" w:space="0" w:color="000000"/>
              <w:right w:val="single" w:sz="4" w:space="0" w:color="000000"/>
            </w:tcBorders>
            <w:shd w:val="clear" w:color="auto" w:fill="D2D2D2"/>
          </w:tcPr>
          <w:p>
            <w:pPr/>
          </w:p>
        </w:tc>
      </w:tr>
      <w:tr>
        <w:trPr>
          <w:trHeight w:val="397" w:hRule="exact"/>
        </w:trPr>
        <w:tc>
          <w:tcPr>
            <w:tcW w:w="9557"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39,902,149.22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1,995,107.46</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11,719,846.94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1,171,984.69</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11,011,062.09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3,303,318.63</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30.00%</w:t>
            </w:r>
          </w:p>
        </w:tc>
      </w:tr>
      <w:tr>
        <w:trPr>
          <w:trHeight w:val="402"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6,308,066.45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6,308,066.45</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68,941,124.70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12,778,477.23</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18.54%</w:t>
            </w:r>
          </w:p>
        </w:tc>
      </w:tr>
    </w:tbl>
    <w:p>
      <w:pPr>
        <w:pStyle w:val="BodyText"/>
        <w:spacing w:line="357" w:lineRule="auto" w:before="51"/>
        <w:ind w:left="1660" w:right="0" w:hanging="526"/>
        <w:jc w:val="left"/>
      </w:pPr>
      <w:r>
        <w:rPr/>
        <w:t>确定该组合依据的说明： </w:t>
      </w:r>
      <w:r>
        <w:rPr>
          <w:spacing w:val="-2"/>
        </w:rPr>
        <w:t>已单独计提减值准备的其他应收款除外，公司根据以前年度与之相同或相类似的、按账龄段划分的具有类似信用风险</w:t>
      </w:r>
    </w:p>
    <w:p>
      <w:pPr>
        <w:pStyle w:val="BodyText"/>
        <w:spacing w:line="224" w:lineRule="exact"/>
        <w:ind w:right="0"/>
        <w:jc w:val="left"/>
      </w:pPr>
      <w:r>
        <w:rPr/>
        <w:t>特征的应收账款组合的实际损失率为基础，结合现时情况分析法确定坏账准备计提的比例。</w:t>
      </w: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14"/>
          <w:szCs w:val="14"/>
        </w:rPr>
      </w:pPr>
    </w:p>
    <w:p>
      <w:pPr>
        <w:pStyle w:val="BodyText"/>
        <w:spacing w:line="240" w:lineRule="auto"/>
        <w:ind w:right="0"/>
        <w:jc w:val="left"/>
      </w:pPr>
      <w:r>
        <w:rPr/>
        <w:t>组合中，采用余额百分比法计提坏账准备的其他应收款：</w:t>
      </w:r>
    </w:p>
    <w:p>
      <w:pPr>
        <w:pStyle w:val="BodyText"/>
        <w:spacing w:line="340" w:lineRule="auto" w:before="116"/>
        <w:ind w:right="66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组合中，采用其他方法计提坏账准备的其他应收款：</w:t>
      </w:r>
    </w:p>
    <w:p>
      <w:pPr>
        <w:pStyle w:val="BodyText"/>
        <w:spacing w:line="240" w:lineRule="auto" w:before="40"/>
        <w:ind w:left="113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2）本期计提、收回或转回的坏账准备情况" w:id="359"/>
      <w:bookmarkEnd w:id="359"/>
      <w:r>
        <w:rPr>
          <w:b w:val="0"/>
          <w:bCs w:val="0"/>
        </w:rPr>
      </w: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4"/>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type w:val="continuous"/>
          <w:pgSz w:w="11910" w:h="16840"/>
          <w:pgMar w:top="1060" w:bottom="1160" w:left="0" w:right="0"/>
        </w:sectPr>
      </w:pPr>
    </w:p>
    <w:p>
      <w:pPr>
        <w:pStyle w:val="BodyText"/>
        <w:spacing w:line="338" w:lineRule="auto" w:before="44"/>
        <w:ind w:left="1134" w:right="-17"/>
        <w:jc w:val="left"/>
      </w:pPr>
      <w:r>
        <w:rPr/>
        <w:t>本期计提坏账准备金额</w:t>
      </w:r>
      <w:r>
        <w:rPr>
          <w:spacing w:val="-47"/>
        </w:rPr>
        <w:t> </w:t>
      </w:r>
      <w:r>
        <w:rPr>
          <w:rFonts w:ascii="Times New Roman" w:hAnsi="Times New Roman" w:cs="Times New Roman" w:eastAsia="Times New Roman" w:hint="default"/>
        </w:rPr>
        <w:t>4,432,885.50</w:t>
      </w:r>
      <w:r>
        <w:rPr>
          <w:rFonts w:ascii="Times New Roman" w:hAnsi="Times New Roman" w:cs="Times New Roman" w:eastAsia="Times New Roman" w:hint="default"/>
          <w:spacing w:val="-2"/>
        </w:rPr>
        <w:t> </w:t>
      </w:r>
      <w:r>
        <w:rPr/>
        <w:t>元；本期收回或转回坏账准备金额元。 其中本期坏账准备转回或收回金额重要的：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ind w:left="1113" w:right="1112"/>
        <w:jc w:val="center"/>
      </w:pPr>
      <w:r>
        <w:rPr/>
        <w:t>单位： 元</w:t>
      </w:r>
    </w:p>
    <w:p>
      <w:pPr>
        <w:spacing w:after="0" w:line="240" w:lineRule="auto"/>
        <w:jc w:val="center"/>
        <w:sectPr>
          <w:type w:val="continuous"/>
          <w:pgSz w:w="11910" w:h="16840"/>
          <w:pgMar w:top="1060" w:bottom="1160" w:left="0" w:right="0"/>
          <w:cols w:num="2" w:equalWidth="0">
            <w:col w:w="7029" w:space="1800"/>
            <w:col w:w="3081"/>
          </w:cols>
        </w:sectPr>
      </w:pP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3369"/>
        <w:gridCol w:w="3100"/>
        <w:gridCol w:w="3100"/>
      </w:tblGrid>
      <w:tr>
        <w:trPr>
          <w:trHeight w:val="402" w:hRule="exact"/>
        </w:trPr>
        <w:tc>
          <w:tcPr>
            <w:tcW w:w="3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4" w:right="0"/>
              <w:jc w:val="left"/>
              <w:rPr>
                <w:rFonts w:ascii="宋体" w:hAnsi="宋体" w:cs="宋体" w:eastAsia="宋体" w:hint="default"/>
                <w:sz w:val="18"/>
                <w:szCs w:val="18"/>
              </w:rPr>
            </w:pPr>
            <w:r>
              <w:rPr>
                <w:rFonts w:ascii="宋体" w:hAnsi="宋体" w:cs="宋体" w:eastAsia="宋体" w:hint="default"/>
                <w:sz w:val="18"/>
                <w:szCs w:val="18"/>
              </w:rPr>
              <w:t>转回或收回金额</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spacing w:line="240" w:lineRule="auto" w:before="2"/>
        <w:rPr>
          <w:rFonts w:ascii="宋体" w:hAnsi="宋体" w:cs="宋体" w:eastAsia="宋体" w:hint="default"/>
          <w:sz w:val="19"/>
          <w:szCs w:val="19"/>
        </w:rPr>
      </w:pPr>
    </w:p>
    <w:p>
      <w:pPr>
        <w:pStyle w:val="Heading3"/>
        <w:spacing w:line="240" w:lineRule="auto" w:before="35"/>
        <w:ind w:left="1134" w:right="0"/>
        <w:jc w:val="left"/>
        <w:rPr>
          <w:b w:val="0"/>
          <w:bCs w:val="0"/>
        </w:rPr>
      </w:pPr>
      <w:bookmarkStart w:name="（3）其他应收款按款项性质分类情况" w:id="360"/>
      <w:bookmarkEnd w:id="360"/>
      <w:r>
        <w:rPr>
          <w:b w:val="0"/>
          <w:bCs w:val="0"/>
        </w:rPr>
      </w:r>
      <w:r>
        <w:rPr/>
        <w:t>（</w:t>
      </w:r>
      <w:r>
        <w:rPr>
          <w:rFonts w:ascii="Times New Roman" w:hAnsi="Times New Roman" w:cs="Times New Roman" w:eastAsia="Times New Roman" w:hint="default"/>
        </w:rPr>
        <w:t>3</w:t>
      </w:r>
      <w:r>
        <w:rPr/>
        <w:t>）其他应收款按款项性质分类情况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369"/>
        <w:gridCol w:w="3100"/>
        <w:gridCol w:w="3100"/>
      </w:tblGrid>
      <w:tr>
        <w:trPr>
          <w:trHeight w:val="402" w:hRule="exact"/>
        </w:trPr>
        <w:tc>
          <w:tcPr>
            <w:tcW w:w="3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04"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04"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53,705,798.69</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31,593,328.29</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备用金借款</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9,174,395.41</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9,517,123.36</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关联单位往来款</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75,985,795.04</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22,719,411.09</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6,060,930.60</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13,006,001.10</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144,926,919.74</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76,835,863.84</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0" w:right="0"/>
        </w:sectPr>
      </w:pPr>
    </w:p>
    <w:p>
      <w:pPr>
        <w:spacing w:line="240" w:lineRule="auto" w:before="10"/>
        <w:rPr>
          <w:rFonts w:ascii="宋体" w:hAnsi="宋体" w:cs="宋体" w:eastAsia="宋体" w:hint="default"/>
          <w:sz w:val="24"/>
          <w:szCs w:val="24"/>
        </w:rPr>
      </w:pPr>
    </w:p>
    <w:p>
      <w:pPr>
        <w:pStyle w:val="Heading3"/>
        <w:spacing w:line="240" w:lineRule="auto" w:before="35"/>
        <w:ind w:right="0"/>
        <w:jc w:val="left"/>
        <w:rPr>
          <w:b w:val="0"/>
          <w:bCs w:val="0"/>
        </w:rPr>
      </w:pPr>
      <w:bookmarkStart w:name="（4）按欠款方归集的期末余额前五名的其他应收款情况" w:id="361"/>
      <w:bookmarkEnd w:id="361"/>
      <w:r>
        <w:rPr>
          <w:b w:val="0"/>
          <w:bCs w:val="0"/>
        </w:rPr>
      </w:r>
      <w:r>
        <w:rPr/>
        <w:t>（</w:t>
      </w:r>
      <w:r>
        <w:rPr>
          <w:rFonts w:ascii="Times New Roman" w:hAnsi="Times New Roman" w:cs="Times New Roman" w:eastAsia="Times New Roman" w:hint="default"/>
        </w:rPr>
        <w:t>4</w:t>
      </w:r>
      <w:r>
        <w:rPr/>
        <w:t>）按欠款方归集的期末余额前五名的其他应收款情况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2694"/>
        <w:gridCol w:w="850"/>
        <w:gridCol w:w="1244"/>
        <w:gridCol w:w="2159"/>
        <w:gridCol w:w="1419"/>
        <w:gridCol w:w="1205"/>
      </w:tblGrid>
      <w:tr>
        <w:trPr>
          <w:trHeight w:val="1026" w:hRule="exact"/>
        </w:trPr>
        <w:tc>
          <w:tcPr>
            <w:tcW w:w="26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329" w:right="59" w:hanging="270"/>
              <w:jc w:val="left"/>
              <w:rPr>
                <w:rFonts w:ascii="宋体" w:hAnsi="宋体" w:cs="宋体" w:eastAsia="宋体" w:hint="default"/>
                <w:sz w:val="18"/>
                <w:szCs w:val="18"/>
              </w:rPr>
            </w:pPr>
            <w:r>
              <w:rPr>
                <w:rFonts w:ascii="宋体" w:hAnsi="宋体" w:cs="宋体" w:eastAsia="宋体" w:hint="default"/>
                <w:sz w:val="18"/>
                <w:szCs w:val="18"/>
              </w:rPr>
              <w:t>款项的性 质</w:t>
            </w:r>
          </w:p>
        </w:tc>
        <w:tc>
          <w:tcPr>
            <w:tcW w:w="12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57"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21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1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74" w:right="72"/>
              <w:jc w:val="center"/>
              <w:rPr>
                <w:rFonts w:ascii="宋体" w:hAnsi="宋体" w:cs="宋体" w:eastAsia="宋体" w:hint="default"/>
                <w:sz w:val="18"/>
                <w:szCs w:val="18"/>
              </w:rPr>
            </w:pPr>
            <w:r>
              <w:rPr>
                <w:rFonts w:ascii="宋体" w:hAnsi="宋体" w:cs="宋体" w:eastAsia="宋体" w:hint="default"/>
                <w:sz w:val="18"/>
                <w:szCs w:val="18"/>
              </w:rPr>
              <w:t>占其他应收款期 末余额合计数的 比例</w:t>
            </w:r>
          </w:p>
        </w:tc>
        <w:tc>
          <w:tcPr>
            <w:tcW w:w="12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416" w:right="56" w:hanging="360"/>
              <w:jc w:val="left"/>
              <w:rPr>
                <w:rFonts w:ascii="宋体" w:hAnsi="宋体" w:cs="宋体" w:eastAsia="宋体" w:hint="default"/>
                <w:sz w:val="18"/>
                <w:szCs w:val="18"/>
              </w:rPr>
            </w:pPr>
            <w:r>
              <w:rPr>
                <w:rFonts w:ascii="宋体" w:hAnsi="宋体" w:cs="宋体" w:eastAsia="宋体" w:hint="default"/>
                <w:sz w:val="18"/>
                <w:szCs w:val="18"/>
              </w:rPr>
              <w:t>坏账准备期末 余额</w:t>
            </w:r>
          </w:p>
        </w:tc>
      </w:tr>
      <w:tr>
        <w:trPr>
          <w:trHeight w:val="714"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41"/>
              <w:jc w:val="left"/>
              <w:rPr>
                <w:rFonts w:ascii="宋体" w:hAnsi="宋体" w:cs="宋体" w:eastAsia="宋体" w:hint="default"/>
                <w:sz w:val="18"/>
                <w:szCs w:val="18"/>
              </w:rPr>
            </w:pPr>
            <w:r>
              <w:rPr>
                <w:rFonts w:ascii="宋体" w:hAnsi="宋体" w:cs="宋体" w:eastAsia="宋体" w:hint="default"/>
                <w:sz w:val="18"/>
                <w:szCs w:val="18"/>
              </w:rPr>
              <w:t>河北先河正源环境治理技术有限 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30,987,261.51</w:t>
            </w:r>
          </w:p>
        </w:tc>
        <w:tc>
          <w:tcPr>
            <w:tcW w:w="2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r>
              <w:rPr>
                <w:rFonts w:ascii="Times New Roman" w:hAnsi="Times New Roman" w:cs="Times New Roman" w:eastAsia="Times New Roman" w:hint="default"/>
                <w:sz w:val="18"/>
                <w:szCs w:val="18"/>
              </w:rPr>
              <w:t>25,782,408.91</w:t>
            </w:r>
            <w:r>
              <w:rPr>
                <w:rFonts w:ascii="宋体" w:hAnsi="宋体" w:cs="宋体" w:eastAsia="宋体" w:hint="default"/>
                <w:sz w:val="18"/>
                <w:szCs w:val="18"/>
              </w:rPr>
              <w:t>、</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Times New Roman" w:hAnsi="Times New Roman" w:cs="Times New Roman" w:eastAsia="Times New Roman" w:hint="default"/>
                <w:sz w:val="18"/>
                <w:szCs w:val="18"/>
              </w:rPr>
              <w:t>5,204,852.60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21.38%</w:t>
            </w:r>
          </w:p>
        </w:tc>
        <w:tc>
          <w:tcPr>
            <w:tcW w:w="120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河北省公共资源交易中心</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22,332,720.00</w:t>
            </w:r>
          </w:p>
        </w:tc>
        <w:tc>
          <w:tcPr>
            <w:tcW w:w="2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r>
              <w:rPr>
                <w:rFonts w:ascii="Times New Roman" w:hAnsi="Times New Roman" w:cs="Times New Roman" w:eastAsia="Times New Roman" w:hint="default"/>
                <w:sz w:val="18"/>
                <w:szCs w:val="18"/>
              </w:rPr>
              <w:t>22,248,720.00</w:t>
            </w:r>
            <w:r>
              <w:rPr>
                <w:rFonts w:ascii="宋体" w:hAnsi="宋体" w:cs="宋体" w:eastAsia="宋体" w:hint="default"/>
                <w:sz w:val="18"/>
                <w:szCs w:val="18"/>
              </w:rPr>
              <w:t>、</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Times New Roman" w:hAnsi="Times New Roman" w:cs="Times New Roman" w:eastAsia="Times New Roman" w:hint="default"/>
                <w:sz w:val="18"/>
                <w:szCs w:val="18"/>
              </w:rPr>
              <w:t>84,000.00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15.41%</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1,120,836.00</w:t>
            </w:r>
          </w:p>
        </w:tc>
      </w:tr>
      <w:tr>
        <w:trPr>
          <w:trHeight w:val="402"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北京卫家环境技术有限公司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10,422,493.78</w:t>
            </w:r>
          </w:p>
        </w:tc>
        <w:tc>
          <w:tcPr>
            <w:tcW w:w="2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7.19%</w:t>
            </w:r>
          </w:p>
        </w:tc>
        <w:tc>
          <w:tcPr>
            <w:tcW w:w="120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重庆冀华环保科技发展有限公司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9,900,000.00</w:t>
            </w:r>
          </w:p>
        </w:tc>
        <w:tc>
          <w:tcPr>
            <w:tcW w:w="2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6.83%</w:t>
            </w:r>
          </w:p>
        </w:tc>
        <w:tc>
          <w:tcPr>
            <w:tcW w:w="120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41"/>
              <w:jc w:val="left"/>
              <w:rPr>
                <w:rFonts w:ascii="宋体" w:hAnsi="宋体" w:cs="宋体" w:eastAsia="宋体" w:hint="default"/>
                <w:sz w:val="18"/>
                <w:szCs w:val="18"/>
              </w:rPr>
            </w:pPr>
            <w:r>
              <w:rPr>
                <w:rFonts w:ascii="宋体" w:hAnsi="宋体" w:cs="宋体" w:eastAsia="宋体" w:hint="default"/>
                <w:sz w:val="18"/>
                <w:szCs w:val="18"/>
              </w:rPr>
              <w:t>河北先河正阳环保设备销售有限 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8,595,620.93</w:t>
            </w:r>
          </w:p>
        </w:tc>
        <w:tc>
          <w:tcPr>
            <w:tcW w:w="2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5.93%</w:t>
            </w:r>
          </w:p>
        </w:tc>
        <w:tc>
          <w:tcPr>
            <w:tcW w:w="120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6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82,238,096.22</w:t>
            </w:r>
          </w:p>
        </w:tc>
        <w:tc>
          <w:tcPr>
            <w:tcW w:w="21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56.74%</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1,120,836.00</w:t>
            </w:r>
          </w:p>
        </w:tc>
      </w:tr>
    </w:tbl>
    <w:p>
      <w:pPr>
        <w:spacing w:line="240" w:lineRule="auto" w:before="2"/>
        <w:rPr>
          <w:rFonts w:ascii="宋体" w:hAnsi="宋体" w:cs="宋体" w:eastAsia="宋体" w:hint="default"/>
          <w:sz w:val="19"/>
          <w:szCs w:val="19"/>
        </w:rPr>
      </w:pPr>
    </w:p>
    <w:p>
      <w:pPr>
        <w:pStyle w:val="Heading3"/>
        <w:spacing w:line="240" w:lineRule="auto" w:before="35"/>
        <w:ind w:left="1134" w:right="0"/>
        <w:jc w:val="left"/>
        <w:rPr>
          <w:b w:val="0"/>
          <w:bCs w:val="0"/>
        </w:rPr>
      </w:pPr>
      <w:bookmarkStart w:name="3、长期股权投资" w:id="362"/>
      <w:bookmarkEnd w:id="362"/>
      <w:r>
        <w:rPr>
          <w:b w:val="0"/>
          <w:bCs w:val="0"/>
        </w:rPr>
      </w:r>
      <w:r>
        <w:rPr>
          <w:rFonts w:ascii="Times New Roman" w:hAnsi="Times New Roman" w:cs="Times New Roman" w:eastAsia="Times New Roman" w:hint="default"/>
        </w:rPr>
        <w:t>3</w:t>
      </w:r>
      <w:r>
        <w:rPr/>
        <w:t>、长期股权投资</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1357"/>
        <w:gridCol w:w="1368"/>
        <w:gridCol w:w="1367"/>
        <w:gridCol w:w="1367"/>
        <w:gridCol w:w="1368"/>
        <w:gridCol w:w="1367"/>
        <w:gridCol w:w="1367"/>
      </w:tblGrid>
      <w:tr>
        <w:trPr>
          <w:trHeight w:val="206" w:hRule="exact"/>
        </w:trPr>
        <w:tc>
          <w:tcPr>
            <w:tcW w:w="1357" w:type="dxa"/>
            <w:tcBorders>
              <w:top w:val="single" w:sz="4" w:space="0" w:color="000000"/>
              <w:left w:val="single" w:sz="4" w:space="0" w:color="000000"/>
              <w:bottom w:val="nil" w:sz="6" w:space="0" w:color="auto"/>
              <w:right w:val="single" w:sz="4" w:space="0" w:color="000000"/>
            </w:tcBorders>
            <w:shd w:val="clear" w:color="auto" w:fill="D2D2D2"/>
          </w:tcPr>
          <w:p>
            <w:pPr/>
          </w:p>
        </w:tc>
        <w:tc>
          <w:tcPr>
            <w:tcW w:w="410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1" w:hRule="exact"/>
        </w:trPr>
        <w:tc>
          <w:tcPr>
            <w:tcW w:w="135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4102" w:type="dxa"/>
            <w:gridSpan w:val="3"/>
            <w:vMerge/>
            <w:tcBorders>
              <w:left w:val="single" w:sz="4" w:space="0" w:color="000000"/>
              <w:bottom w:val="single" w:sz="4" w:space="0" w:color="000000"/>
              <w:right w:val="single" w:sz="4" w:space="0" w:color="000000"/>
            </w:tcBorders>
            <w:shd w:val="clear" w:color="auto" w:fill="D2D2D2"/>
          </w:tcPr>
          <w:p>
            <w:pPr/>
          </w:p>
        </w:tc>
        <w:tc>
          <w:tcPr>
            <w:tcW w:w="4102" w:type="dxa"/>
            <w:gridSpan w:val="3"/>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1357" w:type="dxa"/>
            <w:vMerge/>
            <w:tcBorders>
              <w:left w:val="single" w:sz="4" w:space="0" w:color="000000"/>
              <w:bottom w:val="nil" w:sz="6" w:space="0" w:color="auto"/>
              <w:right w:val="single" w:sz="4" w:space="0" w:color="000000"/>
            </w:tcBorders>
            <w:shd w:val="clear" w:color="auto" w:fill="D2D2D2"/>
          </w:tcPr>
          <w:p>
            <w:pP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5" w:hRule="exact"/>
        </w:trPr>
        <w:tc>
          <w:tcPr>
            <w:tcW w:w="1357"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对子公司投资</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472,276,948.90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472,276,948.90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472,276,948.90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472,276,948.90</w:t>
            </w:r>
          </w:p>
        </w:tc>
      </w:tr>
      <w:tr>
        <w:trPr>
          <w:trHeight w:val="402"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472,276,948.90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472,276,948.90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472,276,948.90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472,276,948.90</w:t>
            </w:r>
          </w:p>
        </w:tc>
      </w:tr>
    </w:tbl>
    <w:p>
      <w:pPr>
        <w:spacing w:line="240" w:lineRule="auto" w:before="2"/>
        <w:rPr>
          <w:rFonts w:ascii="宋体" w:hAnsi="宋体" w:cs="宋体" w:eastAsia="宋体" w:hint="default"/>
          <w:sz w:val="19"/>
          <w:szCs w:val="19"/>
        </w:rPr>
      </w:pPr>
    </w:p>
    <w:p>
      <w:pPr>
        <w:pStyle w:val="Heading3"/>
        <w:spacing w:line="240" w:lineRule="auto" w:before="35"/>
        <w:ind w:left="1134" w:right="0"/>
        <w:jc w:val="left"/>
        <w:rPr>
          <w:b w:val="0"/>
          <w:bCs w:val="0"/>
        </w:rPr>
      </w:pPr>
      <w:bookmarkStart w:name="（1）对子公司投资" w:id="363"/>
      <w:bookmarkEnd w:id="363"/>
      <w:r>
        <w:rPr>
          <w:b w:val="0"/>
          <w:bCs w:val="0"/>
        </w:rPr>
      </w:r>
      <w:r>
        <w:rPr/>
        <w:t>（</w:t>
      </w:r>
      <w:r>
        <w:rPr>
          <w:rFonts w:ascii="Times New Roman" w:hAnsi="Times New Roman" w:cs="Times New Roman" w:eastAsia="Times New Roman" w:hint="default"/>
        </w:rPr>
        <w:t>1</w:t>
      </w:r>
      <w:r>
        <w:rPr/>
        <w:t>）对子公司投资</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2694"/>
        <w:gridCol w:w="1276"/>
        <w:gridCol w:w="1276"/>
        <w:gridCol w:w="992"/>
        <w:gridCol w:w="1276"/>
        <w:gridCol w:w="1134"/>
        <w:gridCol w:w="919"/>
      </w:tblGrid>
      <w:tr>
        <w:trPr>
          <w:trHeight w:val="714" w:hRule="exact"/>
        </w:trPr>
        <w:tc>
          <w:tcPr>
            <w:tcW w:w="26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892" w:right="0"/>
              <w:jc w:val="left"/>
              <w:rPr>
                <w:rFonts w:ascii="宋体" w:hAnsi="宋体" w:cs="宋体" w:eastAsia="宋体" w:hint="default"/>
                <w:sz w:val="18"/>
                <w:szCs w:val="18"/>
              </w:rPr>
            </w:pPr>
            <w:r>
              <w:rPr>
                <w:rFonts w:ascii="宋体" w:hAnsi="宋体" w:cs="宋体" w:eastAsia="宋体" w:hint="default"/>
                <w:sz w:val="18"/>
                <w:szCs w:val="18"/>
              </w:rPr>
              <w:t>被投资单位</w:t>
            </w:r>
          </w:p>
        </w:tc>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7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7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30"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7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91" w:right="110" w:hanging="180"/>
              <w:jc w:val="left"/>
              <w:rPr>
                <w:rFonts w:ascii="宋体" w:hAnsi="宋体" w:cs="宋体" w:eastAsia="宋体" w:hint="default"/>
                <w:sz w:val="18"/>
                <w:szCs w:val="18"/>
              </w:rPr>
            </w:pPr>
            <w:r>
              <w:rPr>
                <w:rFonts w:ascii="宋体" w:hAnsi="宋体" w:cs="宋体" w:eastAsia="宋体" w:hint="default"/>
                <w:sz w:val="18"/>
                <w:szCs w:val="18"/>
              </w:rPr>
              <w:t>本期计提减 值准备</w:t>
            </w:r>
          </w:p>
        </w:tc>
        <w:tc>
          <w:tcPr>
            <w:tcW w:w="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93" w:right="95"/>
              <w:jc w:val="left"/>
              <w:rPr>
                <w:rFonts w:ascii="宋体" w:hAnsi="宋体" w:cs="宋体" w:eastAsia="宋体" w:hint="default"/>
                <w:sz w:val="18"/>
                <w:szCs w:val="18"/>
              </w:rPr>
            </w:pPr>
            <w:r>
              <w:rPr>
                <w:rFonts w:ascii="宋体" w:hAnsi="宋体" w:cs="宋体" w:eastAsia="宋体" w:hint="default"/>
                <w:sz w:val="18"/>
                <w:szCs w:val="18"/>
              </w:rPr>
              <w:t>减值准备 期末余额</w:t>
            </w:r>
          </w:p>
        </w:tc>
      </w:tr>
      <w:tr>
        <w:trPr>
          <w:trHeight w:val="402"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北京先河中润科技有限公司</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97" w:right="0"/>
              <w:jc w:val="left"/>
              <w:rPr>
                <w:rFonts w:ascii="Times New Roman" w:hAnsi="Times New Roman" w:cs="Times New Roman" w:eastAsia="Times New Roman" w:hint="default"/>
                <w:sz w:val="18"/>
                <w:szCs w:val="18"/>
              </w:rPr>
            </w:pPr>
            <w:r>
              <w:rPr>
                <w:rFonts w:ascii="Times New Roman"/>
                <w:sz w:val="18"/>
              </w:rPr>
              <w:t>2,000,000.00</w:t>
            </w:r>
          </w:p>
        </w:tc>
        <w:tc>
          <w:tcPr>
            <w:tcW w:w="1276"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2,000,000.00</w:t>
            </w:r>
          </w:p>
        </w:tc>
        <w:tc>
          <w:tcPr>
            <w:tcW w:w="1134" w:type="dxa"/>
            <w:tcBorders>
              <w:top w:val="single" w:sz="4" w:space="0" w:color="000000"/>
              <w:left w:val="single" w:sz="4" w:space="0" w:color="000000"/>
              <w:bottom w:val="single" w:sz="4" w:space="0" w:color="000000"/>
              <w:right w:val="single" w:sz="4" w:space="0" w:color="000000"/>
            </w:tcBorders>
          </w:tcPr>
          <w:p>
            <w:pPr/>
          </w:p>
        </w:tc>
        <w:tc>
          <w:tcPr>
            <w:tcW w:w="91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41"/>
              <w:jc w:val="left"/>
              <w:rPr>
                <w:rFonts w:ascii="宋体" w:hAnsi="宋体" w:cs="宋体" w:eastAsia="宋体" w:hint="default"/>
                <w:sz w:val="18"/>
                <w:szCs w:val="18"/>
              </w:rPr>
            </w:pPr>
            <w:r>
              <w:rPr>
                <w:rFonts w:ascii="宋体" w:hAnsi="宋体" w:cs="宋体" w:eastAsia="宋体" w:hint="default"/>
                <w:sz w:val="18"/>
                <w:szCs w:val="18"/>
              </w:rPr>
              <w:t>河北先河金瑞环保设施运营服务 有限公司</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97" w:right="0"/>
              <w:jc w:val="left"/>
              <w:rPr>
                <w:rFonts w:ascii="Times New Roman" w:hAnsi="Times New Roman" w:cs="Times New Roman" w:eastAsia="Times New Roman" w:hint="default"/>
                <w:sz w:val="18"/>
                <w:szCs w:val="18"/>
              </w:rPr>
            </w:pPr>
            <w:r>
              <w:rPr>
                <w:rFonts w:ascii="Times New Roman"/>
                <w:sz w:val="18"/>
              </w:rPr>
              <w:t>2,250,000.00</w:t>
            </w:r>
          </w:p>
        </w:tc>
        <w:tc>
          <w:tcPr>
            <w:tcW w:w="1276"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2,250,000.00</w:t>
            </w:r>
          </w:p>
        </w:tc>
        <w:tc>
          <w:tcPr>
            <w:tcW w:w="1134" w:type="dxa"/>
            <w:tcBorders>
              <w:top w:val="single" w:sz="4" w:space="0" w:color="000000"/>
              <w:left w:val="single" w:sz="4" w:space="0" w:color="000000"/>
              <w:bottom w:val="single" w:sz="4" w:space="0" w:color="000000"/>
              <w:right w:val="single" w:sz="4" w:space="0" w:color="000000"/>
            </w:tcBorders>
          </w:tcPr>
          <w:p>
            <w:pPr/>
          </w:p>
        </w:tc>
        <w:tc>
          <w:tcPr>
            <w:tcW w:w="91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山东先河环保科技有限公司</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97" w:right="0"/>
              <w:jc w:val="left"/>
              <w:rPr>
                <w:rFonts w:ascii="Times New Roman" w:hAnsi="Times New Roman" w:cs="Times New Roman" w:eastAsia="Times New Roman" w:hint="default"/>
                <w:sz w:val="18"/>
                <w:szCs w:val="18"/>
              </w:rPr>
            </w:pPr>
            <w:r>
              <w:rPr>
                <w:rFonts w:ascii="Times New Roman"/>
                <w:sz w:val="18"/>
              </w:rPr>
              <w:t>8,000,000.00</w:t>
            </w:r>
          </w:p>
        </w:tc>
        <w:tc>
          <w:tcPr>
            <w:tcW w:w="1276"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8,000,000.00</w:t>
            </w:r>
          </w:p>
        </w:tc>
        <w:tc>
          <w:tcPr>
            <w:tcW w:w="1134" w:type="dxa"/>
            <w:tcBorders>
              <w:top w:val="single" w:sz="4" w:space="0" w:color="000000"/>
              <w:left w:val="single" w:sz="4" w:space="0" w:color="000000"/>
              <w:bottom w:val="single" w:sz="4" w:space="0" w:color="000000"/>
              <w:right w:val="single" w:sz="4" w:space="0" w:color="000000"/>
            </w:tcBorders>
          </w:tcPr>
          <w:p>
            <w:pPr/>
          </w:p>
        </w:tc>
        <w:tc>
          <w:tcPr>
            <w:tcW w:w="91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四川先河环保科技有限公司</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7" w:right="0"/>
              <w:jc w:val="left"/>
              <w:rPr>
                <w:rFonts w:ascii="Times New Roman" w:hAnsi="Times New Roman" w:cs="Times New Roman" w:eastAsia="Times New Roman" w:hint="default"/>
                <w:sz w:val="18"/>
                <w:szCs w:val="18"/>
              </w:rPr>
            </w:pPr>
            <w:r>
              <w:rPr>
                <w:rFonts w:ascii="Times New Roman"/>
                <w:sz w:val="18"/>
              </w:rPr>
              <w:t>50,000,000.00</w:t>
            </w:r>
          </w:p>
        </w:tc>
        <w:tc>
          <w:tcPr>
            <w:tcW w:w="1276"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50,000,000.00</w:t>
            </w:r>
          </w:p>
        </w:tc>
        <w:tc>
          <w:tcPr>
            <w:tcW w:w="1134" w:type="dxa"/>
            <w:tcBorders>
              <w:top w:val="single" w:sz="4" w:space="0" w:color="000000"/>
              <w:left w:val="single" w:sz="4" w:space="0" w:color="000000"/>
              <w:bottom w:val="single" w:sz="4" w:space="0" w:color="000000"/>
              <w:right w:val="single" w:sz="4" w:space="0" w:color="000000"/>
            </w:tcBorders>
          </w:tcPr>
          <w:p>
            <w:pPr/>
          </w:p>
        </w:tc>
        <w:tc>
          <w:tcPr>
            <w:tcW w:w="91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41"/>
              <w:jc w:val="left"/>
              <w:rPr>
                <w:rFonts w:ascii="宋体" w:hAnsi="宋体" w:cs="宋体" w:eastAsia="宋体" w:hint="default"/>
                <w:sz w:val="18"/>
                <w:szCs w:val="18"/>
              </w:rPr>
            </w:pPr>
            <w:r>
              <w:rPr>
                <w:rFonts w:ascii="宋体" w:hAnsi="宋体" w:cs="宋体" w:eastAsia="宋体" w:hint="default"/>
                <w:sz w:val="18"/>
                <w:szCs w:val="18"/>
              </w:rPr>
              <w:t>河北先河正源环境治理技术有限 公司</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7" w:right="0"/>
              <w:jc w:val="left"/>
              <w:rPr>
                <w:rFonts w:ascii="Times New Roman" w:hAnsi="Times New Roman" w:cs="Times New Roman" w:eastAsia="Times New Roman" w:hint="default"/>
                <w:sz w:val="18"/>
                <w:szCs w:val="18"/>
              </w:rPr>
            </w:pPr>
            <w:r>
              <w:rPr>
                <w:rFonts w:ascii="Times New Roman"/>
                <w:sz w:val="18"/>
              </w:rPr>
              <w:t>27,000,000.00</w:t>
            </w:r>
          </w:p>
        </w:tc>
        <w:tc>
          <w:tcPr>
            <w:tcW w:w="1276"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27,000,000.00</w:t>
            </w:r>
          </w:p>
        </w:tc>
        <w:tc>
          <w:tcPr>
            <w:tcW w:w="1134" w:type="dxa"/>
            <w:tcBorders>
              <w:top w:val="single" w:sz="4" w:space="0" w:color="000000"/>
              <w:left w:val="single" w:sz="4" w:space="0" w:color="000000"/>
              <w:bottom w:val="single" w:sz="4" w:space="0" w:color="000000"/>
              <w:right w:val="single" w:sz="4" w:space="0" w:color="000000"/>
            </w:tcBorders>
          </w:tcPr>
          <w:p>
            <w:pPr/>
          </w:p>
        </w:tc>
        <w:tc>
          <w:tcPr>
            <w:tcW w:w="91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河北先河正态环境检测有限公司</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7" w:right="0"/>
              <w:jc w:val="left"/>
              <w:rPr>
                <w:rFonts w:ascii="Times New Roman" w:hAnsi="Times New Roman" w:cs="Times New Roman" w:eastAsia="Times New Roman" w:hint="default"/>
                <w:sz w:val="18"/>
                <w:szCs w:val="18"/>
              </w:rPr>
            </w:pPr>
            <w:r>
              <w:rPr>
                <w:rFonts w:ascii="Times New Roman"/>
                <w:sz w:val="18"/>
              </w:rPr>
              <w:t>10,000,000.00</w:t>
            </w:r>
          </w:p>
        </w:tc>
        <w:tc>
          <w:tcPr>
            <w:tcW w:w="1276"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10,000,000.00</w:t>
            </w:r>
          </w:p>
        </w:tc>
        <w:tc>
          <w:tcPr>
            <w:tcW w:w="1134" w:type="dxa"/>
            <w:tcBorders>
              <w:top w:val="single" w:sz="4" w:space="0" w:color="000000"/>
              <w:left w:val="single" w:sz="4" w:space="0" w:color="000000"/>
              <w:bottom w:val="single" w:sz="4" w:space="0" w:color="000000"/>
              <w:right w:val="single" w:sz="4" w:space="0" w:color="000000"/>
            </w:tcBorders>
          </w:tcPr>
          <w:p>
            <w:pPr/>
          </w:p>
        </w:tc>
        <w:tc>
          <w:tcPr>
            <w:tcW w:w="91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重庆冀华环保科技发展有限公司</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97" w:right="0"/>
              <w:jc w:val="left"/>
              <w:rPr>
                <w:rFonts w:ascii="Times New Roman" w:hAnsi="Times New Roman" w:cs="Times New Roman" w:eastAsia="Times New Roman" w:hint="default"/>
                <w:sz w:val="18"/>
                <w:szCs w:val="18"/>
              </w:rPr>
            </w:pPr>
            <w:r>
              <w:rPr>
                <w:rFonts w:ascii="Times New Roman"/>
                <w:sz w:val="18"/>
              </w:rPr>
              <w:t>6,000,000.00</w:t>
            </w:r>
          </w:p>
        </w:tc>
        <w:tc>
          <w:tcPr>
            <w:tcW w:w="1276"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6,000,000.00</w:t>
            </w:r>
          </w:p>
        </w:tc>
        <w:tc>
          <w:tcPr>
            <w:tcW w:w="1134" w:type="dxa"/>
            <w:tcBorders>
              <w:top w:val="single" w:sz="4" w:space="0" w:color="000000"/>
              <w:left w:val="single" w:sz="4" w:space="0" w:color="000000"/>
              <w:bottom w:val="single" w:sz="4" w:space="0" w:color="000000"/>
              <w:right w:val="single" w:sz="4" w:space="0" w:color="000000"/>
            </w:tcBorders>
          </w:tcPr>
          <w:p>
            <w:pPr/>
          </w:p>
        </w:tc>
        <w:tc>
          <w:tcPr>
            <w:tcW w:w="91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2694"/>
        <w:gridCol w:w="1276"/>
        <w:gridCol w:w="1276"/>
        <w:gridCol w:w="992"/>
        <w:gridCol w:w="1276"/>
        <w:gridCol w:w="1134"/>
        <w:gridCol w:w="919"/>
      </w:tblGrid>
      <w:tr>
        <w:trPr>
          <w:trHeight w:val="402"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SAILHERO US HOLDING</w:t>
            </w:r>
            <w:r>
              <w:rPr>
                <w:rFonts w:ascii="Times New Roman"/>
                <w:spacing w:val="-5"/>
                <w:sz w:val="18"/>
              </w:rPr>
              <w:t> </w:t>
            </w:r>
            <w:r>
              <w:rPr>
                <w:rFonts w:ascii="Times New Roman"/>
                <w:sz w:val="18"/>
              </w:rPr>
              <w:t>INC.</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3" w:right="0"/>
              <w:jc w:val="center"/>
              <w:rPr>
                <w:rFonts w:ascii="Times New Roman" w:hAnsi="Times New Roman" w:cs="Times New Roman" w:eastAsia="Times New Roman" w:hint="default"/>
                <w:sz w:val="18"/>
                <w:szCs w:val="18"/>
              </w:rPr>
            </w:pPr>
            <w:r>
              <w:rPr>
                <w:rFonts w:ascii="Times New Roman"/>
                <w:sz w:val="18"/>
              </w:rPr>
              <w:t>83,826,948.90</w:t>
            </w:r>
          </w:p>
        </w:tc>
        <w:tc>
          <w:tcPr>
            <w:tcW w:w="1276"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83,826,948.90</w:t>
            </w:r>
          </w:p>
        </w:tc>
        <w:tc>
          <w:tcPr>
            <w:tcW w:w="1134" w:type="dxa"/>
            <w:tcBorders>
              <w:top w:val="single" w:sz="4" w:space="0" w:color="000000"/>
              <w:left w:val="single" w:sz="4" w:space="0" w:color="000000"/>
              <w:bottom w:val="single" w:sz="4" w:space="0" w:color="000000"/>
              <w:right w:val="single" w:sz="4" w:space="0" w:color="000000"/>
            </w:tcBorders>
          </w:tcPr>
          <w:p>
            <w:pPr/>
          </w:p>
        </w:tc>
        <w:tc>
          <w:tcPr>
            <w:tcW w:w="91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广东先河科迪隆科技有限公司</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3" w:right="0"/>
              <w:jc w:val="center"/>
              <w:rPr>
                <w:rFonts w:ascii="Times New Roman" w:hAnsi="Times New Roman" w:cs="Times New Roman" w:eastAsia="Times New Roman" w:hint="default"/>
                <w:sz w:val="18"/>
                <w:szCs w:val="18"/>
              </w:rPr>
            </w:pPr>
            <w:r>
              <w:rPr>
                <w:rFonts w:ascii="Times New Roman"/>
                <w:sz w:val="18"/>
              </w:rPr>
              <w:t>207,200,000.00</w:t>
            </w:r>
          </w:p>
        </w:tc>
        <w:tc>
          <w:tcPr>
            <w:tcW w:w="1276"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207,200,000.00</w:t>
            </w:r>
          </w:p>
        </w:tc>
        <w:tc>
          <w:tcPr>
            <w:tcW w:w="1134" w:type="dxa"/>
            <w:tcBorders>
              <w:top w:val="single" w:sz="4" w:space="0" w:color="000000"/>
              <w:left w:val="single" w:sz="4" w:space="0" w:color="000000"/>
              <w:bottom w:val="single" w:sz="4" w:space="0" w:color="000000"/>
              <w:right w:val="single" w:sz="4" w:space="0" w:color="000000"/>
            </w:tcBorders>
          </w:tcPr>
          <w:p>
            <w:pPr/>
          </w:p>
        </w:tc>
        <w:tc>
          <w:tcPr>
            <w:tcW w:w="91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广西先得环保科技有限公司</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3" w:right="0"/>
              <w:jc w:val="center"/>
              <w:rPr>
                <w:rFonts w:ascii="Times New Roman" w:hAnsi="Times New Roman" w:cs="Times New Roman" w:eastAsia="Times New Roman" w:hint="default"/>
                <w:sz w:val="18"/>
                <w:szCs w:val="18"/>
              </w:rPr>
            </w:pPr>
            <w:r>
              <w:rPr>
                <w:rFonts w:ascii="Times New Roman"/>
                <w:sz w:val="18"/>
              </w:rPr>
              <w:t>56,800,000.00</w:t>
            </w:r>
          </w:p>
        </w:tc>
        <w:tc>
          <w:tcPr>
            <w:tcW w:w="1276"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56,800,000.00</w:t>
            </w:r>
          </w:p>
        </w:tc>
        <w:tc>
          <w:tcPr>
            <w:tcW w:w="1134" w:type="dxa"/>
            <w:tcBorders>
              <w:top w:val="single" w:sz="4" w:space="0" w:color="000000"/>
              <w:left w:val="single" w:sz="4" w:space="0" w:color="000000"/>
              <w:bottom w:val="single" w:sz="4" w:space="0" w:color="000000"/>
              <w:right w:val="single" w:sz="4" w:space="0" w:color="000000"/>
            </w:tcBorders>
          </w:tcPr>
          <w:p>
            <w:pPr/>
          </w:p>
        </w:tc>
        <w:tc>
          <w:tcPr>
            <w:tcW w:w="91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四川久环环境技术有限责任公司</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3" w:right="0"/>
              <w:jc w:val="center"/>
              <w:rPr>
                <w:rFonts w:ascii="Times New Roman" w:hAnsi="Times New Roman" w:cs="Times New Roman" w:eastAsia="Times New Roman" w:hint="default"/>
                <w:sz w:val="18"/>
                <w:szCs w:val="18"/>
              </w:rPr>
            </w:pPr>
            <w:r>
              <w:rPr>
                <w:rFonts w:ascii="Times New Roman"/>
                <w:sz w:val="18"/>
              </w:rPr>
              <w:t>19,200,000.00</w:t>
            </w:r>
          </w:p>
        </w:tc>
        <w:tc>
          <w:tcPr>
            <w:tcW w:w="1276"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19,200,000.00</w:t>
            </w:r>
          </w:p>
        </w:tc>
        <w:tc>
          <w:tcPr>
            <w:tcW w:w="1134" w:type="dxa"/>
            <w:tcBorders>
              <w:top w:val="single" w:sz="4" w:space="0" w:color="000000"/>
              <w:left w:val="single" w:sz="4" w:space="0" w:color="000000"/>
              <w:bottom w:val="single" w:sz="4" w:space="0" w:color="000000"/>
              <w:right w:val="single" w:sz="4" w:space="0" w:color="000000"/>
            </w:tcBorders>
          </w:tcPr>
          <w:p>
            <w:pPr/>
          </w:p>
        </w:tc>
        <w:tc>
          <w:tcPr>
            <w:tcW w:w="91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41"/>
              <w:jc w:val="left"/>
              <w:rPr>
                <w:rFonts w:ascii="宋体" w:hAnsi="宋体" w:cs="宋体" w:eastAsia="宋体" w:hint="default"/>
                <w:sz w:val="18"/>
                <w:szCs w:val="18"/>
              </w:rPr>
            </w:pPr>
            <w:r>
              <w:rPr>
                <w:rFonts w:ascii="宋体" w:hAnsi="宋体" w:cs="宋体" w:eastAsia="宋体" w:hint="default"/>
                <w:sz w:val="18"/>
                <w:szCs w:val="18"/>
              </w:rPr>
              <w:t>河北先河正阳环保设备销售有限 公司</w:t>
            </w: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91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41"/>
              <w:jc w:val="left"/>
              <w:rPr>
                <w:rFonts w:ascii="宋体" w:hAnsi="宋体" w:cs="宋体" w:eastAsia="宋体" w:hint="default"/>
                <w:sz w:val="18"/>
                <w:szCs w:val="18"/>
              </w:rPr>
            </w:pPr>
            <w:r>
              <w:rPr>
                <w:rFonts w:ascii="宋体" w:hAnsi="宋体" w:cs="宋体" w:eastAsia="宋体" w:hint="default"/>
                <w:sz w:val="18"/>
                <w:szCs w:val="18"/>
              </w:rPr>
              <w:t>河北先河正达环保技术服务有限 公司</w:t>
            </w: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91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6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3" w:right="0"/>
              <w:jc w:val="center"/>
              <w:rPr>
                <w:rFonts w:ascii="Times New Roman" w:hAnsi="Times New Roman" w:cs="Times New Roman" w:eastAsia="Times New Roman" w:hint="default"/>
                <w:sz w:val="18"/>
                <w:szCs w:val="18"/>
              </w:rPr>
            </w:pPr>
            <w:r>
              <w:rPr>
                <w:rFonts w:ascii="Times New Roman"/>
                <w:sz w:val="18"/>
              </w:rPr>
              <w:t>472,276,948.90</w:t>
            </w:r>
          </w:p>
        </w:tc>
        <w:tc>
          <w:tcPr>
            <w:tcW w:w="1276"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472,276,948.90</w:t>
            </w:r>
          </w:p>
        </w:tc>
        <w:tc>
          <w:tcPr>
            <w:tcW w:w="1134" w:type="dxa"/>
            <w:tcBorders>
              <w:top w:val="single" w:sz="4" w:space="0" w:color="000000"/>
              <w:left w:val="single" w:sz="4" w:space="0" w:color="000000"/>
              <w:bottom w:val="single" w:sz="4" w:space="0" w:color="000000"/>
              <w:right w:val="single" w:sz="4" w:space="0" w:color="000000"/>
            </w:tcBorders>
          </w:tcPr>
          <w:p>
            <w:pPr/>
          </w:p>
        </w:tc>
        <w:tc>
          <w:tcPr>
            <w:tcW w:w="919"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left="1134" w:right="0"/>
        <w:jc w:val="left"/>
        <w:rPr>
          <w:b w:val="0"/>
          <w:bCs w:val="0"/>
        </w:rPr>
      </w:pPr>
      <w:bookmarkStart w:name="（2）其他说明" w:id="364"/>
      <w:bookmarkEnd w:id="364"/>
      <w:r>
        <w:rPr>
          <w:b w:val="0"/>
          <w:bCs w:val="0"/>
        </w:rPr>
      </w:r>
      <w:r>
        <w:rPr/>
        <w:t>（</w:t>
      </w:r>
      <w:r>
        <w:rPr>
          <w:rFonts w:ascii="Times New Roman" w:hAnsi="Times New Roman" w:cs="Times New Roman" w:eastAsia="Times New Roman" w:hint="default"/>
        </w:rPr>
        <w:t>2</w:t>
      </w:r>
      <w:r>
        <w:rPr/>
        <w:t>）其他说明</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494" w:right="0"/>
        <w:jc w:val="left"/>
      </w:pPr>
      <w:r>
        <w:rPr/>
        <w:t>本公司对河北先河正阳环保设备销售有限公司、河北先河正达环保技术服务有限公司均尚未实际出资。</w:t>
      </w:r>
    </w:p>
    <w:p>
      <w:pPr>
        <w:spacing w:line="240" w:lineRule="auto" w:before="12"/>
        <w:rPr>
          <w:rFonts w:ascii="宋体" w:hAnsi="宋体" w:cs="宋体" w:eastAsia="宋体" w:hint="default"/>
          <w:sz w:val="26"/>
          <w:szCs w:val="26"/>
        </w:rPr>
      </w:pPr>
    </w:p>
    <w:p>
      <w:pPr>
        <w:pStyle w:val="Heading3"/>
        <w:spacing w:line="240" w:lineRule="auto"/>
        <w:ind w:right="0"/>
        <w:jc w:val="left"/>
        <w:rPr>
          <w:b w:val="0"/>
          <w:bCs w:val="0"/>
        </w:rPr>
      </w:pPr>
      <w:bookmarkStart w:name="4、营业收入和营业成本" w:id="365"/>
      <w:bookmarkEnd w:id="365"/>
      <w:r>
        <w:rPr>
          <w:b w:val="0"/>
          <w:bCs w:val="0"/>
        </w:rPr>
      </w:r>
      <w:r>
        <w:rPr>
          <w:rFonts w:ascii="Times New Roman" w:hAnsi="Times New Roman" w:cs="Times New Roman" w:eastAsia="Times New Roman" w:hint="default"/>
        </w:rPr>
        <w:t>4</w:t>
      </w:r>
      <w:r>
        <w:rPr/>
        <w:t>、营业收入和营业成本</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1983"/>
        <w:gridCol w:w="1838"/>
        <w:gridCol w:w="1913"/>
        <w:gridCol w:w="1913"/>
        <w:gridCol w:w="1913"/>
      </w:tblGrid>
      <w:tr>
        <w:trPr>
          <w:trHeight w:val="206" w:hRule="exact"/>
        </w:trPr>
        <w:tc>
          <w:tcPr>
            <w:tcW w:w="1983" w:type="dxa"/>
            <w:tcBorders>
              <w:top w:val="single" w:sz="4" w:space="0" w:color="000000"/>
              <w:left w:val="single" w:sz="4" w:space="0" w:color="000000"/>
              <w:bottom w:val="nil" w:sz="6" w:space="0" w:color="auto"/>
              <w:right w:val="single" w:sz="4" w:space="0" w:color="000000"/>
            </w:tcBorders>
            <w:shd w:val="clear" w:color="auto" w:fill="D2D2D2"/>
          </w:tcPr>
          <w:p>
            <w:pPr/>
          </w:p>
        </w:tc>
        <w:tc>
          <w:tcPr>
            <w:tcW w:w="3750"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91" w:hRule="exact"/>
        </w:trPr>
        <w:tc>
          <w:tcPr>
            <w:tcW w:w="198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3750" w:type="dxa"/>
            <w:gridSpan w:val="2"/>
            <w:vMerge/>
            <w:tcBorders>
              <w:left w:val="single" w:sz="4" w:space="0" w:color="000000"/>
              <w:bottom w:val="single" w:sz="4" w:space="0" w:color="000000"/>
              <w:right w:val="single" w:sz="4" w:space="0" w:color="000000"/>
            </w:tcBorders>
            <w:shd w:val="clear" w:color="auto" w:fill="D2D2D2"/>
          </w:tcPr>
          <w:p>
            <w:pPr/>
          </w:p>
        </w:tc>
        <w:tc>
          <w:tcPr>
            <w:tcW w:w="3826" w:type="dxa"/>
            <w:gridSpan w:val="2"/>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1983" w:type="dxa"/>
            <w:vMerge/>
            <w:tcBorders>
              <w:left w:val="single" w:sz="4" w:space="0" w:color="000000"/>
              <w:bottom w:val="nil" w:sz="6" w:space="0" w:color="auto"/>
              <w:right w:val="single" w:sz="4" w:space="0" w:color="000000"/>
            </w:tcBorders>
            <w:shd w:val="clear" w:color="auto" w:fill="D2D2D2"/>
          </w:tcPr>
          <w:p>
            <w:pPr/>
          </w:p>
        </w:tc>
        <w:tc>
          <w:tcPr>
            <w:tcW w:w="183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收入</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成本</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206" w:hRule="exact"/>
        </w:trPr>
        <w:tc>
          <w:tcPr>
            <w:tcW w:w="1983" w:type="dxa"/>
            <w:tcBorders>
              <w:top w:val="nil" w:sz="6" w:space="0" w:color="auto"/>
              <w:left w:val="single" w:sz="4" w:space="0" w:color="000000"/>
              <w:bottom w:val="single" w:sz="4" w:space="0" w:color="000000"/>
              <w:right w:val="single" w:sz="4" w:space="0" w:color="000000"/>
            </w:tcBorders>
            <w:shd w:val="clear" w:color="auto" w:fill="D2D2D2"/>
          </w:tcPr>
          <w:p>
            <w:pPr/>
          </w:p>
        </w:tc>
        <w:tc>
          <w:tcPr>
            <w:tcW w:w="1838"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8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752,062,381.33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369,865,304.88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480,801,590.41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242,158,011.08</w:t>
            </w:r>
          </w:p>
        </w:tc>
      </w:tr>
      <w:tr>
        <w:trPr>
          <w:trHeight w:val="402" w:hRule="exact"/>
        </w:trPr>
        <w:tc>
          <w:tcPr>
            <w:tcW w:w="1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8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1,919,971.92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310,500.30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1,594,394.33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310,500.30</w:t>
            </w:r>
          </w:p>
        </w:tc>
      </w:tr>
      <w:tr>
        <w:trPr>
          <w:trHeight w:val="402" w:hRule="exact"/>
        </w:trPr>
        <w:tc>
          <w:tcPr>
            <w:tcW w:w="1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753,982,353.25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370,175,805.18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482,395,984.74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242,468,511.38</w:t>
            </w:r>
          </w:p>
        </w:tc>
      </w:tr>
    </w:tbl>
    <w:p>
      <w:pPr>
        <w:pStyle w:val="BodyText"/>
        <w:spacing w:line="240" w:lineRule="auto" w:before="51"/>
        <w:ind w:left="1134"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5、投资收益" w:id="366"/>
      <w:bookmarkEnd w:id="366"/>
      <w:r>
        <w:rPr>
          <w:b w:val="0"/>
          <w:bCs w:val="0"/>
        </w:rPr>
      </w:r>
      <w:r>
        <w:rPr>
          <w:rFonts w:ascii="Times New Roman" w:hAnsi="Times New Roman" w:cs="Times New Roman" w:eastAsia="Times New Roman" w:hint="default"/>
        </w:rPr>
        <w:t>5</w:t>
      </w:r>
      <w:r>
        <w:rPr/>
        <w:t>、投资收益</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3302"/>
        <w:gridCol w:w="3071"/>
        <w:gridCol w:w="3186"/>
      </w:tblGrid>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成本法核算的长期股权投资收益</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17,071,281.72</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14,408,000.00</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处置长期股权投资产生的投资收益</w:t>
            </w:r>
          </w:p>
        </w:tc>
        <w:tc>
          <w:tcPr>
            <w:tcW w:w="3071" w:type="dxa"/>
            <w:tcBorders>
              <w:top w:val="single" w:sz="4" w:space="0" w:color="000000"/>
              <w:left w:val="single" w:sz="13" w:space="0" w:color="D2D2D2"/>
              <w:bottom w:val="single" w:sz="4" w:space="0" w:color="000000"/>
              <w:right w:val="single" w:sz="4" w:space="0" w:color="000000"/>
            </w:tcBorders>
          </w:tcPr>
          <w:p>
            <w:pP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-1,014,417.39</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17,071,281.72</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13,393,582.61</w:t>
            </w:r>
          </w:p>
        </w:tc>
      </w:tr>
    </w:tbl>
    <w:p>
      <w:pPr>
        <w:spacing w:line="240" w:lineRule="auto" w:before="2"/>
        <w:rPr>
          <w:rFonts w:ascii="宋体" w:hAnsi="宋体" w:cs="宋体" w:eastAsia="宋体" w:hint="default"/>
          <w:sz w:val="19"/>
          <w:szCs w:val="19"/>
        </w:rPr>
      </w:pPr>
    </w:p>
    <w:p>
      <w:pPr>
        <w:pStyle w:val="Heading3"/>
        <w:spacing w:line="240" w:lineRule="auto" w:before="35"/>
        <w:ind w:left="1134" w:right="0"/>
        <w:jc w:val="left"/>
        <w:rPr>
          <w:b w:val="0"/>
          <w:bCs w:val="0"/>
        </w:rPr>
      </w:pPr>
      <w:bookmarkStart w:name="6、其他" w:id="367"/>
      <w:bookmarkEnd w:id="367"/>
      <w:r>
        <w:rPr>
          <w:b w:val="0"/>
          <w:bCs w:val="0"/>
        </w:rPr>
      </w:r>
      <w:r>
        <w:rPr>
          <w:rFonts w:ascii="Times New Roman" w:hAnsi="Times New Roman" w:cs="Times New Roman" w:eastAsia="Times New Roman" w:hint="default"/>
        </w:rPr>
        <w:t>6</w:t>
      </w:r>
      <w:r>
        <w:rPr/>
        <w:t>、其他</w:t>
      </w:r>
      <w:r>
        <w:rPr>
          <w:b w:val="0"/>
          <w:bCs w:val="0"/>
        </w:rPr>
      </w:r>
    </w:p>
    <w:p>
      <w:pPr>
        <w:spacing w:line="240" w:lineRule="auto" w:before="12"/>
        <w:rPr>
          <w:rFonts w:ascii="宋体" w:hAnsi="宋体" w:cs="宋体" w:eastAsia="宋体" w:hint="default"/>
          <w:b/>
          <w:bCs/>
          <w:sz w:val="22"/>
          <w:szCs w:val="22"/>
        </w:rPr>
      </w:pPr>
    </w:p>
    <w:p>
      <w:pPr>
        <w:pStyle w:val="Heading2"/>
        <w:spacing w:line="240" w:lineRule="auto"/>
        <w:ind w:left="1134" w:right="0"/>
        <w:jc w:val="left"/>
        <w:rPr>
          <w:b w:val="0"/>
          <w:bCs w:val="0"/>
        </w:rPr>
      </w:pPr>
      <w:bookmarkStart w:name="十六、补充资料" w:id="368"/>
      <w:bookmarkEnd w:id="368"/>
      <w:r>
        <w:rPr>
          <w:b w:val="0"/>
          <w:bCs w:val="0"/>
        </w:rPr>
      </w:r>
      <w:r>
        <w:rPr/>
        <w:t>十六、补充资料</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1、当期非经常性损益明细表" w:id="369"/>
      <w:bookmarkEnd w:id="369"/>
      <w:r>
        <w:rPr>
          <w:b w:val="0"/>
          <w:bCs w:val="0"/>
        </w:rPr>
      </w:r>
      <w:r>
        <w:rPr>
          <w:rFonts w:ascii="Times New Roman" w:hAnsi="Times New Roman" w:cs="Times New Roman" w:eastAsia="Times New Roman" w:hint="default"/>
        </w:rPr>
        <w:t>1</w:t>
      </w:r>
      <w:r>
        <w:rPr/>
        <w:t>、当期非经常性损益明细表</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79" w:top="1060" w:bottom="1160" w:left="0" w:right="0"/>
        </w:sectPr>
      </w:pPr>
    </w:p>
    <w:p>
      <w:pPr>
        <w:spacing w:line="240" w:lineRule="auto" w:before="13"/>
        <w:rPr>
          <w:rFonts w:ascii="宋体" w:hAnsi="宋体" w:cs="宋体" w:eastAsia="宋体" w:hint="default"/>
          <w:sz w:val="25"/>
          <w:szCs w:val="25"/>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3302"/>
        <w:gridCol w:w="3071"/>
        <w:gridCol w:w="3186"/>
      </w:tblGrid>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非流动资产处置损益</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20,786.66</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1" w:right="38"/>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 受的政府补助除外）</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14,701,025.32</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w w:val="95"/>
                <w:sz w:val="18"/>
              </w:rPr>
              <w:t>-594,898.94</w:t>
            </w:r>
            <w:r>
              <w:rPr>
                <w:rFonts w:ascii="Times New Roman"/>
                <w:sz w:val="18"/>
              </w:rPr>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2,123,209.12</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少数股东权益影响额</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1,103,462.84</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71"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2"/>
              <w:ind w:right="10"/>
              <w:jc w:val="right"/>
              <w:rPr>
                <w:rFonts w:ascii="Times New Roman" w:hAnsi="Times New Roman" w:cs="Times New Roman" w:eastAsia="Times New Roman" w:hint="default"/>
                <w:sz w:val="18"/>
                <w:szCs w:val="18"/>
              </w:rPr>
            </w:pPr>
            <w:r>
              <w:rPr>
                <w:rFonts w:ascii="Times New Roman"/>
                <w:spacing w:val="-1"/>
                <w:sz w:val="18"/>
              </w:rPr>
              <w:t>10,900,241.08</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left="1134" w:right="0"/>
        <w:jc w:val="left"/>
      </w:pPr>
      <w:r>
        <w:rPr>
          <w:spacing w:val="-3"/>
        </w:rPr>
        <w:t>对公司根据《公开发行证券的公司信息披露解释性公告第</w:t>
      </w:r>
      <w:r>
        <w:rPr>
          <w:spacing w:val="-39"/>
        </w:rPr>
        <w:t> </w:t>
      </w:r>
      <w:r>
        <w:rPr>
          <w:rFonts w:ascii="Times New Roman" w:hAnsi="Times New Roman" w:cs="Times New Roman" w:eastAsia="Times New Roman" w:hint="default"/>
        </w:rPr>
        <w:t>1</w:t>
      </w:r>
      <w:r>
        <w:rPr>
          <w:rFonts w:ascii="Times New Roman" w:hAnsi="Times New Roman" w:cs="Times New Roman" w:eastAsia="Times New Roman" w:hint="default"/>
          <w:spacing w:val="5"/>
        </w:rPr>
        <w:t> </w:t>
      </w:r>
      <w:r>
        <w:rPr>
          <w:spacing w:val="-7"/>
        </w:rPr>
        <w:t>号</w:t>
      </w:r>
      <w:r>
        <w:rPr>
          <w:rFonts w:ascii="Times New Roman" w:hAnsi="Times New Roman" w:cs="Times New Roman" w:eastAsia="Times New Roman" w:hint="default"/>
          <w:spacing w:val="-7"/>
        </w:rPr>
        <w:t>——</w:t>
      </w:r>
      <w:r>
        <w:rPr>
          <w:spacing w:val="-7"/>
        </w:rPr>
        <w:t>非经常性损益》定义界定的非经常性损益项目，以及把《公</w:t>
      </w:r>
    </w:p>
    <w:p>
      <w:pPr>
        <w:pStyle w:val="BodyText"/>
        <w:spacing w:line="302" w:lineRule="auto" w:before="61"/>
        <w:ind w:left="1134" w:right="1118"/>
        <w:jc w:val="left"/>
      </w:pPr>
      <w:r>
        <w:rPr/>
        <w:t>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6"/>
        </w:rPr>
        <w:t> </w:t>
      </w:r>
      <w:r>
        <w:rPr>
          <w:spacing w:val="-3"/>
        </w:rPr>
        <w:t>号</w:t>
      </w:r>
      <w:r>
        <w:rPr>
          <w:rFonts w:ascii="Times New Roman" w:hAnsi="Times New Roman" w:cs="Times New Roman" w:eastAsia="Times New Roman" w:hint="default"/>
          <w:spacing w:val="-3"/>
        </w:rPr>
        <w:t>——</w:t>
      </w:r>
      <w:r>
        <w:rPr>
          <w:spacing w:val="-3"/>
        </w:rPr>
        <w:t>非经常性损益》中列举的非经常性损益项目界定为经常性损益的项目，应</w:t>
      </w:r>
      <w:r>
        <w:rPr/>
        <w:t> 说明原因。</w:t>
      </w:r>
    </w:p>
    <w:p>
      <w:pPr>
        <w:pStyle w:val="BodyText"/>
        <w:spacing w:line="240" w:lineRule="auto" w:before="69"/>
        <w:ind w:left="113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3"/>
        <w:spacing w:line="240" w:lineRule="auto"/>
        <w:ind w:right="0"/>
        <w:jc w:val="left"/>
        <w:rPr>
          <w:b w:val="0"/>
          <w:bCs w:val="0"/>
        </w:rPr>
      </w:pPr>
      <w:bookmarkStart w:name="2、净资产收益率及每股收益" w:id="370"/>
      <w:bookmarkEnd w:id="370"/>
      <w:r>
        <w:rPr>
          <w:b w:val="0"/>
          <w:bCs w:val="0"/>
        </w:rPr>
      </w:r>
      <w:r>
        <w:rPr>
          <w:rFonts w:ascii="Times New Roman" w:hAnsi="Times New Roman" w:cs="Times New Roman" w:eastAsia="Times New Roman" w:hint="default"/>
        </w:rPr>
        <w:t>2</w:t>
      </w:r>
      <w:r>
        <w:rPr/>
        <w:t>、净资产收益率及每股收益</w:t>
      </w:r>
      <w:r>
        <w:rPr>
          <w:b w:val="0"/>
          <w:bCs w:val="0"/>
        </w:rPr>
      </w:r>
    </w:p>
    <w:p>
      <w:pPr>
        <w:spacing w:line="240" w:lineRule="auto" w:before="9"/>
        <w:rPr>
          <w:rFonts w:ascii="宋体" w:hAnsi="宋体" w:cs="宋体" w:eastAsia="宋体" w:hint="default"/>
          <w:b/>
          <w:bCs/>
          <w:sz w:val="25"/>
          <w:szCs w:val="25"/>
        </w:rPr>
      </w:pPr>
    </w:p>
    <w:tbl>
      <w:tblPr>
        <w:tblW w:w="0" w:type="auto"/>
        <w:jc w:val="left"/>
        <w:tblInd w:w="1140" w:type="dxa"/>
        <w:tblLayout w:type="fixed"/>
        <w:tblCellMar>
          <w:top w:w="0" w:type="dxa"/>
          <w:left w:w="0" w:type="dxa"/>
          <w:bottom w:w="0" w:type="dxa"/>
          <w:right w:w="0" w:type="dxa"/>
        </w:tblCellMar>
        <w:tblLook w:val="01E0"/>
      </w:tblPr>
      <w:tblGrid>
        <w:gridCol w:w="2651"/>
        <w:gridCol w:w="3081"/>
        <w:gridCol w:w="1913"/>
        <w:gridCol w:w="1913"/>
      </w:tblGrid>
      <w:tr>
        <w:trPr>
          <w:trHeight w:val="206" w:hRule="exact"/>
        </w:trPr>
        <w:tc>
          <w:tcPr>
            <w:tcW w:w="2651" w:type="dxa"/>
            <w:tcBorders>
              <w:top w:val="single" w:sz="4" w:space="0" w:color="000000"/>
              <w:left w:val="single" w:sz="4" w:space="0" w:color="000000"/>
              <w:bottom w:val="nil" w:sz="6" w:space="0" w:color="auto"/>
              <w:right w:val="single" w:sz="4" w:space="0" w:color="000000"/>
            </w:tcBorders>
            <w:shd w:val="clear" w:color="auto" w:fill="D2D2D2"/>
          </w:tcPr>
          <w:p>
            <w:pPr/>
          </w:p>
        </w:tc>
        <w:tc>
          <w:tcPr>
            <w:tcW w:w="3081" w:type="dxa"/>
            <w:tcBorders>
              <w:top w:val="single" w:sz="4" w:space="0" w:color="000000"/>
              <w:left w:val="single" w:sz="4" w:space="0" w:color="000000"/>
              <w:bottom w:val="nil" w:sz="6" w:space="0" w:color="auto"/>
              <w:right w:val="single" w:sz="4" w:space="0" w:color="000000"/>
            </w:tcBorders>
            <w:shd w:val="clear" w:color="auto" w:fill="D2D2D2"/>
          </w:tcPr>
          <w:p>
            <w:pPr/>
          </w:p>
        </w:tc>
        <w:tc>
          <w:tcPr>
            <w:tcW w:w="382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每股收益</w:t>
            </w:r>
          </w:p>
        </w:tc>
      </w:tr>
      <w:tr>
        <w:trPr>
          <w:trHeight w:val="191" w:hRule="exact"/>
        </w:trPr>
        <w:tc>
          <w:tcPr>
            <w:tcW w:w="265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865" w:right="0"/>
              <w:jc w:val="left"/>
              <w:rPr>
                <w:rFonts w:ascii="宋体" w:hAnsi="宋体" w:cs="宋体" w:eastAsia="宋体" w:hint="default"/>
                <w:sz w:val="18"/>
                <w:szCs w:val="18"/>
              </w:rPr>
            </w:pPr>
            <w:r>
              <w:rPr>
                <w:rFonts w:ascii="宋体" w:hAnsi="宋体" w:cs="宋体" w:eastAsia="宋体" w:hint="default"/>
                <w:sz w:val="18"/>
                <w:szCs w:val="18"/>
              </w:rPr>
              <w:t>报告期利润</w:t>
            </w:r>
          </w:p>
        </w:tc>
        <w:tc>
          <w:tcPr>
            <w:tcW w:w="308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635"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3826" w:type="dxa"/>
            <w:gridSpan w:val="2"/>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2651" w:type="dxa"/>
            <w:vMerge/>
            <w:tcBorders>
              <w:left w:val="single" w:sz="4" w:space="0" w:color="000000"/>
              <w:bottom w:val="nil" w:sz="6" w:space="0" w:color="auto"/>
              <w:right w:val="single" w:sz="4" w:space="0" w:color="000000"/>
            </w:tcBorders>
            <w:shd w:val="clear" w:color="auto" w:fill="D2D2D2"/>
          </w:tcPr>
          <w:p>
            <w:pPr/>
          </w:p>
        </w:tc>
        <w:tc>
          <w:tcPr>
            <w:tcW w:w="3081" w:type="dxa"/>
            <w:vMerge/>
            <w:tcBorders>
              <w:left w:val="single" w:sz="4" w:space="0" w:color="000000"/>
              <w:bottom w:val="nil" w:sz="6" w:space="0" w:color="auto"/>
              <w:right w:val="single" w:sz="4" w:space="0" w:color="000000"/>
            </w:tcBorders>
            <w:shd w:val="clear" w:color="auto" w:fill="D2D2D2"/>
          </w:tcPr>
          <w:p>
            <w:pP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7"/>
              <w:ind w:left="26"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7"/>
              <w:ind w:left="26"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r>
      <w:tr>
        <w:trPr>
          <w:trHeight w:val="205" w:hRule="exact"/>
        </w:trPr>
        <w:tc>
          <w:tcPr>
            <w:tcW w:w="2651" w:type="dxa"/>
            <w:tcBorders>
              <w:top w:val="nil" w:sz="6" w:space="0" w:color="auto"/>
              <w:left w:val="single" w:sz="4" w:space="0" w:color="000000"/>
              <w:bottom w:val="single" w:sz="4" w:space="0" w:color="000000"/>
              <w:right w:val="single" w:sz="4" w:space="0" w:color="000000"/>
            </w:tcBorders>
            <w:shd w:val="clear" w:color="auto" w:fill="D2D2D2"/>
          </w:tcPr>
          <w:p>
            <w:pPr/>
          </w:p>
        </w:tc>
        <w:tc>
          <w:tcPr>
            <w:tcW w:w="3081"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6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30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12.19%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0.55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0.55</w:t>
            </w:r>
          </w:p>
        </w:tc>
      </w:tr>
      <w:tr>
        <w:trPr>
          <w:trHeight w:val="715" w:hRule="exact"/>
        </w:trPr>
        <w:tc>
          <w:tcPr>
            <w:tcW w:w="26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107"/>
              <w:jc w:val="left"/>
              <w:rPr>
                <w:rFonts w:ascii="宋体" w:hAnsi="宋体" w:cs="宋体" w:eastAsia="宋体" w:hint="default"/>
                <w:sz w:val="18"/>
                <w:szCs w:val="18"/>
              </w:rPr>
            </w:pPr>
            <w:r>
              <w:rPr>
                <w:rFonts w:ascii="宋体" w:hAnsi="宋体" w:cs="宋体" w:eastAsia="宋体" w:hint="default"/>
                <w:sz w:val="18"/>
                <w:szCs w:val="18"/>
              </w:rPr>
              <w:t>扣除非经常性损益后归属于公司 普通股股东的净利润</w:t>
            </w:r>
          </w:p>
        </w:tc>
        <w:tc>
          <w:tcPr>
            <w:tcW w:w="30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2"/>
                <w:sz w:val="18"/>
              </w:rPr>
              <w:t>11.48%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0.51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0.51</w:t>
            </w:r>
          </w:p>
        </w:tc>
      </w:tr>
    </w:tbl>
    <w:p>
      <w:pPr>
        <w:spacing w:line="240" w:lineRule="auto" w:before="2"/>
        <w:rPr>
          <w:rFonts w:ascii="宋体" w:hAnsi="宋体" w:cs="宋体" w:eastAsia="宋体" w:hint="default"/>
          <w:b/>
          <w:bCs/>
          <w:sz w:val="19"/>
          <w:szCs w:val="19"/>
        </w:rPr>
      </w:pPr>
    </w:p>
    <w:p>
      <w:pPr>
        <w:pStyle w:val="Heading3"/>
        <w:spacing w:line="240" w:lineRule="auto" w:before="35"/>
        <w:ind w:left="1134" w:right="0"/>
        <w:jc w:val="left"/>
        <w:rPr>
          <w:b w:val="0"/>
          <w:bCs w:val="0"/>
        </w:rPr>
      </w:pPr>
      <w:bookmarkStart w:name="3、境内外会计准则下会计数据差异" w:id="371"/>
      <w:bookmarkEnd w:id="371"/>
      <w:r>
        <w:rPr>
          <w:b w:val="0"/>
          <w:bCs w:val="0"/>
        </w:rPr>
      </w:r>
      <w:r>
        <w:rPr>
          <w:rFonts w:ascii="Times New Roman" w:hAnsi="Times New Roman" w:cs="Times New Roman" w:eastAsia="Times New Roman" w:hint="default"/>
        </w:rPr>
        <w:t>3</w:t>
      </w:r>
      <w:r>
        <w:rPr/>
        <w:t>、境内外会计准则下会计数据差异</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34" w:right="0"/>
        <w:jc w:val="left"/>
        <w:rPr>
          <w:b w:val="0"/>
          <w:bCs w:val="0"/>
        </w:rPr>
      </w:pPr>
      <w:bookmarkStart w:name="（1）同时按照国际会计准则与按中国会计准则披露的财务报告中净利润和净资产差异情况" w:id="372"/>
      <w:bookmarkEnd w:id="372"/>
      <w:r>
        <w:rPr>
          <w:b w:val="0"/>
          <w:bCs w:val="0"/>
        </w:rPr>
      </w:r>
      <w:r>
        <w:rPr/>
        <w:t>（</w:t>
      </w:r>
      <w:r>
        <w:rPr>
          <w:rFonts w:ascii="Times New Roman" w:hAnsi="Times New Roman" w:cs="Times New Roman" w:eastAsia="Times New Roman" w:hint="default"/>
        </w:rPr>
        <w:t>1</w:t>
      </w:r>
      <w:r>
        <w:rPr/>
        <w:t>）同时按照国际会计准则与按中国会计准则披露的财务报告中净利润和净资产差异情况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13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2）同时按照境外会计准则与按中国会计准则披露的财务报告中净利润和净资产差异情况" w:id="373"/>
      <w:bookmarkEnd w:id="373"/>
      <w:r>
        <w:rPr>
          <w:b w:val="0"/>
          <w:bCs w:val="0"/>
        </w:rPr>
      </w:r>
      <w:r>
        <w:rPr/>
        <w:t>（</w:t>
      </w:r>
      <w:r>
        <w:rPr>
          <w:rFonts w:ascii="Times New Roman" w:hAnsi="Times New Roman" w:cs="Times New Roman" w:eastAsia="Times New Roman" w:hint="default"/>
        </w:rPr>
        <w:t>2</w:t>
      </w:r>
      <w:r>
        <w:rPr/>
        <w:t>）同时按照境外会计准则与按中国会计准则披露的财务报告中净利润和净资产差异情况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13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59" w:lineRule="auto"/>
        <w:ind w:right="0"/>
        <w:jc w:val="left"/>
        <w:rPr>
          <w:b w:val="0"/>
          <w:bCs w:val="0"/>
        </w:rPr>
      </w:pPr>
      <w:bookmarkStart w:name="（3）境内外会计准则下会计数据差异原因说明，对已经境外审计机构审计的数据进行差异" w:id="374"/>
      <w:bookmarkEnd w:id="374"/>
      <w:r>
        <w:rPr>
          <w:b w:val="0"/>
          <w:bCs w:val="0"/>
        </w:rPr>
      </w:r>
      <w:r>
        <w:rPr/>
        <w:t>（</w:t>
      </w:r>
      <w:r>
        <w:rPr>
          <w:rFonts w:ascii="Times New Roman" w:hAnsi="Times New Roman" w:cs="Times New Roman" w:eastAsia="Times New Roman" w:hint="default"/>
        </w:rPr>
        <w:t>3</w:t>
      </w:r>
      <w:r>
        <w:rPr/>
        <w:t>）境内外会计准则下会计数据差异原因说明，对已经境外审计机构审计的数据进行差异调节的，应注</w:t>
      </w:r>
      <w:r>
        <w:rPr>
          <w:spacing w:val="-74"/>
        </w:rPr>
        <w:t> </w:t>
      </w:r>
      <w:r>
        <w:rPr>
          <w:spacing w:val="-74"/>
        </w:rPr>
      </w:r>
      <w:r>
        <w:rPr/>
        <w:t>明该境外机构的名称</w:t>
      </w:r>
      <w:r>
        <w:rPr>
          <w:b w:val="0"/>
          <w:bCs w:val="0"/>
        </w:rPr>
      </w:r>
    </w:p>
    <w:p>
      <w:pPr>
        <w:spacing w:after="0" w:line="259" w:lineRule="auto"/>
        <w:jc w:val="left"/>
        <w:sectPr>
          <w:pgSz w:w="11910" w:h="16840"/>
          <w:pgMar w:header="747" w:footer="979" w:top="1060" w:bottom="1160" w:left="0" w:right="0"/>
        </w:sectPr>
      </w:pP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20"/>
          <w:szCs w:val="20"/>
        </w:rPr>
      </w:pPr>
    </w:p>
    <w:p>
      <w:pPr>
        <w:pStyle w:val="Heading1"/>
        <w:spacing w:line="240" w:lineRule="auto"/>
        <w:ind w:left="815" w:right="816"/>
        <w:jc w:val="center"/>
        <w:rPr>
          <w:b w:val="0"/>
          <w:bCs w:val="0"/>
        </w:rPr>
      </w:pPr>
      <w:bookmarkStart w:name="第十二节 备查文件目录" w:id="375"/>
      <w:bookmarkEnd w:id="375"/>
      <w:r>
        <w:rPr>
          <w:b w:val="0"/>
          <w:bCs w:val="0"/>
        </w:rPr>
      </w:r>
      <w:bookmarkStart w:name="_bookmark11" w:id="376"/>
      <w:bookmarkEnd w:id="376"/>
      <w:r>
        <w:rPr>
          <w:b w:val="0"/>
          <w:bCs w:val="0"/>
        </w:rPr>
      </w:r>
      <w:r>
        <w:rPr/>
        <w:t>第十二节</w:t>
      </w:r>
      <w:r>
        <w:rPr>
          <w:spacing w:val="-8"/>
        </w:rPr>
        <w:t> </w:t>
      </w:r>
      <w:r>
        <w:rPr/>
        <w:t>备查文件目录</w:t>
      </w:r>
      <w:r>
        <w:rPr>
          <w:b w:val="0"/>
          <w:bCs w:val="0"/>
        </w:rPr>
      </w:r>
    </w:p>
    <w:p>
      <w:pPr>
        <w:spacing w:line="240" w:lineRule="auto" w:before="7"/>
        <w:rPr>
          <w:rFonts w:ascii="宋体" w:hAnsi="宋体" w:cs="宋体" w:eastAsia="宋体" w:hint="default"/>
          <w:b/>
          <w:bCs/>
          <w:sz w:val="40"/>
          <w:szCs w:val="40"/>
        </w:rPr>
      </w:pPr>
    </w:p>
    <w:p>
      <w:pPr>
        <w:pStyle w:val="Heading4"/>
        <w:spacing w:line="273" w:lineRule="auto" w:before="0"/>
        <w:ind w:right="0"/>
        <w:jc w:val="left"/>
      </w:pPr>
      <w:r>
        <w:rPr>
          <w:spacing w:val="-1"/>
        </w:rPr>
        <w:t>（一）载有法定代表人李玉国先生、主管会计工作负责人李国壁先生、会计机构负责人王才宁先生签名盖</w:t>
      </w:r>
      <w:r>
        <w:rPr>
          <w:spacing w:val="-83"/>
        </w:rPr>
        <w:t> </w:t>
      </w:r>
      <w:r>
        <w:rPr>
          <w:spacing w:val="-83"/>
        </w:rPr>
      </w:r>
      <w:r>
        <w:rPr/>
        <w:t>章的财务报表。</w:t>
      </w:r>
    </w:p>
    <w:p>
      <w:pPr>
        <w:pStyle w:val="Heading4"/>
        <w:spacing w:line="273" w:lineRule="auto"/>
        <w:ind w:right="1118"/>
        <w:jc w:val="left"/>
      </w:pPr>
      <w:r>
        <w:rPr>
          <w:spacing w:val="-1"/>
        </w:rPr>
        <w:t>（二）载有利安达会计师事务所（特殊普通合伙）盖章、注册会计师邱淦泳、许海丽签名并盖章的审计报</w:t>
      </w:r>
      <w:r>
        <w:rPr>
          <w:spacing w:val="-82"/>
        </w:rPr>
        <w:t> </w:t>
      </w:r>
      <w:r>
        <w:rPr>
          <w:spacing w:val="-82"/>
        </w:rPr>
      </w:r>
      <w:r>
        <w:rPr/>
        <w:t>告原件。</w:t>
      </w:r>
    </w:p>
    <w:p>
      <w:pPr>
        <w:pStyle w:val="Heading4"/>
        <w:spacing w:line="544" w:lineRule="auto"/>
        <w:ind w:right="2563"/>
        <w:jc w:val="left"/>
      </w:pPr>
      <w:r>
        <w:rPr/>
        <w:t>（三）报告期内在中国证监会指定网站上公开披露过的所有公司文件的正本及公告原稿。 以上文件置备于公司证券部，地址为石家庄市高新区湘江道</w:t>
      </w:r>
      <w:r>
        <w:rPr>
          <w:rFonts w:ascii="Times New Roman" w:hAnsi="Times New Roman" w:cs="Times New Roman" w:eastAsia="Times New Roman" w:hint="default"/>
        </w:rPr>
        <w:t>251</w:t>
      </w:r>
      <w:r>
        <w:rPr/>
        <w:t>号</w:t>
      </w:r>
    </w:p>
    <w:sectPr>
      <w:pgSz w:w="11910" w:h="16840"/>
      <w:pgMar w:header="747" w:footer="979" w:top="1060" w:bottom="1160" w:left="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 w:name="Arial Narrow">
    <w:altName w:val="Arial Narrow"/>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0pt;margin-top:799.919983pt;width:595.320007pt;height:42pt;mso-position-horizontal-relative:page;mso-position-vertical-relative:page;z-index:-986008" type="#_x0000_t75" stroked="false">
          <v:imagedata r:id="rId1" o:title=""/>
        </v:shape>
      </w:pict>
    </w:r>
    <w:r>
      <w:rPr/>
      <w:pict>
        <v:shape style="position:absolute;margin-left:533.179993pt;margin-top:795.517944pt;width:6.5pt;height:11pt;mso-position-horizontal-relative:page;mso-position-vertical-relative:page;z-index:-985984" type="#_x0000_t202" filled="false" stroked="false">
          <v:textbox inset="0,0,0,0">
            <w:txbxContent>
              <w:p>
                <w:pPr>
                  <w:pStyle w:val="BodyText"/>
                  <w:spacing w:line="204" w:lineRule="exact"/>
                  <w:ind w:left="20" w:right="0"/>
                  <w:jc w:val="left"/>
                  <w:rPr>
                    <w:rFonts w:ascii="Times New Roman" w:hAnsi="Times New Roman" w:cs="Times New Roman" w:eastAsia="Times New Roman" w:hint="default"/>
                  </w:rPr>
                </w:pPr>
                <w:r>
                  <w:rPr>
                    <w:rFonts w:ascii="Times New Roman"/>
                  </w:rPr>
                  <w:t>1</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0pt;margin-top:799.919983pt;width:595.320007pt;height:42pt;mso-position-horizontal-relative:page;mso-position-vertical-relative:page;z-index:-985960" type="#_x0000_t75" stroked="false">
          <v:imagedata r:id="rId1" o:title=""/>
        </v:shape>
      </w:pict>
    </w:r>
    <w:r>
      <w:rPr/>
      <w:pict>
        <v:shape style="position:absolute;margin-left:527.679993pt;margin-top:781.957947pt;width:13pt;height:11pt;mso-position-horizontal-relative:page;mso-position-vertical-relative:page;z-index:-985936"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0pt;margin-top:799.919983pt;width:595.320007pt;height:42pt;mso-position-horizontal-relative:page;mso-position-vertical-relative:page;z-index:-985912" type="#_x0000_t75" stroked="false">
          <v:imagedata r:id="rId1" o:title=""/>
        </v:shape>
      </w:pict>
    </w:r>
    <w:r>
      <w:rPr/>
      <w:pict>
        <v:shape style="position:absolute;margin-left:55.700001pt;margin-top:758.485596pt;width:483.95pt;height:11pt;mso-position-horizontal-relative:page;mso-position-vertical-relative:page;z-index:-985888" type="#_x0000_t202" filled="false" stroked="false">
          <v:textbox inset="0,0,0,0">
            <w:txbxContent>
              <w:p>
                <w:pPr>
                  <w:pStyle w:val="BodyText"/>
                  <w:spacing w:line="200" w:lineRule="exact"/>
                  <w:ind w:left="20" w:right="0"/>
                  <w:jc w:val="left"/>
                </w:pPr>
                <w:r>
                  <w:rPr>
                    <w:spacing w:val="-2"/>
                  </w:rPr>
                  <w:t>应当采用与被购买方直接处置相关资产或负债相同的基础进行会计处理（即，除了按照权益法核算的在被购买方重新计量设</w:t>
                </w:r>
              </w:p>
            </w:txbxContent>
          </v:textbox>
          <w10:wrap type="none"/>
        </v:shape>
      </w:pict>
    </w:r>
    <w:r>
      <w:rPr/>
      <w:pict>
        <v:shape style="position:absolute;margin-left:527.679993pt;margin-top:781.957947pt;width:13pt;height:11pt;mso-position-horizontal-relative:page;mso-position-vertical-relative:page;z-index:-985864"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93</w:t>
                </w:r>
                <w:r>
                  <w:rPr/>
                  <w:fldChar w:fldCharType="end"/>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0pt;margin-top:799.919983pt;width:595.320007pt;height:42pt;mso-position-horizontal-relative:page;mso-position-vertical-relative:page;z-index:-985840" type="#_x0000_t75" stroked="false">
          <v:imagedata r:id="rId1" o:title=""/>
        </v:shape>
      </w:pict>
    </w:r>
    <w:r>
      <w:rPr/>
      <w:pict>
        <v:shape style="position:absolute;margin-left:527.679993pt;margin-top:781.957947pt;width:13pt;height:11pt;mso-position-horizontal-relative:page;mso-position-vertical-relative:page;z-index:-985816"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94</w:t>
                </w:r>
                <w:r>
                  <w:rPr/>
                  <w:fldChar w:fldCharType="end"/>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0pt;margin-top:799.919983pt;width:595.320007pt;height:42pt;mso-position-horizontal-relative:page;mso-position-vertical-relative:page;z-index:-985792" type="#_x0000_t75" stroked="false">
          <v:imagedata r:id="rId1" o:title=""/>
        </v:shape>
      </w:pict>
    </w:r>
    <w:r>
      <w:rPr/>
      <w:pict>
        <v:shape style="position:absolute;margin-left:524.179993pt;margin-top:781.957947pt;width:15.5pt;height:11pt;mso-position-horizontal-relative:page;mso-position-vertical-relative:page;z-index:-985768" type="#_x0000_t202" filled="false" stroked="false">
          <v:textbox inset="0,0,0,0">
            <w:txbxContent>
              <w:p>
                <w:pPr>
                  <w:pStyle w:val="BodyText"/>
                  <w:spacing w:line="204" w:lineRule="exact"/>
                  <w:ind w:left="20" w:right="0"/>
                  <w:jc w:val="left"/>
                  <w:rPr>
                    <w:rFonts w:ascii="Times New Roman" w:hAnsi="Times New Roman" w:cs="Times New Roman" w:eastAsia="Times New Roman" w:hint="default"/>
                  </w:rPr>
                </w:pPr>
                <w:r>
                  <w:rPr>
                    <w:rFonts w:ascii="Times New Roman"/>
                  </w:rPr>
                  <w:t>100</w:t>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0pt;margin-top:799.919983pt;width:595.320007pt;height:42pt;mso-position-horizontal-relative:page;mso-position-vertical-relative:page;z-index:-985744" type="#_x0000_t75" stroked="false">
          <v:imagedata r:id="rId1" o:title=""/>
        </v:shape>
      </w:pict>
    </w:r>
    <w:r>
      <w:rPr/>
      <w:pict>
        <v:shape style="position:absolute;margin-left:523.179993pt;margin-top:781.957947pt;width:17.5pt;height:11pt;mso-position-horizontal-relative:page;mso-position-vertical-relative:page;z-index:-985720"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101</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type id="_x0000_t202" o:spt="202" coordsize="21600,21600" path="m,l,21600r21600,l21600,xe">
          <v:stroke joinstyle="miter"/>
          <v:path gradientshapeok="t" o:connecttype="rect"/>
        </v:shapetype>
        <v:shape style="position:absolute;margin-left:326.160004pt;margin-top:36.325607pt;width:213.55pt;height:11.5pt;mso-position-horizontal-relative:page;mso-position-vertical-relative:page;z-index:-986032" type="#_x0000_t202" filled="false" stroked="false">
          <v:textbox inset="0,0,0,0">
            <w:txbxContent>
              <w:p>
                <w:pPr>
                  <w:pStyle w:val="BodyText"/>
                  <w:spacing w:line="214" w:lineRule="exact"/>
                  <w:ind w:left="20" w:right="0"/>
                  <w:jc w:val="left"/>
                </w:pPr>
                <w:r>
                  <w:rPr/>
                  <w:t>河北先河环保科技股份有限公司</w:t>
                </w:r>
                <w:r>
                  <w:rPr>
                    <w:spacing w:val="-46"/>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年年度报告全文</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175"/>
      <w:ind w:left="1133"/>
    </w:pPr>
    <w:rPr>
      <w:rFonts w:ascii="宋体" w:hAnsi="宋体" w:eastAsia="宋体"/>
      <w:b/>
      <w:bCs/>
      <w:sz w:val="24"/>
      <w:szCs w:val="24"/>
    </w:rPr>
  </w:style>
  <w:style w:styleId="BodyText" w:type="paragraph">
    <w:name w:val="Body Text"/>
    <w:basedOn w:val="Normal"/>
    <w:uiPriority w:val="1"/>
    <w:qFormat/>
    <w:pPr>
      <w:ind w:left="1133"/>
    </w:pPr>
    <w:rPr>
      <w:rFonts w:ascii="宋体" w:hAnsi="宋体" w:eastAsia="宋体"/>
      <w:sz w:val="18"/>
      <w:szCs w:val="18"/>
    </w:rPr>
  </w:style>
  <w:style w:styleId="Heading1" w:type="paragraph">
    <w:name w:val="Heading 1"/>
    <w:basedOn w:val="Normal"/>
    <w:uiPriority w:val="1"/>
    <w:qFormat/>
    <w:pPr>
      <w:spacing w:before="1"/>
      <w:ind w:left="816"/>
      <w:outlineLvl w:val="1"/>
    </w:pPr>
    <w:rPr>
      <w:rFonts w:ascii="宋体" w:hAnsi="宋体" w:eastAsia="宋体"/>
      <w:b/>
      <w:bCs/>
      <w:sz w:val="32"/>
      <w:szCs w:val="32"/>
    </w:rPr>
  </w:style>
  <w:style w:styleId="Heading2" w:type="paragraph">
    <w:name w:val="Heading 2"/>
    <w:basedOn w:val="Normal"/>
    <w:uiPriority w:val="1"/>
    <w:qFormat/>
    <w:pPr>
      <w:ind w:left="1133"/>
      <w:outlineLvl w:val="2"/>
    </w:pPr>
    <w:rPr>
      <w:rFonts w:ascii="宋体" w:hAnsi="宋体" w:eastAsia="宋体"/>
      <w:b/>
      <w:bCs/>
      <w:sz w:val="24"/>
      <w:szCs w:val="24"/>
    </w:rPr>
  </w:style>
  <w:style w:styleId="Heading3" w:type="paragraph">
    <w:name w:val="Heading 3"/>
    <w:basedOn w:val="Normal"/>
    <w:uiPriority w:val="1"/>
    <w:qFormat/>
    <w:pPr>
      <w:ind w:left="1133"/>
      <w:outlineLvl w:val="3"/>
    </w:pPr>
    <w:rPr>
      <w:rFonts w:ascii="宋体" w:hAnsi="宋体" w:eastAsia="宋体"/>
      <w:b/>
      <w:bCs/>
      <w:sz w:val="21"/>
      <w:szCs w:val="21"/>
    </w:rPr>
  </w:style>
  <w:style w:styleId="Heading4" w:type="paragraph">
    <w:name w:val="Heading 4"/>
    <w:basedOn w:val="Normal"/>
    <w:uiPriority w:val="1"/>
    <w:qFormat/>
    <w:pPr>
      <w:spacing w:before="7"/>
      <w:ind w:left="1133"/>
      <w:outlineLvl w:val="4"/>
    </w:pPr>
    <w:rPr>
      <w:rFonts w:ascii="宋体" w:hAnsi="宋体" w:eastAsia="宋体"/>
      <w:sz w:val="21"/>
      <w:szCs w:val="21"/>
    </w:rPr>
  </w:style>
  <w:style w:styleId="Heading5" w:type="paragraph">
    <w:name w:val="Heading 5"/>
    <w:basedOn w:val="Normal"/>
    <w:uiPriority w:val="1"/>
    <w:qFormat/>
    <w:pPr>
      <w:ind w:left="1553"/>
      <w:outlineLvl w:val="5"/>
    </w:pPr>
    <w:rPr>
      <w:rFonts w:ascii="宋体" w:hAnsi="宋体" w:eastAsia="宋体"/>
      <w:b/>
      <w:bCs/>
      <w:sz w:val="18"/>
      <w:szCs w:val="18"/>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hyperlink" Target="http://www.sailhero.com.cn/" TargetMode="External"/><Relationship Id="rId9" Type="http://schemas.openxmlformats.org/officeDocument/2006/relationships/hyperlink" Target="mailto:xhhbzq@sailhero.com.cn" TargetMode="External"/><Relationship Id="rId10" Type="http://schemas.openxmlformats.org/officeDocument/2006/relationships/hyperlink" Target="http://www.cninfo.com.cn/" TargetMode="External"/><Relationship Id="rId11" Type="http://schemas.openxmlformats.org/officeDocument/2006/relationships/image" Target="media/image2.jpeg"/><Relationship Id="rId12" Type="http://schemas.openxmlformats.org/officeDocument/2006/relationships/footer" Target="footer3.xml"/><Relationship Id="rId13" Type="http://schemas.openxmlformats.org/officeDocument/2006/relationships/footer" Target="footer4.xml"/><Relationship Id="rId14" Type="http://schemas.openxmlformats.org/officeDocument/2006/relationships/footer" Target="footer5.xml"/><Relationship Id="rId15" Type="http://schemas.openxmlformats.org/officeDocument/2006/relationships/footer" Target="footer6.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_rels/footer4.xml.rels><?xml version="1.0" encoding="UTF-8" standalone="yes"?>
<Relationships xmlns="http://schemas.openxmlformats.org/package/2006/relationships"><Relationship Id="rId1" Type="http://schemas.openxmlformats.org/officeDocument/2006/relationships/image" Target="media/image1.png"/></Relationships>

</file>

<file path=word/_rels/footer5.xml.rels><?xml version="1.0" encoding="UTF-8" standalone="yes"?>
<Relationships xmlns="http://schemas.openxmlformats.org/package/2006/relationships"><Relationship Id="rId1" Type="http://schemas.openxmlformats.org/officeDocument/2006/relationships/image" Target="media/image1.png"/></Relationships>

</file>

<file path=word/_rels/footer6.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河北先河环保科技股份有限公司</dc:creator>
  <dc:title>河北先河环保科技股份有限公司2017年年度报告全文</dc:title>
  <dcterms:created xsi:type="dcterms:W3CDTF">2020-05-02T23:59:07Z</dcterms:created>
  <dcterms:modified xsi:type="dcterms:W3CDTF">2020-05-02T23:59:07Z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2018-04-23T00:00:00Z</vt:filetime>
  </property>
  <property fmtid="{D5CDD505-2E9C-101B-9397-08002B2CF9AE}" pid="3" name="Creator">
    <vt:lpwstr>Microsoft® Office Word 2007</vt:lpwstr>
  </property>
  <property fmtid="{D5CDD505-2E9C-101B-9397-08002B2CF9AE}" pid="4" name="LastSaved">
    <vt:filetime>2020-05-02T00:00:00Z</vt:filetime>
  </property>
</Properties>
</file>