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149" w:right="1126"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河北先河环保科技股份有限公司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47" w:right="112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50" w:right="112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公司负责人李玉国、主管会计工作负责人李国壁及会计机构负责人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王才宁声明：保证年度报告中财务报告的真实、准确、完整。</w:t>
      </w:r>
      <w:r>
        <w:rPr>
          <w:rFonts w:ascii="宋体" w:hAnsi="宋体" w:cs="宋体" w:eastAsia="宋体" w:hint="default"/>
          <w:sz w:val="28"/>
          <w:szCs w:val="28"/>
        </w:rPr>
      </w:r>
    </w:p>
    <w:p>
      <w:pPr>
        <w:spacing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936"/>
        <w:gridCol w:w="2211"/>
        <w:gridCol w:w="2212"/>
        <w:gridCol w:w="2210"/>
      </w:tblGrid>
      <w:tr>
        <w:trPr>
          <w:trHeight w:val="401"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2"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0"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1"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出差</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董岩</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出差</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李国壁</w:t>
            </w:r>
          </w:p>
        </w:tc>
      </w:tr>
    </w:tbl>
    <w:p>
      <w:pPr>
        <w:spacing w:line="240" w:lineRule="auto" w:before="2"/>
        <w:rPr>
          <w:rFonts w:ascii="宋体" w:hAnsi="宋体" w:cs="宋体" w:eastAsia="宋体" w:hint="default"/>
          <w:b/>
          <w:bCs/>
          <w:sz w:val="13"/>
          <w:szCs w:val="13"/>
        </w:rPr>
      </w:pPr>
    </w:p>
    <w:p>
      <w:pPr>
        <w:spacing w:line="408" w:lineRule="auto" w:before="13"/>
        <w:ind w:left="154" w:right="1142" w:firstLine="702"/>
        <w:jc w:val="both"/>
        <w:rPr>
          <w:rFonts w:ascii="宋体" w:hAnsi="宋体" w:cs="宋体" w:eastAsia="宋体" w:hint="default"/>
          <w:sz w:val="28"/>
          <w:szCs w:val="28"/>
        </w:rPr>
      </w:pPr>
      <w:r>
        <w:rPr>
          <w:rFonts w:ascii="宋体" w:hAnsi="宋体" w:cs="宋体" w:eastAsia="宋体" w:hint="default"/>
          <w:b/>
          <w:bCs/>
          <w:spacing w:val="-2"/>
          <w:w w:val="95"/>
          <w:sz w:val="28"/>
          <w:szCs w:val="28"/>
        </w:rPr>
        <w:t>本报告中如有涉及未来的计划、业绩预测等方面的内容，均不构成本公司</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line="386" w:lineRule="auto" w:before="160"/>
        <w:ind w:left="154" w:right="0" w:firstLine="562"/>
        <w:jc w:val="left"/>
        <w:rPr>
          <w:rFonts w:ascii="宋体" w:hAnsi="宋体" w:cs="宋体" w:eastAsia="宋体" w:hint="default"/>
          <w:sz w:val="28"/>
          <w:szCs w:val="28"/>
        </w:rPr>
      </w:pPr>
      <w:r>
        <w:rPr>
          <w:rFonts w:ascii="宋体" w:hAnsi="宋体" w:cs="宋体" w:eastAsia="宋体" w:hint="default"/>
          <w:b/>
          <w:bCs/>
          <w:spacing w:val="9"/>
          <w:w w:val="95"/>
          <w:sz w:val="28"/>
          <w:szCs w:val="28"/>
        </w:rPr>
        <w:t>本报告第四节</w:t>
      </w:r>
      <w:r>
        <w:rPr>
          <w:rFonts w:ascii="Times New Roman" w:hAnsi="Times New Roman" w:cs="Times New Roman" w:eastAsia="Times New Roman" w:hint="default"/>
          <w:b/>
          <w:bCs/>
          <w:spacing w:val="9"/>
          <w:w w:val="95"/>
          <w:sz w:val="28"/>
          <w:szCs w:val="28"/>
        </w:rPr>
        <w:t>“</w:t>
      </w:r>
      <w:r>
        <w:rPr>
          <w:rFonts w:ascii="宋体" w:hAnsi="宋体" w:cs="宋体" w:eastAsia="宋体" w:hint="default"/>
          <w:b/>
          <w:bCs/>
          <w:spacing w:val="9"/>
          <w:w w:val="95"/>
          <w:sz w:val="28"/>
          <w:szCs w:val="28"/>
        </w:rPr>
        <w:t>经营情况讨论与分析</w:t>
      </w:r>
      <w:r>
        <w:rPr>
          <w:rFonts w:ascii="Times New Roman" w:hAnsi="Times New Roman" w:cs="Times New Roman" w:eastAsia="Times New Roman" w:hint="default"/>
          <w:b/>
          <w:bCs/>
          <w:spacing w:val="9"/>
          <w:w w:val="95"/>
          <w:sz w:val="28"/>
          <w:szCs w:val="28"/>
        </w:rPr>
        <w:t>-</w:t>
      </w:r>
      <w:r>
        <w:rPr>
          <w:rFonts w:ascii="宋体" w:hAnsi="宋体" w:cs="宋体" w:eastAsia="宋体" w:hint="default"/>
          <w:b/>
          <w:bCs/>
          <w:spacing w:val="9"/>
          <w:w w:val="95"/>
          <w:sz w:val="28"/>
          <w:szCs w:val="28"/>
        </w:rPr>
        <w:t>公司未来发展的展望</w:t>
      </w:r>
      <w:r>
        <w:rPr>
          <w:rFonts w:ascii="Times New Roman" w:hAnsi="Times New Roman" w:cs="Times New Roman" w:eastAsia="Times New Roman" w:hint="default"/>
          <w:b/>
          <w:bCs/>
          <w:spacing w:val="9"/>
          <w:w w:val="95"/>
          <w:sz w:val="28"/>
          <w:szCs w:val="28"/>
        </w:rPr>
        <w:t>”</w:t>
      </w:r>
      <w:r>
        <w:rPr>
          <w:rFonts w:ascii="宋体" w:hAnsi="宋体" w:cs="宋体" w:eastAsia="宋体" w:hint="default"/>
          <w:b/>
          <w:bCs/>
          <w:spacing w:val="9"/>
          <w:w w:val="95"/>
          <w:sz w:val="28"/>
          <w:szCs w:val="28"/>
        </w:rPr>
        <w:t>中已详述公司</w:t>
      </w:r>
      <w:r>
        <w:rPr>
          <w:rFonts w:ascii="宋体" w:hAnsi="宋体" w:cs="宋体" w:eastAsia="宋体" w:hint="default"/>
          <w:b/>
          <w:bCs/>
          <w:w w:val="99"/>
          <w:sz w:val="28"/>
          <w:szCs w:val="28"/>
        </w:rPr>
        <w:t> </w:t>
      </w:r>
      <w:r>
        <w:rPr>
          <w:rFonts w:ascii="宋体" w:hAnsi="宋体" w:cs="宋体" w:eastAsia="宋体" w:hint="default"/>
          <w:b/>
          <w:bCs/>
          <w:sz w:val="28"/>
          <w:szCs w:val="28"/>
        </w:rPr>
        <w:t>风险因素提示，敬请关注</w:t>
      </w:r>
      <w:r>
        <w:rPr>
          <w:rFonts w:ascii="宋体" w:hAnsi="宋体" w:cs="宋体" w:eastAsia="宋体" w:hint="default"/>
          <w:b/>
          <w:bCs/>
          <w:spacing w:val="-9"/>
          <w:sz w:val="28"/>
          <w:szCs w:val="28"/>
        </w:rPr>
        <w:t> </w:t>
      </w:r>
      <w:r>
        <w:rPr>
          <w:rFonts w:ascii="宋体" w:hAnsi="宋体" w:cs="宋体" w:eastAsia="宋体" w:hint="default"/>
          <w:b/>
          <w:bCs/>
          <w:sz w:val="28"/>
          <w:szCs w:val="28"/>
        </w:rPr>
        <w:t>。</w:t>
      </w:r>
      <w:r>
        <w:rPr>
          <w:rFonts w:ascii="宋体" w:hAnsi="宋体" w:cs="宋体" w:eastAsia="宋体" w:hint="default"/>
          <w:sz w:val="28"/>
          <w:szCs w:val="28"/>
        </w:rPr>
      </w:r>
    </w:p>
    <w:p>
      <w:pPr>
        <w:spacing w:before="186"/>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551,032,550</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1"/>
          <w:w w:val="99"/>
          <w:sz w:val="28"/>
          <w:szCs w:val="28"/>
        </w:rPr>
        <w:t>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0.00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50" w:right="112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hyperlink>
        </w:p>
        <w:p>
          <w:pPr>
            <w:pStyle w:val="TOC1"/>
            <w:tabs>
              <w:tab w:pos="9782" w:val="right" w:leader="dot"/>
            </w:tabs>
            <w:spacing w:line="240" w:lineRule="auto" w:before="277"/>
            <w:ind w:right="0"/>
            <w:jc w:val="left"/>
            <w:rPr>
              <w:rFonts w:ascii="Times New Roman" w:hAnsi="Times New Roman" w:cs="Times New Roman" w:eastAsia="Times New Roman" w:hint="default"/>
            </w:rPr>
          </w:pPr>
          <w:hyperlink w:history="true" w:anchor="_bookmark2">
            <w:r>
              <w:rPr/>
              <w:t>第三节</w:t>
            </w:r>
            <w:r>
              <w:rPr>
                <w:spacing w:val="1"/>
              </w:rPr>
              <w:t> </w:t>
            </w:r>
            <w:r>
              <w:rPr/>
              <w:t>公司业务概要</w:t>
            </w:r>
            <w:r>
              <w:rPr>
                <w:rFonts w:ascii="Times New Roman" w:hAnsi="Times New Roman" w:cs="Times New Roman" w:eastAsia="Times New Roman" w:hint="default"/>
              </w:rPr>
              <w:tab/>
              <w:t>8</w:t>
            </w:r>
          </w:hyperlink>
        </w:p>
        <w:p>
          <w:pPr>
            <w:pStyle w:val="TOC1"/>
            <w:tabs>
              <w:tab w:pos="9771"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1"/>
              </w:rPr>
              <w:t>11</w:t>
            </w:r>
            <w:r>
              <w:rPr>
                <w:rFonts w:ascii="Times New Roman" w:hAnsi="Times New Roman" w:cs="Times New Roman" w:eastAsia="Times New Roman" w:hint="default"/>
              </w:rPr>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27</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53</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8">
            <w:r>
              <w:rPr/>
              <w:t>第九节</w:t>
            </w:r>
            <w:r>
              <w:rPr>
                <w:spacing w:val="1"/>
              </w:rPr>
              <w:t> </w:t>
            </w:r>
            <w:r>
              <w:rPr/>
              <w:t>公司治理</w:t>
            </w:r>
            <w:r>
              <w:rPr>
                <w:rFonts w:ascii="Times New Roman" w:hAnsi="Times New Roman" w:cs="Times New Roman" w:eastAsia="Times New Roman" w:hint="default"/>
              </w:rPr>
              <w:tab/>
              <w:t>59</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63</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1"/>
              </w:rPr>
              <w:t> </w:t>
            </w:r>
            <w:r>
              <w:rPr/>
              <w:t>财务报告</w:t>
            </w:r>
            <w:r>
              <w:rPr>
                <w:rFonts w:ascii="Times New Roman" w:hAnsi="Times New Roman" w:cs="Times New Roman" w:eastAsia="Times New Roman" w:hint="default"/>
              </w:rPr>
              <w:tab/>
              <w:t>64</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t>161</w:t>
            </w:r>
          </w:hyperlink>
        </w:p>
        <w:p>
          <w:pPr/>
          <w:r>
            <w:fldChar w:fldCharType="end"/>
          </w:r>
        </w:p>
      </w:sdtContent>
    </w:sdt>
    <w:p>
      <w:pPr>
        <w:spacing w:after="0"/>
        <w:sectPr>
          <w:pgSz w:w="11910" w:h="16840"/>
          <w:pgMar w:header="747" w:footer="979" w:top="1060" w:bottom="1160" w:left="980" w:right="0"/>
        </w:sectPr>
      </w:pPr>
    </w:p>
    <w:p>
      <w:pPr>
        <w:spacing w:before="946"/>
        <w:ind w:left="150" w:right="112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本公司、先河环保、先河或公司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河北先河环保科技股份有限公司章程</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环境监测</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运用现代科学技术手段对代表环境污染和环境质量的各种环境要素</w:t>
            </w:r>
          </w:p>
          <w:p>
            <w:pPr>
              <w:pStyle w:val="TableParagraph"/>
              <w:spacing w:line="319" w:lineRule="auto" w:before="75"/>
              <w:ind w:left="27" w:right="22"/>
              <w:jc w:val="left"/>
              <w:rPr>
                <w:rFonts w:ascii="宋体" w:hAnsi="宋体" w:cs="宋体" w:eastAsia="宋体" w:hint="default"/>
                <w:sz w:val="18"/>
                <w:szCs w:val="18"/>
              </w:rPr>
            </w:pPr>
            <w:r>
              <w:rPr>
                <w:rFonts w:ascii="宋体" w:hAnsi="宋体" w:cs="宋体" w:eastAsia="宋体" w:hint="default"/>
                <w:spacing w:val="-2"/>
                <w:sz w:val="18"/>
                <w:szCs w:val="18"/>
              </w:rPr>
              <w:t>（环境污染物）的监视、监控和测定，从而科学评价环境质量及其变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化趋势的操作过程</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空气质量连续自动监测系统（</w:t>
            </w:r>
            <w:r>
              <w:rPr>
                <w:rFonts w:ascii="Times New Roman" w:hAnsi="Times New Roman" w:cs="Times New Roman" w:eastAsia="Times New Roman" w:hint="default"/>
                <w:sz w:val="18"/>
                <w:szCs w:val="18"/>
              </w:rPr>
              <w:t>AQMS</w:t>
            </w:r>
            <w:r>
              <w:rPr>
                <w:rFonts w:ascii="宋体" w:hAnsi="宋体" w:cs="宋体" w:eastAsia="宋体" w:hint="default"/>
                <w:sz w:val="18"/>
                <w:szCs w:val="18"/>
              </w:rPr>
              <w:t>）</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both"/>
              <w:rPr>
                <w:rFonts w:ascii="宋体" w:hAnsi="宋体" w:cs="宋体" w:eastAsia="宋体" w:hint="default"/>
                <w:sz w:val="18"/>
                <w:szCs w:val="18"/>
              </w:rPr>
            </w:pPr>
            <w:r>
              <w:rPr>
                <w:rFonts w:ascii="宋体" w:hAnsi="宋体" w:cs="宋体" w:eastAsia="宋体" w:hint="default"/>
                <w:spacing w:val="-2"/>
                <w:sz w:val="18"/>
                <w:szCs w:val="18"/>
              </w:rPr>
              <w:t>对空气质量进行自动监测系统，由中心站和若干个子站构成，两者有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机结合，协调整个监测系统的运行，完成对各种监测仪器的数据采集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和远程通讯控制及数据处理，并形成报告</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水质连续自动监测系统（</w:t>
            </w:r>
            <w:r>
              <w:rPr>
                <w:rFonts w:ascii="Times New Roman" w:hAnsi="Times New Roman" w:cs="Times New Roman" w:eastAsia="Times New Roman" w:hint="default"/>
                <w:sz w:val="18"/>
                <w:szCs w:val="18"/>
              </w:rPr>
              <w:t>WQMS</w:t>
            </w:r>
            <w:r>
              <w:rPr>
                <w:rFonts w:ascii="宋体" w:hAnsi="宋体" w:cs="宋体" w:eastAsia="宋体" w:hint="default"/>
                <w:sz w:val="18"/>
                <w:szCs w:val="18"/>
              </w:rPr>
              <w:t>）</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以在线自动分析仪器为核心，运用现代传感技术、自动测量技术、计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算机应用技术以及相关的专业分析软件和通讯网络所组成的一个综 合性的地表水质量在线自动监测体系</w:t>
            </w:r>
          </w:p>
        </w:tc>
      </w:tr>
      <w:tr>
        <w:trPr>
          <w:trHeight w:val="393"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VOCs</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2"/>
              <w:jc w:val="left"/>
              <w:rPr>
                <w:rFonts w:ascii="宋体" w:hAnsi="宋体" w:cs="宋体" w:eastAsia="宋体" w:hint="default"/>
                <w:sz w:val="18"/>
                <w:szCs w:val="18"/>
              </w:rPr>
            </w:pPr>
            <w:r>
              <w:rPr>
                <w:rFonts w:ascii="宋体" w:hAnsi="宋体" w:cs="宋体" w:eastAsia="宋体" w:hint="default"/>
                <w:sz w:val="18"/>
                <w:szCs w:val="18"/>
              </w:rPr>
              <w:t>挥发性有机物，是指常温下饱和蒸汽压大于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 Pa</w:t>
            </w:r>
            <w:r>
              <w:rPr>
                <w:rFonts w:ascii="宋体" w:hAnsi="宋体" w:cs="宋体" w:eastAsia="宋体" w:hint="default"/>
                <w:sz w:val="18"/>
                <w:szCs w:val="18"/>
              </w:rPr>
              <w:t>、常压下沸点在 </w:t>
            </w:r>
            <w:r>
              <w:rPr>
                <w:rFonts w:ascii="Times New Roman" w:hAnsi="Times New Roman" w:cs="Times New Roman" w:eastAsia="Times New Roman" w:hint="default"/>
                <w:spacing w:val="-6"/>
                <w:sz w:val="18"/>
                <w:szCs w:val="18"/>
              </w:rPr>
              <w:t>260</w:t>
            </w:r>
            <w:r>
              <w:rPr>
                <w:rFonts w:ascii="宋体" w:hAnsi="宋体" w:cs="宋体" w:eastAsia="宋体" w:hint="default"/>
                <w:spacing w:val="-6"/>
                <w:sz w:val="18"/>
                <w:szCs w:val="18"/>
              </w:rPr>
              <w:t>℃以下的有机化合物，或在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℃条件下蒸汽压大于或者等于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w w:val="99"/>
                <w:sz w:val="18"/>
                <w:szCs w:val="18"/>
              </w:rPr>
              <w:t>Pa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具有相应挥发性的全部有机化合物</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PM2.5</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35"/>
              <w:jc w:val="left"/>
              <w:rPr>
                <w:rFonts w:ascii="宋体" w:hAnsi="宋体" w:cs="宋体" w:eastAsia="宋体" w:hint="default"/>
                <w:sz w:val="18"/>
                <w:szCs w:val="18"/>
              </w:rPr>
            </w:pPr>
            <w:r>
              <w:rPr>
                <w:rFonts w:ascii="宋体" w:hAnsi="宋体" w:cs="宋体" w:eastAsia="宋体" w:hint="default"/>
                <w:sz w:val="18"/>
                <w:szCs w:val="18"/>
              </w:rPr>
              <w:t>空气动力学粒径在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微米以下的颗粒物，又称为细颗粒物或大气细 粒子。</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网格化</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2"/>
              <w:jc w:val="both"/>
              <w:rPr>
                <w:rFonts w:ascii="宋体" w:hAnsi="宋体" w:cs="宋体" w:eastAsia="宋体" w:hint="default"/>
                <w:sz w:val="18"/>
                <w:szCs w:val="18"/>
              </w:rPr>
            </w:pPr>
            <w:r>
              <w:rPr>
                <w:rFonts w:ascii="宋体" w:hAnsi="宋体" w:cs="宋体" w:eastAsia="宋体" w:hint="default"/>
                <w:sz w:val="18"/>
                <w:szCs w:val="18"/>
              </w:rPr>
              <w:t>采用最新的小型化、微型化组合监测技术，以</w:t>
            </w:r>
            <w:r>
              <w:rPr>
                <w:rFonts w:ascii="Times New Roman" w:hAnsi="Times New Roman" w:cs="Times New Roman" w:eastAsia="Times New Roman" w:hint="default"/>
                <w:sz w:val="18"/>
                <w:szCs w:val="18"/>
              </w:rPr>
              <w:t>"</w:t>
            </w:r>
            <w:r>
              <w:rPr>
                <w:rFonts w:ascii="宋体" w:hAnsi="宋体" w:cs="宋体" w:eastAsia="宋体" w:hint="default"/>
                <w:sz w:val="18"/>
                <w:szCs w:val="18"/>
              </w:rPr>
              <w:t>全面布点、全面联网</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为宗旨，通过大范围、高密度</w:t>
            </w:r>
            <w:r>
              <w:rPr>
                <w:rFonts w:ascii="Times New Roman" w:hAnsi="Times New Roman" w:cs="Times New Roman" w:eastAsia="Times New Roman" w:hint="default"/>
                <w:sz w:val="18"/>
                <w:szCs w:val="18"/>
              </w:rPr>
              <w:t>"</w:t>
            </w:r>
            <w:r>
              <w:rPr>
                <w:rFonts w:ascii="宋体" w:hAnsi="宋体" w:cs="宋体" w:eastAsia="宋体" w:hint="default"/>
                <w:sz w:val="18"/>
                <w:szCs w:val="18"/>
              </w:rPr>
              <w:t>网格组合布点</w:t>
            </w:r>
            <w:r>
              <w:rPr>
                <w:rFonts w:ascii="Times New Roman" w:hAnsi="Times New Roman" w:cs="Times New Roman" w:eastAsia="Times New Roman" w:hint="default"/>
                <w:sz w:val="18"/>
                <w:szCs w:val="18"/>
              </w:rPr>
              <w:t>"</w:t>
            </w:r>
            <w:r>
              <w:rPr>
                <w:rFonts w:ascii="宋体" w:hAnsi="宋体" w:cs="宋体" w:eastAsia="宋体" w:hint="default"/>
                <w:sz w:val="18"/>
                <w:szCs w:val="18"/>
              </w:rPr>
              <w:t>，结合立体监测、移动 监测等，形成覆盖整个区域的在线监控网格</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中登公司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908056"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先河环保</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300137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先河环保</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Hebei Sailhero Environmental Protection    High-tech</w:t>
            </w:r>
            <w:r>
              <w:rPr>
                <w:rFonts w:ascii="Times New Roman"/>
                <w:spacing w:val="-12"/>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SailheroEnviroprotec</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李玉国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050035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050035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http://www.sailhero.com.cn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xhhbzq@sailhero.com.cn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王少军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孟利利</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0311-85323900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0311-85323900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0311-85329383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0311-85329383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xhhbzq@sailhero.com.cn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xhhbzq@sailhero.com.cn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号公司三楼（证券部）</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利安达会计师事务所（特殊普通合伙）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北京市朝阳区慈云寺北里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号远洋国际二期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邱淦泳、许海丽</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1,374,100,144.47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1,042,537,654.56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789,543,369.79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259,434,109.03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188,169,290.74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105,311,976.46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251,199,300.11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177,269,049.66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93,534,860.60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-72,263,419.47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191,412,255.55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-137.75%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151,805,528.22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2,470,571,877.87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2,120,996,274.54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1,785,402,740.52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1,808,237,876.38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1,602,362,562.90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1,449,615,380.52</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231,657,811.84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311,026,645.91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277,867,482.44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553,548,204.28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19,399,660.05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56,791,748.80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71,045,712.13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112,196,988.05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18,059,517.15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57,487,604.76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70,777,451.43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104,874,726.77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-171,298,567.30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-180,492,149.94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-23,017,692.38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302,544,990.15</w:t>
            </w:r>
          </w:p>
        </w:tc>
      </w:tr>
    </w:tbl>
    <w:p>
      <w:pPr>
        <w:pStyle w:val="BodyText"/>
        <w:spacing w:line="240" w:lineRule="auto" w:before="51"/>
        <w:ind w:right="0"/>
        <w:jc w:val="left"/>
      </w:pPr>
      <w:r>
        <w:rPr/>
        <w:t>上述财务指标或其加总数是否与公司已披露季度报告、半年度报告相关财务指标存在重大差异</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26,511.44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20,786.66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110,077.89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8,437,819.65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14,701,025.32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15,711,425.23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-1,836,118.28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-752,643.65</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-594,898.94</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1,608,619.23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3,236,430.03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1,373,797.04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2,123,209.12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1,965,459.41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1,339,511.51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1,103,462.84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1,851,428.80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8,234,808.92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10,900,241.08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11,777,115.86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14" w:lineRule="auto" w:before="25"/>
        <w:ind w:right="1032" w:firstLine="360"/>
        <w:jc w:val="left"/>
      </w:pPr>
      <w:r>
        <w:rPr>
          <w:rFonts w:ascii="Times New Roman" w:hAnsi="Times New Roman" w:cs="Times New Roman" w:eastAsia="Times New Roman" w:hint="default"/>
          <w:spacing w:val="-2"/>
        </w:rPr>
        <w:t>2018</w:t>
      </w:r>
      <w:r>
        <w:rPr>
          <w:spacing w:val="-2"/>
        </w:rPr>
        <w:t>年，是我国改革开放</w:t>
      </w:r>
      <w:r>
        <w:rPr>
          <w:rFonts w:ascii="Times New Roman" w:hAnsi="Times New Roman" w:cs="Times New Roman" w:eastAsia="Times New Roman" w:hint="default"/>
          <w:spacing w:val="-2"/>
        </w:rPr>
        <w:t>40</w:t>
      </w:r>
      <w:r>
        <w:rPr>
          <w:spacing w:val="-2"/>
        </w:rPr>
        <w:t>周年，也是我国生态环境保护事业发展史上具有重要里程碑意义的一年。全国生态环境保护</w:t>
      </w:r>
      <w:r>
        <w:rPr/>
        <w:t> </w:t>
      </w:r>
      <w:r>
        <w:rPr>
          <w:spacing w:val="-2"/>
        </w:rPr>
        <w:t>大会在北京召开，习近平总书记出席会议并发表重要讲话，正式确立习近平生态文明思想。中共中央、国务院印发《关于全</w:t>
      </w:r>
      <w:r>
        <w:rPr>
          <w:spacing w:val="-66"/>
        </w:rPr>
        <w:t> </w:t>
      </w:r>
      <w:r>
        <w:rPr>
          <w:spacing w:val="-66"/>
        </w:rPr>
      </w:r>
      <w:r>
        <w:rPr/>
        <w:t>面加强生态环境保护</w:t>
      </w:r>
      <w:r>
        <w:rPr>
          <w:spacing w:val="-10"/>
        </w:rPr>
        <w:t> </w:t>
      </w:r>
      <w:r>
        <w:rPr/>
        <w:t>坚决打好污染防治攻坚战的意见》，明确打好污染防治攻坚战的时间表、路线图、任务书。十三届全</w:t>
      </w:r>
      <w:r>
        <w:rPr>
          <w:spacing w:val="-79"/>
        </w:rPr>
        <w:t> </w:t>
      </w:r>
      <w:r>
        <w:rPr>
          <w:spacing w:val="-79"/>
        </w:rPr>
      </w:r>
      <w:r>
        <w:rPr/>
        <w:t>国人大一次会议表决通过宪法修正案，把新发展理念、生态文明和建设美丽中国的要求写入宪法。在党和国家机构改革中， </w:t>
      </w:r>
      <w:r>
        <w:rPr>
          <w:spacing w:val="-2"/>
        </w:rPr>
        <w:t>新组建生态环境部，统一行使生态和城乡各类污染排放监管与行政执法职责；同时，组建生态环境保护综合执法队伍，增强</w:t>
      </w:r>
      <w:r>
        <w:rPr>
          <w:spacing w:val="-66"/>
        </w:rPr>
        <w:t> </w:t>
      </w:r>
      <w:r>
        <w:rPr>
          <w:spacing w:val="-66"/>
        </w:rPr>
      </w:r>
      <w:r>
        <w:rPr>
          <w:spacing w:val="-4"/>
        </w:rPr>
        <w:t>执法的统一性、独立性、权威性和有效性。国家和地方陆续出台更为严格的环保政策和排放标准，加之中央环保督察回头看、</w:t>
      </w:r>
      <w:r>
        <w:rPr>
          <w:spacing w:val="-46"/>
        </w:rPr>
        <w:t> </w:t>
      </w:r>
      <w:r>
        <w:rPr>
          <w:spacing w:val="-46"/>
        </w:rPr>
      </w:r>
      <w:r>
        <w:rPr>
          <w:spacing w:val="-2"/>
        </w:rPr>
        <w:t>强化督查等工作的开展，成为推动地方和企业的改造动力，也对环保产业提出了更高的要求，成为推动环保产业发展的重要</w:t>
      </w:r>
      <w:r>
        <w:rPr>
          <w:spacing w:val="-66"/>
        </w:rPr>
        <w:t> </w:t>
      </w:r>
      <w:r>
        <w:rPr>
          <w:spacing w:val="-66"/>
        </w:rPr>
      </w:r>
      <w:r>
        <w:rPr/>
        <w:t>力量。</w:t>
      </w:r>
    </w:p>
    <w:p>
      <w:pPr>
        <w:pStyle w:val="BodyText"/>
        <w:spacing w:line="312" w:lineRule="auto" w:before="20"/>
        <w:ind w:right="1130" w:firstLine="360"/>
        <w:jc w:val="both"/>
      </w:pPr>
      <w:r>
        <w:rPr>
          <w:spacing w:val="-2"/>
        </w:rPr>
        <w:t>公司作为国内高端环境监测仪器仪表领军企业，已发展成为集环境监测、治理、服务为一体的集团化公司，业务涵盖生</w:t>
      </w:r>
      <w:r>
        <w:rPr/>
        <w:t> 态环境监测装备、运维服务、社会化检测、环境大数据分析及决策支持服务、</w:t>
      </w:r>
      <w:r>
        <w:rPr>
          <w:rFonts w:ascii="Times New Roman" w:hAnsi="Times New Roman" w:cs="Times New Roman" w:eastAsia="Times New Roman" w:hint="default"/>
        </w:rPr>
        <w:t>VOCs</w:t>
      </w:r>
      <w:r>
        <w:rPr/>
        <w:t>治理、农村分散污水治理等领域。报告</w:t>
      </w:r>
      <w:r>
        <w:rPr>
          <w:spacing w:val="-83"/>
        </w:rPr>
        <w:t> </w:t>
      </w:r>
      <w:r>
        <w:rPr>
          <w:spacing w:val="-83"/>
        </w:rPr>
      </w:r>
      <w:r>
        <w:rPr>
          <w:spacing w:val="-2"/>
        </w:rPr>
        <w:t>期内，受益于环保政策力度加大，环境监测市场放量，公司积极发挥产品优势和市场优势，加大市场开拓力度，订单持续增</w:t>
      </w:r>
      <w:r>
        <w:rPr>
          <w:spacing w:val="-66"/>
        </w:rPr>
        <w:t> </w:t>
      </w:r>
      <w:r>
        <w:rPr>
          <w:spacing w:val="-66"/>
        </w:rPr>
      </w:r>
      <w:r>
        <w:rPr/>
        <w:t>长，推动了业绩的提升。</w:t>
      </w:r>
    </w:p>
    <w:p>
      <w:pPr>
        <w:pStyle w:val="BodyText"/>
        <w:spacing w:line="240" w:lineRule="auto" w:before="22"/>
        <w:ind w:left="514" w:right="0"/>
        <w:jc w:val="left"/>
      </w:pPr>
      <w:r>
        <w:rPr/>
        <w:t>（一）所处行业的发展趋势</w:t>
      </w:r>
    </w:p>
    <w:p>
      <w:pPr>
        <w:pStyle w:val="BodyText"/>
        <w:spacing w:line="300" w:lineRule="auto" w:before="77"/>
        <w:ind w:right="0"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年环境质量监测持续升温，一方面，国家高度重视空气环境监测与治理工作，针对各类大气污染源及空气颗粒 </w:t>
      </w:r>
      <w:r>
        <w:rPr>
          <w:spacing w:val="-4"/>
        </w:rPr>
        <w:t>物，持续加严相关政策，提高排放治理标准，细化监测部署方案，完善环境监测体系，各级监测站对空气站的需求比较旺盛。</w:t>
      </w:r>
    </w:p>
    <w:p>
      <w:pPr>
        <w:pStyle w:val="BodyText"/>
        <w:spacing w:line="312" w:lineRule="auto" w:before="31"/>
        <w:ind w:right="1032"/>
        <w:jc w:val="left"/>
      </w:pPr>
      <w:r>
        <w:rPr/>
        <w:t>《蓝天保卫战三年行动计划》要求，优化调整扩展国控环境空气质量监测站点。加强区县环境空气质量自动监测网络建设， </w:t>
      </w:r>
      <w:r>
        <w:rPr>
          <w:rFonts w:ascii="Times New Roman" w:hAnsi="Times New Roman" w:cs="Times New Roman" w:eastAsia="Times New Roman" w:hint="default"/>
        </w:rPr>
        <w:t>2020</w:t>
      </w:r>
      <w:r>
        <w:rPr/>
        <w:t>年底前，东部、中部区县和西部大气污染严重城市的区县实现监测站点全覆盖，并与中国环境监测总站实现数据直联。 </w:t>
      </w:r>
      <w:r>
        <w:rPr>
          <w:spacing w:val="-2"/>
        </w:rPr>
        <w:t>国家级新区、高新区、重点工业园区及港口设置环境空气质量监测站点。在国家生态环境部开展城市空气质量排名的考核排</w:t>
      </w:r>
      <w:r>
        <w:rPr>
          <w:spacing w:val="-65"/>
        </w:rPr>
        <w:t> </w:t>
      </w:r>
      <w:r>
        <w:rPr>
          <w:spacing w:val="-65"/>
        </w:rPr>
      </w:r>
      <w:r>
        <w:rPr/>
        <w:t>名压力下，部分省市开始将空气质量考核排名下沉到对乡镇空气质量考核，进而开始建设乡镇站空气监测项目；</w:t>
      </w:r>
    </w:p>
    <w:p>
      <w:pPr>
        <w:pStyle w:val="BodyText"/>
        <w:spacing w:line="304" w:lineRule="auto" w:before="22"/>
        <w:ind w:right="1131" w:firstLine="360"/>
        <w:jc w:val="both"/>
      </w:pPr>
      <w:r>
        <w:rPr>
          <w:spacing w:val="-2"/>
        </w:rPr>
        <w:t>另一方面，随着国家对环境保护的重视，水质监测近年来发展迅速，特别是</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月习近平总书记视察长江，提出</w:t>
      </w:r>
      <w:r>
        <w:rPr>
          <w:rFonts w:ascii="Times New Roman" w:hAnsi="Times New Roman" w:cs="Times New Roman" w:eastAsia="Times New Roman" w:hint="default"/>
          <w:spacing w:val="-2"/>
        </w:rPr>
        <w:t>“</w:t>
      </w:r>
      <w:r>
        <w:rPr>
          <w:spacing w:val="-2"/>
        </w:rPr>
        <w:t>共</w:t>
      </w:r>
      <w:r>
        <w:rPr/>
        <w:t> 抓大保护，不搞大开发</w:t>
      </w:r>
      <w:r>
        <w:rPr>
          <w:rFonts w:ascii="Times New Roman" w:hAnsi="Times New Roman" w:cs="Times New Roman" w:eastAsia="Times New Roman" w:hint="default"/>
        </w:rPr>
        <w:t>”</w:t>
      </w:r>
      <w:r>
        <w:rPr/>
        <w:t>，要求推动长江经济带发展，为水质监测发展注入强劲动力。以污水处理或者河道治理为代表的传</w:t>
      </w:r>
      <w:r>
        <w:rPr>
          <w:spacing w:val="-77"/>
        </w:rPr>
        <w:t> </w:t>
      </w:r>
      <w:r>
        <w:rPr>
          <w:spacing w:val="-77"/>
        </w:rPr>
      </w:r>
      <w:r>
        <w:rPr>
          <w:spacing w:val="-1"/>
        </w:rPr>
        <w:t>统</w:t>
      </w:r>
      <w:r>
        <w:rPr>
          <w:rFonts w:ascii="Times New Roman" w:hAnsi="Times New Roman" w:cs="Times New Roman" w:eastAsia="Times New Roman" w:hint="default"/>
          <w:spacing w:val="-1"/>
        </w:rPr>
        <w:t>“</w:t>
      </w:r>
      <w:r>
        <w:rPr>
          <w:spacing w:val="-1"/>
        </w:rPr>
        <w:t>末端治理</w:t>
      </w:r>
      <w:r>
        <w:rPr>
          <w:rFonts w:ascii="Times New Roman" w:hAnsi="Times New Roman" w:cs="Times New Roman" w:eastAsia="Times New Roman" w:hint="default"/>
          <w:spacing w:val="-1"/>
        </w:rPr>
        <w:t>”</w:t>
      </w:r>
      <w:r>
        <w:rPr>
          <w:spacing w:val="-1"/>
        </w:rPr>
        <w:t>模式正在向</w:t>
      </w:r>
      <w:r>
        <w:rPr>
          <w:rFonts w:ascii="Times New Roman" w:hAnsi="Times New Roman" w:cs="Times New Roman" w:eastAsia="Times New Roman" w:hint="default"/>
          <w:spacing w:val="-1"/>
        </w:rPr>
        <w:t>“</w:t>
      </w:r>
      <w:r>
        <w:rPr>
          <w:spacing w:val="-1"/>
        </w:rPr>
        <w:t>全流域治理</w:t>
      </w:r>
      <w:r>
        <w:rPr>
          <w:rFonts w:ascii="Times New Roman" w:hAnsi="Times New Roman" w:cs="Times New Roman" w:eastAsia="Times New Roman" w:hint="default"/>
          <w:spacing w:val="-1"/>
        </w:rPr>
        <w:t>”</w:t>
      </w:r>
      <w:r>
        <w:rPr>
          <w:spacing w:val="-1"/>
        </w:rPr>
        <w:t>推进，全流域一体化生态单元的运营，在水域生态在线监测、水污染应急预警方面形</w:t>
      </w:r>
      <w:r>
        <w:rPr>
          <w:spacing w:val="-80"/>
        </w:rPr>
        <w:t> </w:t>
      </w:r>
      <w:r>
        <w:rPr>
          <w:spacing w:val="-80"/>
        </w:rPr>
      </w:r>
      <w:r>
        <w:rPr>
          <w:spacing w:val="-2"/>
        </w:rPr>
        <w:t>成了巨大的市场。水质监测体系正在向更广泛的覆盖面、更系统性的布局发展，水质监测体系逐步清晰和完善。国家环境监</w:t>
      </w:r>
      <w:r>
        <w:rPr>
          <w:spacing w:val="-66"/>
        </w:rPr>
        <w:t> </w:t>
      </w:r>
      <w:r>
        <w:rPr>
          <w:spacing w:val="-66"/>
        </w:rPr>
      </w:r>
      <w:r>
        <w:rPr/>
        <w:t>测总站耗资</w:t>
      </w:r>
      <w:r>
        <w:rPr>
          <w:rFonts w:ascii="Times New Roman" w:hAnsi="Times New Roman" w:cs="Times New Roman" w:eastAsia="Times New Roman" w:hint="default"/>
        </w:rPr>
        <w:t>16.8</w:t>
      </w:r>
      <w:r>
        <w:rPr/>
        <w:t>亿元用于水质监测站的建设和运维，这标志着水质监测站市场已经进入了快速释放期。</w:t>
      </w:r>
    </w:p>
    <w:p>
      <w:pPr>
        <w:pStyle w:val="BodyText"/>
        <w:spacing w:line="300" w:lineRule="auto" w:before="9"/>
        <w:ind w:right="0" w:firstLine="360"/>
        <w:jc w:val="left"/>
      </w:pPr>
      <w:r>
        <w:rPr>
          <w:rFonts w:ascii="Times New Roman" w:hAnsi="Times New Roman" w:cs="Times New Roman" w:eastAsia="Times New Roman" w:hint="default"/>
          <w:spacing w:val="-2"/>
        </w:rPr>
        <w:t>2018</w:t>
      </w:r>
      <w:r>
        <w:rPr>
          <w:spacing w:val="-2"/>
        </w:rPr>
        <w:t>年，对大气成分分析设备需求正在逐渐显现，监测指标向组分监测、前体物监测等倾斜，力求说清污染物来源、成</w:t>
      </w:r>
      <w:r>
        <w:rPr/>
        <w:t> 因与形成机理。受益于中国监测总站主导的组份网建设，各地市的需求也逐渐显现。</w:t>
      </w:r>
    </w:p>
    <w:p>
      <w:pPr>
        <w:pStyle w:val="BodyText"/>
        <w:spacing w:line="316" w:lineRule="auto" w:before="31"/>
        <w:ind w:right="0" w:firstLine="360"/>
        <w:jc w:val="left"/>
      </w:pPr>
      <w:r>
        <w:rPr>
          <w:spacing w:val="-2"/>
        </w:rPr>
        <w:t>在智慧环境领域，政府需求持续增加，网格化监测及微型站市场需求旺盛。环境监测要素从大气扩展到水质，监测领域</w:t>
      </w:r>
      <w:r>
        <w:rPr/>
        <w:t> 不断扩大，监测网络从传统的</w:t>
      </w:r>
      <w:r>
        <w:rPr>
          <w:rFonts w:ascii="Times New Roman" w:hAnsi="Times New Roman" w:cs="Times New Roman" w:eastAsia="Times New Roman" w:hint="default"/>
        </w:rPr>
        <w:t>“</w:t>
      </w:r>
      <w:r>
        <w:rPr/>
        <w:t>三废</w:t>
      </w:r>
      <w:r>
        <w:rPr>
          <w:rFonts w:ascii="Times New Roman" w:hAnsi="Times New Roman" w:cs="Times New Roman" w:eastAsia="Times New Roman" w:hint="default"/>
        </w:rPr>
        <w:t>”</w:t>
      </w:r>
      <w:r>
        <w:rPr/>
        <w:t>监测发展为覆盖全国各省区、涵盖多领域多要素的综合性监测网。</w:t>
      </w:r>
    </w:p>
    <w:p>
      <w:pPr>
        <w:pStyle w:val="BodyText"/>
        <w:spacing w:line="300" w:lineRule="auto"/>
        <w:ind w:right="1032"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VOCs</w:t>
      </w:r>
      <w:r>
        <w:rPr/>
        <w:t>治理管理框架体系基本建立并继续完善。</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月国务院发布了《打赢蓝天保卫战三年行动计划》，确定以 京津冀及周边地区、长三角地区、汾渭平原等区域为重点，持续开展大气污染防治行动，组织实施</w:t>
      </w:r>
      <w:r>
        <w:rPr>
          <w:rFonts w:ascii="Times New Roman" w:hAnsi="Times New Roman" w:cs="Times New Roman" w:eastAsia="Times New Roman" w:hint="default"/>
        </w:rPr>
        <w:t>VOCs</w:t>
      </w:r>
      <w:r>
        <w:rPr/>
        <w:t>专项整治，着力补</w:t>
      </w:r>
      <w:r>
        <w:rPr>
          <w:spacing w:val="-82"/>
        </w:rPr>
        <w:t> </w:t>
      </w:r>
      <w:r>
        <w:rPr>
          <w:spacing w:val="-82"/>
        </w:rPr>
      </w:r>
      <w:r>
        <w:rPr/>
        <w:t>齐</w:t>
      </w:r>
      <w:r>
        <w:rPr>
          <w:rFonts w:ascii="Times New Roman" w:hAnsi="Times New Roman" w:cs="Times New Roman" w:eastAsia="Times New Roman" w:hint="default"/>
        </w:rPr>
        <w:t>VOCs</w:t>
      </w:r>
      <w:r>
        <w:rPr/>
        <w:t>污染防治短板。抓紧制订石化、化工、工业涂装、包装印刷等</w:t>
      </w:r>
      <w:r>
        <w:rPr>
          <w:rFonts w:ascii="Times New Roman" w:hAnsi="Times New Roman" w:cs="Times New Roman" w:eastAsia="Times New Roman" w:hint="default"/>
        </w:rPr>
        <w:t>VOCs</w:t>
      </w:r>
      <w:r>
        <w:rPr/>
        <w:t>排放重点行业和油品储运销环节综合整治方案， </w:t>
      </w:r>
      <w:r>
        <w:rPr>
          <w:spacing w:val="-2"/>
        </w:rPr>
        <w:t>编制</w:t>
      </w:r>
      <w:r>
        <w:rPr>
          <w:rFonts w:ascii="Times New Roman" w:hAnsi="Times New Roman" w:cs="Times New Roman" w:eastAsia="Times New Roman" w:hint="default"/>
          <w:spacing w:val="-2"/>
        </w:rPr>
        <w:t>VOCs</w:t>
      </w:r>
      <w:r>
        <w:rPr>
          <w:spacing w:val="-2"/>
        </w:rPr>
        <w:t>治理技术指南，指导地方有效开展相关工作，并提出重点区域</w:t>
      </w:r>
      <w:r>
        <w:rPr>
          <w:rFonts w:ascii="Times New Roman" w:hAnsi="Times New Roman" w:cs="Times New Roman" w:eastAsia="Times New Roman" w:hint="default"/>
          <w:spacing w:val="-2"/>
        </w:rPr>
        <w:t>VOCs</w:t>
      </w:r>
      <w:r>
        <w:rPr>
          <w:spacing w:val="-2"/>
        </w:rPr>
        <w:t>全面执行大气污染物特别排放限值等要求。监</w:t>
      </w:r>
      <w:r>
        <w:rPr>
          <w:spacing w:val="-63"/>
        </w:rPr>
        <w:t> </w:t>
      </w:r>
      <w:r>
        <w:rPr>
          <w:spacing w:val="-63"/>
        </w:rPr>
      </w:r>
      <w:r>
        <w:rPr>
          <w:spacing w:val="-2"/>
        </w:rPr>
        <w:t>管制度方面，《排污许可管理办法（试行）》</w:t>
      </w:r>
      <w:r>
        <w:rPr>
          <w:rFonts w:ascii="Times New Roman" w:hAnsi="Times New Roman" w:cs="Times New Roman" w:eastAsia="Times New Roman" w:hint="default"/>
          <w:spacing w:val="-2"/>
        </w:rPr>
        <w:t>2018</w:t>
      </w:r>
      <w:r>
        <w:rPr>
          <w:spacing w:val="-2"/>
        </w:rPr>
        <w:t>年正式实施，《排污许可管理条例草案》、新版《固定污染源排污许可分</w:t>
      </w:r>
      <w:r>
        <w:rPr>
          <w:spacing w:val="-64"/>
        </w:rPr>
        <w:t> </w:t>
      </w:r>
      <w:r>
        <w:rPr>
          <w:spacing w:val="-64"/>
        </w:rPr>
      </w:r>
      <w:r>
        <w:rPr/>
        <w:t>类管理名录》已经开始公开征求意见，以</w:t>
      </w:r>
      <w:r>
        <w:rPr>
          <w:rFonts w:ascii="Times New Roman" w:hAnsi="Times New Roman" w:cs="Times New Roman" w:eastAsia="Times New Roman" w:hint="default"/>
        </w:rPr>
        <w:t>“</w:t>
      </w:r>
      <w:r>
        <w:rPr/>
        <w:t>按证排污、持证排污</w:t>
      </w:r>
      <w:r>
        <w:rPr>
          <w:rFonts w:ascii="Times New Roman" w:hAnsi="Times New Roman" w:cs="Times New Roman" w:eastAsia="Times New Roman" w:hint="default"/>
        </w:rPr>
        <w:t>”</w:t>
      </w:r>
      <w:r>
        <w:rPr/>
        <w:t>为原则的这一基础性污染源管理制度框架基本确立。</w:t>
      </w:r>
      <w:r>
        <w:rPr>
          <w:rFonts w:ascii="Times New Roman" w:hAnsi="Times New Roman" w:cs="Times New Roman" w:eastAsia="Times New Roman" w:hint="default"/>
        </w:rPr>
        <w:t>2020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6"/>
          <w:w w:val="99"/>
        </w:rPr>
        <w:t>年前</w:t>
      </w:r>
      <w:r>
        <w:rPr>
          <w:rFonts w:ascii="Times New Roman" w:hAnsi="Times New Roman" w:cs="Times New Roman" w:eastAsia="Times New Roman" w:hint="default"/>
          <w:spacing w:val="-6"/>
          <w:w w:val="99"/>
        </w:rPr>
        <w:t>VOCs</w:t>
      </w:r>
      <w:r>
        <w:rPr>
          <w:spacing w:val="-6"/>
          <w:w w:val="99"/>
        </w:rPr>
        <w:t>重点排放行业将推行排污权许可证制度，</w:t>
      </w:r>
      <w:r>
        <w:rPr>
          <w:rFonts w:ascii="Times New Roman" w:hAnsi="Times New Roman" w:cs="Times New Roman" w:eastAsia="Times New Roman" w:hint="default"/>
          <w:spacing w:val="-6"/>
          <w:w w:val="99"/>
        </w:rPr>
        <w:t>VOCs</w:t>
      </w:r>
      <w:r>
        <w:rPr>
          <w:spacing w:val="-6"/>
          <w:w w:val="99"/>
        </w:rPr>
        <w:t>排放企业将建立</w:t>
      </w:r>
      <w:r>
        <w:rPr>
          <w:rFonts w:ascii="Times New Roman" w:hAnsi="Times New Roman" w:cs="Times New Roman" w:eastAsia="Times New Roman" w:hint="default"/>
          <w:spacing w:val="-6"/>
          <w:w w:val="99"/>
        </w:rPr>
        <w:t>VOCs</w:t>
      </w:r>
      <w:r>
        <w:rPr>
          <w:spacing w:val="-6"/>
          <w:w w:val="99"/>
        </w:rPr>
        <w:t>自行监测、台账记录和定期报告的体系。《</w:t>
      </w:r>
      <w:r>
        <w:rPr>
          <w:rFonts w:ascii="Times New Roman" w:hAnsi="Times New Roman" w:cs="Times New Roman" w:eastAsia="Times New Roman" w:hint="default"/>
          <w:spacing w:val="-6"/>
          <w:w w:val="99"/>
        </w:rPr>
        <w:t>2018</w:t>
      </w:r>
      <w:r>
        <w:rPr>
          <w:rFonts w:ascii="Times New Roman" w:hAnsi="Times New Roman" w:cs="Times New Roman" w:eastAsia="Times New Roman" w:hint="default"/>
          <w:spacing w:val="-28"/>
          <w:w w:val="99"/>
        </w:rPr>
        <w:t> </w:t>
      </w:r>
      <w:r>
        <w:rPr>
          <w:spacing w:val="-2"/>
        </w:rPr>
        <w:t>年重点地区环境空气挥发性有机物监测方案》和《关于加强固定污染源废气挥发性有机物监测工作的通知》从建立统一的监</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测体系和</w:t>
      </w:r>
      <w:r>
        <w:rPr>
          <w:rFonts w:ascii="Times New Roman" w:hAnsi="Times New Roman" w:cs="Times New Roman" w:eastAsia="Times New Roman" w:hint="default"/>
        </w:rPr>
        <w:t>VOCs</w:t>
      </w:r>
      <w:r>
        <w:rPr/>
        <w:t>治理效果评估机制的角度，促使</w:t>
      </w:r>
      <w:r>
        <w:rPr>
          <w:rFonts w:ascii="Times New Roman" w:hAnsi="Times New Roman" w:cs="Times New Roman" w:eastAsia="Times New Roman" w:hint="default"/>
        </w:rPr>
        <w:t>VOCs</w:t>
      </w:r>
      <w:r>
        <w:rPr/>
        <w:t>污染控制行业实现闭环管理，以建立完善的管理框架。</w:t>
      </w:r>
    </w:p>
    <w:p>
      <w:pPr>
        <w:pStyle w:val="BodyText"/>
        <w:spacing w:line="300" w:lineRule="auto" w:before="63"/>
        <w:ind w:right="1129" w:firstLine="360"/>
        <w:jc w:val="both"/>
      </w:pPr>
      <w:r>
        <w:rPr>
          <w:rFonts w:ascii="Times New Roman" w:hAnsi="Times New Roman" w:cs="Times New Roman" w:eastAsia="Times New Roman" w:hint="default"/>
          <w:spacing w:val="-2"/>
        </w:rPr>
        <w:t>VOCs</w:t>
      </w:r>
      <w:r>
        <w:rPr>
          <w:spacing w:val="-2"/>
        </w:rPr>
        <w:t>的排放所涉及的行业众多，量大面广。</w:t>
      </w:r>
      <w:r>
        <w:rPr>
          <w:rFonts w:ascii="Times New Roman" w:hAnsi="Times New Roman" w:cs="Times New Roman" w:eastAsia="Times New Roman" w:hint="default"/>
          <w:spacing w:val="-2"/>
        </w:rPr>
        <w:t>2018</w:t>
      </w:r>
      <w:r>
        <w:rPr>
          <w:spacing w:val="-2"/>
        </w:rPr>
        <w:t>年度多个省市区根据相应的</w:t>
      </w:r>
      <w:r>
        <w:rPr>
          <w:rFonts w:ascii="Times New Roman" w:hAnsi="Times New Roman" w:cs="Times New Roman" w:eastAsia="Times New Roman" w:hint="default"/>
          <w:spacing w:val="-2"/>
        </w:rPr>
        <w:t>VOCs</w:t>
      </w:r>
      <w:r>
        <w:rPr>
          <w:spacing w:val="-2"/>
        </w:rPr>
        <w:t>综合治理规划和相关的整治方案，公</w:t>
      </w:r>
      <w:r>
        <w:rPr/>
        <w:t> 布了涉</w:t>
      </w:r>
      <w:r>
        <w:rPr>
          <w:rFonts w:ascii="Times New Roman" w:hAnsi="Times New Roman" w:cs="Times New Roman" w:eastAsia="Times New Roman" w:hint="default"/>
        </w:rPr>
        <w:t>VOCs</w:t>
      </w:r>
      <w:r>
        <w:rPr/>
        <w:t>排污企业治理名单，</w:t>
      </w:r>
      <w:r>
        <w:rPr>
          <w:rFonts w:ascii="Times New Roman" w:hAnsi="Times New Roman" w:cs="Times New Roman" w:eastAsia="Times New Roman" w:hint="default"/>
        </w:rPr>
        <w:t>VOCs</w:t>
      </w:r>
      <w:r>
        <w:rPr/>
        <w:t>治理行业已经成为当前阶段我国大气污染治理的重点之一，也促进</w:t>
      </w:r>
      <w:r>
        <w:rPr>
          <w:rFonts w:ascii="Times New Roman" w:hAnsi="Times New Roman" w:cs="Times New Roman" w:eastAsia="Times New Roman" w:hint="default"/>
        </w:rPr>
        <w:t>VOCs</w:t>
      </w:r>
      <w:r>
        <w:rPr/>
        <w:t>治理产业有</w:t>
      </w:r>
      <w:r>
        <w:rPr>
          <w:spacing w:val="-87"/>
        </w:rPr>
        <w:t> </w:t>
      </w:r>
      <w:r>
        <w:rPr>
          <w:spacing w:val="-87"/>
        </w:rPr>
      </w:r>
      <w:r>
        <w:rPr/>
        <w:t>了较快发展。伴随着我国大气污染管理体系的逐渐完善，预计</w:t>
      </w:r>
      <w:r>
        <w:rPr>
          <w:rFonts w:ascii="Times New Roman" w:hAnsi="Times New Roman" w:cs="Times New Roman" w:eastAsia="Times New Roman" w:hint="default"/>
        </w:rPr>
        <w:t>VOCs</w:t>
      </w:r>
      <w:r>
        <w:rPr/>
        <w:t>治理工作将逐步走入精细化、持续化、规范化的轨道，</w:t>
      </w:r>
      <w:r>
        <w:rPr>
          <w:spacing w:val="-84"/>
        </w:rPr>
        <w:t> </w:t>
      </w:r>
      <w:r>
        <w:rPr>
          <w:spacing w:val="-84"/>
        </w:rPr>
      </w:r>
      <w:r>
        <w:rPr/>
        <w:t>通过加强源头替代、过程控制和无组织排放控制、末端治理等，实现</w:t>
      </w:r>
      <w:r>
        <w:rPr>
          <w:rFonts w:ascii="Times New Roman" w:hAnsi="Times New Roman" w:cs="Times New Roman" w:eastAsia="Times New Roman" w:hint="default"/>
        </w:rPr>
        <w:t>VOCs</w:t>
      </w:r>
      <w:r>
        <w:rPr/>
        <w:t>减排。</w:t>
      </w:r>
    </w:p>
    <w:p>
      <w:pPr>
        <w:pStyle w:val="BodyText"/>
        <w:spacing w:line="312" w:lineRule="auto" w:before="13"/>
        <w:ind w:right="0" w:firstLine="360"/>
        <w:jc w:val="left"/>
      </w:pPr>
      <w:r>
        <w:rPr>
          <w:rFonts w:ascii="Times New Roman" w:hAnsi="Times New Roman" w:cs="Times New Roman" w:eastAsia="Times New Roman" w:hint="default"/>
        </w:rPr>
        <w:t>3</w:t>
      </w:r>
      <w:r>
        <w:rPr/>
        <w:t>、农村污水治理政策密集落地激发巨大市场。</w:t>
      </w:r>
      <w:r>
        <w:rPr>
          <w:rFonts w:ascii="Times New Roman" w:hAnsi="Times New Roman" w:cs="Times New Roman" w:eastAsia="Times New Roman" w:hint="default"/>
        </w:rPr>
        <w:t>2018</w:t>
      </w:r>
      <w:r>
        <w:rPr/>
        <w:t>年一号文件</w:t>
      </w:r>
      <w:r>
        <w:rPr>
          <w:rFonts w:ascii="Times New Roman" w:hAnsi="Times New Roman" w:cs="Times New Roman" w:eastAsia="Times New Roman" w:hint="default"/>
        </w:rPr>
        <w:t>—</w:t>
      </w:r>
      <w:r>
        <w:rPr/>
        <w:t>《中共中央国务院关于实施乡村振兴战略的意见》明 </w:t>
      </w:r>
      <w:r>
        <w:rPr>
          <w:spacing w:val="-2"/>
        </w:rPr>
        <w:t>确，将实施农村人居环境整治三年行动计划，以农村垃圾、污水治理和村容村貌提升为主攻方向。紧随其后，中办、国办联</w:t>
      </w:r>
      <w:r>
        <w:rPr>
          <w:spacing w:val="-67"/>
        </w:rPr>
        <w:t> </w:t>
      </w:r>
      <w:r>
        <w:rPr>
          <w:spacing w:val="-67"/>
        </w:rPr>
      </w:r>
      <w:r>
        <w:rPr>
          <w:spacing w:val="-2"/>
        </w:rPr>
        <w:t>合印发《农村人居环境整治三年行动方案》进一步提出，积极推广低成本、低能耗、易维护、高效率的污水处理技术，鼓励</w:t>
      </w:r>
      <w:r>
        <w:rPr>
          <w:spacing w:val="-72"/>
        </w:rPr>
        <w:t> </w:t>
      </w:r>
      <w:r>
        <w:rPr>
          <w:spacing w:val="-72"/>
        </w:rPr>
      </w:r>
      <w:r>
        <w:rPr/>
        <w:t>采用生态处理工艺。加强生活污水源头减量和尾水回收利用。将农村水环境治理纳入河长制、湖长制管理。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月举行</w:t>
      </w:r>
      <w:r>
        <w:rPr>
          <w:spacing w:val="-83"/>
        </w:rPr>
        <w:t> </w:t>
      </w:r>
      <w:r>
        <w:rPr>
          <w:spacing w:val="-83"/>
        </w:rPr>
      </w:r>
      <w:r>
        <w:rPr>
          <w:spacing w:val="-2"/>
        </w:rPr>
        <w:t>的全国生态环境保护大会上，再次提及以农村垃圾、污水治理和村容村貌提升为主攻方向，推进乡村环境综合整治，同时国</w:t>
      </w:r>
      <w:r>
        <w:rPr>
          <w:spacing w:val="-66"/>
        </w:rPr>
        <w:t> </w:t>
      </w:r>
      <w:r>
        <w:rPr>
          <w:spacing w:val="-66"/>
        </w:rPr>
      </w:r>
      <w:r>
        <w:rPr>
          <w:spacing w:val="-4"/>
        </w:rPr>
        <w:t>家对农村的投入要向这方面倾斜。地方层面，农村污水治理步伐也在加快，多省份相继出台一系列推进村镇污水治理的政策。</w:t>
      </w:r>
      <w:r>
        <w:rPr>
          <w:spacing w:val="-44"/>
        </w:rPr>
        <w:t> </w:t>
      </w:r>
      <w:r>
        <w:rPr>
          <w:spacing w:val="-44"/>
        </w:rPr>
      </w:r>
      <w:r>
        <w:rPr/>
        <w:t>国家及地方层面密集出台的一系列政策也推动着村镇污水领域市场加速释放。</w:t>
      </w:r>
    </w:p>
    <w:p>
      <w:pPr>
        <w:pStyle w:val="BodyText"/>
        <w:spacing w:line="307" w:lineRule="auto" w:before="22"/>
        <w:ind w:right="1131"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月中央经济工作会议指出在全面建成小康社会关键之年的</w:t>
      </w:r>
      <w:r>
        <w:rPr>
          <w:rFonts w:ascii="Times New Roman" w:hAnsi="Times New Roman" w:cs="Times New Roman" w:eastAsia="Times New Roman" w:hint="default"/>
          <w:spacing w:val="-2"/>
        </w:rPr>
        <w:t>2019</w:t>
      </w:r>
      <w:r>
        <w:rPr>
          <w:spacing w:val="-2"/>
        </w:rPr>
        <w:t>年，打好污染防治攻坚战，要坚守阵地、巩固成</w:t>
      </w:r>
      <w:r>
        <w:rPr/>
        <w:t> </w:t>
      </w:r>
      <w:r>
        <w:rPr>
          <w:spacing w:val="-2"/>
        </w:rPr>
        <w:t>果，聚焦做好打赢蓝天保卫战等工作，加大工作和投入力度，同时要统筹兼顾，避免处置措施简单粗暴。而且新一轮中央环</w:t>
      </w:r>
      <w:r>
        <w:rPr>
          <w:spacing w:val="-66"/>
        </w:rPr>
        <w:t> </w:t>
      </w:r>
      <w:r>
        <w:rPr>
          <w:spacing w:val="-66"/>
        </w:rPr>
      </w:r>
      <w:r>
        <w:rPr>
          <w:spacing w:val="-2"/>
        </w:rPr>
        <w:t>保督察将于</w:t>
      </w:r>
      <w:r>
        <w:rPr>
          <w:rFonts w:ascii="Times New Roman" w:hAnsi="Times New Roman" w:cs="Times New Roman" w:eastAsia="Times New Roman" w:hint="default"/>
          <w:spacing w:val="-2"/>
        </w:rPr>
        <w:t>2019</w:t>
      </w:r>
      <w:r>
        <w:rPr>
          <w:spacing w:val="-2"/>
        </w:rPr>
        <w:t>年全面启动。环保高压态势没有改变，作为污染防治攻坚战的攻坚部队，环保产业面临的任务依然繁重，环</w:t>
      </w:r>
      <w:r>
        <w:rPr>
          <w:spacing w:val="-62"/>
        </w:rPr>
        <w:t> </w:t>
      </w:r>
      <w:r>
        <w:rPr>
          <w:spacing w:val="-62"/>
        </w:rPr>
      </w:r>
      <w:r>
        <w:rPr/>
        <w:t>保产业市场仍将继续保持旺盛态势。</w:t>
      </w:r>
    </w:p>
    <w:p>
      <w:pPr>
        <w:pStyle w:val="BodyText"/>
        <w:spacing w:line="316" w:lineRule="auto" w:before="26"/>
        <w:ind w:left="514" w:right="0"/>
        <w:jc w:val="left"/>
      </w:pPr>
      <w:r>
        <w:rPr/>
        <w:t>（二）竞争格局 </w:t>
      </w:r>
      <w:r>
        <w:rPr>
          <w:spacing w:val="-2"/>
        </w:rPr>
        <w:t>公司可以提供生态环境全产业链综合服务，为政府提供环境监测、咨询服务、治理为一体的全方位、一站式环境改善方</w:t>
      </w:r>
    </w:p>
    <w:p>
      <w:pPr>
        <w:pStyle w:val="BodyText"/>
        <w:spacing w:line="316" w:lineRule="auto" w:before="19"/>
        <w:ind w:right="1133"/>
        <w:jc w:val="both"/>
      </w:pPr>
      <w:r>
        <w:rPr>
          <w:spacing w:val="-2"/>
        </w:rPr>
        <w:t>案，具有全产业链服务优势，在行业中具有较强的竞争力。其中在常规空气监测市场，公司仍继续保持较高市场份额；在网</w:t>
      </w:r>
      <w:r>
        <w:rPr>
          <w:spacing w:val="-66"/>
        </w:rPr>
        <w:t> </w:t>
      </w:r>
      <w:r>
        <w:rPr>
          <w:spacing w:val="-66"/>
        </w:rPr>
      </w:r>
      <w:r>
        <w:rPr>
          <w:spacing w:val="-2"/>
        </w:rPr>
        <w:t>格化监测市场及大气污染防治管理咨询服务市场，公司拥有着齐全的产品线和完善的质控体系，拥有着专业的专家团队，结</w:t>
      </w:r>
      <w:r>
        <w:rPr>
          <w:spacing w:val="-66"/>
        </w:rPr>
        <w:t> </w:t>
      </w:r>
      <w:r>
        <w:rPr>
          <w:spacing w:val="-66"/>
        </w:rPr>
      </w:r>
      <w:r>
        <w:rPr/>
        <w:t>合网格化的数据应用，均占据市场领先地位。</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在建工程期末余额较期初增加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1,544,204.30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元，增幅</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41.48%</w:t>
            </w:r>
            <w:r>
              <w:rPr>
                <w:rFonts w:ascii="宋体" w:hAnsi="宋体" w:cs="宋体" w:eastAsia="宋体" w:hint="default"/>
                <w:sz w:val="18"/>
                <w:szCs w:val="18"/>
              </w:rPr>
              <w:t>，主要原因是本公司下 属子公司河北先河正源对石家庄鸿业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PVC </w:t>
            </w:r>
            <w:r>
              <w:rPr>
                <w:rFonts w:ascii="宋体" w:hAnsi="宋体" w:cs="宋体" w:eastAsia="宋体" w:hint="default"/>
                <w:sz w:val="18"/>
                <w:szCs w:val="18"/>
              </w:rPr>
              <w:t>手套生产线给排风改造及生产废气回收 与治理项目投入增加所致。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317"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应收票据及应收账款期末余额较期初增加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309,766,447.11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元，增幅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106.44%</w:t>
            </w:r>
            <w:r>
              <w:rPr>
                <w:rFonts w:ascii="宋体" w:hAnsi="宋体" w:cs="宋体" w:eastAsia="宋体" w:hint="default"/>
                <w:sz w:val="18"/>
                <w:szCs w:val="18"/>
              </w:rPr>
              <w:t>，主要 原因是本公司本期业务量增长、收入增加而款项尚未收回影响。</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其他流动资产期末余额较期初减少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40,115,863.52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元，降幅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93.22%</w:t>
            </w:r>
            <w:r>
              <w:rPr>
                <w:rFonts w:ascii="宋体" w:hAnsi="宋体" w:cs="宋体" w:eastAsia="宋体" w:hint="default"/>
                <w:sz w:val="18"/>
                <w:szCs w:val="18"/>
              </w:rPr>
              <w:t>，主要原因是上 期购买理财产品在本期到期赎回所致。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公司是否需要遵守特殊行业的披露要求</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否</w:t>
      </w:r>
    </w:p>
    <w:p>
      <w:pPr>
        <w:pStyle w:val="BodyText"/>
        <w:spacing w:line="300" w:lineRule="auto" w:before="115"/>
        <w:ind w:left="514" w:right="0"/>
        <w:jc w:val="left"/>
      </w:pPr>
      <w:r>
        <w:rPr>
          <w:rFonts w:ascii="Times New Roman" w:hAnsi="Times New Roman" w:cs="Times New Roman" w:eastAsia="Times New Roman" w:hint="default"/>
        </w:rPr>
        <w:t>1</w:t>
      </w:r>
      <w:r>
        <w:rPr/>
        <w:t>、技术创新优势 </w:t>
      </w:r>
      <w:r>
        <w:rPr>
          <w:spacing w:val="-2"/>
        </w:rPr>
        <w:t>公司一直坚持以自主研发为先导，加大科研投入，加强科技创新人才队伍建设。通过建立省级企业技术中心、省级工程</w:t>
      </w:r>
    </w:p>
    <w:p>
      <w:pPr>
        <w:pStyle w:val="BodyText"/>
        <w:spacing w:line="319" w:lineRule="auto" w:before="31"/>
        <w:ind w:right="0"/>
        <w:jc w:val="left"/>
      </w:pPr>
      <w:r>
        <w:rPr>
          <w:spacing w:val="-2"/>
        </w:rPr>
        <w:t>技术研究中心、国家工程实验室，承担国家项目，同时与国内各大院校建立紧密的技术合作，形成了大量的科技成果、科技</w:t>
      </w:r>
      <w:r>
        <w:rPr>
          <w:spacing w:val="-66"/>
        </w:rPr>
        <w:t> </w:t>
      </w:r>
      <w:r>
        <w:rPr>
          <w:spacing w:val="-66"/>
        </w:rPr>
      </w:r>
      <w:r>
        <w:rPr/>
        <w:t>奖励和专利；根据市场的发展趋势，公司对技术、产品进行及时更新和优化，带动了公司技术进步。</w:t>
      </w:r>
    </w:p>
    <w:p>
      <w:pPr>
        <w:pStyle w:val="BodyText"/>
        <w:spacing w:line="309" w:lineRule="auto" w:before="17"/>
        <w:ind w:right="1032" w:firstLine="360"/>
        <w:jc w:val="left"/>
      </w:pPr>
      <w:r>
        <w:rPr>
          <w:spacing w:val="-2"/>
        </w:rPr>
        <w:t>公司推出的</w:t>
      </w:r>
      <w:r>
        <w:rPr>
          <w:rFonts w:ascii="Times New Roman" w:hAnsi="Times New Roman" w:cs="Times New Roman" w:eastAsia="Times New Roman" w:hint="default"/>
          <w:spacing w:val="-2"/>
        </w:rPr>
        <w:t>“</w:t>
      </w:r>
      <w:r>
        <w:rPr>
          <w:spacing w:val="-2"/>
        </w:rPr>
        <w:t>大气污染网格化精准监控及决策支持系统</w:t>
      </w:r>
      <w:r>
        <w:rPr>
          <w:rFonts w:ascii="Times New Roman" w:hAnsi="Times New Roman" w:cs="Times New Roman" w:eastAsia="Times New Roman" w:hint="default"/>
          <w:spacing w:val="-2"/>
        </w:rPr>
        <w:t>”</w:t>
      </w:r>
      <w:r>
        <w:rPr>
          <w:spacing w:val="-2"/>
        </w:rPr>
        <w:t>不断迭代、更新、优化、提升，形成了完备的产品体系、科学的</w:t>
      </w:r>
      <w:r>
        <w:rPr/>
        <w:t> </w:t>
      </w:r>
      <w:r>
        <w:rPr>
          <w:spacing w:val="-2"/>
        </w:rPr>
        <w:t>质控体系、全面的应用体系、专家人才支撑体系、服务和硬件设施保障体系、规范的标准体系等六大支撑体系。网格化系统</w:t>
      </w:r>
      <w:r>
        <w:rPr>
          <w:spacing w:val="-66"/>
        </w:rPr>
        <w:t> </w:t>
      </w:r>
      <w:r>
        <w:rPr>
          <w:spacing w:val="-66"/>
        </w:rPr>
      </w:r>
      <w:r>
        <w:rPr/>
        <w:t>融合多元化数据来源，提高大数据综合分析能力，着眼于构建天地一体的生态环境监测体系，助力打造和完善</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总体改善方案，实现对城市环境实现全面感知、智能控制、广泛交互和深度融合，在为政府提供精准溯源、污染来源解析、 预警预报、达标规划、监管咨询、环境治理等深度支撑中，发挥更突出、更全面、更有价值的服务优势。</w:t>
      </w:r>
    </w:p>
    <w:p>
      <w:pPr>
        <w:pStyle w:val="BodyText"/>
        <w:spacing w:line="314" w:lineRule="auto" w:before="24"/>
        <w:ind w:right="1132" w:firstLine="360"/>
        <w:jc w:val="both"/>
      </w:pPr>
      <w:r>
        <w:rPr>
          <w:spacing w:val="-2"/>
        </w:rPr>
        <w:t>依托在水质监测及治理方面长期积累的技术和经验，进行技术攻关，公司研发出小型光伏生活污水处理系统。依据相关</w:t>
      </w:r>
      <w:r>
        <w:rPr/>
        <w:t> </w:t>
      </w:r>
      <w:r>
        <w:rPr>
          <w:spacing w:val="-2"/>
        </w:rPr>
        <w:t>环保法规、标准的规定，该系统结合农村实际的排污情况及排放规律，具有独特的结构设计、最小的能耗，符合相关环保法</w:t>
      </w:r>
      <w:r>
        <w:rPr>
          <w:spacing w:val="-66"/>
        </w:rPr>
        <w:t> </w:t>
      </w:r>
      <w:r>
        <w:rPr>
          <w:spacing w:val="-66"/>
        </w:rPr>
      </w:r>
      <w:r>
        <w:rPr>
          <w:spacing w:val="-2"/>
        </w:rPr>
        <w:t>规、标准的规定。装置模块化，小巧轻便、有利于运输及安装；装置成本低、且系统运行管理简单，无需委派专人维护，无</w:t>
      </w:r>
      <w:r>
        <w:rPr>
          <w:spacing w:val="-67"/>
        </w:rPr>
        <w:t> </w:t>
      </w:r>
      <w:r>
        <w:rPr>
          <w:spacing w:val="-67"/>
        </w:rPr>
      </w:r>
      <w:r>
        <w:rPr>
          <w:spacing w:val="-2"/>
        </w:rPr>
        <w:t>需外接市电来维持装置的运行，特别适合于农村分散污水的处理和净化，出水水质达到国家</w:t>
      </w:r>
      <w:r>
        <w:rPr>
          <w:rFonts w:ascii="Times New Roman" w:hAnsi="Times New Roman" w:cs="Times New Roman" w:eastAsia="Times New Roman" w:hint="default"/>
          <w:spacing w:val="-2"/>
        </w:rPr>
        <w:t>GB18918-2002</w:t>
      </w:r>
      <w:r>
        <w:rPr>
          <w:spacing w:val="-2"/>
        </w:rPr>
        <w:t>一级</w:t>
      </w:r>
      <w:r>
        <w:rPr>
          <w:rFonts w:ascii="Times New Roman" w:hAnsi="Times New Roman" w:cs="Times New Roman" w:eastAsia="Times New Roman" w:hint="default"/>
          <w:spacing w:val="-2"/>
        </w:rPr>
        <w:t>A</w:t>
      </w:r>
      <w:r>
        <w:rPr>
          <w:spacing w:val="-2"/>
        </w:rPr>
        <w:t>标准和一级</w:t>
      </w:r>
      <w:r>
        <w:rPr>
          <w:spacing w:val="-43"/>
        </w:rPr>
        <w:t> </w:t>
      </w:r>
      <w:r>
        <w:rPr>
          <w:rFonts w:ascii="Times New Roman" w:hAnsi="Times New Roman" w:cs="Times New Roman" w:eastAsia="Times New Roman" w:hint="default"/>
        </w:rPr>
        <w:t>B</w:t>
      </w:r>
      <w:r>
        <w:rPr/>
        <w:t>标准要求。</w:t>
      </w:r>
    </w:p>
    <w:p>
      <w:pPr>
        <w:pStyle w:val="BodyText"/>
        <w:spacing w:line="240" w:lineRule="auto" w:before="1"/>
        <w:ind w:left="514" w:right="0"/>
        <w:jc w:val="left"/>
      </w:pPr>
      <w:r>
        <w:rPr/>
        <w:t>截止报告期末，公司（含子公司）拥有专利</w:t>
      </w:r>
      <w:r>
        <w:rPr>
          <w:rFonts w:ascii="Times New Roman" w:hAnsi="Times New Roman" w:cs="Times New Roman" w:eastAsia="Times New Roman" w:hint="default"/>
        </w:rPr>
        <w:t>90</w:t>
      </w:r>
      <w:r>
        <w:rPr/>
        <w:t>项，软件著作权</w:t>
      </w:r>
      <w:r>
        <w:rPr>
          <w:rFonts w:ascii="Times New Roman" w:hAnsi="Times New Roman" w:cs="Times New Roman" w:eastAsia="Times New Roman" w:hint="default"/>
        </w:rPr>
        <w:t>112</w:t>
      </w:r>
      <w:r>
        <w:rPr/>
        <w:t>项。</w:t>
      </w:r>
    </w:p>
    <w:p>
      <w:pPr>
        <w:pStyle w:val="BodyText"/>
        <w:spacing w:line="309" w:lineRule="auto" w:before="63"/>
        <w:ind w:left="514" w:right="0"/>
        <w:jc w:val="left"/>
      </w:pPr>
      <w:r>
        <w:rPr>
          <w:rFonts w:ascii="Times New Roman" w:hAnsi="Times New Roman" w:cs="Times New Roman" w:eastAsia="Times New Roman" w:hint="default"/>
        </w:rPr>
        <w:t>2</w:t>
      </w:r>
      <w:r>
        <w:rPr/>
        <w:t>、全产业链服务优势 公司提供生态环境全产业链综合服务，为政府提供监测、咨询服务、治理为一体的全方位、一站式环境改善方案。 </w:t>
      </w:r>
      <w:r>
        <w:rPr>
          <w:spacing w:val="-2"/>
        </w:rPr>
        <w:t>基于二十余年技术积累，公司拥有齐全的产品线、全参数有效性监测，结合物联网技术，将小、快、灵的微型空气、水</w:t>
      </w:r>
    </w:p>
    <w:p>
      <w:pPr>
        <w:pStyle w:val="BodyText"/>
        <w:spacing w:line="312" w:lineRule="auto" w:before="24"/>
        <w:ind w:right="0"/>
        <w:jc w:val="left"/>
      </w:pPr>
      <w:r>
        <w:rPr>
          <w:spacing w:val="-2"/>
        </w:rPr>
        <w:t>环境监测传感器应用到监控点位，实现精准溯源；同时，利用大数据应用技术挖掘数据之间的关系，结合气象数据、地理信</w:t>
      </w:r>
      <w:r>
        <w:rPr>
          <w:spacing w:val="-66"/>
        </w:rPr>
        <w:t> </w:t>
      </w:r>
      <w:r>
        <w:rPr>
          <w:spacing w:val="-66"/>
        </w:rPr>
      </w:r>
      <w:r>
        <w:rPr>
          <w:spacing w:val="-2"/>
        </w:rPr>
        <w:t>息数据、多种环境质量模型等进行分析研判，甄别影响区域环境质量的主要因素及其污染贡献率，并针对不同区域不同污染</w:t>
      </w:r>
      <w:r>
        <w:rPr>
          <w:spacing w:val="-66"/>
        </w:rPr>
        <w:t> </w:t>
      </w:r>
      <w:r>
        <w:rPr>
          <w:spacing w:val="-66"/>
        </w:rPr>
      </w:r>
      <w:r>
        <w:rPr>
          <w:spacing w:val="-2"/>
        </w:rPr>
        <w:t>源问题实时提供管理咨询、管控与治理方案；</w:t>
      </w:r>
      <w:r>
        <w:rPr>
          <w:rFonts w:ascii="Times New Roman" w:hAnsi="Times New Roman" w:cs="Times New Roman" w:eastAsia="Times New Roman" w:hint="default"/>
          <w:spacing w:val="-2"/>
        </w:rPr>
        <w:t>VOCs</w:t>
      </w:r>
      <w:r>
        <w:rPr>
          <w:spacing w:val="-2"/>
        </w:rPr>
        <w:t>综合治理上，创新性地提出了</w:t>
      </w:r>
      <w:r>
        <w:rPr>
          <w:rFonts w:ascii="Times New Roman" w:hAnsi="Times New Roman" w:cs="Times New Roman" w:eastAsia="Times New Roman" w:hint="default"/>
          <w:spacing w:val="-2"/>
        </w:rPr>
        <w:t>“</w:t>
      </w:r>
      <w:r>
        <w:rPr>
          <w:spacing w:val="-2"/>
        </w:rPr>
        <w:t>低成本分散回收，规模化集中处理，资源</w:t>
      </w:r>
      <w:r>
        <w:rPr>
          <w:spacing w:val="-54"/>
        </w:rPr>
        <w:t> </w:t>
      </w:r>
      <w:r>
        <w:rPr>
          <w:spacing w:val="-54"/>
        </w:rPr>
      </w:r>
      <w:r>
        <w:rPr>
          <w:spacing w:val="-2"/>
        </w:rPr>
        <w:t>化循环利用</w:t>
      </w:r>
      <w:r>
        <w:rPr>
          <w:rFonts w:ascii="Times New Roman" w:hAnsi="Times New Roman" w:cs="Times New Roman" w:eastAsia="Times New Roman" w:hint="default"/>
          <w:spacing w:val="-2"/>
        </w:rPr>
        <w:t>”</w:t>
      </w:r>
      <w:r>
        <w:rPr>
          <w:spacing w:val="-2"/>
        </w:rPr>
        <w:t>的</w:t>
      </w:r>
      <w:r>
        <w:rPr>
          <w:rFonts w:ascii="Times New Roman" w:hAnsi="Times New Roman" w:cs="Times New Roman" w:eastAsia="Times New Roman" w:hint="default"/>
          <w:spacing w:val="-2"/>
        </w:rPr>
        <w:t>VOCs</w:t>
      </w:r>
      <w:r>
        <w:rPr>
          <w:spacing w:val="-2"/>
        </w:rPr>
        <w:t>第三方治理新模式，既能有效降低</w:t>
      </w:r>
      <w:r>
        <w:rPr>
          <w:rFonts w:ascii="Times New Roman" w:hAnsi="Times New Roman" w:cs="Times New Roman" w:eastAsia="Times New Roman" w:hint="default"/>
          <w:spacing w:val="-2"/>
        </w:rPr>
        <w:t>VOCs</w:t>
      </w:r>
      <w:r>
        <w:rPr>
          <w:spacing w:val="-2"/>
        </w:rPr>
        <w:t>的排放量，也降低了企业的</w:t>
      </w:r>
      <w:r>
        <w:rPr>
          <w:rFonts w:ascii="Times New Roman" w:hAnsi="Times New Roman" w:cs="Times New Roman" w:eastAsia="Times New Roman" w:hint="default"/>
          <w:spacing w:val="-2"/>
        </w:rPr>
        <w:t>VOCs</w:t>
      </w:r>
      <w:r>
        <w:rPr>
          <w:spacing w:val="-2"/>
        </w:rPr>
        <w:t>治理成本；一体化分散式污水</w:t>
      </w:r>
      <w:r>
        <w:rPr>
          <w:spacing w:val="-48"/>
        </w:rPr>
        <w:t> </w:t>
      </w:r>
      <w:r>
        <w:rPr>
          <w:spacing w:val="-48"/>
        </w:rPr>
      </w:r>
      <w:r>
        <w:rPr>
          <w:spacing w:val="-4"/>
        </w:rPr>
        <w:t>处理系统主要应用于城中村、布局分散的小城镇、农村和偏远山区，可将其产生的生活和工业污水进行分别收集、就地处理、</w:t>
      </w:r>
      <w:r>
        <w:rPr>
          <w:spacing w:val="-46"/>
        </w:rPr>
        <w:t> </w:t>
      </w:r>
      <w:r>
        <w:rPr>
          <w:spacing w:val="-46"/>
        </w:rPr>
      </w:r>
      <w:r>
        <w:rPr/>
        <w:t>达标排放或回用，从而构建新型环保的污水处理模式。</w:t>
      </w:r>
    </w:p>
    <w:p>
      <w:pPr>
        <w:spacing w:after="0" w:line="31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360"/>
        <w:jc w:val="left"/>
      </w:pPr>
      <w:r>
        <w:rPr>
          <w:rFonts w:ascii="Times New Roman" w:hAnsi="Times New Roman" w:cs="Times New Roman" w:eastAsia="Times New Roman" w:hint="default"/>
          <w:spacing w:val="-2"/>
        </w:rPr>
        <w:t>2018</w:t>
      </w:r>
      <w:r>
        <w:rPr>
          <w:spacing w:val="-2"/>
        </w:rPr>
        <w:t>年在公司董事会及管理层的领导下，通过管理团队及全体员工共同努力，继续提高经营质量，积极拓展市场，认真</w:t>
      </w:r>
      <w:r>
        <w:rPr/>
        <w:t> </w:t>
      </w:r>
      <w:r>
        <w:rPr>
          <w:spacing w:val="4"/>
        </w:rPr>
        <w:t>贯彻落实年度经营计划，公司圆满达成年度既定目标。报告期内，公司实现营业收入</w:t>
      </w:r>
      <w:r>
        <w:rPr>
          <w:rFonts w:ascii="Times New Roman" w:hAnsi="Times New Roman" w:cs="Times New Roman" w:eastAsia="Times New Roman" w:hint="default"/>
          <w:spacing w:val="4"/>
        </w:rPr>
        <w:t>1,374,100,144.47</w:t>
      </w:r>
      <w:r>
        <w:rPr>
          <w:spacing w:val="4"/>
        </w:rPr>
        <w:t>元，较上年同期增</w:t>
      </w:r>
      <w:r>
        <w:rPr>
          <w:spacing w:val="-75"/>
        </w:rPr>
        <w:t> </w:t>
      </w:r>
      <w:r>
        <w:rPr>
          <w:rFonts w:ascii="Times New Roman" w:hAnsi="Times New Roman" w:cs="Times New Roman" w:eastAsia="Times New Roman" w:hint="default"/>
        </w:rPr>
        <w:t>31.80%</w:t>
      </w:r>
      <w:r>
        <w:rPr/>
        <w:t>；实现营业利润</w:t>
      </w:r>
      <w:r>
        <w:rPr>
          <w:rFonts w:ascii="Times New Roman" w:hAnsi="Times New Roman" w:cs="Times New Roman" w:eastAsia="Times New Roman" w:hint="default"/>
        </w:rPr>
        <w:t>310,196,559.17</w:t>
      </w:r>
      <w:r>
        <w:rPr/>
        <w:t>元，较上年同期增长</w:t>
      </w:r>
      <w:r>
        <w:rPr>
          <w:rFonts w:ascii="Times New Roman" w:hAnsi="Times New Roman" w:cs="Times New Roman" w:eastAsia="Times New Roman" w:hint="default"/>
        </w:rPr>
        <w:t>33.56%</w:t>
      </w:r>
      <w:r>
        <w:rPr/>
        <w:t>；归属于上市公司股东的净利润</w:t>
      </w:r>
      <w:r>
        <w:rPr>
          <w:rFonts w:ascii="Times New Roman" w:hAnsi="Times New Roman" w:cs="Times New Roman" w:eastAsia="Times New Roman" w:hint="default"/>
        </w:rPr>
        <w:t>259,434,109.03</w:t>
      </w:r>
      <w:r>
        <w:rPr/>
        <w:t>元，较上年 </w:t>
      </w:r>
      <w:r>
        <w:rPr>
          <w:spacing w:val="-1"/>
        </w:rPr>
        <w:t>同期增长</w:t>
      </w:r>
      <w:r>
        <w:rPr>
          <w:rFonts w:ascii="Times New Roman" w:hAnsi="Times New Roman" w:cs="Times New Roman" w:eastAsia="Times New Roman" w:hint="default"/>
          <w:spacing w:val="-1"/>
        </w:rPr>
        <w:t>37.87%</w:t>
      </w:r>
      <w:r>
        <w:rPr>
          <w:spacing w:val="-1"/>
        </w:rPr>
        <w:t>。截至报告期末，公司资产总额达到</w:t>
      </w:r>
      <w:r>
        <w:rPr>
          <w:rFonts w:ascii="Times New Roman" w:hAnsi="Times New Roman" w:cs="Times New Roman" w:eastAsia="Times New Roman" w:hint="default"/>
          <w:spacing w:val="-1"/>
        </w:rPr>
        <w:t>2,470,571,877.87</w:t>
      </w:r>
      <w:r>
        <w:rPr>
          <w:spacing w:val="-1"/>
        </w:rPr>
        <w:t>元，归属于上市公司股东的净资产</w:t>
      </w:r>
      <w:r>
        <w:rPr>
          <w:rFonts w:ascii="Times New Roman" w:hAnsi="Times New Roman" w:cs="Times New Roman" w:eastAsia="Times New Roman" w:hint="default"/>
          <w:spacing w:val="-1"/>
        </w:rPr>
        <w:t>1,808,237,876.38</w:t>
      </w:r>
      <w:r>
        <w:rPr>
          <w:spacing w:val="-1"/>
        </w:rPr>
        <w:t>元，</w:t>
      </w:r>
      <w:r>
        <w:rPr>
          <w:spacing w:val="-29"/>
        </w:rPr>
        <w:t> </w:t>
      </w:r>
      <w:r>
        <w:rPr/>
        <w:t>分别较上年期末增长</w:t>
      </w:r>
      <w:r>
        <w:rPr>
          <w:rFonts w:ascii="Times New Roman" w:hAnsi="Times New Roman" w:cs="Times New Roman" w:eastAsia="Times New Roman" w:hint="default"/>
        </w:rPr>
        <w:t>16.48%</w:t>
      </w:r>
      <w:r>
        <w:rPr/>
        <w:t>、</w:t>
      </w:r>
      <w:r>
        <w:rPr>
          <w:spacing w:val="-18"/>
        </w:rPr>
        <w:t> </w:t>
      </w:r>
      <w:r>
        <w:rPr>
          <w:rFonts w:ascii="Times New Roman" w:hAnsi="Times New Roman" w:cs="Times New Roman" w:eastAsia="Times New Roman" w:hint="default"/>
        </w:rPr>
        <w:t>12.85%</w:t>
      </w:r>
      <w:r>
        <w:rPr/>
        <w:t>。</w:t>
      </w:r>
    </w:p>
    <w:p>
      <w:pPr>
        <w:pStyle w:val="BodyText"/>
        <w:spacing w:line="240" w:lineRule="auto" w:before="13"/>
        <w:ind w:left="514" w:right="0"/>
        <w:jc w:val="left"/>
      </w:pPr>
      <w:r>
        <w:rPr/>
        <w:t>（一）市场布局取得新突破</w:t>
      </w:r>
    </w:p>
    <w:p>
      <w:pPr>
        <w:pStyle w:val="BodyText"/>
        <w:spacing w:line="307" w:lineRule="auto" w:before="76"/>
        <w:ind w:right="1129" w:firstLine="360"/>
        <w:jc w:val="both"/>
      </w:pPr>
      <w:r>
        <w:rPr>
          <w:rFonts w:ascii="Times New Roman" w:hAnsi="Times New Roman" w:cs="Times New Roman" w:eastAsia="Times New Roman" w:hint="default"/>
        </w:rPr>
        <w:t>1</w:t>
      </w:r>
      <w:r>
        <w:rPr/>
        <w:t>、公司在持续巩固河北、山东、河南等市场的基础上，安徽、江西、江苏、东北、西北市场取得重大突破。其中大气 网格化加管理咨询服务业务拓展到</w:t>
      </w:r>
      <w:r>
        <w:rPr>
          <w:rFonts w:ascii="Times New Roman" w:hAnsi="Times New Roman" w:cs="Times New Roman" w:eastAsia="Times New Roman" w:hint="default"/>
        </w:rPr>
        <w:t>17</w:t>
      </w:r>
      <w:r>
        <w:rPr/>
        <w:t>个省</w:t>
      </w:r>
      <w:r>
        <w:rPr>
          <w:rFonts w:ascii="Times New Roman" w:hAnsi="Times New Roman" w:cs="Times New Roman" w:eastAsia="Times New Roman" w:hint="default"/>
        </w:rPr>
        <w:t>100</w:t>
      </w:r>
      <w:r>
        <w:rPr/>
        <w:t>多个市县，通过提供全要素的实时监测、监测监管、查询统计、研判分析、决</w:t>
      </w:r>
      <w:r>
        <w:rPr>
          <w:spacing w:val="-83"/>
        </w:rPr>
        <w:t> </w:t>
      </w:r>
      <w:r>
        <w:rPr>
          <w:spacing w:val="-83"/>
        </w:rPr>
      </w:r>
      <w:r>
        <w:rPr>
          <w:spacing w:val="-2"/>
        </w:rPr>
        <w:t>策支持、督查调度、量化考核等功能，为政府精准治霾提供强有力的技术支撑，特别是在安徽阜阳、江西赣州等地，应用效</w:t>
      </w:r>
      <w:r>
        <w:rPr>
          <w:spacing w:val="-68"/>
        </w:rPr>
        <w:t> </w:t>
      </w:r>
      <w:r>
        <w:rPr>
          <w:spacing w:val="-68"/>
        </w:rPr>
      </w:r>
      <w:r>
        <w:rPr/>
        <w:t>果显著，得到了当地政府的充分肯定。</w:t>
      </w:r>
    </w:p>
    <w:p>
      <w:pPr>
        <w:pStyle w:val="BodyText"/>
        <w:spacing w:line="309" w:lineRule="auto" w:before="26"/>
        <w:ind w:right="1131" w:firstLine="360"/>
        <w:jc w:val="both"/>
      </w:pPr>
      <w:r>
        <w:rPr>
          <w:rFonts w:ascii="Times New Roman" w:hAnsi="Times New Roman" w:cs="Times New Roman" w:eastAsia="Times New Roman" w:hint="default"/>
        </w:rPr>
        <w:t>2</w:t>
      </w:r>
      <w:r>
        <w:rPr/>
        <w:t>、水质在线监测先后中标国家地表水站项目，四川自贡水环境监控系统、以及重庆水站、新疆水站等项目，为水质监 </w:t>
      </w:r>
      <w:r>
        <w:rPr>
          <w:spacing w:val="-2"/>
        </w:rPr>
        <w:t>测市场的开拓提供了支撑。其中自贡开启了首个水环境大数据加管理咨询项目，为打造涵盖全要素的生态环境物联网迈出坚</w:t>
      </w:r>
      <w:r>
        <w:rPr>
          <w:spacing w:val="-64"/>
        </w:rPr>
        <w:t> </w:t>
      </w:r>
      <w:r>
        <w:rPr>
          <w:spacing w:val="-64"/>
        </w:rPr>
      </w:r>
      <w:r>
        <w:rPr/>
        <w:t>实步伐。</w:t>
      </w:r>
    </w:p>
    <w:p>
      <w:pPr>
        <w:pStyle w:val="BodyText"/>
        <w:spacing w:line="316" w:lineRule="auto" w:before="24"/>
        <w:ind w:left="514" w:right="0"/>
        <w:jc w:val="left"/>
      </w:pPr>
      <w:r>
        <w:rPr/>
        <w:t>（二）战略布局逐步落地 </w:t>
      </w:r>
      <w:r>
        <w:rPr>
          <w:spacing w:val="-2"/>
        </w:rPr>
        <w:t>报告期内，公司投资设立子公司进入农村分散污水治理和黑臭水体治理领域，先后中标贵州安顺、湖北监利项目；推出</w:t>
      </w:r>
    </w:p>
    <w:p>
      <w:pPr>
        <w:pStyle w:val="BodyText"/>
        <w:spacing w:line="309" w:lineRule="auto" w:before="19"/>
        <w:ind w:right="1032"/>
        <w:jc w:val="left"/>
      </w:pPr>
      <w:r>
        <w:rPr/>
        <w:t>了</w:t>
      </w:r>
      <w:r>
        <w:rPr>
          <w:rFonts w:ascii="Times New Roman" w:hAnsi="Times New Roman" w:cs="Times New Roman" w:eastAsia="Times New Roman" w:hint="default"/>
        </w:rPr>
        <w:t>VOCs</w:t>
      </w:r>
      <w:r>
        <w:rPr/>
        <w:t>在线监测设备，积极推进河南清丰县第三方废气治理项目，顺利通过了山东时风集团、邯郸银隆废气治理重点项目</w:t>
      </w:r>
      <w:r>
        <w:rPr>
          <w:spacing w:val="-84"/>
        </w:rPr>
        <w:t> </w:t>
      </w:r>
      <w:r>
        <w:rPr>
          <w:spacing w:val="-84"/>
        </w:rPr>
      </w:r>
      <w:r>
        <w:rPr/>
        <w:t>整体验收工作；美国子公司完成合并后，具备独立拓展全球市场能力，同时完成了公司优势产品输出，并在美国开展测试， 为后续拓展国际市场打下良好基础。</w:t>
      </w:r>
    </w:p>
    <w:p>
      <w:pPr>
        <w:pStyle w:val="BodyText"/>
        <w:spacing w:line="240" w:lineRule="auto" w:before="24"/>
        <w:ind w:left="514" w:right="0"/>
        <w:jc w:val="left"/>
      </w:pPr>
      <w:r>
        <w:rPr/>
        <w:t>（三）技术和产品创新成果丰硕</w:t>
      </w:r>
    </w:p>
    <w:p>
      <w:pPr>
        <w:pStyle w:val="BodyText"/>
        <w:spacing w:line="304" w:lineRule="auto" w:before="76"/>
        <w:ind w:right="1032" w:firstLine="360"/>
        <w:jc w:val="left"/>
      </w:pPr>
      <w:r>
        <w:rPr>
          <w:rFonts w:ascii="Times New Roman" w:hAnsi="Times New Roman" w:cs="Times New Roman" w:eastAsia="Times New Roman" w:hint="default"/>
        </w:rPr>
        <w:t>1</w:t>
      </w:r>
      <w:r>
        <w:rPr/>
        <w:t>、公司持续加大自主产品创新力度，依靠创新带动企业经营质量稳步提高。报告期内，公司研发出新标准臭氧分析仪 和</w:t>
      </w:r>
      <w:r>
        <w:rPr>
          <w:rFonts w:ascii="Times New Roman" w:hAnsi="Times New Roman" w:cs="Times New Roman" w:eastAsia="Times New Roman" w:hint="default"/>
        </w:rPr>
        <w:t>PM1</w:t>
      </w:r>
      <w:r>
        <w:rPr/>
        <w:t>监测仪；水环境智能监控系统以及系列化全新一代水质监测设备，为公司下一步抓住</w:t>
      </w:r>
      <w:r>
        <w:rPr>
          <w:rFonts w:ascii="Times New Roman" w:hAnsi="Times New Roman" w:cs="Times New Roman" w:eastAsia="Times New Roman" w:hint="default"/>
        </w:rPr>
        <w:t>“</w:t>
      </w:r>
      <w:r>
        <w:rPr/>
        <w:t>河（湖）长制</w:t>
      </w:r>
      <w:r>
        <w:rPr>
          <w:rFonts w:ascii="Times New Roman" w:hAnsi="Times New Roman" w:cs="Times New Roman" w:eastAsia="Times New Roman" w:hint="default"/>
        </w:rPr>
        <w:t>”</w:t>
      </w:r>
      <w:r>
        <w:rPr/>
        <w:t>实施、抢占下一 阶段水质市场打下坚实基础；推出的无人机移动监测、颗粒物源解析车、大气</w:t>
      </w:r>
      <w:r>
        <w:rPr>
          <w:rFonts w:ascii="Times New Roman" w:hAnsi="Times New Roman" w:cs="Times New Roman" w:eastAsia="Times New Roman" w:hint="default"/>
        </w:rPr>
        <w:t>VOCs</w:t>
      </w:r>
      <w:r>
        <w:rPr/>
        <w:t>解析监测车、机动车排气固定式垂直遥</w:t>
      </w:r>
      <w:r>
        <w:rPr>
          <w:spacing w:val="-83"/>
        </w:rPr>
        <w:t> </w:t>
      </w:r>
      <w:r>
        <w:rPr>
          <w:spacing w:val="-83"/>
        </w:rPr>
      </w:r>
      <w:r>
        <w:rPr/>
        <w:t>感监测系统等，进一步丰富了公司产品线，为业务拓展提供了支撑。公司积极延伸管理咨询服务，创新开发了源清单系统， 在洛阳率先应用并乘势切入江西赣州，为全面拓展市场打下基础。</w:t>
      </w:r>
    </w:p>
    <w:p>
      <w:pPr>
        <w:pStyle w:val="BodyText"/>
        <w:spacing w:line="307" w:lineRule="auto" w:before="28"/>
        <w:ind w:right="0" w:firstLine="360"/>
        <w:jc w:val="left"/>
      </w:pPr>
      <w:r>
        <w:rPr>
          <w:rFonts w:ascii="Times New Roman" w:hAnsi="Times New Roman" w:cs="Times New Roman" w:eastAsia="Times New Roman" w:hint="default"/>
          <w:spacing w:val="-4"/>
        </w:rPr>
        <w:t>2</w:t>
      </w:r>
      <w:r>
        <w:rPr>
          <w:spacing w:val="-4"/>
        </w:rPr>
        <w:t>、科研项目成果丰硕。</w:t>
      </w:r>
      <w:r>
        <w:rPr>
          <w:rFonts w:ascii="Times New Roman" w:hAnsi="Times New Roman" w:cs="Times New Roman" w:eastAsia="Times New Roman" w:hint="default"/>
          <w:spacing w:val="-4"/>
        </w:rPr>
        <w:t>2018</w:t>
      </w:r>
      <w:r>
        <w:rPr>
          <w:spacing w:val="-4"/>
        </w:rPr>
        <w:t>年，公司完成</w:t>
      </w:r>
      <w:r>
        <w:rPr>
          <w:rFonts w:ascii="Times New Roman" w:hAnsi="Times New Roman" w:cs="Times New Roman" w:eastAsia="Times New Roman" w:hint="default"/>
          <w:spacing w:val="-4"/>
        </w:rPr>
        <w:t>5</w:t>
      </w:r>
      <w:r>
        <w:rPr>
          <w:spacing w:val="-4"/>
        </w:rPr>
        <w:t>项科研项目验收，完成</w:t>
      </w:r>
      <w:r>
        <w:rPr>
          <w:rFonts w:ascii="Times New Roman" w:hAnsi="Times New Roman" w:cs="Times New Roman" w:eastAsia="Times New Roman" w:hint="default"/>
          <w:spacing w:val="-4"/>
        </w:rPr>
        <w:t>28</w:t>
      </w:r>
      <w:r>
        <w:rPr>
          <w:spacing w:val="-4"/>
        </w:rPr>
        <w:t>项企业标准备案。截止报告期末，公司（含子公司）</w:t>
      </w:r>
      <w:r>
        <w:rPr/>
        <w:t> 拥有专利</w:t>
      </w:r>
      <w:r>
        <w:rPr>
          <w:rFonts w:ascii="Times New Roman" w:hAnsi="Times New Roman" w:cs="Times New Roman" w:eastAsia="Times New Roman" w:hint="default"/>
        </w:rPr>
        <w:t>90</w:t>
      </w:r>
      <w:r>
        <w:rPr/>
        <w:t>项，软件著作权</w:t>
      </w:r>
      <w:r>
        <w:rPr>
          <w:rFonts w:ascii="Times New Roman" w:hAnsi="Times New Roman" w:cs="Times New Roman" w:eastAsia="Times New Roman" w:hint="default"/>
        </w:rPr>
        <w:t>112</w:t>
      </w:r>
      <w:r>
        <w:rPr/>
        <w:t>项。公司承建的</w:t>
      </w:r>
      <w:r>
        <w:rPr>
          <w:rFonts w:ascii="Times New Roman" w:hAnsi="Times New Roman" w:cs="Times New Roman" w:eastAsia="Times New Roman" w:hint="default"/>
        </w:rPr>
        <w:t>“</w:t>
      </w:r>
      <w:r>
        <w:rPr/>
        <w:t>环境监测仪器系统技术国家地方联合工程实验室</w:t>
      </w:r>
      <w:r>
        <w:rPr>
          <w:rFonts w:ascii="Times New Roman" w:hAnsi="Times New Roman" w:cs="Times New Roman" w:eastAsia="Times New Roman" w:hint="default"/>
        </w:rPr>
        <w:t>”</w:t>
      </w:r>
      <w:r>
        <w:rPr/>
        <w:t>顺利通过验收，项目建设</w:t>
      </w:r>
      <w:r>
        <w:rPr>
          <w:spacing w:val="-68"/>
        </w:rPr>
        <w:t> </w:t>
      </w:r>
      <w:r>
        <w:rPr>
          <w:spacing w:val="-68"/>
        </w:rPr>
      </w:r>
      <w:r>
        <w:rPr>
          <w:spacing w:val="-2"/>
        </w:rPr>
        <w:t>内容包括：建成水环境、大气环境为主的环境监测技术与仪器研发试验基地及中试和工程实验技术平台，大气传感网络监测</w:t>
      </w:r>
      <w:r>
        <w:rPr>
          <w:spacing w:val="-66"/>
        </w:rPr>
        <w:t> </w:t>
      </w:r>
      <w:r>
        <w:rPr>
          <w:spacing w:val="-66"/>
        </w:rPr>
      </w:r>
      <w:r>
        <w:rPr>
          <w:spacing w:val="-2"/>
        </w:rPr>
        <w:t>仪试验与校准中心，生态环境物联网与大数据应用中心。通过攻克及引进领域前沿技术，研制了多款适合中国国情的环境监</w:t>
      </w:r>
      <w:r>
        <w:rPr>
          <w:spacing w:val="-66"/>
        </w:rPr>
        <w:t> </w:t>
      </w:r>
      <w:r>
        <w:rPr>
          <w:spacing w:val="-66"/>
        </w:rPr>
      </w:r>
      <w:r>
        <w:rPr/>
        <w:t>测类产品，并实现产业化，同时形成了大量的知识产权，完成实验室建设的既定目标。</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月，公司院士工作站成功获</w:t>
      </w:r>
      <w:r>
        <w:rPr>
          <w:spacing w:val="-82"/>
        </w:rPr>
        <w:t> </w:t>
      </w:r>
      <w:r>
        <w:rPr>
          <w:spacing w:val="-82"/>
        </w:rPr>
      </w:r>
      <w:r>
        <w:rPr/>
        <w:t>批，成为</w:t>
      </w:r>
      <w:r>
        <w:rPr>
          <w:rFonts w:ascii="Times New Roman" w:hAnsi="Times New Roman" w:cs="Times New Roman" w:eastAsia="Times New Roman" w:hint="default"/>
        </w:rPr>
        <w:t>2019</w:t>
      </w:r>
      <w:r>
        <w:rPr/>
        <w:t>年度河北省首批院士工作站建站单位。</w:t>
      </w: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972"/>
        <w:jc w:val="left"/>
      </w:pPr>
      <w:r>
        <w:rPr/>
        <w:t>公司是否需要遵守光伏产业链相关业的披露要求 否</w:t>
      </w:r>
    </w:p>
    <w:p>
      <w:pPr>
        <w:pStyle w:val="BodyText"/>
        <w:spacing w:line="338" w:lineRule="auto" w:before="29"/>
        <w:ind w:right="139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2"/>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0"/>
        <w:ind w:right="1135"/>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3"/>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40" w:lineRule="auto" w:before="42"/>
        <w:ind w:right="1663"/>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否</w:t>
      </w:r>
    </w:p>
    <w:p>
      <w:pPr>
        <w:pStyle w:val="BodyText"/>
        <w:spacing w:line="240" w:lineRule="auto" w:before="40"/>
        <w:ind w:right="0"/>
        <w:jc w:val="left"/>
      </w:pPr>
      <w:r>
        <w:rPr/>
        <w:t>营业收入整体情况</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1,374,100,144.47</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1,042,537,654.56</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31.80%</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1,371,874,112.56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1,039,966,678.44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99.75%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2,226,031.91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2,570,976.12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环境监测系统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979,273,744.11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743,265,630.69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71.29%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31.75%</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运营及咨询服务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215,821,711.58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186,380,128.53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17.88%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15.80%</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179,004,688.78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112,891,895.34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1,323,320,410.74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1,011,869,041.81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97.06%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30.78%</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50,779,733.73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30,668,612.75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1,371,874,112.56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681,417,739.68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环境监测系统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979,273,744.11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500,064,341.17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运营及咨询服务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215,821,711.58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94,257,446.98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179,004,688.78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87,675,793.54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1,323,320,410.74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667,008,933.48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96.10%</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42.98%</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-21.25%</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2"/>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报告期内公司订单较去年同期有较大增长。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92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否</w:t>
      </w:r>
    </w:p>
    <w:p>
      <w:pPr>
        <w:pStyle w:val="BodyText"/>
        <w:spacing w:line="300" w:lineRule="auto" w:before="41"/>
        <w:ind w:right="1131"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日，公司与河北省环境监测中心签署了《河北省环境监测中心</w:t>
      </w:r>
      <w:r>
        <w:rPr>
          <w:rFonts w:ascii="Times New Roman" w:hAnsi="Times New Roman" w:cs="Times New Roman" w:eastAsia="Times New Roman" w:hint="default"/>
        </w:rPr>
        <w:t>“1+18”</w:t>
      </w:r>
      <w:r>
        <w:rPr/>
        <w:t>大气监测专项</w:t>
      </w:r>
      <w:r>
        <w:rPr>
          <w:rFonts w:ascii="Times New Roman" w:hAnsi="Times New Roman" w:cs="Times New Roman" w:eastAsia="Times New Roman" w:hint="default"/>
        </w:rPr>
        <w:t>1</w:t>
      </w:r>
      <w:r>
        <w:rPr/>
        <w:t>包省控自动站建设合</w:t>
      </w:r>
      <w:r>
        <w:rPr>
          <w:w w:val="100"/>
        </w:rPr>
        <w:t> </w:t>
      </w:r>
      <w:r>
        <w:rPr/>
        <w:t>同》，合同总价为</w:t>
      </w:r>
      <w:r>
        <w:rPr>
          <w:rFonts w:ascii="Times New Roman" w:hAnsi="Times New Roman" w:cs="Times New Roman" w:eastAsia="Times New Roman" w:hint="default"/>
        </w:rPr>
        <w:t>22,877.45</w:t>
      </w:r>
      <w:r>
        <w:rPr/>
        <w:t>万元，截止报告期末，该合同已经执行完毕。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875" w:space="8045"/>
            <w:col w:w="201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539,866,603.22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416,899,141.76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29.50%</w:t>
            </w:r>
          </w:p>
        </w:tc>
      </w:tr>
    </w:tbl>
    <w:p>
      <w:pPr>
        <w:pStyle w:val="BodyText"/>
        <w:spacing w:line="240" w:lineRule="auto" w:before="51"/>
        <w:ind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2" w:lineRule="auto" w:before="101"/>
        <w:ind w:right="1130"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26</w:t>
      </w:r>
      <w:r>
        <w:rPr>
          <w:spacing w:val="-2"/>
        </w:rPr>
        <w:t>日经公司第三届董事会第五次会议审议通过，公司与河北智旅投资有限公司、河北鹏瑜环保科技有限公</w:t>
      </w:r>
      <w:r>
        <w:rPr/>
        <w:t> 司、袁安明共同投资设立河北先河正合环境科技有限公司，设立时注册资本</w:t>
      </w:r>
      <w:r>
        <w:rPr>
          <w:rFonts w:ascii="Times New Roman" w:hAnsi="Times New Roman" w:cs="Times New Roman" w:eastAsia="Times New Roman" w:hint="default"/>
        </w:rPr>
        <w:t>17,000</w:t>
      </w:r>
      <w:r>
        <w:rPr/>
        <w:t>万元，其中公司认缴</w:t>
      </w:r>
      <w:r>
        <w:rPr>
          <w:rFonts w:ascii="Times New Roman" w:hAnsi="Times New Roman" w:cs="Times New Roman" w:eastAsia="Times New Roman" w:hint="default"/>
        </w:rPr>
        <w:t>10,600</w:t>
      </w:r>
      <w:r>
        <w:rPr/>
        <w:t>万元，河北智 </w:t>
      </w:r>
      <w:r>
        <w:rPr>
          <w:spacing w:val="-2"/>
        </w:rPr>
        <w:t>旅投资有限公司认缴</w:t>
      </w:r>
      <w:r>
        <w:rPr>
          <w:rFonts w:ascii="Times New Roman" w:hAnsi="Times New Roman" w:cs="Times New Roman" w:eastAsia="Times New Roman" w:hint="default"/>
          <w:spacing w:val="-2"/>
        </w:rPr>
        <w:t>4,000</w:t>
      </w:r>
      <w:r>
        <w:rPr>
          <w:spacing w:val="-2"/>
        </w:rPr>
        <w:t>万元、河北鹏瑜环保科技有限公司认缴</w:t>
      </w:r>
      <w:r>
        <w:rPr>
          <w:rFonts w:ascii="Times New Roman" w:hAnsi="Times New Roman" w:cs="Times New Roman" w:eastAsia="Times New Roman" w:hint="default"/>
          <w:spacing w:val="-2"/>
        </w:rPr>
        <w:t>1,800</w:t>
      </w:r>
      <w:r>
        <w:rPr>
          <w:spacing w:val="-2"/>
        </w:rPr>
        <w:t>万元、袁安明认缴</w:t>
      </w:r>
      <w:r>
        <w:rPr>
          <w:rFonts w:ascii="Times New Roman" w:hAnsi="Times New Roman" w:cs="Times New Roman" w:eastAsia="Times New Roman" w:hint="default"/>
          <w:spacing w:val="-2"/>
        </w:rPr>
        <w:t>600</w:t>
      </w:r>
      <w:r>
        <w:rPr>
          <w:spacing w:val="-2"/>
        </w:rPr>
        <w:t>万元；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w:t>
      </w:r>
      <w:r>
        <w:rPr>
          <w:spacing w:val="-2"/>
        </w:rPr>
        <w:t>日经公司第三</w:t>
      </w:r>
      <w:r>
        <w:rPr>
          <w:spacing w:val="-49"/>
        </w:rPr>
        <w:t> </w:t>
      </w:r>
      <w:r>
        <w:rPr>
          <w:spacing w:val="-49"/>
        </w:rPr>
      </w:r>
      <w:r>
        <w:rPr>
          <w:spacing w:val="-2"/>
        </w:rPr>
        <w:t>届董事会第六次会议审议通过，河北先河正合环境科技有限公司通过增资扩股的方式引入投资者，其中石家庄荣驰环境治理</w:t>
      </w:r>
      <w:r>
        <w:rPr>
          <w:spacing w:val="-64"/>
        </w:rPr>
        <w:t> </w:t>
      </w:r>
      <w:r>
        <w:rPr>
          <w:spacing w:val="-64"/>
        </w:rPr>
      </w:r>
      <w:r>
        <w:rPr>
          <w:spacing w:val="-1"/>
        </w:rPr>
        <w:t>中心（有限合伙）以货币增资</w:t>
      </w:r>
      <w:r>
        <w:rPr>
          <w:rFonts w:ascii="Times New Roman" w:hAnsi="Times New Roman" w:cs="Times New Roman" w:eastAsia="Times New Roman" w:hint="default"/>
          <w:spacing w:val="-1"/>
        </w:rPr>
        <w:t>1,400</w:t>
      </w:r>
      <w:r>
        <w:rPr>
          <w:spacing w:val="-1"/>
        </w:rPr>
        <w:t>万，重庆全来环保科技发展有限公司以货币增资</w:t>
      </w:r>
      <w:r>
        <w:rPr>
          <w:rFonts w:ascii="Times New Roman" w:hAnsi="Times New Roman" w:cs="Times New Roman" w:eastAsia="Times New Roman" w:hint="default"/>
          <w:spacing w:val="-1"/>
        </w:rPr>
        <w:t>1,600</w:t>
      </w:r>
      <w:r>
        <w:rPr>
          <w:spacing w:val="-1"/>
        </w:rPr>
        <w:t>万</w:t>
      </w:r>
      <w:r>
        <w:rPr>
          <w:rFonts w:ascii="Times New Roman" w:hAnsi="Times New Roman" w:cs="Times New Roman" w:eastAsia="Times New Roman" w:hint="default"/>
          <w:spacing w:val="-1"/>
        </w:rPr>
        <w:t>,</w:t>
      </w:r>
      <w:r>
        <w:rPr>
          <w:spacing w:val="-1"/>
        </w:rPr>
        <w:t>增资完成后，正合环境注册资本</w:t>
      </w:r>
      <w:r>
        <w:rPr>
          <w:spacing w:val="-73"/>
        </w:rPr>
        <w:t> </w:t>
      </w:r>
      <w:r>
        <w:rPr>
          <w:spacing w:val="-73"/>
        </w:rPr>
      </w:r>
      <w:r>
        <w:rPr>
          <w:spacing w:val="-1"/>
        </w:rPr>
        <w:t>变为人民币</w:t>
      </w:r>
      <w:r>
        <w:rPr>
          <w:rFonts w:ascii="Times New Roman" w:hAnsi="Times New Roman" w:cs="Times New Roman" w:eastAsia="Times New Roman" w:hint="default"/>
          <w:spacing w:val="-1"/>
        </w:rPr>
        <w:t>2</w:t>
      </w:r>
      <w:r>
        <w:rPr>
          <w:spacing w:val="-1"/>
        </w:rPr>
        <w:t>亿元，公司出资占其注册资本的</w:t>
      </w:r>
      <w:r>
        <w:rPr>
          <w:rFonts w:ascii="Times New Roman" w:hAnsi="Times New Roman" w:cs="Times New Roman" w:eastAsia="Times New Roman" w:hint="default"/>
          <w:spacing w:val="-1"/>
        </w:rPr>
        <w:t>53%</w:t>
      </w: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日，本公司实际缴纳出资</w:t>
      </w:r>
      <w:r>
        <w:rPr>
          <w:rFonts w:ascii="Times New Roman" w:hAnsi="Times New Roman" w:cs="Times New Roman" w:eastAsia="Times New Roman" w:hint="default"/>
          <w:spacing w:val="-1"/>
        </w:rPr>
        <w:t>4,000</w:t>
      </w:r>
      <w:r>
        <w:rPr>
          <w:spacing w:val="-1"/>
        </w:rPr>
        <w:t>万元，其他股东均未实</w:t>
      </w:r>
      <w:r>
        <w:rPr>
          <w:spacing w:val="-39"/>
        </w:rPr>
        <w:t> </w:t>
      </w:r>
      <w:r>
        <w:rPr>
          <w:spacing w:val="-39"/>
        </w:rPr>
      </w:r>
      <w:r>
        <w:rPr/>
        <w:t>际出资。本公司拥有对其实质控制权，故在</w:t>
      </w:r>
      <w:r>
        <w:rPr>
          <w:rFonts w:ascii="Times New Roman" w:hAnsi="Times New Roman" w:cs="Times New Roman" w:eastAsia="Times New Roman" w:hint="default"/>
        </w:rPr>
        <w:t>2018</w:t>
      </w:r>
      <w:r>
        <w:rPr/>
        <w:t>年度将其纳入合并范围。</w:t>
      </w:r>
    </w:p>
    <w:p>
      <w:pPr>
        <w:pStyle w:val="BodyText"/>
        <w:spacing w:line="240" w:lineRule="auto" w:before="11"/>
        <w:ind w:left="51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日经公司第三届董事会第六次会议审议通过，本公司下属子公司河北先河正合环境科技有限公司以</w:t>
      </w:r>
    </w:p>
    <w:p>
      <w:pPr>
        <w:pStyle w:val="BodyText"/>
        <w:spacing w:line="300" w:lineRule="auto" w:before="63"/>
        <w:ind w:right="0"/>
        <w:jc w:val="left"/>
      </w:pPr>
      <w:r>
        <w:rPr>
          <w:rFonts w:ascii="Times New Roman" w:hAnsi="Times New Roman" w:cs="Times New Roman" w:eastAsia="Times New Roman" w:hint="default"/>
        </w:rPr>
        <w:t>35,000,000.00</w:t>
      </w:r>
      <w:r>
        <w:rPr/>
        <w:t>元收购了重庆全来环保科技发展有限公司持有重庆渝凡实业有限公司</w:t>
      </w:r>
      <w:r>
        <w:rPr>
          <w:rFonts w:ascii="Times New Roman" w:hAnsi="Times New Roman" w:cs="Times New Roman" w:eastAsia="Times New Roman" w:hint="default"/>
        </w:rPr>
        <w:t>100%</w:t>
      </w:r>
      <w:r>
        <w:rPr/>
        <w:t>的股权，形成非同一控制下企业合 </w:t>
      </w:r>
      <w:r>
        <w:rPr>
          <w:spacing w:val="-2"/>
        </w:rPr>
        <w:t>并。双方于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w:t>
      </w:r>
      <w:r>
        <w:rPr>
          <w:spacing w:val="-2"/>
        </w:rPr>
        <w:t>日签订了股权转让协议并于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日办妥股权变更手续，股权转让款于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支付完毕。</w:t>
      </w:r>
      <w:r>
        <w:rPr>
          <w:spacing w:val="-42"/>
        </w:rPr>
        <w:t> </w:t>
      </w:r>
      <w:r>
        <w:rPr>
          <w:rFonts w:ascii="Times New Roman" w:hAnsi="Times New Roman" w:cs="Times New Roman" w:eastAsia="Times New Roman" w:hint="default"/>
        </w:rPr>
        <w:t>2018</w:t>
      </w:r>
      <w:r>
        <w:rPr/>
        <w:t>年度将其纳入合并范围。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380,003,873.39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27.69%</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195,918,666.17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61,224,501.36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61,068,141.23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42,401,185.32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w:t>
            </w:r>
          </w:p>
        </w:tc>
      </w:tr>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19,391,379.31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380,003,873.39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主要客户其他情况说明</w:t>
      </w:r>
    </w:p>
    <w:p>
      <w:pPr>
        <w:pStyle w:val="BodyText"/>
        <w:spacing w:line="340" w:lineRule="auto" w:before="11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124,535,348.32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23.65%</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41,401,186.84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31,473,280.00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20,453,602.31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18,729,336.58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12,477,942.59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124,535,348.32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23.65%</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67" w:right="0"/>
              <w:jc w:val="left"/>
              <w:rPr>
                <w:rFonts w:ascii="Times New Roman" w:hAnsi="Times New Roman" w:cs="Times New Roman" w:eastAsia="Times New Roman" w:hint="default"/>
                <w:sz w:val="18"/>
                <w:szCs w:val="18"/>
              </w:rPr>
            </w:pPr>
            <w:r>
              <w:rPr>
                <w:rFonts w:ascii="Times New Roman"/>
                <w:sz w:val="18"/>
              </w:rPr>
              <w:t>157,165,771.10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132,081,488.37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3" w:right="0"/>
              <w:jc w:val="left"/>
              <w:rPr>
                <w:rFonts w:ascii="Times New Roman" w:hAnsi="Times New Roman" w:cs="Times New Roman" w:eastAsia="Times New Roman" w:hint="default"/>
                <w:sz w:val="18"/>
                <w:szCs w:val="18"/>
              </w:rPr>
            </w:pPr>
            <w:r>
              <w:rPr>
                <w:rFonts w:ascii="Times New Roman"/>
                <w:sz w:val="18"/>
              </w:rPr>
              <w:t>18.99%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153,559,938.84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6" w:right="0"/>
              <w:jc w:val="left"/>
              <w:rPr>
                <w:rFonts w:ascii="Times New Roman" w:hAnsi="Times New Roman" w:cs="Times New Roman" w:eastAsia="Times New Roman" w:hint="default"/>
                <w:sz w:val="18"/>
                <w:szCs w:val="18"/>
              </w:rPr>
            </w:pPr>
            <w:r>
              <w:rPr>
                <w:rFonts w:ascii="Times New Roman"/>
                <w:sz w:val="18"/>
              </w:rPr>
              <w:t>116,158,338.84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32.20%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both"/>
              <w:rPr>
                <w:rFonts w:ascii="宋体" w:hAnsi="宋体" w:cs="宋体" w:eastAsia="宋体" w:hint="default"/>
                <w:sz w:val="18"/>
                <w:szCs w:val="18"/>
              </w:rPr>
            </w:pPr>
            <w:r>
              <w:rPr>
                <w:rFonts w:ascii="宋体" w:hAnsi="宋体" w:cs="宋体" w:eastAsia="宋体" w:hint="default"/>
                <w:spacing w:val="-2"/>
                <w:sz w:val="18"/>
                <w:szCs w:val="18"/>
              </w:rPr>
              <w:t>主要原因是公司本期业务量增加，公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司人员规模扩大，致使本期计提工资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增幅较大</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-3,195,451.36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-2,144,766.83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48.99%</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主要原因是上期购买理财产品在本 期赎回，收到理财收益影响。</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55,978,066.79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48,867,892.00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2" w:right="0"/>
              <w:jc w:val="left"/>
              <w:rPr>
                <w:rFonts w:ascii="Times New Roman" w:hAnsi="Times New Roman" w:cs="Times New Roman" w:eastAsia="Times New Roman" w:hint="default"/>
                <w:sz w:val="18"/>
                <w:szCs w:val="18"/>
              </w:rPr>
            </w:pPr>
            <w:r>
              <w:rPr>
                <w:rFonts w:ascii="Times New Roman"/>
                <w:sz w:val="18"/>
              </w:rPr>
              <w:t>14.55%</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496"/>
        <w:gridCol w:w="1583"/>
        <w:gridCol w:w="2678"/>
        <w:gridCol w:w="924"/>
        <w:gridCol w:w="3202"/>
        <w:gridCol w:w="884"/>
      </w:tblGrid>
      <w:tr>
        <w:trPr>
          <w:trHeight w:val="347"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2" w:right="0"/>
              <w:jc w:val="left"/>
              <w:rPr>
                <w:rFonts w:ascii="宋体" w:hAnsi="宋体" w:cs="宋体" w:eastAsia="宋体" w:hint="default"/>
                <w:sz w:val="18"/>
                <w:szCs w:val="18"/>
              </w:rPr>
            </w:pPr>
            <w:r>
              <w:rPr>
                <w:rFonts w:ascii="宋体" w:hAnsi="宋体" w:cs="宋体" w:eastAsia="宋体" w:hint="default"/>
                <w:b/>
                <w:bCs/>
                <w:sz w:val="18"/>
                <w:szCs w:val="18"/>
              </w:rPr>
              <w:t>正在研发的项目</w:t>
            </w:r>
            <w:r>
              <w:rPr>
                <w:rFonts w:ascii="宋体" w:hAnsi="宋体" w:cs="宋体" w:eastAsia="宋体" w:hint="default"/>
                <w:sz w:val="18"/>
                <w:szCs w:val="18"/>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用途</w:t>
            </w:r>
            <w:r>
              <w:rPr>
                <w:rFonts w:ascii="宋体" w:hAnsi="宋体" w:cs="宋体" w:eastAsia="宋体" w:hint="default"/>
                <w:sz w:val="18"/>
                <w:szCs w:val="18"/>
              </w:rPr>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3" w:right="0"/>
              <w:jc w:val="left"/>
              <w:rPr>
                <w:rFonts w:ascii="宋体" w:hAnsi="宋体" w:cs="宋体" w:eastAsia="宋体" w:hint="default"/>
                <w:sz w:val="18"/>
                <w:szCs w:val="18"/>
              </w:rPr>
            </w:pPr>
            <w:r>
              <w:rPr>
                <w:rFonts w:ascii="宋体" w:hAnsi="宋体" w:cs="宋体" w:eastAsia="宋体" w:hint="default"/>
                <w:b/>
                <w:bCs/>
                <w:sz w:val="18"/>
                <w:szCs w:val="18"/>
              </w:rPr>
              <w:t>进展情况</w:t>
            </w:r>
            <w:r>
              <w:rPr>
                <w:rFonts w:ascii="宋体" w:hAnsi="宋体" w:cs="宋体" w:eastAsia="宋体" w:hint="default"/>
                <w:sz w:val="18"/>
                <w:szCs w:val="18"/>
              </w:rPr>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目标</w:t>
            </w:r>
            <w:r>
              <w:rPr>
                <w:rFonts w:ascii="宋体" w:hAnsi="宋体" w:cs="宋体" w:eastAsia="宋体" w:hint="default"/>
                <w:sz w:val="18"/>
                <w:szCs w:val="18"/>
              </w:rPr>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3" w:right="0"/>
              <w:jc w:val="left"/>
              <w:rPr>
                <w:rFonts w:ascii="宋体" w:hAnsi="宋体" w:cs="宋体" w:eastAsia="宋体" w:hint="default"/>
                <w:sz w:val="18"/>
                <w:szCs w:val="18"/>
              </w:rPr>
            </w:pPr>
            <w:r>
              <w:rPr>
                <w:rFonts w:ascii="宋体" w:hAnsi="宋体" w:cs="宋体" w:eastAsia="宋体" w:hint="default"/>
                <w:b/>
                <w:bCs/>
                <w:sz w:val="18"/>
                <w:szCs w:val="18"/>
              </w:rPr>
              <w:t>项目来源</w:t>
            </w:r>
            <w:r>
              <w:rPr>
                <w:rFonts w:ascii="宋体" w:hAnsi="宋体" w:cs="宋体" w:eastAsia="宋体" w:hint="default"/>
                <w:sz w:val="18"/>
                <w:szCs w:val="18"/>
              </w:rPr>
            </w:r>
          </w:p>
        </w:tc>
      </w:tr>
      <w:tr>
        <w:trPr>
          <w:trHeight w:val="1284"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pacing w:val="14"/>
                <w:sz w:val="18"/>
                <w:szCs w:val="18"/>
              </w:rPr>
              <w:t>环境中大气细粒子</w:t>
            </w:r>
          </w:p>
          <w:p>
            <w:pPr>
              <w:pStyle w:val="TableParagraph"/>
              <w:spacing w:line="300" w:lineRule="auto" w:before="76"/>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PM2.5</w:t>
            </w:r>
            <w:r>
              <w:rPr>
                <w:rFonts w:ascii="宋体" w:hAnsi="宋体" w:cs="宋体" w:eastAsia="宋体" w:hint="default"/>
                <w:sz w:val="18"/>
                <w:szCs w:val="18"/>
              </w:rPr>
              <w:t>）监测设备 开发与应用</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宋体" w:hAnsi="宋体" w:cs="宋体" w:eastAsia="宋体" w:hint="default"/>
                <w:sz w:val="18"/>
                <w:szCs w:val="18"/>
              </w:rPr>
            </w:pPr>
            <w:r>
              <w:rPr>
                <w:rFonts w:ascii="宋体" w:hAnsi="宋体" w:cs="宋体" w:eastAsia="宋体" w:hint="default"/>
                <w:spacing w:val="-4"/>
                <w:sz w:val="18"/>
                <w:szCs w:val="18"/>
              </w:rPr>
              <w:t>实现对大气中颗粒物</w:t>
            </w:r>
            <w:r>
              <w:rPr>
                <w:rFonts w:ascii="Times New Roman" w:hAnsi="Times New Roman" w:cs="Times New Roman" w:eastAsia="Times New Roman" w:hint="default"/>
                <w:spacing w:val="-4"/>
                <w:sz w:val="18"/>
                <w:szCs w:val="18"/>
              </w:rPr>
              <w:t>PM10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PM2.5</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宋体" w:hAnsi="宋体" w:cs="宋体" w:eastAsia="宋体" w:hint="default"/>
                <w:sz w:val="18"/>
                <w:szCs w:val="18"/>
              </w:rPr>
              <w:t>浓度的准确监测</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4"/>
              <w:jc w:val="left"/>
              <w:rPr>
                <w:rFonts w:ascii="宋体" w:hAnsi="宋体" w:cs="宋体" w:eastAsia="宋体" w:hint="default"/>
                <w:sz w:val="18"/>
                <w:szCs w:val="18"/>
              </w:rPr>
            </w:pPr>
            <w:r>
              <w:rPr>
                <w:rFonts w:ascii="宋体" w:hAnsi="宋体" w:cs="宋体" w:eastAsia="宋体" w:hint="default"/>
                <w:spacing w:val="6"/>
                <w:sz w:val="18"/>
                <w:szCs w:val="18"/>
              </w:rPr>
              <w:t>形成具有自主知识产权的环境大气中细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粒子（</w:t>
            </w:r>
            <w:r>
              <w:rPr>
                <w:rFonts w:ascii="Times New Roman" w:hAnsi="Times New Roman" w:cs="Times New Roman" w:eastAsia="Times New Roman" w:hint="default"/>
                <w:sz w:val="18"/>
                <w:szCs w:val="18"/>
              </w:rPr>
              <w:t>PM2.5</w:t>
            </w:r>
            <w:r>
              <w:rPr>
                <w:rFonts w:ascii="宋体" w:hAnsi="宋体" w:cs="宋体" w:eastAsia="宋体" w:hint="default"/>
                <w:sz w:val="18"/>
                <w:szCs w:val="18"/>
              </w:rPr>
              <w:t>）成套监测设备</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5"/>
              <w:jc w:val="both"/>
              <w:rPr>
                <w:rFonts w:ascii="宋体" w:hAnsi="宋体" w:cs="宋体" w:eastAsia="宋体" w:hint="default"/>
                <w:sz w:val="18"/>
                <w:szCs w:val="18"/>
              </w:rPr>
            </w:pPr>
            <w:r>
              <w:rPr>
                <w:rFonts w:ascii="宋体" w:hAnsi="宋体" w:cs="宋体" w:eastAsia="宋体" w:hint="default"/>
                <w:spacing w:val="36"/>
                <w:sz w:val="18"/>
                <w:szCs w:val="18"/>
              </w:rPr>
              <w:t>国家重大</w:t>
            </w:r>
            <w:r>
              <w:rPr>
                <w:rFonts w:ascii="宋体" w:hAnsi="宋体" w:cs="宋体" w:eastAsia="宋体" w:hint="default"/>
                <w:spacing w:val="-42"/>
                <w:sz w:val="18"/>
                <w:szCs w:val="18"/>
              </w:rPr>
              <w:t> </w:t>
            </w:r>
            <w:r>
              <w:rPr>
                <w:rFonts w:ascii="宋体" w:hAnsi="宋体" w:cs="宋体" w:eastAsia="宋体" w:hint="default"/>
                <w:spacing w:val="36"/>
                <w:sz w:val="18"/>
                <w:szCs w:val="18"/>
              </w:rPr>
              <w:t>科学仪器</w:t>
            </w:r>
            <w:r>
              <w:rPr>
                <w:rFonts w:ascii="宋体" w:hAnsi="宋体" w:cs="宋体" w:eastAsia="宋体" w:hint="default"/>
                <w:spacing w:val="-42"/>
                <w:sz w:val="18"/>
                <w:szCs w:val="18"/>
              </w:rPr>
              <w:t> </w:t>
            </w:r>
            <w:r>
              <w:rPr>
                <w:rFonts w:ascii="宋体" w:hAnsi="宋体" w:cs="宋体" w:eastAsia="宋体" w:hint="default"/>
                <w:spacing w:val="36"/>
                <w:sz w:val="18"/>
                <w:szCs w:val="18"/>
              </w:rPr>
              <w:t>设备开发</w:t>
            </w:r>
            <w:r>
              <w:rPr>
                <w:rFonts w:ascii="宋体" w:hAnsi="宋体" w:cs="宋体" w:eastAsia="宋体" w:hint="default"/>
                <w:spacing w:val="-42"/>
                <w:sz w:val="18"/>
                <w:szCs w:val="18"/>
              </w:rPr>
              <w:t> </w:t>
            </w:r>
            <w:r>
              <w:rPr>
                <w:rFonts w:ascii="宋体" w:hAnsi="宋体" w:cs="宋体" w:eastAsia="宋体" w:hint="default"/>
                <w:sz w:val="18"/>
                <w:szCs w:val="18"/>
              </w:rPr>
              <w:t>专项</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96"/>
        <w:gridCol w:w="1583"/>
        <w:gridCol w:w="2678"/>
        <w:gridCol w:w="924"/>
        <w:gridCol w:w="3202"/>
        <w:gridCol w:w="884"/>
      </w:tblGrid>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3"/>
              <w:jc w:val="right"/>
              <w:rPr>
                <w:rFonts w:ascii="Times New Roman" w:hAnsi="Times New Roman" w:cs="Times New Roman" w:eastAsia="Times New Roman" w:hint="default"/>
                <w:sz w:val="18"/>
                <w:szCs w:val="18"/>
              </w:rPr>
            </w:pPr>
            <w:r>
              <w:rPr>
                <w:rFonts w:ascii="Times New Roman"/>
                <w:sz w:val="18"/>
              </w:rPr>
              <w:t>2</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both"/>
              <w:rPr>
                <w:rFonts w:ascii="宋体" w:hAnsi="宋体" w:cs="宋体" w:eastAsia="宋体" w:hint="default"/>
                <w:sz w:val="18"/>
                <w:szCs w:val="18"/>
              </w:rPr>
            </w:pPr>
            <w:r>
              <w:rPr>
                <w:rFonts w:ascii="宋体" w:hAnsi="宋体" w:cs="宋体" w:eastAsia="宋体" w:hint="default"/>
                <w:spacing w:val="14"/>
                <w:sz w:val="18"/>
                <w:szCs w:val="18"/>
              </w:rPr>
              <w:t>大气细颗粒物硫酸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盐／</w:t>
            </w:r>
            <w:r>
              <w:rPr>
                <w:rFonts w:ascii="宋体" w:hAnsi="宋体" w:cs="宋体" w:eastAsia="宋体" w:hint="default"/>
                <w:spacing w:val="-71"/>
                <w:sz w:val="18"/>
                <w:szCs w:val="18"/>
              </w:rPr>
              <w:t> </w:t>
            </w:r>
            <w:r>
              <w:rPr>
                <w:rFonts w:ascii="宋体" w:hAnsi="宋体" w:cs="宋体" w:eastAsia="宋体" w:hint="default"/>
                <w:spacing w:val="13"/>
                <w:sz w:val="18"/>
                <w:szCs w:val="18"/>
              </w:rPr>
              <w:t>硝酸盐在线监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测设备开发与应用</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实现大气细颗粒物化学成分监测</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z w:val="18"/>
                <w:szCs w:val="18"/>
              </w:rPr>
              <w:t>产业化示范</w:t>
            </w:r>
            <w:r>
              <w:rPr>
                <w:rFonts w:ascii="宋体" w:hAnsi="宋体" w:cs="宋体" w:eastAsia="宋体" w:hint="default"/>
                <w:spacing w:val="-85"/>
                <w:sz w:val="18"/>
                <w:szCs w:val="18"/>
              </w:rPr>
              <w:t> </w:t>
            </w:r>
            <w:r>
              <w:rPr>
                <w:rFonts w:ascii="宋体" w:hAnsi="宋体" w:cs="宋体" w:eastAsia="宋体" w:hint="default"/>
                <w:sz w:val="18"/>
                <w:szCs w:val="18"/>
              </w:rPr>
              <w:t>运行阶段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0"/>
              <w:jc w:val="both"/>
              <w:rPr>
                <w:rFonts w:ascii="宋体" w:hAnsi="宋体" w:cs="宋体" w:eastAsia="宋体" w:hint="default"/>
                <w:sz w:val="18"/>
                <w:szCs w:val="18"/>
              </w:rPr>
            </w:pPr>
            <w:r>
              <w:rPr>
                <w:rFonts w:ascii="宋体" w:hAnsi="宋体" w:cs="宋体" w:eastAsia="宋体" w:hint="default"/>
                <w:spacing w:val="3"/>
                <w:sz w:val="18"/>
                <w:szCs w:val="18"/>
              </w:rPr>
              <w:t>研制出硫酸盐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硝酸盐颗粒物连续自动监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测仪，实现</w:t>
            </w:r>
            <w:r>
              <w:rPr>
                <w:rFonts w:ascii="Times New Roman" w:hAnsi="Times New Roman" w:cs="Times New Roman" w:eastAsia="Times New Roman" w:hint="default"/>
                <w:spacing w:val="-3"/>
                <w:sz w:val="18"/>
                <w:szCs w:val="18"/>
              </w:rPr>
              <w:t>PM2.5</w:t>
            </w:r>
            <w:r>
              <w:rPr>
                <w:rFonts w:ascii="宋体" w:hAnsi="宋体" w:cs="宋体" w:eastAsia="宋体" w:hint="default"/>
                <w:spacing w:val="-3"/>
                <w:sz w:val="18"/>
                <w:szCs w:val="18"/>
              </w:rPr>
              <w:t>中硫酸盐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硝酸盐质量浓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度的自动监测</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5"/>
              <w:jc w:val="both"/>
              <w:rPr>
                <w:rFonts w:ascii="宋体" w:hAnsi="宋体" w:cs="宋体" w:eastAsia="宋体" w:hint="default"/>
                <w:sz w:val="18"/>
                <w:szCs w:val="18"/>
              </w:rPr>
            </w:pPr>
            <w:r>
              <w:rPr>
                <w:rFonts w:ascii="宋体" w:hAnsi="宋体" w:cs="宋体" w:eastAsia="宋体" w:hint="default"/>
                <w:spacing w:val="36"/>
                <w:sz w:val="18"/>
                <w:szCs w:val="18"/>
              </w:rPr>
              <w:t>国家重大</w:t>
            </w:r>
            <w:r>
              <w:rPr>
                <w:rFonts w:ascii="宋体" w:hAnsi="宋体" w:cs="宋体" w:eastAsia="宋体" w:hint="default"/>
                <w:spacing w:val="-42"/>
                <w:sz w:val="18"/>
                <w:szCs w:val="18"/>
              </w:rPr>
              <w:t> </w:t>
            </w:r>
            <w:r>
              <w:rPr>
                <w:rFonts w:ascii="宋体" w:hAnsi="宋体" w:cs="宋体" w:eastAsia="宋体" w:hint="default"/>
                <w:spacing w:val="36"/>
                <w:sz w:val="18"/>
                <w:szCs w:val="18"/>
              </w:rPr>
              <w:t>科学仪器</w:t>
            </w:r>
            <w:r>
              <w:rPr>
                <w:rFonts w:ascii="宋体" w:hAnsi="宋体" w:cs="宋体" w:eastAsia="宋体" w:hint="default"/>
                <w:spacing w:val="-42"/>
                <w:sz w:val="18"/>
                <w:szCs w:val="18"/>
              </w:rPr>
              <w:t> </w:t>
            </w:r>
            <w:r>
              <w:rPr>
                <w:rFonts w:ascii="宋体" w:hAnsi="宋体" w:cs="宋体" w:eastAsia="宋体" w:hint="default"/>
                <w:spacing w:val="36"/>
                <w:sz w:val="18"/>
                <w:szCs w:val="18"/>
              </w:rPr>
              <w:t>设备开发</w:t>
            </w:r>
            <w:r>
              <w:rPr>
                <w:rFonts w:ascii="宋体" w:hAnsi="宋体" w:cs="宋体" w:eastAsia="宋体" w:hint="default"/>
                <w:spacing w:val="-42"/>
                <w:sz w:val="18"/>
                <w:szCs w:val="18"/>
              </w:rPr>
              <w:t> </w:t>
            </w:r>
            <w:r>
              <w:rPr>
                <w:rFonts w:ascii="宋体" w:hAnsi="宋体" w:cs="宋体" w:eastAsia="宋体" w:hint="default"/>
                <w:sz w:val="18"/>
                <w:szCs w:val="18"/>
              </w:rPr>
              <w:t>专项</w:t>
            </w:r>
          </w:p>
        </w:tc>
      </w:tr>
      <w:tr>
        <w:trPr>
          <w:trHeight w:val="284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3"/>
              <w:jc w:val="right"/>
              <w:rPr>
                <w:rFonts w:ascii="Times New Roman" w:hAnsi="Times New Roman" w:cs="Times New Roman" w:eastAsia="Times New Roman" w:hint="default"/>
                <w:sz w:val="18"/>
                <w:szCs w:val="18"/>
              </w:rPr>
            </w:pPr>
            <w:r>
              <w:rPr>
                <w:rFonts w:ascii="Times New Roman"/>
                <w:sz w:val="18"/>
              </w:rPr>
              <w:t>3</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both"/>
              <w:rPr>
                <w:rFonts w:ascii="宋体" w:hAnsi="宋体" w:cs="宋体" w:eastAsia="宋体" w:hint="default"/>
                <w:sz w:val="18"/>
                <w:szCs w:val="18"/>
              </w:rPr>
            </w:pPr>
            <w:r>
              <w:rPr>
                <w:rFonts w:ascii="宋体" w:hAnsi="宋体" w:cs="宋体" w:eastAsia="宋体" w:hint="default"/>
                <w:spacing w:val="14"/>
                <w:sz w:val="18"/>
                <w:szCs w:val="18"/>
              </w:rPr>
              <w:t>藻及其营养参数在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线监测仪研制与在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线监测装备社会化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服务应用示范</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pacing w:val="-3"/>
                <w:sz w:val="18"/>
                <w:szCs w:val="18"/>
              </w:rPr>
              <w:t>通过监测仪器的研发与产业化，进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一步丰富水质在线监测参数，优化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质量控制体系和管理运行规范体</w:t>
            </w:r>
            <w:r>
              <w:rPr>
                <w:rFonts w:ascii="宋体" w:hAnsi="宋体" w:cs="宋体" w:eastAsia="宋体" w:hint="default"/>
                <w:sz w:val="18"/>
                <w:szCs w:val="18"/>
              </w:rPr>
              <w:t> </w:t>
            </w:r>
            <w:r>
              <w:rPr>
                <w:rFonts w:ascii="宋体" w:hAnsi="宋体" w:cs="宋体" w:eastAsia="宋体" w:hint="default"/>
                <w:spacing w:val="-3"/>
                <w:sz w:val="18"/>
                <w:szCs w:val="18"/>
              </w:rPr>
              <w:t>系，提升我国现有在线监测装备的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整体智能化运行水平。</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z w:val="18"/>
                <w:szCs w:val="18"/>
              </w:rPr>
              <w:t>产业化示范</w:t>
            </w:r>
            <w:r>
              <w:rPr>
                <w:rFonts w:ascii="宋体" w:hAnsi="宋体" w:cs="宋体" w:eastAsia="宋体" w:hint="default"/>
                <w:spacing w:val="-85"/>
                <w:sz w:val="18"/>
                <w:szCs w:val="18"/>
              </w:rPr>
              <w:t> </w:t>
            </w:r>
            <w:r>
              <w:rPr>
                <w:rFonts w:ascii="宋体" w:hAnsi="宋体" w:cs="宋体" w:eastAsia="宋体" w:hint="default"/>
                <w:sz w:val="18"/>
                <w:szCs w:val="18"/>
              </w:rPr>
              <w:t>运行阶段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6"/>
                <w:sz w:val="18"/>
                <w:szCs w:val="18"/>
              </w:rPr>
              <w:t>针对藻分类及其生长营养参数的在线监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测需求，研制并产业化小型、灵敏的藻类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分类及其生长营养参数在线监测成套装</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备，实现蓝藻、绿藻、褐藻等藻类现场快</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速分类监测，以及氮、磷、硅等生长营养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参数的原位在线监测，并面向一定规模数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sz w:val="18"/>
                <w:szCs w:val="18"/>
              </w:rPr>
              <w:t>量的水污染源在线监测和环境水在线监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测站点的需要，在太湖和辽河流域开展水</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质在线监测社会化服务管理体系示范。</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5"/>
              <w:jc w:val="left"/>
              <w:rPr>
                <w:rFonts w:ascii="宋体" w:hAnsi="宋体" w:cs="宋体" w:eastAsia="宋体" w:hint="default"/>
                <w:sz w:val="18"/>
                <w:szCs w:val="18"/>
              </w:rPr>
            </w:pPr>
            <w:r>
              <w:rPr>
                <w:rFonts w:ascii="宋体" w:hAnsi="宋体" w:cs="宋体" w:eastAsia="宋体" w:hint="default"/>
                <w:spacing w:val="24"/>
                <w:sz w:val="18"/>
                <w:szCs w:val="18"/>
              </w:rPr>
              <w:t>国家</w:t>
            </w:r>
            <w:r>
              <w:rPr>
                <w:rFonts w:ascii="宋体" w:hAnsi="宋体" w:cs="宋体" w:eastAsia="宋体" w:hint="default"/>
                <w:spacing w:val="-42"/>
                <w:sz w:val="18"/>
                <w:szCs w:val="18"/>
              </w:rPr>
              <w:t> </w:t>
            </w:r>
            <w:r>
              <w:rPr>
                <w:rFonts w:ascii="宋体" w:hAnsi="宋体" w:cs="宋体" w:eastAsia="宋体" w:hint="default"/>
                <w:spacing w:val="24"/>
                <w:sz w:val="18"/>
                <w:szCs w:val="18"/>
              </w:rPr>
              <w:t>科技</w:t>
            </w:r>
            <w:r>
              <w:rPr>
                <w:rFonts w:ascii="宋体" w:hAnsi="宋体" w:cs="宋体" w:eastAsia="宋体" w:hint="default"/>
                <w:spacing w:val="-42"/>
                <w:sz w:val="18"/>
                <w:szCs w:val="18"/>
              </w:rPr>
              <w:t> </w:t>
            </w:r>
            <w:r>
              <w:rPr>
                <w:rFonts w:ascii="宋体" w:hAnsi="宋体" w:cs="宋体" w:eastAsia="宋体" w:hint="default"/>
                <w:sz w:val="18"/>
                <w:szCs w:val="18"/>
              </w:rPr>
              <w:t>重大专项</w:t>
            </w:r>
          </w:p>
        </w:tc>
      </w:tr>
      <w:tr>
        <w:trPr>
          <w:trHeight w:val="253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3"/>
              <w:jc w:val="right"/>
              <w:rPr>
                <w:rFonts w:ascii="Times New Roman" w:hAnsi="Times New Roman" w:cs="Times New Roman" w:eastAsia="Times New Roman" w:hint="default"/>
                <w:sz w:val="18"/>
                <w:szCs w:val="18"/>
              </w:rPr>
            </w:pPr>
            <w:r>
              <w:rPr>
                <w:rFonts w:ascii="Times New Roman"/>
                <w:sz w:val="18"/>
              </w:rPr>
              <w:t>4</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14"/>
                <w:sz w:val="18"/>
                <w:szCs w:val="18"/>
              </w:rPr>
              <w:t>排放源清单多维校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验技术</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pacing w:val="9"/>
                <w:sz w:val="18"/>
                <w:szCs w:val="18"/>
              </w:rPr>
              <w:t>本项目以长三角等地区为研究区</w:t>
            </w:r>
            <w:r>
              <w:rPr>
                <w:rFonts w:ascii="宋体" w:hAnsi="宋体" w:cs="宋体" w:eastAsia="宋体" w:hint="default"/>
                <w:sz w:val="18"/>
                <w:szCs w:val="18"/>
              </w:rPr>
              <w:t> </w:t>
            </w:r>
            <w:r>
              <w:rPr>
                <w:rFonts w:ascii="宋体" w:hAnsi="宋体" w:cs="宋体" w:eastAsia="宋体" w:hint="default"/>
                <w:spacing w:val="9"/>
                <w:sz w:val="18"/>
                <w:szCs w:val="18"/>
              </w:rPr>
              <w:t>域，通过耦合地面和大气模式数</w:t>
            </w:r>
            <w:r>
              <w:rPr>
                <w:rFonts w:ascii="宋体" w:hAnsi="宋体" w:cs="宋体" w:eastAsia="宋体" w:hint="default"/>
                <w:sz w:val="18"/>
                <w:szCs w:val="18"/>
              </w:rPr>
              <w:t> </w:t>
            </w:r>
            <w:r>
              <w:rPr>
                <w:rFonts w:ascii="宋体" w:hAnsi="宋体" w:cs="宋体" w:eastAsia="宋体" w:hint="default"/>
                <w:spacing w:val="-3"/>
                <w:sz w:val="18"/>
                <w:szCs w:val="18"/>
              </w:rPr>
              <w:t>据，对各大气污染物的排放清单进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行改进。在将改进前后的清单分别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输入大气化学模型，进行空气质量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模拟，并与地面监测进行对比分</w:t>
            </w:r>
            <w:r>
              <w:rPr>
                <w:rFonts w:ascii="宋体" w:hAnsi="宋体" w:cs="宋体" w:eastAsia="宋体" w:hint="default"/>
                <w:sz w:val="18"/>
                <w:szCs w:val="18"/>
              </w:rPr>
              <w:t> </w:t>
            </w:r>
            <w:r>
              <w:rPr>
                <w:rFonts w:ascii="宋体" w:hAnsi="宋体" w:cs="宋体" w:eastAsia="宋体" w:hint="default"/>
                <w:spacing w:val="-3"/>
                <w:sz w:val="18"/>
                <w:szCs w:val="18"/>
              </w:rPr>
              <w:t>析，确定基于观测资料同化后的排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放清单较原清单的改善程度。</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z w:val="18"/>
                <w:szCs w:val="18"/>
              </w:rPr>
              <w:t>产业化示范</w:t>
            </w:r>
            <w:r>
              <w:rPr>
                <w:rFonts w:ascii="宋体" w:hAnsi="宋体" w:cs="宋体" w:eastAsia="宋体" w:hint="default"/>
                <w:spacing w:val="-85"/>
                <w:sz w:val="18"/>
                <w:szCs w:val="18"/>
              </w:rPr>
              <w:t> </w:t>
            </w:r>
            <w:r>
              <w:rPr>
                <w:rFonts w:ascii="宋体" w:hAnsi="宋体" w:cs="宋体" w:eastAsia="宋体" w:hint="default"/>
                <w:sz w:val="18"/>
                <w:szCs w:val="18"/>
              </w:rPr>
              <w:t>运行阶段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6"/>
                <w:sz w:val="18"/>
                <w:szCs w:val="18"/>
              </w:rPr>
              <w:t>本研究通过耦合高精度的大气化学模式</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sz w:val="18"/>
                <w:szCs w:val="18"/>
              </w:rPr>
              <w:t>等辅助数据，获得动态格网化的先验知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识，模拟计算高分辨率气溶胶模式和大气</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质量因子等信息，提高我国气溶胶和污染</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气体的卫星柱浓度数据反演精度。</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45"/>
              <w:jc w:val="both"/>
              <w:rPr>
                <w:rFonts w:ascii="宋体" w:hAnsi="宋体" w:cs="宋体" w:eastAsia="宋体" w:hint="default"/>
                <w:sz w:val="18"/>
                <w:szCs w:val="18"/>
              </w:rPr>
            </w:pPr>
            <w:r>
              <w:rPr>
                <w:rFonts w:ascii="宋体" w:hAnsi="宋体" w:cs="宋体" w:eastAsia="宋体" w:hint="default"/>
                <w:spacing w:val="36"/>
                <w:sz w:val="18"/>
                <w:szCs w:val="18"/>
              </w:rPr>
              <w:t>国家重点</w:t>
            </w:r>
            <w:r>
              <w:rPr>
                <w:rFonts w:ascii="宋体" w:hAnsi="宋体" w:cs="宋体" w:eastAsia="宋体" w:hint="default"/>
                <w:spacing w:val="-42"/>
                <w:sz w:val="18"/>
                <w:szCs w:val="18"/>
              </w:rPr>
              <w:t> </w:t>
            </w:r>
            <w:r>
              <w:rPr>
                <w:rFonts w:ascii="宋体" w:hAnsi="宋体" w:cs="宋体" w:eastAsia="宋体" w:hint="default"/>
                <w:spacing w:val="16"/>
                <w:sz w:val="18"/>
                <w:szCs w:val="18"/>
              </w:rPr>
              <w:t>研发计划</w:t>
            </w:r>
            <w:r>
              <w:rPr>
                <w:rFonts w:ascii="Times New Roman" w:hAnsi="Times New Roman" w:cs="Times New Roman" w:eastAsia="Times New Roman" w:hint="default"/>
                <w:spacing w:val="16"/>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pacing w:val="36"/>
                <w:sz w:val="18"/>
                <w:szCs w:val="18"/>
              </w:rPr>
              <w:t>大气污染</w:t>
            </w:r>
            <w:r>
              <w:rPr>
                <w:rFonts w:ascii="宋体" w:hAnsi="宋体" w:cs="宋体" w:eastAsia="宋体" w:hint="default"/>
                <w:spacing w:val="-42"/>
                <w:sz w:val="18"/>
                <w:szCs w:val="18"/>
              </w:rPr>
              <w:t> </w:t>
            </w:r>
            <w:r>
              <w:rPr>
                <w:rFonts w:ascii="宋体" w:hAnsi="宋体" w:cs="宋体" w:eastAsia="宋体" w:hint="default"/>
                <w:spacing w:val="36"/>
                <w:sz w:val="18"/>
                <w:szCs w:val="18"/>
              </w:rPr>
              <w:t>成因与控</w:t>
            </w:r>
            <w:r>
              <w:rPr>
                <w:rFonts w:ascii="宋体" w:hAnsi="宋体" w:cs="宋体" w:eastAsia="宋体" w:hint="default"/>
                <w:spacing w:val="-42"/>
                <w:sz w:val="18"/>
                <w:szCs w:val="18"/>
              </w:rPr>
              <w:t> </w:t>
            </w:r>
            <w:r>
              <w:rPr>
                <w:rFonts w:ascii="宋体" w:hAnsi="宋体" w:cs="宋体" w:eastAsia="宋体" w:hint="default"/>
                <w:spacing w:val="36"/>
                <w:sz w:val="18"/>
                <w:szCs w:val="18"/>
              </w:rPr>
              <w:t>制技术研</w:t>
            </w:r>
            <w:r>
              <w:rPr>
                <w:rFonts w:ascii="宋体" w:hAnsi="宋体" w:cs="宋体" w:eastAsia="宋体" w:hint="default"/>
                <w:spacing w:val="-42"/>
                <w:sz w:val="18"/>
                <w:szCs w:val="18"/>
              </w:rPr>
              <w:t> </w:t>
            </w:r>
            <w:r>
              <w:rPr>
                <w:rFonts w:ascii="宋体" w:hAnsi="宋体" w:cs="宋体" w:eastAsia="宋体" w:hint="default"/>
                <w:sz w:val="18"/>
                <w:szCs w:val="18"/>
              </w:rPr>
              <w:t>究</w:t>
            </w:r>
          </w:p>
        </w:tc>
      </w:tr>
      <w:tr>
        <w:trPr>
          <w:trHeight w:val="2220"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3"/>
              <w:jc w:val="right"/>
              <w:rPr>
                <w:rFonts w:ascii="Times New Roman" w:hAnsi="Times New Roman" w:cs="Times New Roman" w:eastAsia="Times New Roman" w:hint="default"/>
                <w:sz w:val="18"/>
                <w:szCs w:val="18"/>
              </w:rPr>
            </w:pPr>
            <w:r>
              <w:rPr>
                <w:rFonts w:ascii="Times New Roman"/>
                <w:sz w:val="18"/>
              </w:rPr>
              <w:t>5</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1"/>
              <w:jc w:val="left"/>
              <w:rPr>
                <w:rFonts w:ascii="宋体" w:hAnsi="宋体" w:cs="宋体" w:eastAsia="宋体" w:hint="default"/>
                <w:sz w:val="18"/>
                <w:szCs w:val="18"/>
              </w:rPr>
            </w:pPr>
            <w:r>
              <w:rPr>
                <w:rFonts w:ascii="宋体" w:hAnsi="宋体" w:cs="宋体" w:eastAsia="宋体" w:hint="default"/>
                <w:spacing w:val="14"/>
                <w:sz w:val="18"/>
                <w:szCs w:val="18"/>
              </w:rPr>
              <w:t>海水溶解氧在线监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测仪产业化</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0"/>
              <w:jc w:val="both"/>
              <w:rPr>
                <w:rFonts w:ascii="宋体" w:hAnsi="宋体" w:cs="宋体" w:eastAsia="宋体" w:hint="default"/>
                <w:sz w:val="18"/>
                <w:szCs w:val="18"/>
              </w:rPr>
            </w:pPr>
            <w:r>
              <w:rPr>
                <w:rFonts w:ascii="宋体" w:hAnsi="宋体" w:cs="宋体" w:eastAsia="宋体" w:hint="default"/>
                <w:spacing w:val="9"/>
                <w:sz w:val="18"/>
                <w:szCs w:val="18"/>
              </w:rPr>
              <w:t>针对我国海洋生物化学常规要素</w:t>
            </w:r>
            <w:r>
              <w:rPr>
                <w:rFonts w:ascii="宋体" w:hAnsi="宋体" w:cs="宋体" w:eastAsia="宋体" w:hint="default"/>
                <w:sz w:val="18"/>
                <w:szCs w:val="18"/>
              </w:rPr>
              <w:t> </w:t>
            </w:r>
            <w:r>
              <w:rPr>
                <w:rFonts w:ascii="宋体" w:hAnsi="宋体" w:cs="宋体" w:eastAsia="宋体" w:hint="default"/>
                <w:spacing w:val="-3"/>
                <w:sz w:val="18"/>
                <w:szCs w:val="18"/>
              </w:rPr>
              <w:t>在线监测技术设备需求，以及国产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海洋仪器面临的测量灵敏度与精</w:t>
            </w:r>
            <w:r>
              <w:rPr>
                <w:rFonts w:ascii="宋体" w:hAnsi="宋体" w:cs="宋体" w:eastAsia="宋体" w:hint="default"/>
                <w:sz w:val="18"/>
                <w:szCs w:val="18"/>
              </w:rPr>
              <w:t> </w:t>
            </w:r>
            <w:r>
              <w:rPr>
                <w:rFonts w:ascii="宋体" w:hAnsi="宋体" w:cs="宋体" w:eastAsia="宋体" w:hint="default"/>
                <w:spacing w:val="-3"/>
                <w:sz w:val="18"/>
                <w:szCs w:val="18"/>
              </w:rPr>
              <w:t>度低、环境适应性差、使用寿命短</w:t>
            </w:r>
            <w:r>
              <w:rPr>
                <w:rFonts w:ascii="宋体" w:hAnsi="宋体" w:cs="宋体" w:eastAsia="宋体" w:hint="default"/>
                <w:sz w:val="18"/>
                <w:szCs w:val="18"/>
              </w:rPr>
              <w:t> </w:t>
            </w:r>
            <w:r>
              <w:rPr>
                <w:rFonts w:ascii="宋体" w:hAnsi="宋体" w:cs="宋体" w:eastAsia="宋体" w:hint="default"/>
                <w:spacing w:val="-3"/>
                <w:sz w:val="18"/>
                <w:szCs w:val="18"/>
              </w:rPr>
              <w:t>等技术与应用难题，实现海水溶解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氧在线监测仪批量生产，推动我国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海洋在线监测仪器产业快速发展。</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研制阶段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7"/>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完成海水溶解氧在线监测仪器的标准化、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模块化设计，为国家海洋溶解氧高灵敏在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线监测提供关键技术装备。构建仪器环境</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模拟测试平台和生产线，建立产业化创新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基地，实现海水溶解氧在线监测仪批量生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产，并在全国范围内推广应用</w:t>
            </w:r>
            <w:r>
              <w:rPr>
                <w:rFonts w:ascii="Times New Roman" w:hAnsi="Times New Roman" w:cs="Times New Roman" w:eastAsia="Times New Roman" w:hint="default"/>
                <w:sz w:val="18"/>
                <w:szCs w:val="18"/>
              </w:rPr>
              <w:t>.</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45"/>
              <w:jc w:val="both"/>
              <w:rPr>
                <w:rFonts w:ascii="宋体" w:hAnsi="宋体" w:cs="宋体" w:eastAsia="宋体" w:hint="default"/>
                <w:sz w:val="18"/>
                <w:szCs w:val="18"/>
              </w:rPr>
            </w:pPr>
            <w:r>
              <w:rPr>
                <w:rFonts w:ascii="宋体" w:hAnsi="宋体" w:cs="宋体" w:eastAsia="宋体" w:hint="default"/>
                <w:spacing w:val="36"/>
                <w:sz w:val="18"/>
                <w:szCs w:val="18"/>
              </w:rPr>
              <w:t>国家重点</w:t>
            </w:r>
            <w:r>
              <w:rPr>
                <w:rFonts w:ascii="宋体" w:hAnsi="宋体" w:cs="宋体" w:eastAsia="宋体" w:hint="default"/>
                <w:spacing w:val="-42"/>
                <w:sz w:val="18"/>
                <w:szCs w:val="18"/>
              </w:rPr>
              <w:t> </w:t>
            </w:r>
            <w:r>
              <w:rPr>
                <w:rFonts w:ascii="宋体" w:hAnsi="宋体" w:cs="宋体" w:eastAsia="宋体" w:hint="default"/>
                <w:spacing w:val="16"/>
                <w:sz w:val="18"/>
                <w:szCs w:val="18"/>
              </w:rPr>
              <w:t>研发计划</w:t>
            </w:r>
            <w:r>
              <w:rPr>
                <w:rFonts w:ascii="Times New Roman" w:hAnsi="Times New Roman" w:cs="Times New Roman" w:eastAsia="Times New Roman" w:hint="default"/>
                <w:spacing w:val="16"/>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pacing w:val="36"/>
                <w:sz w:val="18"/>
                <w:szCs w:val="18"/>
              </w:rPr>
              <w:t>海洋环境</w:t>
            </w:r>
            <w:r>
              <w:rPr>
                <w:rFonts w:ascii="宋体" w:hAnsi="宋体" w:cs="宋体" w:eastAsia="宋体" w:hint="default"/>
                <w:spacing w:val="-42"/>
                <w:sz w:val="18"/>
                <w:szCs w:val="18"/>
              </w:rPr>
              <w:t> </w:t>
            </w:r>
            <w:r>
              <w:rPr>
                <w:rFonts w:ascii="宋体" w:hAnsi="宋体" w:cs="宋体" w:eastAsia="宋体" w:hint="default"/>
                <w:spacing w:val="36"/>
                <w:sz w:val="18"/>
                <w:szCs w:val="18"/>
              </w:rPr>
              <w:t>安全保障</w:t>
            </w:r>
            <w:r>
              <w:rPr>
                <w:rFonts w:ascii="宋体" w:hAnsi="宋体" w:cs="宋体" w:eastAsia="宋体" w:hint="default"/>
                <w:spacing w:val="-42"/>
                <w:sz w:val="18"/>
                <w:szCs w:val="18"/>
              </w:rPr>
              <w:t> </w:t>
            </w:r>
            <w:r>
              <w:rPr>
                <w:rFonts w:ascii="宋体" w:hAnsi="宋体" w:cs="宋体" w:eastAsia="宋体" w:hint="default"/>
                <w:sz w:val="18"/>
                <w:szCs w:val="18"/>
              </w:rPr>
              <w:t>重点专项</w:t>
            </w:r>
          </w:p>
        </w:tc>
      </w:tr>
      <w:tr>
        <w:trPr>
          <w:trHeight w:val="1907"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3"/>
              <w:jc w:val="right"/>
              <w:rPr>
                <w:rFonts w:ascii="Times New Roman" w:hAnsi="Times New Roman" w:cs="Times New Roman" w:eastAsia="Times New Roman" w:hint="default"/>
                <w:sz w:val="18"/>
                <w:szCs w:val="18"/>
              </w:rPr>
            </w:pPr>
            <w:r>
              <w:rPr>
                <w:rFonts w:ascii="Times New Roman"/>
                <w:sz w:val="18"/>
              </w:rPr>
              <w:t>6</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3" w:right="0"/>
              <w:jc w:val="both"/>
              <w:rPr>
                <w:rFonts w:ascii="宋体" w:hAnsi="宋体" w:cs="宋体" w:eastAsia="宋体" w:hint="default"/>
                <w:sz w:val="18"/>
                <w:szCs w:val="18"/>
              </w:rPr>
            </w:pPr>
            <w:r>
              <w:rPr>
                <w:rFonts w:ascii="宋体" w:hAnsi="宋体" w:cs="宋体" w:eastAsia="宋体" w:hint="default"/>
                <w:spacing w:val="10"/>
                <w:sz w:val="18"/>
                <w:szCs w:val="18"/>
              </w:rPr>
              <w:t>微生物膜法</w:t>
            </w:r>
            <w:r>
              <w:rPr>
                <w:rFonts w:ascii="Times New Roman" w:hAnsi="Times New Roman" w:cs="Times New Roman" w:eastAsia="Times New Roman" w:hint="default"/>
                <w:spacing w:val="10"/>
                <w:sz w:val="18"/>
                <w:szCs w:val="18"/>
              </w:rPr>
              <w:t>BOD</w:t>
            </w:r>
            <w:r>
              <w:rPr>
                <w:rFonts w:ascii="宋体" w:hAnsi="宋体" w:cs="宋体" w:eastAsia="宋体" w:hint="default"/>
                <w:spacing w:val="10"/>
                <w:sz w:val="18"/>
                <w:szCs w:val="18"/>
              </w:rPr>
              <w:t>在</w:t>
            </w:r>
            <w:r>
              <w:rPr>
                <w:rFonts w:ascii="宋体" w:hAnsi="宋体" w:cs="宋体" w:eastAsia="宋体" w:hint="default"/>
                <w:spacing w:val="-85"/>
                <w:sz w:val="18"/>
                <w:szCs w:val="18"/>
              </w:rPr>
              <w:t> </w:t>
            </w:r>
            <w:r>
              <w:rPr>
                <w:rFonts w:ascii="宋体" w:hAnsi="宋体" w:cs="宋体" w:eastAsia="宋体" w:hint="default"/>
                <w:spacing w:val="14"/>
                <w:sz w:val="18"/>
                <w:szCs w:val="18"/>
              </w:rPr>
              <w:t>线监测仪研制及海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水 </w:t>
            </w:r>
            <w:r>
              <w:rPr>
                <w:rFonts w:ascii="Times New Roman" w:hAnsi="Times New Roman" w:cs="Times New Roman" w:eastAsia="Times New Roman" w:hint="default"/>
                <w:sz w:val="18"/>
                <w:szCs w:val="18"/>
              </w:rPr>
              <w:t>pH/COD/BOD</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快 </w:t>
            </w:r>
            <w:r>
              <w:rPr>
                <w:rFonts w:ascii="宋体" w:hAnsi="宋体" w:cs="宋体" w:eastAsia="宋体" w:hint="default"/>
                <w:spacing w:val="14"/>
                <w:sz w:val="18"/>
                <w:szCs w:val="18"/>
              </w:rPr>
              <w:t>速在线监测仪产业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化</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BOD</w:t>
            </w:r>
            <w:r>
              <w:rPr>
                <w:rFonts w:ascii="Times New Roman" w:hAnsi="Times New Roman" w:cs="Times New Roman" w:eastAsia="Times New Roman" w:hint="default"/>
                <w:spacing w:val="37"/>
                <w:sz w:val="18"/>
                <w:szCs w:val="18"/>
              </w:rPr>
              <w:t> </w:t>
            </w:r>
            <w:r>
              <w:rPr>
                <w:rFonts w:ascii="宋体" w:hAnsi="宋体" w:cs="宋体" w:eastAsia="宋体" w:hint="default"/>
                <w:spacing w:val="2"/>
                <w:sz w:val="18"/>
                <w:szCs w:val="18"/>
              </w:rPr>
              <w:t>在线监测仪研发采用电极法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测量水样流经微生物膜反应器前</w:t>
            </w:r>
            <w:r>
              <w:rPr>
                <w:rFonts w:ascii="宋体" w:hAnsi="宋体" w:cs="宋体" w:eastAsia="宋体" w:hint="default"/>
                <w:sz w:val="18"/>
                <w:szCs w:val="18"/>
              </w:rPr>
              <w:t> </w:t>
            </w:r>
            <w:r>
              <w:rPr>
                <w:rFonts w:ascii="宋体" w:hAnsi="宋体" w:cs="宋体" w:eastAsia="宋体" w:hint="default"/>
                <w:spacing w:val="24"/>
                <w:sz w:val="18"/>
                <w:szCs w:val="18"/>
              </w:rPr>
              <w:t>后溶解氧变化信息，实现海水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BOD</w:t>
            </w:r>
            <w:r>
              <w:rPr>
                <w:rFonts w:ascii="Times New Roman" w:hAnsi="Times New Roman" w:cs="Times New Roman" w:eastAsia="Times New Roman" w:hint="default"/>
                <w:spacing w:val="37"/>
                <w:sz w:val="18"/>
                <w:szCs w:val="18"/>
              </w:rPr>
              <w:t> </w:t>
            </w:r>
            <w:r>
              <w:rPr>
                <w:rFonts w:ascii="宋体" w:hAnsi="宋体" w:cs="宋体" w:eastAsia="宋体" w:hint="default"/>
                <w:spacing w:val="2"/>
                <w:sz w:val="18"/>
                <w:szCs w:val="18"/>
              </w:rPr>
              <w:t>的快速分析；并与标准方法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进行对比，验证方法的可靠性和稳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定性。</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研制阶段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3" w:right="-3"/>
              <w:jc w:val="both"/>
              <w:rPr>
                <w:rFonts w:ascii="宋体" w:hAnsi="宋体" w:cs="宋体" w:eastAsia="宋体" w:hint="default"/>
                <w:sz w:val="18"/>
                <w:szCs w:val="18"/>
              </w:rPr>
            </w:pPr>
            <w:r>
              <w:rPr>
                <w:rFonts w:ascii="宋体" w:hAnsi="宋体" w:cs="宋体" w:eastAsia="宋体" w:hint="default"/>
                <w:sz w:val="18"/>
                <w:szCs w:val="18"/>
              </w:rPr>
              <w:t>开发微生物膜法 </w:t>
            </w:r>
            <w:r>
              <w:rPr>
                <w:rFonts w:ascii="Times New Roman" w:hAnsi="Times New Roman" w:cs="Times New Roman" w:eastAsia="Times New Roman" w:hint="default"/>
                <w:sz w:val="18"/>
                <w:szCs w:val="18"/>
              </w:rPr>
              <w:t>BOD</w:t>
            </w:r>
            <w:r>
              <w:rPr>
                <w:rFonts w:ascii="Times New Roman" w:hAnsi="Times New Roman" w:cs="Times New Roman" w:eastAsia="Times New Roman" w:hint="default"/>
                <w:spacing w:val="11"/>
                <w:sz w:val="18"/>
                <w:szCs w:val="18"/>
              </w:rPr>
              <w:t> </w:t>
            </w:r>
            <w:r>
              <w:rPr>
                <w:rFonts w:ascii="宋体" w:hAnsi="宋体" w:cs="宋体" w:eastAsia="宋体" w:hint="default"/>
                <w:spacing w:val="-6"/>
                <w:sz w:val="18"/>
                <w:szCs w:val="18"/>
              </w:rPr>
              <w:t>在线监测仪，建立</w:t>
            </w:r>
            <w:r>
              <w:rPr>
                <w:rFonts w:ascii="宋体" w:hAnsi="宋体" w:cs="宋体" w:eastAsia="宋体" w:hint="default"/>
                <w:sz w:val="18"/>
                <w:szCs w:val="18"/>
              </w:rPr>
              <w:t> </w:t>
            </w:r>
            <w:r>
              <w:rPr>
                <w:rFonts w:ascii="宋体" w:hAnsi="宋体" w:cs="宋体" w:eastAsia="宋体" w:hint="default"/>
                <w:spacing w:val="-4"/>
                <w:sz w:val="18"/>
                <w:szCs w:val="18"/>
              </w:rPr>
              <w:t>相关生产工艺及标准。建立成套设备示范</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基地、海水环境模拟测试平台以及专业化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的生产线，为海水</w:t>
            </w:r>
            <w:r>
              <w:rPr>
                <w:rFonts w:ascii="Times New Roman" w:hAnsi="Times New Roman" w:cs="Times New Roman" w:eastAsia="Times New Roman" w:hint="default"/>
                <w:sz w:val="18"/>
                <w:szCs w:val="18"/>
              </w:rPr>
              <w:t>pH/COD/BOD </w:t>
            </w:r>
            <w:r>
              <w:rPr>
                <w:rFonts w:ascii="宋体" w:hAnsi="宋体" w:cs="宋体" w:eastAsia="宋体" w:hint="default"/>
                <w:spacing w:val="4"/>
                <w:sz w:val="18"/>
                <w:szCs w:val="18"/>
              </w:rPr>
              <w:t>在线监</w:t>
            </w:r>
            <w:r>
              <w:rPr>
                <w:rFonts w:ascii="宋体" w:hAnsi="宋体" w:cs="宋体" w:eastAsia="宋体" w:hint="default"/>
                <w:spacing w:val="-74"/>
                <w:sz w:val="18"/>
                <w:szCs w:val="18"/>
              </w:rPr>
              <w:t> </w:t>
            </w:r>
            <w:r>
              <w:rPr>
                <w:rFonts w:ascii="宋体" w:hAnsi="宋体" w:cs="宋体" w:eastAsia="宋体" w:hint="default"/>
                <w:sz w:val="18"/>
                <w:szCs w:val="18"/>
              </w:rPr>
              <w:t>测仪产业化推广提供保障。</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2" w:right="-45"/>
              <w:jc w:val="both"/>
              <w:rPr>
                <w:rFonts w:ascii="宋体" w:hAnsi="宋体" w:cs="宋体" w:eastAsia="宋体" w:hint="default"/>
                <w:sz w:val="18"/>
                <w:szCs w:val="18"/>
              </w:rPr>
            </w:pPr>
            <w:r>
              <w:rPr>
                <w:rFonts w:ascii="宋体" w:hAnsi="宋体" w:cs="宋体" w:eastAsia="宋体" w:hint="default"/>
                <w:spacing w:val="36"/>
                <w:sz w:val="18"/>
                <w:szCs w:val="18"/>
              </w:rPr>
              <w:t>国家重点</w:t>
            </w:r>
            <w:r>
              <w:rPr>
                <w:rFonts w:ascii="宋体" w:hAnsi="宋体" w:cs="宋体" w:eastAsia="宋体" w:hint="default"/>
                <w:spacing w:val="-42"/>
                <w:sz w:val="18"/>
                <w:szCs w:val="18"/>
              </w:rPr>
              <w:t> </w:t>
            </w:r>
            <w:r>
              <w:rPr>
                <w:rFonts w:ascii="宋体" w:hAnsi="宋体" w:cs="宋体" w:eastAsia="宋体" w:hint="default"/>
                <w:spacing w:val="16"/>
                <w:sz w:val="18"/>
                <w:szCs w:val="18"/>
              </w:rPr>
              <w:t>研发计划</w:t>
            </w:r>
            <w:r>
              <w:rPr>
                <w:rFonts w:ascii="Times New Roman" w:hAnsi="Times New Roman" w:cs="Times New Roman" w:eastAsia="Times New Roman" w:hint="default"/>
                <w:spacing w:val="16"/>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pacing w:val="36"/>
                <w:sz w:val="18"/>
                <w:szCs w:val="18"/>
              </w:rPr>
              <w:t>海洋环境</w:t>
            </w:r>
            <w:r>
              <w:rPr>
                <w:rFonts w:ascii="宋体" w:hAnsi="宋体" w:cs="宋体" w:eastAsia="宋体" w:hint="default"/>
                <w:spacing w:val="-42"/>
                <w:sz w:val="18"/>
                <w:szCs w:val="18"/>
              </w:rPr>
              <w:t> </w:t>
            </w:r>
            <w:r>
              <w:rPr>
                <w:rFonts w:ascii="宋体" w:hAnsi="宋体" w:cs="宋体" w:eastAsia="宋体" w:hint="default"/>
                <w:spacing w:val="36"/>
                <w:sz w:val="18"/>
                <w:szCs w:val="18"/>
              </w:rPr>
              <w:t>安全保障</w:t>
            </w:r>
            <w:r>
              <w:rPr>
                <w:rFonts w:ascii="宋体" w:hAnsi="宋体" w:cs="宋体" w:eastAsia="宋体" w:hint="default"/>
                <w:spacing w:val="-42"/>
                <w:sz w:val="18"/>
                <w:szCs w:val="18"/>
              </w:rPr>
              <w:t> </w:t>
            </w:r>
            <w:r>
              <w:rPr>
                <w:rFonts w:ascii="宋体" w:hAnsi="宋体" w:cs="宋体" w:eastAsia="宋体" w:hint="default"/>
                <w:sz w:val="18"/>
                <w:szCs w:val="18"/>
              </w:rPr>
              <w:t>重点专项</w:t>
            </w:r>
          </w:p>
        </w:tc>
      </w:tr>
      <w:tr>
        <w:trPr>
          <w:trHeight w:val="3155"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3"/>
              <w:jc w:val="right"/>
              <w:rPr>
                <w:rFonts w:ascii="Times New Roman" w:hAnsi="Times New Roman" w:cs="Times New Roman" w:eastAsia="Times New Roman" w:hint="default"/>
                <w:sz w:val="18"/>
                <w:szCs w:val="18"/>
              </w:rPr>
            </w:pPr>
            <w:r>
              <w:rPr>
                <w:rFonts w:ascii="Times New Roman"/>
                <w:sz w:val="18"/>
              </w:rPr>
              <w:t>7</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both"/>
              <w:rPr>
                <w:rFonts w:ascii="宋体" w:hAnsi="宋体" w:cs="宋体" w:eastAsia="宋体" w:hint="default"/>
                <w:sz w:val="18"/>
                <w:szCs w:val="18"/>
              </w:rPr>
            </w:pPr>
            <w:r>
              <w:rPr>
                <w:rFonts w:ascii="宋体" w:hAnsi="宋体" w:cs="宋体" w:eastAsia="宋体" w:hint="default"/>
                <w:spacing w:val="14"/>
                <w:sz w:val="18"/>
                <w:szCs w:val="18"/>
              </w:rPr>
              <w:t>环境空气臭氧前驱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体及光化学烟雾在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线监测仪开发及应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用示范</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9"/>
                <w:sz w:val="18"/>
                <w:szCs w:val="18"/>
              </w:rPr>
              <w:t>满足大气臭氧前驱体和光化学烟</w:t>
            </w:r>
            <w:r>
              <w:rPr>
                <w:rFonts w:ascii="宋体" w:hAnsi="宋体" w:cs="宋体" w:eastAsia="宋体" w:hint="default"/>
                <w:sz w:val="18"/>
                <w:szCs w:val="18"/>
              </w:rPr>
              <w:t> </w:t>
            </w:r>
            <w:r>
              <w:rPr>
                <w:rFonts w:ascii="宋体" w:hAnsi="宋体" w:cs="宋体" w:eastAsia="宋体" w:hint="default"/>
                <w:spacing w:val="-3"/>
                <w:sz w:val="18"/>
                <w:szCs w:val="18"/>
              </w:rPr>
              <w:t>雾在线监测需求及应用要求；完成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工程化和产业化，在国家环境大气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光化学监测网自动监测建设中开</w:t>
            </w:r>
            <w:r>
              <w:rPr>
                <w:rFonts w:ascii="宋体" w:hAnsi="宋体" w:cs="宋体" w:eastAsia="宋体" w:hint="default"/>
                <w:sz w:val="18"/>
                <w:szCs w:val="18"/>
              </w:rPr>
              <w:t> </w:t>
            </w:r>
            <w:r>
              <w:rPr>
                <w:rFonts w:ascii="宋体" w:hAnsi="宋体" w:cs="宋体" w:eastAsia="宋体" w:hint="default"/>
                <w:spacing w:val="-3"/>
                <w:sz w:val="18"/>
                <w:szCs w:val="18"/>
              </w:rPr>
              <w:t>展应用示范，形成仪器技术要求和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检 </w:t>
            </w:r>
            <w:r>
              <w:rPr>
                <w:rFonts w:ascii="宋体" w:hAnsi="宋体" w:cs="宋体" w:eastAsia="宋体" w:hint="default"/>
                <w:spacing w:val="-3"/>
                <w:sz w:val="18"/>
                <w:szCs w:val="18"/>
              </w:rPr>
              <w:t>测方法、安装验收、运行维护等技</w:t>
            </w:r>
            <w:r>
              <w:rPr>
                <w:rFonts w:ascii="宋体" w:hAnsi="宋体" w:cs="宋体" w:eastAsia="宋体" w:hint="default"/>
                <w:sz w:val="18"/>
                <w:szCs w:val="18"/>
              </w:rPr>
              <w:t> 术规范。</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研制阶段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1"/>
              <w:ind w:left="3" w:right="-17"/>
              <w:jc w:val="left"/>
              <w:rPr>
                <w:rFonts w:ascii="宋体" w:hAnsi="宋体" w:cs="宋体" w:eastAsia="宋体" w:hint="default"/>
                <w:sz w:val="18"/>
                <w:szCs w:val="18"/>
              </w:rPr>
            </w:pPr>
            <w:r>
              <w:rPr>
                <w:rFonts w:ascii="宋体" w:hAnsi="宋体" w:cs="宋体" w:eastAsia="宋体" w:hint="default"/>
                <w:spacing w:val="6"/>
                <w:sz w:val="18"/>
                <w:szCs w:val="18"/>
              </w:rPr>
              <w:t>开发臭氧前驱体在线监测仪和大气中过</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氧乙酰硝酸酯（</w:t>
            </w:r>
            <w:r>
              <w:rPr>
                <w:rFonts w:ascii="Times New Roman" w:hAnsi="Times New Roman" w:cs="Times New Roman" w:eastAsia="Times New Roman" w:hint="default"/>
                <w:spacing w:val="-3"/>
                <w:sz w:val="18"/>
                <w:szCs w:val="18"/>
              </w:rPr>
              <w:t>PAN</w:t>
            </w:r>
            <w:r>
              <w:rPr>
                <w:rFonts w:ascii="宋体" w:hAnsi="宋体" w:cs="宋体" w:eastAsia="宋体" w:hint="default"/>
                <w:spacing w:val="-3"/>
                <w:sz w:val="18"/>
                <w:szCs w:val="18"/>
              </w:rPr>
              <w:t>）自动在线监测仪。</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研究大容量臭氧前驱物全组分高效吸附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技术、二次聚焦浓缩技术结合</w:t>
            </w:r>
            <w:r>
              <w:rPr>
                <w:rFonts w:ascii="Times New Roman" w:hAnsi="Times New Roman" w:cs="Times New Roman" w:eastAsia="Times New Roman" w:hint="default"/>
                <w:spacing w:val="2"/>
                <w:sz w:val="18"/>
                <w:szCs w:val="18"/>
              </w:rPr>
              <w:t>FID/MS</w:t>
            </w:r>
            <w:r>
              <w:rPr>
                <w:rFonts w:ascii="宋体" w:hAnsi="宋体" w:cs="宋体" w:eastAsia="宋体" w:hint="default"/>
                <w:spacing w:val="2"/>
                <w:sz w:val="18"/>
                <w:szCs w:val="18"/>
              </w:rPr>
              <w:t>检</w:t>
            </w:r>
            <w:r>
              <w:rPr>
                <w:rFonts w:ascii="宋体" w:hAnsi="宋体" w:cs="宋体" w:eastAsia="宋体" w:hint="default"/>
                <w:spacing w:val="-78"/>
                <w:sz w:val="18"/>
                <w:szCs w:val="18"/>
              </w:rPr>
              <w:t> </w:t>
            </w:r>
            <w:r>
              <w:rPr>
                <w:rFonts w:ascii="宋体" w:hAnsi="宋体" w:cs="宋体" w:eastAsia="宋体" w:hint="default"/>
                <w:sz w:val="18"/>
                <w:szCs w:val="18"/>
              </w:rPr>
              <w:t>测技术，实现</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C2-C12</w:t>
            </w:r>
            <w:r>
              <w:rPr>
                <w:rFonts w:ascii="宋体" w:hAnsi="宋体" w:cs="宋体" w:eastAsia="宋体" w:hint="default"/>
                <w:sz w:val="18"/>
                <w:szCs w:val="18"/>
              </w:rPr>
              <w:t>高精度监测。研究</w:t>
            </w:r>
            <w:r>
              <w:rPr>
                <w:rFonts w:ascii="宋体" w:hAnsi="宋体" w:cs="宋体" w:eastAsia="宋体" w:hint="default"/>
                <w:spacing w:val="-87"/>
                <w:sz w:val="18"/>
                <w:szCs w:val="18"/>
              </w:rPr>
              <w:t> </w:t>
            </w:r>
            <w:r>
              <w:rPr>
                <w:rFonts w:ascii="宋体" w:hAnsi="宋体" w:cs="宋体" w:eastAsia="宋体" w:hint="default"/>
                <w:spacing w:val="-4"/>
                <w:sz w:val="18"/>
                <w:szCs w:val="18"/>
              </w:rPr>
              <w:t>半导体制冷和膜加热耦合控温技术，研制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微型毛细色谱柱箱，实现调温响应迅速 </w:t>
            </w:r>
            <w:r>
              <w:rPr>
                <w:rFonts w:ascii="宋体" w:hAnsi="宋体" w:cs="宋体" w:eastAsia="宋体" w:hint="default"/>
                <w:spacing w:val="-4"/>
                <w:sz w:val="18"/>
                <w:szCs w:val="18"/>
              </w:rPr>
              <w:t>温控精准稳定、大气</w:t>
            </w:r>
            <w:r>
              <w:rPr>
                <w:rFonts w:ascii="Times New Roman" w:hAnsi="Times New Roman" w:cs="Times New Roman" w:eastAsia="Times New Roman" w:hint="default"/>
                <w:spacing w:val="-4"/>
                <w:sz w:val="18"/>
                <w:szCs w:val="18"/>
              </w:rPr>
              <w:t>PAN</w:t>
            </w:r>
            <w:r>
              <w:rPr>
                <w:rFonts w:ascii="宋体" w:hAnsi="宋体" w:cs="宋体" w:eastAsia="宋体" w:hint="default"/>
                <w:spacing w:val="-4"/>
                <w:sz w:val="18"/>
                <w:szCs w:val="18"/>
              </w:rPr>
              <w:t>高保真分离，半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导体寿命延长；研究</w:t>
            </w:r>
            <w:r>
              <w:rPr>
                <w:rFonts w:ascii="Times New Roman" w:hAnsi="Times New Roman" w:cs="Times New Roman" w:eastAsia="Times New Roman" w:hint="default"/>
                <w:sz w:val="18"/>
                <w:szCs w:val="18"/>
              </w:rPr>
              <w:t>ECD</w:t>
            </w:r>
            <w:r>
              <w:rPr>
                <w:rFonts w:ascii="宋体" w:hAnsi="宋体" w:cs="宋体" w:eastAsia="宋体" w:hint="default"/>
                <w:sz w:val="18"/>
                <w:szCs w:val="18"/>
              </w:rPr>
              <w:t>信号处理技术 </w:t>
            </w:r>
            <w:r>
              <w:rPr>
                <w:rFonts w:ascii="宋体" w:hAnsi="宋体" w:cs="宋体" w:eastAsia="宋体" w:hint="default"/>
                <w:spacing w:val="-4"/>
                <w:sz w:val="18"/>
                <w:szCs w:val="18"/>
              </w:rPr>
              <w:t>检测器脉冲频率直采技术，准确测定大气</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45"/>
              <w:jc w:val="both"/>
              <w:rPr>
                <w:rFonts w:ascii="宋体" w:hAnsi="宋体" w:cs="宋体" w:eastAsia="宋体" w:hint="default"/>
                <w:sz w:val="18"/>
                <w:szCs w:val="18"/>
              </w:rPr>
            </w:pPr>
            <w:r>
              <w:rPr>
                <w:rFonts w:ascii="宋体" w:hAnsi="宋体" w:cs="宋体" w:eastAsia="宋体" w:hint="default"/>
                <w:spacing w:val="36"/>
                <w:sz w:val="18"/>
                <w:szCs w:val="18"/>
              </w:rPr>
              <w:t>国家重点</w:t>
            </w:r>
            <w:r>
              <w:rPr>
                <w:rFonts w:ascii="宋体" w:hAnsi="宋体" w:cs="宋体" w:eastAsia="宋体" w:hint="default"/>
                <w:spacing w:val="-42"/>
                <w:sz w:val="18"/>
                <w:szCs w:val="18"/>
              </w:rPr>
              <w:t> </w:t>
            </w:r>
            <w:r>
              <w:rPr>
                <w:rFonts w:ascii="宋体" w:hAnsi="宋体" w:cs="宋体" w:eastAsia="宋体" w:hint="default"/>
                <w:spacing w:val="4"/>
                <w:sz w:val="18"/>
                <w:szCs w:val="18"/>
              </w:rPr>
              <w:t>研发计划</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pacing w:val="36"/>
                <w:sz w:val="18"/>
                <w:szCs w:val="18"/>
              </w:rPr>
              <w:t>重大科学</w:t>
            </w:r>
            <w:r>
              <w:rPr>
                <w:rFonts w:ascii="宋体" w:hAnsi="宋体" w:cs="宋体" w:eastAsia="宋体" w:hint="default"/>
                <w:spacing w:val="-42"/>
                <w:sz w:val="18"/>
                <w:szCs w:val="18"/>
              </w:rPr>
              <w:t> </w:t>
            </w:r>
            <w:r>
              <w:rPr>
                <w:rFonts w:ascii="宋体" w:hAnsi="宋体" w:cs="宋体" w:eastAsia="宋体" w:hint="default"/>
                <w:spacing w:val="36"/>
                <w:sz w:val="18"/>
                <w:szCs w:val="18"/>
              </w:rPr>
              <w:t>仪器设备</w:t>
            </w:r>
            <w:r>
              <w:rPr>
                <w:rFonts w:ascii="宋体" w:hAnsi="宋体" w:cs="宋体" w:eastAsia="宋体" w:hint="default"/>
                <w:spacing w:val="-42"/>
                <w:sz w:val="18"/>
                <w:szCs w:val="18"/>
              </w:rPr>
              <w:t> </w:t>
            </w:r>
            <w:r>
              <w:rPr>
                <w:rFonts w:ascii="宋体" w:hAnsi="宋体" w:cs="宋体" w:eastAsia="宋体" w:hint="default"/>
                <w:sz w:val="18"/>
                <w:szCs w:val="18"/>
              </w:rPr>
              <w:t>开发</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3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96"/>
        <w:gridCol w:w="1583"/>
        <w:gridCol w:w="2678"/>
        <w:gridCol w:w="924"/>
        <w:gridCol w:w="3202"/>
        <w:gridCol w:w="884"/>
      </w:tblGrid>
      <w:tr>
        <w:trPr>
          <w:trHeight w:val="659" w:hRule="exact"/>
        </w:trPr>
        <w:tc>
          <w:tcPr>
            <w:tcW w:w="496"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2678"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0"/>
              <w:jc w:val="left"/>
              <w:rPr>
                <w:rFonts w:ascii="宋体" w:hAnsi="宋体" w:cs="宋体" w:eastAsia="宋体" w:hint="default"/>
                <w:sz w:val="18"/>
                <w:szCs w:val="18"/>
              </w:rPr>
            </w:pPr>
            <w:r>
              <w:rPr>
                <w:rFonts w:ascii="宋体" w:hAnsi="宋体" w:cs="宋体" w:eastAsia="宋体" w:hint="default"/>
                <w:spacing w:val="-4"/>
                <w:sz w:val="18"/>
                <w:szCs w:val="18"/>
              </w:rPr>
              <w:t>极低浓度</w:t>
            </w:r>
            <w:r>
              <w:rPr>
                <w:rFonts w:ascii="Times New Roman" w:hAnsi="Times New Roman" w:cs="Times New Roman" w:eastAsia="Times New Roman" w:hint="default"/>
                <w:spacing w:val="-4"/>
                <w:sz w:val="18"/>
                <w:szCs w:val="18"/>
              </w:rPr>
              <w:t>PAN</w:t>
            </w:r>
            <w:r>
              <w:rPr>
                <w:rFonts w:ascii="宋体" w:hAnsi="宋体" w:cs="宋体" w:eastAsia="宋体" w:hint="default"/>
                <w:spacing w:val="-4"/>
                <w:sz w:val="18"/>
                <w:szCs w:val="18"/>
              </w:rPr>
              <w:t>；研制高稳定性的动态标定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装置，实现仪器的高精度标定。</w:t>
            </w:r>
          </w:p>
        </w:tc>
        <w:tc>
          <w:tcPr>
            <w:tcW w:w="884" w:type="dxa"/>
            <w:tcBorders>
              <w:top w:val="single" w:sz="6" w:space="0" w:color="000000"/>
              <w:left w:val="single" w:sz="6" w:space="0" w:color="000000"/>
              <w:bottom w:val="single" w:sz="6" w:space="0" w:color="000000"/>
              <w:right w:val="single" w:sz="6" w:space="0" w:color="000000"/>
            </w:tcBorders>
          </w:tcPr>
          <w:p>
            <w:pPr/>
          </w:p>
        </w:tc>
      </w:tr>
      <w:tr>
        <w:trPr>
          <w:trHeight w:val="1595"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1"/>
              <w:jc w:val="both"/>
              <w:rPr>
                <w:rFonts w:ascii="宋体" w:hAnsi="宋体" w:cs="宋体" w:eastAsia="宋体" w:hint="default"/>
                <w:sz w:val="18"/>
                <w:szCs w:val="18"/>
              </w:rPr>
            </w:pPr>
            <w:r>
              <w:rPr>
                <w:rFonts w:ascii="宋体" w:hAnsi="宋体" w:cs="宋体" w:eastAsia="宋体" w:hint="default"/>
                <w:spacing w:val="14"/>
                <w:sz w:val="18"/>
                <w:szCs w:val="18"/>
              </w:rPr>
              <w:t>基于多参数空气质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量原位监测仪的大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气质量数据管理平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台的开发与应用</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0"/>
              <w:jc w:val="left"/>
              <w:rPr>
                <w:rFonts w:ascii="宋体" w:hAnsi="宋体" w:cs="宋体" w:eastAsia="宋体" w:hint="default"/>
                <w:sz w:val="18"/>
                <w:szCs w:val="18"/>
              </w:rPr>
            </w:pPr>
            <w:r>
              <w:rPr>
                <w:rFonts w:ascii="宋体" w:hAnsi="宋体" w:cs="宋体" w:eastAsia="宋体" w:hint="default"/>
                <w:spacing w:val="9"/>
                <w:sz w:val="18"/>
                <w:szCs w:val="18"/>
              </w:rPr>
              <w:t>以多参数空气质量原位监测仪为</w:t>
            </w:r>
            <w:r>
              <w:rPr>
                <w:rFonts w:ascii="宋体" w:hAnsi="宋体" w:cs="宋体" w:eastAsia="宋体" w:hint="default"/>
                <w:sz w:val="18"/>
                <w:szCs w:val="18"/>
              </w:rPr>
              <w:t> </w:t>
            </w:r>
            <w:r>
              <w:rPr>
                <w:rFonts w:ascii="宋体" w:hAnsi="宋体" w:cs="宋体" w:eastAsia="宋体" w:hint="default"/>
                <w:spacing w:val="-9"/>
                <w:sz w:val="18"/>
                <w:szCs w:val="18"/>
              </w:rPr>
              <w:t>重点，实现可密集布点、成本低廉</w:t>
            </w:r>
            <w:r>
              <w:rPr>
                <w:rFonts w:ascii="宋体" w:hAnsi="宋体" w:cs="宋体" w:eastAsia="宋体" w:hint="default"/>
                <w:sz w:val="18"/>
                <w:szCs w:val="18"/>
              </w:rPr>
              <w:t> </w:t>
            </w:r>
            <w:r>
              <w:rPr>
                <w:rFonts w:ascii="宋体" w:hAnsi="宋体" w:cs="宋体" w:eastAsia="宋体" w:hint="default"/>
                <w:spacing w:val="-3"/>
                <w:sz w:val="18"/>
                <w:szCs w:val="18"/>
              </w:rPr>
              <w:t>数据可靠的大气监测系统，满足环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保部门监督检查以及监测范围全</w:t>
            </w:r>
            <w:r>
              <w:rPr>
                <w:rFonts w:ascii="宋体" w:hAnsi="宋体" w:cs="宋体" w:eastAsia="宋体" w:hint="default"/>
                <w:sz w:val="18"/>
                <w:szCs w:val="18"/>
              </w:rPr>
              <w:t> 面覆盖的要求。</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已完成验收</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0"/>
              <w:jc w:val="both"/>
              <w:rPr>
                <w:rFonts w:ascii="宋体" w:hAnsi="宋体" w:cs="宋体" w:eastAsia="宋体" w:hint="default"/>
                <w:sz w:val="18"/>
                <w:szCs w:val="18"/>
              </w:rPr>
            </w:pPr>
            <w:r>
              <w:rPr>
                <w:rFonts w:ascii="宋体" w:hAnsi="宋体" w:cs="宋体" w:eastAsia="宋体" w:hint="default"/>
                <w:spacing w:val="-4"/>
                <w:sz w:val="18"/>
                <w:szCs w:val="18"/>
              </w:rPr>
              <w:t>以传感器应用、物联网、云计算、空间地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理信息集成等技术为基础，整合物联网与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传感器的技术优势，推出基于室外空气质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量检测的端到端一体化应用解决方案。</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5"/>
              <w:jc w:val="left"/>
              <w:rPr>
                <w:rFonts w:ascii="宋体" w:hAnsi="宋体" w:cs="宋体" w:eastAsia="宋体" w:hint="default"/>
                <w:sz w:val="18"/>
                <w:szCs w:val="18"/>
              </w:rPr>
            </w:pPr>
            <w:r>
              <w:rPr>
                <w:rFonts w:ascii="宋体" w:hAnsi="宋体" w:cs="宋体" w:eastAsia="宋体" w:hint="default"/>
                <w:spacing w:val="36"/>
                <w:sz w:val="18"/>
                <w:szCs w:val="18"/>
              </w:rPr>
              <w:t>河北省科</w:t>
            </w:r>
            <w:r>
              <w:rPr>
                <w:rFonts w:ascii="宋体" w:hAnsi="宋体" w:cs="宋体" w:eastAsia="宋体" w:hint="default"/>
                <w:spacing w:val="-42"/>
                <w:sz w:val="18"/>
                <w:szCs w:val="18"/>
              </w:rPr>
              <w:t> </w:t>
            </w:r>
            <w:r>
              <w:rPr>
                <w:rFonts w:ascii="宋体" w:hAnsi="宋体" w:cs="宋体" w:eastAsia="宋体" w:hint="default"/>
                <w:sz w:val="18"/>
                <w:szCs w:val="18"/>
              </w:rPr>
              <w:t>技计划</w:t>
            </w:r>
          </w:p>
        </w:tc>
      </w:tr>
      <w:tr>
        <w:trPr>
          <w:trHeight w:val="1595"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both"/>
              <w:rPr>
                <w:rFonts w:ascii="宋体" w:hAnsi="宋体" w:cs="宋体" w:eastAsia="宋体" w:hint="default"/>
                <w:sz w:val="18"/>
                <w:szCs w:val="18"/>
              </w:rPr>
            </w:pPr>
            <w:r>
              <w:rPr>
                <w:rFonts w:ascii="宋体" w:hAnsi="宋体" w:cs="宋体" w:eastAsia="宋体" w:hint="default"/>
                <w:spacing w:val="14"/>
                <w:sz w:val="18"/>
                <w:szCs w:val="18"/>
              </w:rPr>
              <w:t>区域大气环境数据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挖掘系统开发及应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pacing w:val="-3"/>
                <w:sz w:val="18"/>
                <w:szCs w:val="18"/>
              </w:rPr>
              <w:t>项目以石家庄市为试点，通过对该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区域环境变化研究，为当地管理部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门的环境保护政策及环境管理行</w:t>
            </w:r>
            <w:r>
              <w:rPr>
                <w:rFonts w:ascii="宋体" w:hAnsi="宋体" w:cs="宋体" w:eastAsia="宋体" w:hint="default"/>
                <w:sz w:val="18"/>
                <w:szCs w:val="18"/>
              </w:rPr>
              <w:t> 为的实施提供技术支撑。</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z w:val="18"/>
                <w:szCs w:val="18"/>
              </w:rPr>
              <w:t>产业化示范</w:t>
            </w:r>
            <w:r>
              <w:rPr>
                <w:rFonts w:ascii="宋体" w:hAnsi="宋体" w:cs="宋体" w:eastAsia="宋体" w:hint="default"/>
                <w:spacing w:val="-85"/>
                <w:sz w:val="18"/>
                <w:szCs w:val="18"/>
              </w:rPr>
              <w:t> </w:t>
            </w:r>
            <w:r>
              <w:rPr>
                <w:rFonts w:ascii="宋体" w:hAnsi="宋体" w:cs="宋体" w:eastAsia="宋体" w:hint="default"/>
                <w:sz w:val="18"/>
                <w:szCs w:val="18"/>
              </w:rPr>
              <w:t>运行阶段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4"/>
                <w:sz w:val="18"/>
                <w:szCs w:val="18"/>
              </w:rPr>
              <w:t>环境大数据收集技术研究、环境大数据挖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掘技术研究和数据安全技术研究，并在以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sz w:val="18"/>
                <w:szCs w:val="18"/>
              </w:rPr>
              <w:t>上研究基础上搭建区域环境大数据挖掘</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展示平台。</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5"/>
              <w:jc w:val="both"/>
              <w:rPr>
                <w:rFonts w:ascii="宋体" w:hAnsi="宋体" w:cs="宋体" w:eastAsia="宋体" w:hint="default"/>
                <w:sz w:val="18"/>
                <w:szCs w:val="18"/>
              </w:rPr>
            </w:pPr>
            <w:r>
              <w:rPr>
                <w:rFonts w:ascii="宋体" w:hAnsi="宋体" w:cs="宋体" w:eastAsia="宋体" w:hint="default"/>
                <w:spacing w:val="36"/>
                <w:sz w:val="18"/>
                <w:szCs w:val="18"/>
              </w:rPr>
              <w:t>石家庄高</w:t>
            </w:r>
            <w:r>
              <w:rPr>
                <w:rFonts w:ascii="宋体" w:hAnsi="宋体" w:cs="宋体" w:eastAsia="宋体" w:hint="default"/>
                <w:spacing w:val="-42"/>
                <w:sz w:val="18"/>
                <w:szCs w:val="18"/>
              </w:rPr>
              <w:t> </w:t>
            </w:r>
            <w:r>
              <w:rPr>
                <w:rFonts w:ascii="宋体" w:hAnsi="宋体" w:cs="宋体" w:eastAsia="宋体" w:hint="default"/>
                <w:spacing w:val="36"/>
                <w:sz w:val="18"/>
                <w:szCs w:val="18"/>
              </w:rPr>
              <w:t>新区科学</w:t>
            </w:r>
            <w:r>
              <w:rPr>
                <w:rFonts w:ascii="宋体" w:hAnsi="宋体" w:cs="宋体" w:eastAsia="宋体" w:hint="default"/>
                <w:spacing w:val="-42"/>
                <w:sz w:val="18"/>
                <w:szCs w:val="18"/>
              </w:rPr>
              <w:t> </w:t>
            </w:r>
            <w:r>
              <w:rPr>
                <w:rFonts w:ascii="宋体" w:hAnsi="宋体" w:cs="宋体" w:eastAsia="宋体" w:hint="default"/>
                <w:spacing w:val="36"/>
                <w:sz w:val="18"/>
                <w:szCs w:val="18"/>
              </w:rPr>
              <w:t>技术研究</w:t>
            </w:r>
            <w:r>
              <w:rPr>
                <w:rFonts w:ascii="宋体" w:hAnsi="宋体" w:cs="宋体" w:eastAsia="宋体" w:hint="default"/>
                <w:spacing w:val="-42"/>
                <w:sz w:val="18"/>
                <w:szCs w:val="18"/>
              </w:rPr>
              <w:t> </w:t>
            </w:r>
            <w:r>
              <w:rPr>
                <w:rFonts w:ascii="宋体" w:hAnsi="宋体" w:cs="宋体" w:eastAsia="宋体" w:hint="default"/>
                <w:spacing w:val="36"/>
                <w:sz w:val="18"/>
                <w:szCs w:val="18"/>
              </w:rPr>
              <w:t>与发展计</w:t>
            </w:r>
            <w:r>
              <w:rPr>
                <w:rFonts w:ascii="宋体" w:hAnsi="宋体" w:cs="宋体" w:eastAsia="宋体" w:hint="default"/>
                <w:spacing w:val="-42"/>
                <w:sz w:val="18"/>
                <w:szCs w:val="18"/>
              </w:rPr>
              <w:t> </w:t>
            </w:r>
            <w:r>
              <w:rPr>
                <w:rFonts w:ascii="宋体" w:hAnsi="宋体" w:cs="宋体" w:eastAsia="宋体" w:hint="default"/>
                <w:sz w:val="18"/>
                <w:szCs w:val="18"/>
              </w:rPr>
              <w:t>划项目</w:t>
            </w:r>
          </w:p>
        </w:tc>
      </w:tr>
      <w:tr>
        <w:trPr>
          <w:trHeight w:val="2532"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both"/>
              <w:rPr>
                <w:rFonts w:ascii="宋体" w:hAnsi="宋体" w:cs="宋体" w:eastAsia="宋体" w:hint="default"/>
                <w:sz w:val="18"/>
                <w:szCs w:val="18"/>
              </w:rPr>
            </w:pPr>
            <w:r>
              <w:rPr>
                <w:rFonts w:ascii="宋体" w:hAnsi="宋体" w:cs="宋体" w:eastAsia="宋体" w:hint="default"/>
                <w:spacing w:val="14"/>
                <w:sz w:val="18"/>
                <w:szCs w:val="18"/>
              </w:rPr>
              <w:t>基于质量浓度分析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的高时间分辨率的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在线源解析系统</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pacing w:val="-3"/>
                <w:sz w:val="18"/>
                <w:szCs w:val="18"/>
              </w:rPr>
              <w:t>建立超级源解析在线监测站，综合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应用多种在线分析仪器及多种受</w:t>
            </w:r>
            <w:r>
              <w:rPr>
                <w:rFonts w:ascii="宋体" w:hAnsi="宋体" w:cs="宋体" w:eastAsia="宋体" w:hint="default"/>
                <w:sz w:val="18"/>
                <w:szCs w:val="18"/>
              </w:rPr>
              <w:t> 体模型，既可以实现</w:t>
            </w:r>
          </w:p>
          <w:p>
            <w:pPr>
              <w:pStyle w:val="TableParagraph"/>
              <w:spacing w:line="314" w:lineRule="auto" w:before="19"/>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PM</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来源解析常态化，也可以实 </w:t>
            </w:r>
            <w:r>
              <w:rPr>
                <w:rFonts w:ascii="宋体" w:hAnsi="宋体" w:cs="宋体" w:eastAsia="宋体" w:hint="default"/>
                <w:spacing w:val="9"/>
                <w:sz w:val="18"/>
                <w:szCs w:val="18"/>
              </w:rPr>
              <w:t>现对重污染过程污染来源的快速</w:t>
            </w:r>
            <w:r>
              <w:rPr>
                <w:rFonts w:ascii="宋体" w:hAnsi="宋体" w:cs="宋体" w:eastAsia="宋体" w:hint="default"/>
                <w:sz w:val="18"/>
                <w:szCs w:val="18"/>
              </w:rPr>
              <w:t> </w:t>
            </w:r>
            <w:r>
              <w:rPr>
                <w:rFonts w:ascii="宋体" w:hAnsi="宋体" w:cs="宋体" w:eastAsia="宋体" w:hint="default"/>
                <w:spacing w:val="-3"/>
                <w:sz w:val="18"/>
                <w:szCs w:val="18"/>
              </w:rPr>
              <w:t>解析，通过将受体模型与在线监测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技术有机结合，做到长期与应急的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和谐统一。</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z w:val="18"/>
                <w:szCs w:val="18"/>
              </w:rPr>
              <w:t>产业化示范</w:t>
            </w:r>
            <w:r>
              <w:rPr>
                <w:rFonts w:ascii="宋体" w:hAnsi="宋体" w:cs="宋体" w:eastAsia="宋体" w:hint="default"/>
                <w:spacing w:val="-85"/>
                <w:sz w:val="18"/>
                <w:szCs w:val="18"/>
              </w:rPr>
              <w:t> </w:t>
            </w:r>
            <w:r>
              <w:rPr>
                <w:rFonts w:ascii="宋体" w:hAnsi="宋体" w:cs="宋体" w:eastAsia="宋体" w:hint="default"/>
                <w:sz w:val="18"/>
                <w:szCs w:val="18"/>
              </w:rPr>
              <w:t>运行阶段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4"/>
                <w:sz w:val="18"/>
                <w:szCs w:val="18"/>
              </w:rPr>
              <w:t>将传统的、基于受体模型的、周期长、需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要较多人工干预的离线源解析转变成为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基于自动颗粒物质量成分分析仪器的、智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能的、自动化的、快速的在线源解析系统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实现污染来源的快速定量分析及空间定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位分析。</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5"/>
              <w:jc w:val="both"/>
              <w:rPr>
                <w:rFonts w:ascii="宋体" w:hAnsi="宋体" w:cs="宋体" w:eastAsia="宋体" w:hint="default"/>
                <w:sz w:val="18"/>
                <w:szCs w:val="18"/>
              </w:rPr>
            </w:pPr>
            <w:r>
              <w:rPr>
                <w:rFonts w:ascii="宋体" w:hAnsi="宋体" w:cs="宋体" w:eastAsia="宋体" w:hint="default"/>
                <w:spacing w:val="36"/>
                <w:sz w:val="18"/>
                <w:szCs w:val="18"/>
              </w:rPr>
              <w:t>河北省科</w:t>
            </w:r>
            <w:r>
              <w:rPr>
                <w:rFonts w:ascii="宋体" w:hAnsi="宋体" w:cs="宋体" w:eastAsia="宋体" w:hint="default"/>
                <w:spacing w:val="-42"/>
                <w:sz w:val="18"/>
                <w:szCs w:val="18"/>
              </w:rPr>
              <w:t> </w:t>
            </w:r>
            <w:r>
              <w:rPr>
                <w:rFonts w:ascii="宋体" w:hAnsi="宋体" w:cs="宋体" w:eastAsia="宋体" w:hint="default"/>
                <w:spacing w:val="36"/>
                <w:sz w:val="18"/>
                <w:szCs w:val="18"/>
              </w:rPr>
              <w:t>技计划项</w:t>
            </w:r>
            <w:r>
              <w:rPr>
                <w:rFonts w:ascii="宋体" w:hAnsi="宋体" w:cs="宋体" w:eastAsia="宋体" w:hint="default"/>
                <w:spacing w:val="-42"/>
                <w:sz w:val="18"/>
                <w:szCs w:val="18"/>
              </w:rPr>
              <w:t> </w:t>
            </w:r>
            <w:r>
              <w:rPr>
                <w:rFonts w:ascii="宋体" w:hAnsi="宋体" w:cs="宋体" w:eastAsia="宋体" w:hint="default"/>
                <w:sz w:val="18"/>
                <w:szCs w:val="18"/>
              </w:rPr>
              <w:t>目</w:t>
            </w:r>
          </w:p>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907"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11</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3" w:right="1"/>
              <w:jc w:val="both"/>
              <w:rPr>
                <w:rFonts w:ascii="宋体" w:hAnsi="宋体" w:cs="宋体" w:eastAsia="宋体" w:hint="default"/>
                <w:sz w:val="18"/>
                <w:szCs w:val="18"/>
              </w:rPr>
            </w:pPr>
            <w:r>
              <w:rPr>
                <w:rFonts w:ascii="宋体" w:hAnsi="宋体" w:cs="宋体" w:eastAsia="宋体" w:hint="default"/>
                <w:spacing w:val="14"/>
                <w:sz w:val="18"/>
                <w:szCs w:val="18"/>
              </w:rPr>
              <w:t>大气污染防治动态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评估与决策支持系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统开发及应用示范</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2" w:right="-18"/>
              <w:jc w:val="both"/>
              <w:rPr>
                <w:rFonts w:ascii="宋体" w:hAnsi="宋体" w:cs="宋体" w:eastAsia="宋体" w:hint="default"/>
                <w:sz w:val="18"/>
                <w:szCs w:val="18"/>
              </w:rPr>
            </w:pPr>
            <w:r>
              <w:rPr>
                <w:rFonts w:ascii="宋体" w:hAnsi="宋体" w:cs="宋体" w:eastAsia="宋体" w:hint="default"/>
                <w:spacing w:val="-9"/>
                <w:w w:val="99"/>
                <w:sz w:val="18"/>
                <w:szCs w:val="18"/>
              </w:rPr>
              <w:t>针对基于传感器原理的</w:t>
            </w:r>
            <w:r>
              <w:rPr>
                <w:rFonts w:ascii="Times New Roman" w:hAnsi="Times New Roman" w:cs="Times New Roman" w:eastAsia="Times New Roman" w:hint="default"/>
                <w:spacing w:val="-9"/>
                <w:w w:val="99"/>
                <w:sz w:val="18"/>
                <w:szCs w:val="18"/>
              </w:rPr>
              <w:t>H2S</w:t>
            </w:r>
            <w:r>
              <w:rPr>
                <w:rFonts w:ascii="宋体" w:hAnsi="宋体" w:cs="宋体" w:eastAsia="宋体" w:hint="default"/>
                <w:spacing w:val="-9"/>
                <w:w w:val="99"/>
                <w:sz w:val="18"/>
                <w:szCs w:val="18"/>
              </w:rPr>
              <w:t>、</w:t>
            </w:r>
            <w:r>
              <w:rPr>
                <w:rFonts w:ascii="Times New Roman" w:hAnsi="Times New Roman" w:cs="Times New Roman" w:eastAsia="Times New Roman" w:hint="default"/>
                <w:spacing w:val="-9"/>
                <w:w w:val="99"/>
                <w:sz w:val="18"/>
                <w:szCs w:val="18"/>
              </w:rPr>
              <w:t>NH3</w:t>
            </w:r>
            <w:r>
              <w:rPr>
                <w:rFonts w:ascii="宋体" w:hAnsi="宋体" w:cs="宋体" w:eastAsia="宋体" w:hint="default"/>
                <w:spacing w:val="-9"/>
                <w:w w:val="99"/>
                <w:sz w:val="18"/>
                <w:szCs w:val="18"/>
              </w:rPr>
              <w:t>、</w:t>
            </w:r>
            <w:r>
              <w:rPr>
                <w:rFonts w:ascii="宋体" w:hAnsi="宋体" w:cs="宋体" w:eastAsia="宋体" w:hint="default"/>
                <w:spacing w:val="-82"/>
                <w:w w:val="99"/>
                <w:sz w:val="18"/>
                <w:szCs w:val="18"/>
              </w:rPr>
              <w:t> </w:t>
            </w:r>
            <w:r>
              <w:rPr>
                <w:rFonts w:ascii="Times New Roman" w:hAnsi="Times New Roman" w:cs="Times New Roman" w:eastAsia="Times New Roman" w:hint="default"/>
                <w:sz w:val="18"/>
                <w:szCs w:val="18"/>
              </w:rPr>
              <w:t>Cl2</w:t>
            </w:r>
            <w:r>
              <w:rPr>
                <w:rFonts w:ascii="宋体" w:hAnsi="宋体" w:cs="宋体" w:eastAsia="宋体" w:hint="default"/>
                <w:sz w:val="18"/>
                <w:szCs w:val="18"/>
              </w:rPr>
              <w:t>、</w:t>
            </w:r>
            <w:r>
              <w:rPr>
                <w:rFonts w:ascii="Times New Roman" w:hAnsi="Times New Roman" w:cs="Times New Roman" w:eastAsia="Times New Roman" w:hint="default"/>
                <w:sz w:val="18"/>
                <w:szCs w:val="18"/>
              </w:rPr>
              <w:t>HCl</w:t>
            </w:r>
            <w:r>
              <w:rPr>
                <w:rFonts w:ascii="宋体" w:hAnsi="宋体" w:cs="宋体" w:eastAsia="宋体" w:hint="default"/>
                <w:sz w:val="18"/>
                <w:szCs w:val="18"/>
              </w:rPr>
              <w:t>、</w:t>
            </w:r>
            <w:r>
              <w:rPr>
                <w:rFonts w:ascii="Times New Roman" w:hAnsi="Times New Roman" w:cs="Times New Roman" w:eastAsia="Times New Roman" w:hint="default"/>
                <w:sz w:val="18"/>
                <w:szCs w:val="18"/>
              </w:rPr>
              <w:t>VOCs</w:t>
            </w:r>
            <w:r>
              <w:rPr>
                <w:rFonts w:ascii="宋体" w:hAnsi="宋体" w:cs="宋体" w:eastAsia="宋体" w:hint="default"/>
                <w:sz w:val="18"/>
                <w:szCs w:val="18"/>
              </w:rPr>
              <w:t>和</w:t>
            </w:r>
            <w:r>
              <w:rPr>
                <w:rFonts w:ascii="Times New Roman" w:hAnsi="Times New Roman" w:cs="Times New Roman" w:eastAsia="Times New Roman" w:hint="default"/>
                <w:sz w:val="18"/>
                <w:szCs w:val="18"/>
              </w:rPr>
              <w:t>HF</w:t>
            </w:r>
            <w:r>
              <w:rPr>
                <w:rFonts w:ascii="宋体" w:hAnsi="宋体" w:cs="宋体" w:eastAsia="宋体" w:hint="default"/>
                <w:sz w:val="18"/>
                <w:szCs w:val="18"/>
              </w:rPr>
              <w:t>微型污染源 </w:t>
            </w:r>
            <w:r>
              <w:rPr>
                <w:rFonts w:ascii="宋体" w:hAnsi="宋体" w:cs="宋体" w:eastAsia="宋体" w:hint="default"/>
                <w:spacing w:val="-3"/>
                <w:sz w:val="18"/>
                <w:szCs w:val="18"/>
              </w:rPr>
              <w:t>空气质量在线监测仪，开发建立一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套完整的测试体系及数据处理、校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准修正补偿模型，提高测量数据精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度</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1"/>
              <w:jc w:val="left"/>
              <w:rPr>
                <w:rFonts w:ascii="宋体" w:hAnsi="宋体" w:cs="宋体" w:eastAsia="宋体" w:hint="default"/>
                <w:sz w:val="18"/>
                <w:szCs w:val="18"/>
              </w:rPr>
            </w:pPr>
            <w:r>
              <w:rPr>
                <w:rFonts w:ascii="宋体" w:hAnsi="宋体" w:cs="宋体" w:eastAsia="宋体" w:hint="default"/>
                <w:sz w:val="18"/>
                <w:szCs w:val="18"/>
              </w:rPr>
              <w:t>产业化示范</w:t>
            </w:r>
            <w:r>
              <w:rPr>
                <w:rFonts w:ascii="宋体" w:hAnsi="宋体" w:cs="宋体" w:eastAsia="宋体" w:hint="default"/>
                <w:spacing w:val="-85"/>
                <w:sz w:val="18"/>
                <w:szCs w:val="18"/>
              </w:rPr>
              <w:t> </w:t>
            </w:r>
            <w:r>
              <w:rPr>
                <w:rFonts w:ascii="宋体" w:hAnsi="宋体" w:cs="宋体" w:eastAsia="宋体" w:hint="default"/>
                <w:sz w:val="18"/>
                <w:szCs w:val="18"/>
              </w:rPr>
              <w:t>运行阶段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3" w:right="0"/>
              <w:jc w:val="both"/>
              <w:rPr>
                <w:rFonts w:ascii="宋体" w:hAnsi="宋体" w:cs="宋体" w:eastAsia="宋体" w:hint="default"/>
                <w:sz w:val="18"/>
                <w:szCs w:val="18"/>
              </w:rPr>
            </w:pPr>
            <w:r>
              <w:rPr>
                <w:rFonts w:ascii="宋体" w:hAnsi="宋体" w:cs="宋体" w:eastAsia="宋体" w:hint="default"/>
                <w:spacing w:val="6"/>
                <w:sz w:val="18"/>
                <w:szCs w:val="18"/>
              </w:rPr>
              <w:t>基于优化的排放清单和空气质量模型研</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究大气污染形成的原因、进行污染贡献率</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分析和减排评估，搭建大气污染防治动态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评估与决策支持系统平台</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45"/>
              <w:jc w:val="both"/>
              <w:rPr>
                <w:rFonts w:ascii="宋体" w:hAnsi="宋体" w:cs="宋体" w:eastAsia="宋体" w:hint="default"/>
                <w:sz w:val="18"/>
                <w:szCs w:val="18"/>
              </w:rPr>
            </w:pPr>
            <w:r>
              <w:rPr>
                <w:rFonts w:ascii="宋体" w:hAnsi="宋体" w:cs="宋体" w:eastAsia="宋体" w:hint="default"/>
                <w:spacing w:val="36"/>
                <w:sz w:val="18"/>
                <w:szCs w:val="18"/>
              </w:rPr>
              <w:t>石家庄市</w:t>
            </w:r>
            <w:r>
              <w:rPr>
                <w:rFonts w:ascii="宋体" w:hAnsi="宋体" w:cs="宋体" w:eastAsia="宋体" w:hint="default"/>
                <w:spacing w:val="-42"/>
                <w:sz w:val="18"/>
                <w:szCs w:val="18"/>
              </w:rPr>
              <w:t> </w:t>
            </w:r>
            <w:r>
              <w:rPr>
                <w:rFonts w:ascii="宋体" w:hAnsi="宋体" w:cs="宋体" w:eastAsia="宋体" w:hint="default"/>
                <w:spacing w:val="36"/>
                <w:sz w:val="18"/>
                <w:szCs w:val="18"/>
              </w:rPr>
              <w:t>科学技术</w:t>
            </w:r>
            <w:r>
              <w:rPr>
                <w:rFonts w:ascii="宋体" w:hAnsi="宋体" w:cs="宋体" w:eastAsia="宋体" w:hint="default"/>
                <w:spacing w:val="-42"/>
                <w:sz w:val="18"/>
                <w:szCs w:val="18"/>
              </w:rPr>
              <w:t> </w:t>
            </w:r>
            <w:r>
              <w:rPr>
                <w:rFonts w:ascii="宋体" w:hAnsi="宋体" w:cs="宋体" w:eastAsia="宋体" w:hint="default"/>
                <w:spacing w:val="36"/>
                <w:sz w:val="18"/>
                <w:szCs w:val="18"/>
              </w:rPr>
              <w:t>研究与发</w:t>
            </w:r>
            <w:r>
              <w:rPr>
                <w:rFonts w:ascii="宋体" w:hAnsi="宋体" w:cs="宋体" w:eastAsia="宋体" w:hint="default"/>
                <w:spacing w:val="-42"/>
                <w:sz w:val="18"/>
                <w:szCs w:val="18"/>
              </w:rPr>
              <w:t> </w:t>
            </w:r>
            <w:r>
              <w:rPr>
                <w:rFonts w:ascii="宋体" w:hAnsi="宋体" w:cs="宋体" w:eastAsia="宋体" w:hint="default"/>
                <w:spacing w:val="36"/>
                <w:sz w:val="18"/>
                <w:szCs w:val="18"/>
              </w:rPr>
              <w:t>展计划项</w:t>
            </w:r>
            <w:r>
              <w:rPr>
                <w:rFonts w:ascii="宋体" w:hAnsi="宋体" w:cs="宋体" w:eastAsia="宋体" w:hint="default"/>
                <w:spacing w:val="-42"/>
                <w:sz w:val="18"/>
                <w:szCs w:val="18"/>
              </w:rPr>
              <w:t> </w:t>
            </w:r>
            <w:r>
              <w:rPr>
                <w:rFonts w:ascii="宋体" w:hAnsi="宋体" w:cs="宋体" w:eastAsia="宋体" w:hint="default"/>
                <w:sz w:val="18"/>
                <w:szCs w:val="18"/>
              </w:rPr>
              <w:t>目</w:t>
            </w:r>
          </w:p>
        </w:tc>
      </w:tr>
      <w:tr>
        <w:trPr>
          <w:trHeight w:val="2219"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both"/>
              <w:rPr>
                <w:rFonts w:ascii="宋体" w:hAnsi="宋体" w:cs="宋体" w:eastAsia="宋体" w:hint="default"/>
                <w:sz w:val="18"/>
                <w:szCs w:val="18"/>
              </w:rPr>
            </w:pPr>
            <w:r>
              <w:rPr>
                <w:rFonts w:ascii="宋体" w:hAnsi="宋体" w:cs="宋体" w:eastAsia="宋体" w:hint="default"/>
                <w:spacing w:val="14"/>
                <w:sz w:val="18"/>
                <w:szCs w:val="18"/>
              </w:rPr>
              <w:t>环境监测仪器系统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技术国家地方联合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工程实验室建设项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0"/>
              <w:jc w:val="both"/>
              <w:rPr>
                <w:rFonts w:ascii="宋体" w:hAnsi="宋体" w:cs="宋体" w:eastAsia="宋体" w:hint="default"/>
                <w:sz w:val="18"/>
                <w:szCs w:val="18"/>
              </w:rPr>
            </w:pPr>
            <w:r>
              <w:rPr>
                <w:rFonts w:ascii="宋体" w:hAnsi="宋体" w:cs="宋体" w:eastAsia="宋体" w:hint="default"/>
                <w:spacing w:val="-3"/>
                <w:sz w:val="18"/>
                <w:szCs w:val="18"/>
              </w:rPr>
              <w:t>建设以水环境、大气环境为主的环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境监测技术与仪器研发实验平台， </w:t>
            </w:r>
            <w:r>
              <w:rPr>
                <w:rFonts w:ascii="宋体" w:hAnsi="宋体" w:cs="宋体" w:eastAsia="宋体" w:hint="default"/>
                <w:spacing w:val="9"/>
                <w:sz w:val="18"/>
                <w:szCs w:val="18"/>
              </w:rPr>
              <w:t>提高我国环境污染监测装备的技</w:t>
            </w:r>
            <w:r>
              <w:rPr>
                <w:rFonts w:ascii="宋体" w:hAnsi="宋体" w:cs="宋体" w:eastAsia="宋体" w:hint="default"/>
                <w:sz w:val="18"/>
                <w:szCs w:val="18"/>
              </w:rPr>
              <w:t> 术水平和监测能力</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已完成验收</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6"/>
                <w:sz w:val="18"/>
                <w:szCs w:val="18"/>
              </w:rPr>
              <w:t>打造国际一流的环境监测仪器研发试验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平台。重点进行研发平台建设和试验平台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建设。购置必要仪器设备，加强新技术 </w:t>
            </w:r>
            <w:r>
              <w:rPr>
                <w:rFonts w:ascii="宋体" w:hAnsi="宋体" w:cs="宋体" w:eastAsia="宋体" w:hint="default"/>
                <w:spacing w:val="-4"/>
                <w:sz w:val="18"/>
                <w:szCs w:val="18"/>
              </w:rPr>
              <w:t>新产品的原理试验、关键部件试验、中间</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试验和小批量试制的体系建设和能力建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设。提高工艺设计试验、电气试验、光学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试验、化学试验、环境试验的能力。</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5"/>
              <w:jc w:val="left"/>
              <w:rPr>
                <w:rFonts w:ascii="宋体" w:hAnsi="宋体" w:cs="宋体" w:eastAsia="宋体" w:hint="default"/>
                <w:sz w:val="18"/>
                <w:szCs w:val="18"/>
              </w:rPr>
            </w:pPr>
            <w:r>
              <w:rPr>
                <w:rFonts w:ascii="宋体" w:hAnsi="宋体" w:cs="宋体" w:eastAsia="宋体" w:hint="default"/>
                <w:spacing w:val="36"/>
                <w:sz w:val="18"/>
                <w:szCs w:val="18"/>
              </w:rPr>
              <w:t>国家发改</w:t>
            </w:r>
            <w:r>
              <w:rPr>
                <w:rFonts w:ascii="宋体" w:hAnsi="宋体" w:cs="宋体" w:eastAsia="宋体" w:hint="default"/>
                <w:spacing w:val="-42"/>
                <w:sz w:val="18"/>
                <w:szCs w:val="18"/>
              </w:rPr>
              <w:t> </w:t>
            </w:r>
            <w:r>
              <w:rPr>
                <w:rFonts w:ascii="宋体" w:hAnsi="宋体" w:cs="宋体" w:eastAsia="宋体" w:hint="default"/>
                <w:sz w:val="18"/>
                <w:szCs w:val="18"/>
              </w:rPr>
              <w:t>委</w:t>
            </w:r>
          </w:p>
          <w:p>
            <w:pPr>
              <w:pStyle w:val="TableParagraph"/>
              <w:spacing w:line="240" w:lineRule="auto" w:before="19"/>
              <w:ind w:left="-13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97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OC/EC</w:t>
            </w:r>
            <w:r>
              <w:rPr>
                <w:rFonts w:ascii="宋体" w:hAnsi="宋体" w:cs="宋体" w:eastAsia="宋体" w:hint="default"/>
                <w:sz w:val="18"/>
                <w:szCs w:val="18"/>
              </w:rPr>
              <w:t>国产化</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0"/>
              <w:jc w:val="both"/>
              <w:rPr>
                <w:rFonts w:ascii="宋体" w:hAnsi="宋体" w:cs="宋体" w:eastAsia="宋体" w:hint="default"/>
                <w:sz w:val="18"/>
                <w:szCs w:val="18"/>
              </w:rPr>
            </w:pPr>
            <w:r>
              <w:rPr>
                <w:rFonts w:ascii="宋体" w:hAnsi="宋体" w:cs="宋体" w:eastAsia="宋体" w:hint="default"/>
                <w:spacing w:val="-3"/>
                <w:sz w:val="18"/>
                <w:szCs w:val="18"/>
              </w:rPr>
              <w:t>引进国际先进的监测技术，用于大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气颗粒物中</w:t>
            </w:r>
            <w:r>
              <w:rPr>
                <w:rFonts w:ascii="Times New Roman" w:hAnsi="Times New Roman" w:cs="Times New Roman" w:eastAsia="Times New Roman" w:hint="default"/>
                <w:spacing w:val="-2"/>
                <w:sz w:val="18"/>
                <w:szCs w:val="18"/>
              </w:rPr>
              <w:t>OC/EC</w:t>
            </w:r>
            <w:r>
              <w:rPr>
                <w:rFonts w:ascii="宋体" w:hAnsi="宋体" w:cs="宋体" w:eastAsia="宋体" w:hint="default"/>
                <w:spacing w:val="-2"/>
                <w:sz w:val="18"/>
                <w:szCs w:val="18"/>
              </w:rPr>
              <w:t>监测，实现颗粒</w:t>
            </w:r>
            <w:r>
              <w:rPr>
                <w:rFonts w:ascii="宋体" w:hAnsi="宋体" w:cs="宋体" w:eastAsia="宋体" w:hint="default"/>
                <w:sz w:val="18"/>
                <w:szCs w:val="18"/>
              </w:rPr>
              <w:t> 物源解析。</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2"/>
              <w:jc w:val="both"/>
              <w:rPr>
                <w:rFonts w:ascii="宋体" w:hAnsi="宋体" w:cs="宋体" w:eastAsia="宋体" w:hint="default"/>
                <w:sz w:val="18"/>
                <w:szCs w:val="18"/>
              </w:rPr>
            </w:pPr>
            <w:r>
              <w:rPr>
                <w:rFonts w:ascii="宋体" w:hAnsi="宋体" w:cs="宋体" w:eastAsia="宋体" w:hint="default"/>
                <w:sz w:val="18"/>
                <w:szCs w:val="18"/>
              </w:rPr>
              <w:t>进行</w:t>
            </w:r>
            <w:r>
              <w:rPr>
                <w:rFonts w:ascii="Times New Roman" w:hAnsi="Times New Roman" w:cs="Times New Roman" w:eastAsia="Times New Roman" w:hint="default"/>
                <w:sz w:val="18"/>
                <w:szCs w:val="18"/>
              </w:rPr>
              <w:t>SUNSET </w:t>
            </w:r>
            <w:r>
              <w:rPr>
                <w:rFonts w:ascii="Times New Roman" w:hAnsi="Times New Roman" w:cs="Times New Roman" w:eastAsia="Times New Roman" w:hint="default"/>
                <w:spacing w:val="5"/>
                <w:sz w:val="18"/>
                <w:szCs w:val="18"/>
              </w:rPr>
              <w:t>OC/EC</w:t>
            </w:r>
            <w:r>
              <w:rPr>
                <w:rFonts w:ascii="宋体" w:hAnsi="宋体" w:cs="宋体" w:eastAsia="宋体" w:hint="default"/>
                <w:spacing w:val="5"/>
                <w:sz w:val="18"/>
                <w:szCs w:val="18"/>
              </w:rPr>
              <w:t>产品的技术转移及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国产化，将技术成功进行生产导入，同时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促进产品价值的实现和提升。</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659"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2"/>
              <w:jc w:val="left"/>
              <w:rPr>
                <w:rFonts w:ascii="宋体" w:hAnsi="宋体" w:cs="宋体" w:eastAsia="宋体" w:hint="default"/>
                <w:sz w:val="18"/>
                <w:szCs w:val="18"/>
              </w:rPr>
            </w:pPr>
            <w:r>
              <w:rPr>
                <w:rFonts w:ascii="宋体" w:hAnsi="宋体" w:cs="宋体" w:eastAsia="宋体" w:hint="default"/>
                <w:spacing w:val="8"/>
                <w:sz w:val="18"/>
                <w:szCs w:val="18"/>
              </w:rPr>
              <w:t>大气</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VOC</w:t>
            </w:r>
            <w:r>
              <w:rPr>
                <w:rFonts w:ascii="Times New Roman" w:hAnsi="Times New Roman" w:cs="Times New Roman" w:eastAsia="Times New Roman" w:hint="default"/>
                <w:spacing w:val="-30"/>
                <w:sz w:val="18"/>
                <w:szCs w:val="18"/>
              </w:rPr>
              <w:t> </w:t>
            </w:r>
            <w:r>
              <w:rPr>
                <w:rFonts w:ascii="宋体" w:hAnsi="宋体" w:cs="宋体" w:eastAsia="宋体" w:hint="default"/>
                <w:spacing w:val="12"/>
                <w:sz w:val="18"/>
                <w:szCs w:val="18"/>
              </w:rPr>
              <w:t>在线监测</w:t>
            </w:r>
            <w:r>
              <w:rPr>
                <w:rFonts w:ascii="宋体" w:hAnsi="宋体" w:cs="宋体" w:eastAsia="宋体" w:hint="default"/>
                <w:sz w:val="18"/>
                <w:szCs w:val="18"/>
              </w:rPr>
              <w:t> 项目</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pacing w:val="7"/>
                <w:sz w:val="18"/>
                <w:szCs w:val="18"/>
              </w:rPr>
              <w:t>实现对空气中</w:t>
            </w:r>
            <w:r>
              <w:rPr>
                <w:rFonts w:ascii="Times New Roman" w:hAnsi="Times New Roman" w:cs="Times New Roman" w:eastAsia="Times New Roman" w:hint="default"/>
                <w:spacing w:val="7"/>
                <w:sz w:val="18"/>
                <w:szCs w:val="18"/>
              </w:rPr>
              <w:t>VOC</w:t>
            </w:r>
            <w:r>
              <w:rPr>
                <w:rFonts w:ascii="宋体" w:hAnsi="宋体" w:cs="宋体" w:eastAsia="宋体" w:hint="default"/>
                <w:spacing w:val="7"/>
                <w:sz w:val="18"/>
                <w:szCs w:val="18"/>
              </w:rPr>
              <w:t>的在线监测和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数据采集</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z w:val="18"/>
                <w:szCs w:val="18"/>
              </w:rPr>
              <w:t>系统集成，</w:t>
            </w:r>
            <w:r>
              <w:rPr>
                <w:rFonts w:ascii="宋体" w:hAnsi="宋体" w:cs="宋体" w:eastAsia="宋体" w:hint="default"/>
                <w:spacing w:val="-85"/>
                <w:sz w:val="18"/>
                <w:szCs w:val="18"/>
              </w:rPr>
              <w:t> </w:t>
            </w:r>
            <w:r>
              <w:rPr>
                <w:rFonts w:ascii="宋体" w:hAnsi="宋体" w:cs="宋体" w:eastAsia="宋体" w:hint="default"/>
                <w:sz w:val="18"/>
                <w:szCs w:val="18"/>
              </w:rPr>
              <w:t>已全面推广</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7"/>
              <w:jc w:val="left"/>
              <w:rPr>
                <w:rFonts w:ascii="宋体" w:hAnsi="宋体" w:cs="宋体" w:eastAsia="宋体" w:hint="default"/>
                <w:sz w:val="18"/>
                <w:szCs w:val="18"/>
              </w:rPr>
            </w:pPr>
            <w:r>
              <w:rPr>
                <w:rFonts w:ascii="宋体" w:hAnsi="宋体" w:cs="宋体" w:eastAsia="宋体" w:hint="default"/>
                <w:spacing w:val="-4"/>
                <w:sz w:val="18"/>
                <w:szCs w:val="18"/>
              </w:rPr>
              <w:t>研制出监测空气中</w:t>
            </w:r>
            <w:r>
              <w:rPr>
                <w:rFonts w:ascii="Times New Roman" w:hAnsi="Times New Roman" w:cs="Times New Roman" w:eastAsia="Times New Roman" w:hint="default"/>
                <w:spacing w:val="-4"/>
                <w:sz w:val="18"/>
                <w:szCs w:val="18"/>
              </w:rPr>
              <w:t>VOC</w:t>
            </w:r>
            <w:r>
              <w:rPr>
                <w:rFonts w:ascii="宋体" w:hAnsi="宋体" w:cs="宋体" w:eastAsia="宋体" w:hint="default"/>
                <w:spacing w:val="-4"/>
                <w:sz w:val="18"/>
                <w:szCs w:val="18"/>
              </w:rPr>
              <w:t>气体的整套系统，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并实现数据采集和管理</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CES</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大</w:t>
            </w:r>
            <w:r>
              <w:rPr>
                <w:rFonts w:ascii="宋体" w:hAnsi="宋体" w:cs="宋体" w:eastAsia="宋体" w:hint="default"/>
                <w:spacing w:val="-66"/>
                <w:sz w:val="18"/>
                <w:szCs w:val="18"/>
              </w:rPr>
              <w:t> </w:t>
            </w:r>
            <w:r>
              <w:rPr>
                <w:rFonts w:ascii="宋体" w:hAnsi="宋体" w:cs="宋体" w:eastAsia="宋体" w:hint="default"/>
                <w:sz w:val="18"/>
                <w:szCs w:val="18"/>
              </w:rPr>
              <w:t>气</w:t>
            </w:r>
            <w:r>
              <w:rPr>
                <w:rFonts w:ascii="宋体" w:hAnsi="宋体" w:cs="宋体" w:eastAsia="宋体" w:hint="default"/>
                <w:spacing w:val="-66"/>
                <w:sz w:val="18"/>
                <w:szCs w:val="18"/>
              </w:rPr>
              <w:t> </w:t>
            </w:r>
            <w:r>
              <w:rPr>
                <w:rFonts w:ascii="宋体" w:hAnsi="宋体" w:cs="宋体" w:eastAsia="宋体" w:hint="default"/>
                <w:sz w:val="18"/>
                <w:szCs w:val="18"/>
              </w:rPr>
              <w:t>重</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4"/>
                <w:sz w:val="18"/>
                <w:szCs w:val="18"/>
              </w:rPr>
              <w:t> </w:t>
            </w:r>
            <w:r>
              <w:rPr>
                <w:rFonts w:ascii="宋体" w:hAnsi="宋体" w:cs="宋体" w:eastAsia="宋体" w:hint="default"/>
                <w:sz w:val="18"/>
                <w:szCs w:val="18"/>
              </w:rPr>
              <w:t>属</w:t>
            </w:r>
            <w:r>
              <w:rPr>
                <w:rFonts w:ascii="宋体" w:hAnsi="宋体" w:cs="宋体" w:eastAsia="宋体" w:hint="default"/>
                <w:spacing w:val="-66"/>
                <w:sz w:val="18"/>
                <w:szCs w:val="18"/>
              </w:rPr>
              <w:t> </w:t>
            </w:r>
            <w:r>
              <w:rPr>
                <w:rFonts w:ascii="宋体" w:hAnsi="宋体" w:cs="宋体" w:eastAsia="宋体" w:hint="default"/>
                <w:sz w:val="18"/>
                <w:szCs w:val="18"/>
              </w:rPr>
              <w:t>在</w:t>
            </w:r>
            <w:r>
              <w:rPr>
                <w:rFonts w:ascii="宋体" w:hAnsi="宋体" w:cs="宋体" w:eastAsia="宋体" w:hint="default"/>
                <w:w w:val="99"/>
                <w:sz w:val="18"/>
                <w:szCs w:val="18"/>
              </w:rPr>
              <w:t> </w:t>
            </w:r>
            <w:r>
              <w:rPr>
                <w:rFonts w:ascii="宋体" w:hAnsi="宋体" w:cs="宋体" w:eastAsia="宋体" w:hint="default"/>
                <w:sz w:val="18"/>
                <w:szCs w:val="18"/>
              </w:rPr>
              <w:t>线监测仪技术引进</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3"/>
              <w:jc w:val="left"/>
              <w:rPr>
                <w:rFonts w:ascii="宋体" w:hAnsi="宋体" w:cs="宋体" w:eastAsia="宋体" w:hint="default"/>
                <w:sz w:val="18"/>
                <w:szCs w:val="18"/>
              </w:rPr>
            </w:pPr>
            <w:r>
              <w:rPr>
                <w:rFonts w:ascii="宋体" w:hAnsi="宋体" w:cs="宋体" w:eastAsia="宋体" w:hint="default"/>
                <w:spacing w:val="9"/>
                <w:sz w:val="18"/>
                <w:szCs w:val="18"/>
              </w:rPr>
              <w:t>连续监测并分析大气中多种重金</w:t>
            </w:r>
            <w:r>
              <w:rPr>
                <w:rFonts w:ascii="宋体" w:hAnsi="宋体" w:cs="宋体" w:eastAsia="宋体" w:hint="default"/>
                <w:sz w:val="18"/>
                <w:szCs w:val="18"/>
              </w:rPr>
              <w:t> 属颗粒物的种类及浓度。</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0"/>
              <w:jc w:val="both"/>
              <w:rPr>
                <w:rFonts w:ascii="宋体" w:hAnsi="宋体" w:cs="宋体" w:eastAsia="宋体" w:hint="default"/>
                <w:sz w:val="18"/>
                <w:szCs w:val="18"/>
              </w:rPr>
            </w:pPr>
            <w:r>
              <w:rPr>
                <w:rFonts w:ascii="宋体" w:hAnsi="宋体" w:cs="宋体" w:eastAsia="宋体" w:hint="default"/>
                <w:spacing w:val="6"/>
                <w:sz w:val="18"/>
                <w:szCs w:val="18"/>
              </w:rPr>
              <w:t>大气重金属在线监测系统设计图纸国产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化；仪器控制及分析软件汉化；仪器装调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所需工装的搭建；仪器部件加工及采购渠</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道国产化。</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348"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pacing w:val="14"/>
                <w:sz w:val="18"/>
                <w:szCs w:val="18"/>
              </w:rPr>
              <w:t>常规空气六参数自</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9"/>
                <w:sz w:val="18"/>
                <w:szCs w:val="18"/>
              </w:rPr>
              <w:t>实现对大气空气六参数浓度的监</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17"/>
              <w:jc w:val="left"/>
              <w:rPr>
                <w:rFonts w:ascii="宋体" w:hAnsi="宋体" w:cs="宋体" w:eastAsia="宋体" w:hint="default"/>
                <w:sz w:val="18"/>
                <w:szCs w:val="18"/>
              </w:rPr>
            </w:pPr>
            <w:r>
              <w:rPr>
                <w:rFonts w:ascii="宋体" w:hAnsi="宋体" w:cs="宋体" w:eastAsia="宋体" w:hint="default"/>
                <w:spacing w:val="-3"/>
                <w:sz w:val="18"/>
                <w:szCs w:val="18"/>
              </w:rPr>
              <w:t>对常规空气六参数自动监测仪升级改进，</w:t>
            </w:r>
            <w:r>
              <w:rPr>
                <w:rFonts w:ascii="宋体" w:hAnsi="宋体" w:cs="宋体" w:eastAsia="宋体" w:hint="default"/>
                <w:sz w:val="18"/>
                <w:szCs w:val="18"/>
              </w:rPr>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34pt;margin-top:71.999985pt;width:489.45pt;height:687.4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6"/>
                    <w:gridCol w:w="1583"/>
                    <w:gridCol w:w="2678"/>
                    <w:gridCol w:w="924"/>
                    <w:gridCol w:w="3202"/>
                    <w:gridCol w:w="81"/>
                    <w:gridCol w:w="804"/>
                  </w:tblGrid>
                  <w:tr>
                    <w:trPr>
                      <w:trHeight w:val="659" w:hRule="exact"/>
                    </w:trPr>
                    <w:tc>
                      <w:tcPr>
                        <w:tcW w:w="496"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14"/>
                            <w:sz w:val="18"/>
                            <w:szCs w:val="18"/>
                          </w:rPr>
                          <w:t>动监测仪升级改进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项目</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测</w:t>
                        </w:r>
                      </w:p>
                    </w:tc>
                    <w:tc>
                      <w:tcPr>
                        <w:tcW w:w="924" w:type="dxa"/>
                        <w:tcBorders>
                          <w:top w:val="single" w:sz="6" w:space="0" w:color="000000"/>
                          <w:left w:val="single" w:sz="6" w:space="0" w:color="000000"/>
                          <w:bottom w:val="single" w:sz="6" w:space="0" w:color="000000"/>
                          <w:right w:val="single" w:sz="6" w:space="0" w:color="000000"/>
                        </w:tcBorders>
                      </w:tcPr>
                      <w:p>
                        <w:pP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为空气监测提供高性能设备</w:t>
                        </w:r>
                      </w:p>
                    </w:tc>
                    <w:tc>
                      <w:tcPr>
                        <w:tcW w:w="884" w:type="dxa"/>
                        <w:gridSpan w:val="2"/>
                        <w:tcBorders>
                          <w:top w:val="single" w:sz="6" w:space="0" w:color="000000"/>
                          <w:left w:val="single" w:sz="6" w:space="0" w:color="000000"/>
                          <w:bottom w:val="single" w:sz="6" w:space="0" w:color="000000"/>
                          <w:right w:val="single" w:sz="6" w:space="0" w:color="000000"/>
                        </w:tcBorders>
                      </w:tcPr>
                      <w:p>
                        <w:pPr/>
                      </w:p>
                    </w:tc>
                  </w:tr>
                  <w:tr>
                    <w:trPr>
                      <w:trHeight w:val="97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17</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14"/>
                            <w:sz w:val="18"/>
                            <w:szCs w:val="18"/>
                          </w:rPr>
                          <w:t>小型化空气监测系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统</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5"/>
                          <w:jc w:val="left"/>
                          <w:rPr>
                            <w:rFonts w:ascii="宋体" w:hAnsi="宋体" w:cs="宋体" w:eastAsia="宋体" w:hint="default"/>
                            <w:sz w:val="18"/>
                            <w:szCs w:val="18"/>
                          </w:rPr>
                        </w:pPr>
                        <w:r>
                          <w:rPr>
                            <w:rFonts w:ascii="宋体" w:hAnsi="宋体" w:cs="宋体" w:eastAsia="宋体" w:hint="default"/>
                            <w:spacing w:val="4"/>
                            <w:sz w:val="18"/>
                            <w:szCs w:val="18"/>
                          </w:rPr>
                          <w:t>监测</w:t>
                        </w:r>
                        <w:r>
                          <w:rPr>
                            <w:rFonts w:ascii="Times New Roman" w:hAnsi="Times New Roman" w:cs="Times New Roman" w:eastAsia="Times New Roman" w:hint="default"/>
                            <w:spacing w:val="4"/>
                            <w:sz w:val="18"/>
                            <w:szCs w:val="18"/>
                          </w:rPr>
                          <w:t>SO2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NOx</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CO</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O3</w:t>
                        </w:r>
                        <w:r>
                          <w:rPr>
                            <w:rFonts w:ascii="宋体" w:hAnsi="宋体" w:cs="宋体" w:eastAsia="宋体" w:hint="default"/>
                            <w:spacing w:val="4"/>
                            <w:sz w:val="18"/>
                            <w:szCs w:val="18"/>
                          </w:rPr>
                          <w:t>，颗粒</w:t>
                        </w:r>
                        <w:r>
                          <w:rPr>
                            <w:rFonts w:ascii="宋体" w:hAnsi="宋体" w:cs="宋体" w:eastAsia="宋体" w:hint="default"/>
                            <w:spacing w:val="-83"/>
                            <w:sz w:val="18"/>
                            <w:szCs w:val="18"/>
                          </w:rPr>
                          <w:t> </w:t>
                        </w:r>
                        <w:r>
                          <w:rPr>
                            <w:rFonts w:ascii="宋体" w:hAnsi="宋体" w:cs="宋体" w:eastAsia="宋体" w:hint="default"/>
                            <w:sz w:val="18"/>
                            <w:szCs w:val="18"/>
                          </w:rPr>
                          <w:t>物等空气六参数。</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0"/>
                          <w:jc w:val="both"/>
                          <w:rPr>
                            <w:rFonts w:ascii="宋体" w:hAnsi="宋体" w:cs="宋体" w:eastAsia="宋体" w:hint="default"/>
                            <w:sz w:val="18"/>
                            <w:szCs w:val="18"/>
                          </w:rPr>
                        </w:pPr>
                        <w:r>
                          <w:rPr>
                            <w:rFonts w:ascii="宋体" w:hAnsi="宋体" w:cs="宋体" w:eastAsia="宋体" w:hint="default"/>
                            <w:spacing w:val="-4"/>
                            <w:sz w:val="18"/>
                            <w:szCs w:val="18"/>
                          </w:rPr>
                          <w:t>小型化空气监测系统，可分别或集成监测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Times New Roman" w:hAnsi="Times New Roman" w:cs="Times New Roman" w:eastAsia="Times New Roman" w:hint="default"/>
                            <w:spacing w:val="2"/>
                            <w:sz w:val="18"/>
                            <w:szCs w:val="18"/>
                          </w:rPr>
                          <w:t>SO2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NOx</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CO</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O3</w:t>
                        </w:r>
                        <w:r>
                          <w:rPr>
                            <w:rFonts w:ascii="宋体" w:hAnsi="宋体" w:cs="宋体" w:eastAsia="宋体" w:hint="default"/>
                            <w:spacing w:val="2"/>
                            <w:sz w:val="18"/>
                            <w:szCs w:val="18"/>
                          </w:rPr>
                          <w:t>，颗粒物等空气六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参数。</w:t>
                        </w:r>
                      </w:p>
                    </w:tc>
                    <w:tc>
                      <w:tcPr>
                        <w:tcW w:w="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97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18</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14"/>
                            <w:sz w:val="18"/>
                            <w:szCs w:val="18"/>
                          </w:rPr>
                          <w:t>移动空气六参数监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测系统</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18"/>
                          <w:jc w:val="left"/>
                          <w:rPr>
                            <w:rFonts w:ascii="宋体" w:hAnsi="宋体" w:cs="宋体" w:eastAsia="宋体" w:hint="default"/>
                            <w:sz w:val="18"/>
                            <w:szCs w:val="18"/>
                          </w:rPr>
                        </w:pPr>
                        <w:r>
                          <w:rPr>
                            <w:rFonts w:ascii="宋体" w:hAnsi="宋体" w:cs="宋体" w:eastAsia="宋体" w:hint="default"/>
                            <w:spacing w:val="-12"/>
                            <w:sz w:val="18"/>
                            <w:szCs w:val="18"/>
                          </w:rPr>
                          <w:t>监测</w:t>
                        </w:r>
                        <w:r>
                          <w:rPr>
                            <w:rFonts w:ascii="Times New Roman" w:hAnsi="Times New Roman" w:cs="Times New Roman" w:eastAsia="Times New Roman" w:hint="default"/>
                            <w:spacing w:val="-12"/>
                            <w:sz w:val="18"/>
                            <w:szCs w:val="18"/>
                          </w:rPr>
                          <w:t>SO2</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NOX</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CO</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O3</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PM2.5</w:t>
                        </w:r>
                        <w:r>
                          <w:rPr>
                            <w:rFonts w:ascii="宋体" w:hAnsi="宋体" w:cs="宋体" w:eastAsia="宋体" w:hint="default"/>
                            <w:spacing w:val="-12"/>
                            <w:sz w:val="18"/>
                            <w:szCs w:val="18"/>
                          </w:rPr>
                          <w:t>、</w:t>
                        </w:r>
                        <w:r>
                          <w:rPr>
                            <w:rFonts w:ascii="宋体" w:hAnsi="宋体" w:cs="宋体" w:eastAsia="宋体" w:hint="default"/>
                            <w:sz w:val="18"/>
                            <w:szCs w:val="18"/>
                          </w:rPr>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PM10</w:t>
                        </w:r>
                        <w:r>
                          <w:rPr>
                            <w:rFonts w:ascii="宋体" w:hAnsi="宋体" w:cs="宋体" w:eastAsia="宋体" w:hint="default"/>
                            <w:sz w:val="18"/>
                            <w:szCs w:val="18"/>
                          </w:rPr>
                          <w:t>等空气六参数</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both"/>
                          <w:rPr>
                            <w:rFonts w:ascii="宋体" w:hAnsi="宋体" w:cs="宋体" w:eastAsia="宋体" w:hint="default"/>
                            <w:sz w:val="18"/>
                            <w:szCs w:val="18"/>
                          </w:rPr>
                        </w:pPr>
                        <w:r>
                          <w:rPr>
                            <w:rFonts w:ascii="宋体" w:hAnsi="宋体" w:cs="宋体" w:eastAsia="宋体" w:hint="default"/>
                            <w:spacing w:val="-4"/>
                            <w:sz w:val="18"/>
                            <w:szCs w:val="18"/>
                          </w:rPr>
                          <w:t>用于移动执法、应急监测，道路交通空气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质量监测，工业园区空气质量监测，隧道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空气质量监测，环境评估等方面。</w:t>
                        </w:r>
                      </w:p>
                    </w:tc>
                    <w:tc>
                      <w:tcPr>
                        <w:tcW w:w="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972"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19</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便携空气四参数</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firstLine="73"/>
                          <w:jc w:val="left"/>
                          <w:rPr>
                            <w:rFonts w:ascii="宋体" w:hAnsi="宋体" w:cs="宋体" w:eastAsia="宋体" w:hint="default"/>
                            <w:sz w:val="18"/>
                            <w:szCs w:val="18"/>
                          </w:rPr>
                        </w:pPr>
                        <w:r>
                          <w:rPr>
                            <w:rFonts w:ascii="宋体" w:hAnsi="宋体" w:cs="宋体" w:eastAsia="宋体" w:hint="default"/>
                            <w:spacing w:val="14"/>
                            <w:sz w:val="18"/>
                            <w:szCs w:val="18"/>
                          </w:rPr>
                          <w:t>监测</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SO2\NOX\CO\O3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空</w:t>
                        </w:r>
                        <w:r>
                          <w:rPr>
                            <w:rFonts w:ascii="宋体" w:hAnsi="宋体" w:cs="宋体" w:eastAsia="宋体" w:hint="default"/>
                            <w:spacing w:val="-62"/>
                            <w:sz w:val="18"/>
                            <w:szCs w:val="18"/>
                          </w:rPr>
                          <w:t> </w:t>
                        </w:r>
                        <w:r>
                          <w:rPr>
                            <w:rFonts w:ascii="宋体" w:hAnsi="宋体" w:cs="宋体" w:eastAsia="宋体" w:hint="default"/>
                            <w:sz w:val="18"/>
                            <w:szCs w:val="18"/>
                          </w:rPr>
                          <w:t>气</w:t>
                        </w:r>
                        <w:r>
                          <w:rPr>
                            <w:rFonts w:ascii="宋体" w:hAnsi="宋体" w:cs="宋体" w:eastAsia="宋体" w:hint="default"/>
                            <w:spacing w:val="-62"/>
                            <w:sz w:val="18"/>
                            <w:szCs w:val="18"/>
                          </w:rPr>
                          <w:t> </w:t>
                        </w:r>
                        <w:r>
                          <w:rPr>
                            <w:rFonts w:ascii="宋体" w:hAnsi="宋体" w:cs="宋体" w:eastAsia="宋体" w:hint="default"/>
                            <w:sz w:val="18"/>
                            <w:szCs w:val="18"/>
                          </w:rPr>
                          <w:t>四</w:t>
                        </w:r>
                        <w:r>
                          <w:rPr>
                            <w:rFonts w:ascii="宋体" w:hAnsi="宋体" w:cs="宋体" w:eastAsia="宋体" w:hint="default"/>
                            <w:spacing w:val="-63"/>
                            <w:sz w:val="18"/>
                            <w:szCs w:val="18"/>
                          </w:rPr>
                          <w:t> </w:t>
                        </w:r>
                        <w:r>
                          <w:rPr>
                            <w:rFonts w:ascii="宋体" w:hAnsi="宋体" w:cs="宋体" w:eastAsia="宋体" w:hint="default"/>
                            <w:sz w:val="18"/>
                            <w:szCs w:val="18"/>
                          </w:rPr>
                          <w:t>参</w:t>
                        </w:r>
                        <w:r>
                          <w:rPr>
                            <w:rFonts w:ascii="宋体" w:hAnsi="宋体" w:cs="宋体" w:eastAsia="宋体" w:hint="default"/>
                            <w:sz w:val="18"/>
                            <w:szCs w:val="18"/>
                          </w:rPr>
                          <w:t> 数</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小批量生产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4"/>
                            <w:sz w:val="18"/>
                            <w:szCs w:val="18"/>
                          </w:rPr>
                          <w:t>于户外环境空气质量全天候在线监测，便</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携式监测，厂界监测，环境评估监测及第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三方检测公司检测等</w:t>
                        </w:r>
                      </w:p>
                    </w:tc>
                    <w:tc>
                      <w:tcPr>
                        <w:tcW w:w="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2219"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1"/>
                          <w:jc w:val="left"/>
                          <w:rPr>
                            <w:rFonts w:ascii="宋体" w:hAnsi="宋体" w:cs="宋体" w:eastAsia="宋体" w:hint="default"/>
                            <w:sz w:val="18"/>
                            <w:szCs w:val="18"/>
                          </w:rPr>
                        </w:pPr>
                        <w:r>
                          <w:rPr>
                            <w:rFonts w:ascii="宋体" w:hAnsi="宋体" w:cs="宋体" w:eastAsia="宋体" w:hint="default"/>
                            <w:spacing w:val="14"/>
                            <w:sz w:val="18"/>
                            <w:szCs w:val="18"/>
                          </w:rPr>
                          <w:t>大气网格化监测平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台</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pacing w:val="-3"/>
                            <w:sz w:val="18"/>
                            <w:szCs w:val="18"/>
                          </w:rPr>
                          <w:t>各地区环保局、环境监测站空气质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量网格化监测及决策支持。</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研制阶段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3" w:right="1"/>
                          <w:jc w:val="both"/>
                          <w:rPr>
                            <w:rFonts w:ascii="宋体" w:hAnsi="宋体" w:cs="宋体" w:eastAsia="宋体" w:hint="default"/>
                            <w:sz w:val="18"/>
                            <w:szCs w:val="18"/>
                          </w:rPr>
                        </w:pPr>
                        <w:r>
                          <w:rPr>
                            <w:rFonts w:ascii="宋体" w:hAnsi="宋体" w:cs="宋体" w:eastAsia="宋体" w:hint="default"/>
                            <w:spacing w:val="6"/>
                            <w:sz w:val="18"/>
                            <w:szCs w:val="18"/>
                          </w:rPr>
                          <w:t>根据大气污染情况，以空气质量总体改</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善，重污染天气较大幅度减少为目标。各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地政府和环保局要求对环境精细化管理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提供支撑，需要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测、管、治、评、预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五</w:t>
                        </w:r>
                        <w:r>
                          <w:rPr>
                            <w:rFonts w:ascii="宋体" w:hAnsi="宋体" w:cs="宋体" w:eastAsia="宋体" w:hint="default"/>
                            <w:spacing w:val="-76"/>
                            <w:sz w:val="18"/>
                            <w:szCs w:val="18"/>
                          </w:rPr>
                          <w:t> </w:t>
                        </w:r>
                        <w:r>
                          <w:rPr>
                            <w:rFonts w:ascii="宋体" w:hAnsi="宋体" w:cs="宋体" w:eastAsia="宋体" w:hint="default"/>
                            <w:spacing w:val="6"/>
                            <w:sz w:val="18"/>
                            <w:szCs w:val="18"/>
                          </w:rPr>
                          <w:t>位一体，有效控制区域内污染物排放总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量，实现</w:t>
                        </w:r>
                        <w:r>
                          <w:rPr>
                            <w:rFonts w:ascii="Times New Roman" w:hAnsi="Times New Roman" w:cs="Times New Roman" w:eastAsia="Times New Roman" w:hint="default"/>
                            <w:sz w:val="18"/>
                            <w:szCs w:val="18"/>
                          </w:rPr>
                          <w:t>“</w:t>
                        </w:r>
                        <w:r>
                          <w:rPr>
                            <w:rFonts w:ascii="宋体" w:hAnsi="宋体" w:cs="宋体" w:eastAsia="宋体" w:hint="default"/>
                            <w:sz w:val="18"/>
                            <w:szCs w:val="18"/>
                          </w:rPr>
                          <w:t>定向管控、限时治理、及时见</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效</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4"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253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21</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14"/>
                            <w:sz w:val="18"/>
                            <w:szCs w:val="18"/>
                          </w:rPr>
                          <w:t>生态环境大数据决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策支持平台</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40"/>
                          <w:jc w:val="both"/>
                          <w:rPr>
                            <w:rFonts w:ascii="宋体" w:hAnsi="宋体" w:cs="宋体" w:eastAsia="宋体" w:hint="default"/>
                            <w:sz w:val="18"/>
                            <w:szCs w:val="18"/>
                          </w:rPr>
                        </w:pPr>
                        <w:r>
                          <w:rPr>
                            <w:rFonts w:ascii="宋体" w:hAnsi="宋体" w:cs="宋体" w:eastAsia="宋体" w:hint="default"/>
                            <w:spacing w:val="-3"/>
                            <w:sz w:val="18"/>
                            <w:szCs w:val="18"/>
                          </w:rPr>
                          <w:t>集成大气、水、污染源、噪声、土</w:t>
                        </w:r>
                        <w:r>
                          <w:rPr>
                            <w:rFonts w:ascii="宋体" w:hAnsi="宋体" w:cs="宋体" w:eastAsia="宋体" w:hint="default"/>
                            <w:sz w:val="18"/>
                            <w:szCs w:val="18"/>
                          </w:rPr>
                          <w:t> </w:t>
                        </w:r>
                        <w:r>
                          <w:rPr>
                            <w:rFonts w:ascii="宋体" w:hAnsi="宋体" w:cs="宋体" w:eastAsia="宋体" w:hint="default"/>
                            <w:spacing w:val="-3"/>
                            <w:sz w:val="18"/>
                            <w:szCs w:val="18"/>
                          </w:rPr>
                          <w:t>壤等各种生态类型的监测数据，实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现实时监测一张图展示、报警管</w:t>
                        </w:r>
                        <w:r>
                          <w:rPr>
                            <w:rFonts w:ascii="宋体" w:hAnsi="宋体" w:cs="宋体" w:eastAsia="宋体" w:hint="default"/>
                            <w:sz w:val="18"/>
                            <w:szCs w:val="18"/>
                          </w:rPr>
                          <w:t> 控、针对各生态类型的综合分析、 决策支持以及网格化监管。</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研制阶段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pacing w:val="6"/>
                            <w:sz w:val="18"/>
                            <w:szCs w:val="18"/>
                          </w:rPr>
                          <w:t>生态环境大数据平台以成都市新都区项</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目为依据，集成大气、水、污染源、噪声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土壤等各种生态类型的监测数据，实现实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时监测一张图展示、报警管控、针对各生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态类型的综合分析、决策支持以及网格化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监管，最终实现生态数据的全面整合，形</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成一套集各类生态环境监测数据为一体</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的智慧环保大数据平台产品</w:t>
                        </w:r>
                      </w:p>
                    </w:tc>
                    <w:tc>
                      <w:tcPr>
                        <w:tcW w:w="81" w:type="dxa"/>
                        <w:tcBorders>
                          <w:top w:val="single" w:sz="6" w:space="0" w:color="000000"/>
                          <w:left w:val="single" w:sz="6" w:space="0" w:color="000000"/>
                          <w:bottom w:val="single" w:sz="6" w:space="0" w:color="000000"/>
                          <w:right w:val="nil" w:sz="6" w:space="0" w:color="auto"/>
                        </w:tcBorders>
                      </w:tcPr>
                      <w:p>
                        <w:pPr/>
                      </w:p>
                    </w:tc>
                    <w:tc>
                      <w:tcPr>
                        <w:tcW w:w="80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合同项目</w:t>
                        </w:r>
                      </w:p>
                    </w:tc>
                  </w:tr>
                  <w:tr>
                    <w:trPr>
                      <w:trHeight w:val="284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Times New Roman" w:hAnsi="Times New Roman" w:cs="Times New Roman" w:eastAsia="Times New Roman" w:hint="default"/>
                            <w:sz w:val="18"/>
                            <w:szCs w:val="18"/>
                          </w:rPr>
                        </w:pPr>
                        <w:r>
                          <w:rPr>
                            <w:rFonts w:ascii="Times New Roman"/>
                            <w:sz w:val="18"/>
                          </w:rPr>
                          <w:t>22</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1"/>
                          <w:jc w:val="left"/>
                          <w:rPr>
                            <w:rFonts w:ascii="宋体" w:hAnsi="宋体" w:cs="宋体" w:eastAsia="宋体" w:hint="default"/>
                            <w:sz w:val="18"/>
                            <w:szCs w:val="18"/>
                          </w:rPr>
                        </w:pPr>
                        <w:r>
                          <w:rPr>
                            <w:rFonts w:ascii="宋体" w:hAnsi="宋体" w:cs="宋体" w:eastAsia="宋体" w:hint="default"/>
                            <w:sz w:val="18"/>
                            <w:szCs w:val="18"/>
                          </w:rPr>
                          <w:t>基于水环境改善的 河</w:t>
                        </w:r>
                        <w:r>
                          <w:rPr>
                            <w:rFonts w:ascii="Times New Roman" w:hAnsi="Times New Roman" w:cs="Times New Roman" w:eastAsia="Times New Roman" w:hint="default"/>
                            <w:sz w:val="18"/>
                            <w:szCs w:val="18"/>
                          </w:rPr>
                          <w:t>(</w:t>
                        </w:r>
                        <w:r>
                          <w:rPr>
                            <w:rFonts w:ascii="宋体" w:hAnsi="宋体" w:cs="宋体" w:eastAsia="宋体" w:hint="default"/>
                            <w:sz w:val="18"/>
                            <w:szCs w:val="18"/>
                          </w:rPr>
                          <w:t>湖</w:t>
                        </w:r>
                        <w:r>
                          <w:rPr>
                            <w:rFonts w:ascii="Times New Roman" w:hAnsi="Times New Roman" w:cs="Times New Roman" w:eastAsia="Times New Roman" w:hint="default"/>
                            <w:sz w:val="18"/>
                            <w:szCs w:val="18"/>
                          </w:rPr>
                          <w:t>)</w:t>
                        </w:r>
                        <w:r>
                          <w:rPr>
                            <w:rFonts w:ascii="宋体" w:hAnsi="宋体" w:cs="宋体" w:eastAsia="宋体" w:hint="default"/>
                            <w:sz w:val="18"/>
                            <w:szCs w:val="18"/>
                          </w:rPr>
                          <w:t>长制管理及决 策指挥系统</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3"/>
                            <w:sz w:val="18"/>
                            <w:szCs w:val="18"/>
                          </w:rPr>
                          <w:t>适用于省、市、县、乡（镇）各地</w:t>
                        </w:r>
                        <w:r>
                          <w:rPr>
                            <w:rFonts w:ascii="宋体" w:hAnsi="宋体" w:cs="宋体" w:eastAsia="宋体" w:hint="default"/>
                            <w:sz w:val="18"/>
                            <w:szCs w:val="18"/>
                          </w:rPr>
                          <w:t> 地方政府水监测监管领域</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研制阶段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国家对各地水质监测的精准性越来越高 </w:t>
                        </w:r>
                        <w:r>
                          <w:rPr>
                            <w:rFonts w:ascii="宋体" w:hAnsi="宋体" w:cs="宋体" w:eastAsia="宋体" w:hint="default"/>
                            <w:spacing w:val="-4"/>
                            <w:sz w:val="18"/>
                            <w:szCs w:val="18"/>
                          </w:rPr>
                          <w:t>根据区域水质污染情况，以水质总体改善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为目标。各地政府和环保局要求对环境精</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细化管理提供支撑，需要</w:t>
                        </w:r>
                        <w:r>
                          <w:rPr>
                            <w:rFonts w:ascii="Times New Roman" w:hAnsi="Times New Roman" w:cs="Times New Roman" w:eastAsia="Times New Roman" w:hint="default"/>
                            <w:sz w:val="18"/>
                            <w:szCs w:val="18"/>
                          </w:rPr>
                          <w:t>“</w:t>
                        </w:r>
                        <w:r>
                          <w:rPr>
                            <w:rFonts w:ascii="宋体" w:hAnsi="宋体" w:cs="宋体" w:eastAsia="宋体" w:hint="default"/>
                            <w:sz w:val="18"/>
                            <w:szCs w:val="18"/>
                          </w:rPr>
                          <w:t>测、管、治、</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评、预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五位一体，有效控制区域内污染 </w:t>
                        </w:r>
                        <w:r>
                          <w:rPr>
                            <w:rFonts w:ascii="宋体" w:hAnsi="宋体" w:cs="宋体" w:eastAsia="宋体" w:hint="default"/>
                            <w:sz w:val="18"/>
                            <w:szCs w:val="18"/>
                          </w:rPr>
                          <w:t>排放总量，实现</w:t>
                        </w:r>
                        <w:r>
                          <w:rPr>
                            <w:rFonts w:ascii="Times New Roman" w:hAnsi="Times New Roman" w:cs="Times New Roman" w:eastAsia="Times New Roman" w:hint="default"/>
                            <w:sz w:val="18"/>
                            <w:szCs w:val="18"/>
                          </w:rPr>
                          <w:t>“</w:t>
                        </w:r>
                        <w:r>
                          <w:rPr>
                            <w:rFonts w:ascii="宋体" w:hAnsi="宋体" w:cs="宋体" w:eastAsia="宋体" w:hint="default"/>
                            <w:sz w:val="18"/>
                            <w:szCs w:val="18"/>
                          </w:rPr>
                          <w:t>定向管控、限时治理、</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及时见效</w:t>
                        </w:r>
                        <w:r>
                          <w:rPr>
                            <w:rFonts w:ascii="Times New Roman" w:hAnsi="Times New Roman" w:cs="Times New Roman" w:eastAsia="Times New Roman" w:hint="default"/>
                            <w:sz w:val="18"/>
                            <w:szCs w:val="18"/>
                          </w:rPr>
                          <w:t>”</w:t>
                        </w:r>
                        <w:r>
                          <w:rPr>
                            <w:rFonts w:ascii="宋体" w:hAnsi="宋体" w:cs="宋体" w:eastAsia="宋体" w:hint="default"/>
                            <w:sz w:val="18"/>
                            <w:szCs w:val="18"/>
                          </w:rPr>
                          <w:t>。网格化监测就能对这些需求</w:t>
                        </w:r>
                        <w:r>
                          <w:rPr>
                            <w:rFonts w:ascii="宋体" w:hAnsi="宋体" w:cs="宋体" w:eastAsia="宋体" w:hint="default"/>
                            <w:spacing w:val="-55"/>
                            <w:sz w:val="18"/>
                            <w:szCs w:val="18"/>
                          </w:rPr>
                          <w:t> </w:t>
                        </w:r>
                        <w:r>
                          <w:rPr>
                            <w:rFonts w:ascii="宋体" w:hAnsi="宋体" w:cs="宋体" w:eastAsia="宋体" w:hint="default"/>
                            <w:spacing w:val="-4"/>
                            <w:sz w:val="18"/>
                            <w:szCs w:val="18"/>
                          </w:rPr>
                          <w:t>进行很好的解决，目前很有必要进行该项</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目的研发</w:t>
                        </w:r>
                      </w:p>
                    </w:tc>
                    <w:tc>
                      <w:tcPr>
                        <w:tcW w:w="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3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8"/>
                            <w:sz w:val="18"/>
                            <w:szCs w:val="18"/>
                          </w:rPr>
                          <w:t> </w:t>
                        </w:r>
                        <w:r>
                          <w:rPr>
                            <w:rFonts w:ascii="宋体" w:hAnsi="宋体" w:cs="宋体" w:eastAsia="宋体" w:hint="default"/>
                            <w:sz w:val="18"/>
                            <w:szCs w:val="18"/>
                          </w:rPr>
                          <w:t>合同项目</w:t>
                        </w:r>
                      </w:p>
                    </w:tc>
                  </w:tr>
                  <w:tr>
                    <w:trPr>
                      <w:trHeight w:val="1595"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23</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14"/>
                            <w:sz w:val="18"/>
                            <w:szCs w:val="18"/>
                          </w:rPr>
                          <w:t>水环境运维质控管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理平台</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9"/>
                            <w:sz w:val="18"/>
                            <w:szCs w:val="18"/>
                          </w:rPr>
                          <w:t>水环境运维质控管理平台主要运</w:t>
                        </w:r>
                        <w:r>
                          <w:rPr>
                            <w:rFonts w:ascii="宋体" w:hAnsi="宋体" w:cs="宋体" w:eastAsia="宋体" w:hint="default"/>
                            <w:sz w:val="18"/>
                            <w:szCs w:val="18"/>
                          </w:rPr>
                          <w:t> 用于售后的水运维</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研制阶段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0"/>
                          <w:jc w:val="both"/>
                          <w:rPr>
                            <w:rFonts w:ascii="宋体" w:hAnsi="宋体" w:cs="宋体" w:eastAsia="宋体" w:hint="default"/>
                            <w:sz w:val="18"/>
                            <w:szCs w:val="18"/>
                          </w:rPr>
                        </w:pPr>
                        <w:r>
                          <w:rPr>
                            <w:rFonts w:ascii="宋体" w:hAnsi="宋体" w:cs="宋体" w:eastAsia="宋体" w:hint="default"/>
                            <w:spacing w:val="6"/>
                            <w:sz w:val="18"/>
                            <w:szCs w:val="18"/>
                          </w:rPr>
                          <w:t>水环境运维质控管理平台能够在极短的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时间内发现水站站点运行是否正常、同时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sz w:val="18"/>
                            <w:szCs w:val="18"/>
                          </w:rPr>
                          <w:t>能够实时监控现场运营人员的任务执行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情况、并且能够对实时运营数据的查询和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分析</w:t>
                        </w:r>
                      </w:p>
                    </w:tc>
                    <w:tc>
                      <w:tcPr>
                        <w:tcW w:w="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4" w:right="0"/>
                          <w:jc w:val="left"/>
                          <w:rPr>
                            <w:rFonts w:ascii="宋体" w:hAnsi="宋体" w:cs="宋体" w:eastAsia="宋体" w:hint="default"/>
                            <w:sz w:val="18"/>
                            <w:szCs w:val="18"/>
                          </w:rPr>
                        </w:pPr>
                        <w:r>
                          <w:rPr>
                            <w:rFonts w:ascii="宋体" w:hAnsi="宋体" w:cs="宋体" w:eastAsia="宋体" w:hint="default"/>
                            <w:sz w:val="18"/>
                            <w:szCs w:val="18"/>
                          </w:rPr>
                          <w:t>合同项目</w:t>
                        </w:r>
                      </w:p>
                    </w:tc>
                  </w:tr>
                  <w:tr>
                    <w:trPr>
                      <w:trHeight w:val="972"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24</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14"/>
                            <w:sz w:val="18"/>
                            <w:szCs w:val="18"/>
                          </w:rPr>
                          <w:t>源清单动态管理系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统</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both"/>
                          <w:rPr>
                            <w:rFonts w:ascii="宋体" w:hAnsi="宋体" w:cs="宋体" w:eastAsia="宋体" w:hint="default"/>
                            <w:sz w:val="18"/>
                            <w:szCs w:val="18"/>
                          </w:rPr>
                        </w:pPr>
                        <w:r>
                          <w:rPr>
                            <w:rFonts w:ascii="宋体" w:hAnsi="宋体" w:cs="宋体" w:eastAsia="宋体" w:hint="default"/>
                            <w:spacing w:val="9"/>
                            <w:sz w:val="18"/>
                            <w:szCs w:val="18"/>
                          </w:rPr>
                          <w:t>对区域内各类污染来源进行更严</w:t>
                        </w:r>
                        <w:r>
                          <w:rPr>
                            <w:rFonts w:ascii="宋体" w:hAnsi="宋体" w:cs="宋体" w:eastAsia="宋体" w:hint="default"/>
                            <w:sz w:val="18"/>
                            <w:szCs w:val="18"/>
                          </w:rPr>
                          <w:t> </w:t>
                        </w:r>
                        <w:r>
                          <w:rPr>
                            <w:rFonts w:ascii="宋体" w:hAnsi="宋体" w:cs="宋体" w:eastAsia="宋体" w:hint="default"/>
                            <w:spacing w:val="9"/>
                            <w:sz w:val="18"/>
                            <w:szCs w:val="18"/>
                          </w:rPr>
                          <w:t>格的管控，对环境实施精细化管</w:t>
                        </w:r>
                        <w:r>
                          <w:rPr>
                            <w:rFonts w:ascii="宋体" w:hAnsi="宋体" w:cs="宋体" w:eastAsia="宋体" w:hint="default"/>
                            <w:sz w:val="18"/>
                            <w:szCs w:val="18"/>
                          </w:rPr>
                          <w:t> 理。</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研制阶段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6"/>
                            <w:sz w:val="18"/>
                            <w:szCs w:val="18"/>
                          </w:rPr>
                          <w:t>污染源排放清单管理及动态更新系统将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sz w:val="18"/>
                            <w:szCs w:val="18"/>
                          </w:rPr>
                          <w:t>大气污染源清单调查工作获得的资料整</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合进后台的源排放清单数据库中，通过人</w:t>
                        </w:r>
                      </w:p>
                    </w:tc>
                    <w:tc>
                      <w:tcPr>
                        <w:tcW w:w="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4" w:right="0"/>
                          <w:jc w:val="left"/>
                          <w:rPr>
                            <w:rFonts w:ascii="宋体" w:hAnsi="宋体" w:cs="宋体" w:eastAsia="宋体" w:hint="default"/>
                            <w:sz w:val="18"/>
                            <w:szCs w:val="18"/>
                          </w:rPr>
                        </w:pPr>
                        <w:r>
                          <w:rPr>
                            <w:rFonts w:ascii="宋体" w:hAnsi="宋体" w:cs="宋体" w:eastAsia="宋体" w:hint="default"/>
                            <w:sz w:val="18"/>
                            <w:szCs w:val="18"/>
                          </w:rPr>
                          <w:t>合同项目</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2"/>
          <w:szCs w:val="22"/>
        </w:rPr>
      </w:pPr>
    </w:p>
    <w:p>
      <w:pPr>
        <w:pStyle w:val="BodyText"/>
        <w:spacing w:line="240" w:lineRule="auto" w:before="44"/>
        <w:ind w:left="0" w:right="1808"/>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96"/>
        <w:gridCol w:w="1583"/>
        <w:gridCol w:w="2678"/>
        <w:gridCol w:w="924"/>
        <w:gridCol w:w="3202"/>
        <w:gridCol w:w="884"/>
      </w:tblGrid>
      <w:tr>
        <w:trPr>
          <w:trHeight w:val="1907" w:hRule="exact"/>
        </w:trPr>
        <w:tc>
          <w:tcPr>
            <w:tcW w:w="496"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2678"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3" w:right="-1"/>
              <w:jc w:val="left"/>
              <w:rPr>
                <w:rFonts w:ascii="宋体" w:hAnsi="宋体" w:cs="宋体" w:eastAsia="宋体" w:hint="default"/>
                <w:sz w:val="18"/>
                <w:szCs w:val="18"/>
              </w:rPr>
            </w:pPr>
            <w:r>
              <w:rPr>
                <w:rFonts w:ascii="宋体" w:hAnsi="宋体" w:cs="宋体" w:eastAsia="宋体" w:hint="default"/>
                <w:sz w:val="18"/>
                <w:szCs w:val="18"/>
              </w:rPr>
              <w:t>性化的软件界面对源排放清单进行查询 统计和动态更新，形成</w:t>
            </w:r>
            <w:r>
              <w:rPr>
                <w:rFonts w:ascii="Times New Roman" w:hAnsi="Times New Roman" w:cs="Times New Roman" w:eastAsia="Times New Roman" w:hint="default"/>
                <w:sz w:val="18"/>
                <w:szCs w:val="18"/>
              </w:rPr>
              <w:t>“</w:t>
            </w:r>
            <w:r>
              <w:rPr>
                <w:rFonts w:ascii="宋体" w:hAnsi="宋体" w:cs="宋体" w:eastAsia="宋体" w:hint="default"/>
                <w:sz w:val="18"/>
                <w:szCs w:val="18"/>
              </w:rPr>
              <w:t>时间</w:t>
            </w:r>
            <w:r>
              <w:rPr>
                <w:rFonts w:ascii="Times New Roman" w:hAnsi="Times New Roman" w:cs="Times New Roman" w:eastAsia="Times New Roman" w:hint="default"/>
                <w:sz w:val="18"/>
                <w:szCs w:val="18"/>
              </w:rPr>
              <w:t>+</w:t>
            </w:r>
            <w:r>
              <w:rPr>
                <w:rFonts w:ascii="宋体" w:hAnsi="宋体" w:cs="宋体" w:eastAsia="宋体" w:hint="default"/>
                <w:sz w:val="18"/>
                <w:szCs w:val="18"/>
              </w:rPr>
              <w:t>空间</w:t>
            </w:r>
            <w:r>
              <w:rPr>
                <w:rFonts w:ascii="Times New Roman" w:hAnsi="Times New Roman" w:cs="Times New Roman" w:eastAsia="Times New Roman" w:hint="default"/>
                <w:sz w:val="18"/>
                <w:szCs w:val="18"/>
              </w:rPr>
              <w:t>”</w:t>
            </w:r>
            <w:r>
              <w:rPr>
                <w:rFonts w:ascii="宋体" w:hAnsi="宋体" w:cs="宋体" w:eastAsia="宋体" w:hint="default"/>
                <w:sz w:val="18"/>
                <w:szCs w:val="18"/>
              </w:rPr>
              <w:t>四维</w:t>
            </w:r>
            <w:r>
              <w:rPr>
                <w:rFonts w:ascii="宋体" w:hAnsi="宋体" w:cs="宋体" w:eastAsia="宋体" w:hint="default"/>
                <w:spacing w:val="-55"/>
                <w:sz w:val="18"/>
                <w:szCs w:val="18"/>
              </w:rPr>
              <w:t> </w:t>
            </w:r>
            <w:r>
              <w:rPr>
                <w:rFonts w:ascii="宋体" w:hAnsi="宋体" w:cs="宋体" w:eastAsia="宋体" w:hint="default"/>
                <w:spacing w:val="-4"/>
                <w:sz w:val="18"/>
                <w:szCs w:val="18"/>
              </w:rPr>
              <w:t>的大气污染源排放清单数据，可以在系统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中精确反映每天，每个时段（例如早晚高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峰时机动车排放的动态变化等）污染源排</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放变化的情况</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3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97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14"/>
                <w:sz w:val="18"/>
                <w:szCs w:val="18"/>
              </w:rPr>
              <w:t>投入式水质分析仪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产品开发</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8"/>
              <w:jc w:val="both"/>
              <w:rPr>
                <w:rFonts w:ascii="宋体" w:hAnsi="宋体" w:cs="宋体" w:eastAsia="宋体" w:hint="default"/>
                <w:sz w:val="18"/>
                <w:szCs w:val="18"/>
              </w:rPr>
            </w:pPr>
            <w:r>
              <w:rPr>
                <w:rFonts w:ascii="宋体" w:hAnsi="宋体" w:cs="宋体" w:eastAsia="宋体" w:hint="default"/>
                <w:spacing w:val="-2"/>
                <w:sz w:val="18"/>
                <w:szCs w:val="18"/>
              </w:rPr>
              <w:t>应用集成、模块化思路，微功耗，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高计量精度，微量试剂消耗，体积</w:t>
            </w:r>
            <w:r>
              <w:rPr>
                <w:rFonts w:ascii="宋体" w:hAnsi="宋体" w:cs="宋体" w:eastAsia="宋体" w:hint="default"/>
                <w:sz w:val="18"/>
                <w:szCs w:val="18"/>
              </w:rPr>
              <w:t> </w:t>
            </w:r>
            <w:r>
              <w:rPr>
                <w:rFonts w:ascii="宋体" w:hAnsi="宋体" w:cs="宋体" w:eastAsia="宋体" w:hint="default"/>
                <w:spacing w:val="-3"/>
                <w:sz w:val="18"/>
                <w:szCs w:val="18"/>
              </w:rPr>
              <w:t>小布局紧凑，能直接投放待测水体</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7"/>
              <w:jc w:val="left"/>
              <w:rPr>
                <w:rFonts w:ascii="宋体" w:hAnsi="宋体" w:cs="宋体" w:eastAsia="宋体" w:hint="default"/>
                <w:sz w:val="18"/>
                <w:szCs w:val="18"/>
              </w:rPr>
            </w:pPr>
            <w:r>
              <w:rPr>
                <w:rFonts w:ascii="宋体" w:hAnsi="宋体" w:cs="宋体" w:eastAsia="宋体" w:hint="default"/>
                <w:spacing w:val="-3"/>
                <w:sz w:val="18"/>
                <w:szCs w:val="18"/>
              </w:rPr>
              <w:t>基于顺序注射平台的比色法投入式总磷、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氨氮自动分析仪样机开发及中试生产。</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26</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14"/>
                <w:sz w:val="18"/>
                <w:szCs w:val="18"/>
              </w:rPr>
              <w:t>小型化水质监测仪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器开发及中试</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可实现常规五参数、氨氮、高锰酸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盐、总磷、总氮等参数的自动监测</w:t>
            </w:r>
            <w:r>
              <w:rPr>
                <w:rFonts w:ascii="宋体" w:hAnsi="宋体" w:cs="宋体" w:eastAsia="宋体" w:hint="default"/>
                <w:sz w:val="18"/>
                <w:szCs w:val="18"/>
              </w:rPr>
              <w:t> </w:t>
            </w:r>
            <w:r>
              <w:rPr>
                <w:rFonts w:ascii="宋体" w:hAnsi="宋体" w:cs="宋体" w:eastAsia="宋体" w:hint="default"/>
                <w:spacing w:val="9"/>
                <w:sz w:val="18"/>
                <w:szCs w:val="18"/>
              </w:rPr>
              <w:t>以及配套的采配水和数据传输等</w:t>
            </w:r>
            <w:r>
              <w:rPr>
                <w:rFonts w:ascii="宋体" w:hAnsi="宋体" w:cs="宋体" w:eastAsia="宋体" w:hint="default"/>
                <w:sz w:val="18"/>
                <w:szCs w:val="18"/>
              </w:rPr>
              <w:t> 功能。</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批量生产</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6"/>
                <w:sz w:val="18"/>
                <w:szCs w:val="18"/>
              </w:rPr>
              <w:t>基于现有柜式自动监测仪的原理研发及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中试生产适用于岸边、野外的小型化水质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自动监测站。</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1284"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27</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14"/>
                <w:sz w:val="18"/>
                <w:szCs w:val="18"/>
              </w:rPr>
              <w:t>固定式水质监测仪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器开发及中试</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可实现常规五参数、氨氮、高锰酸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盐、总磷、总氮等参数的自动监测</w:t>
            </w:r>
            <w:r>
              <w:rPr>
                <w:rFonts w:ascii="宋体" w:hAnsi="宋体" w:cs="宋体" w:eastAsia="宋体" w:hint="default"/>
                <w:sz w:val="18"/>
                <w:szCs w:val="18"/>
              </w:rPr>
              <w:t> </w:t>
            </w:r>
            <w:r>
              <w:rPr>
                <w:rFonts w:ascii="宋体" w:hAnsi="宋体" w:cs="宋体" w:eastAsia="宋体" w:hint="default"/>
                <w:spacing w:val="9"/>
                <w:sz w:val="18"/>
                <w:szCs w:val="18"/>
              </w:rPr>
              <w:t>以及配套的采配水和数据传输等</w:t>
            </w:r>
            <w:r>
              <w:rPr>
                <w:rFonts w:ascii="宋体" w:hAnsi="宋体" w:cs="宋体" w:eastAsia="宋体" w:hint="default"/>
                <w:sz w:val="18"/>
                <w:szCs w:val="18"/>
              </w:rPr>
              <w:t> 功能。</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批量生产</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6"/>
                <w:sz w:val="18"/>
                <w:szCs w:val="18"/>
              </w:rPr>
              <w:t>基于现有柜式自动监测仪的原理研发及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中试生产，研制小型固定式水质自动监测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站。</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659"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28</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1"/>
              <w:jc w:val="left"/>
              <w:rPr>
                <w:rFonts w:ascii="宋体" w:hAnsi="宋体" w:cs="宋体" w:eastAsia="宋体" w:hint="default"/>
                <w:sz w:val="18"/>
                <w:szCs w:val="18"/>
              </w:rPr>
            </w:pPr>
            <w:r>
              <w:rPr>
                <w:rFonts w:ascii="宋体" w:hAnsi="宋体" w:cs="宋体" w:eastAsia="宋体" w:hint="default"/>
                <w:spacing w:val="14"/>
                <w:sz w:val="18"/>
                <w:szCs w:val="18"/>
              </w:rPr>
              <w:t>施工场地扬尘在线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监测设备</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left"/>
              <w:rPr>
                <w:rFonts w:ascii="宋体" w:hAnsi="宋体" w:cs="宋体" w:eastAsia="宋体" w:hint="default"/>
                <w:sz w:val="18"/>
                <w:szCs w:val="18"/>
              </w:rPr>
            </w:pPr>
            <w:r>
              <w:rPr>
                <w:rFonts w:ascii="宋体" w:hAnsi="宋体" w:cs="宋体" w:eastAsia="宋体" w:hint="default"/>
                <w:spacing w:val="9"/>
                <w:sz w:val="18"/>
                <w:szCs w:val="18"/>
              </w:rPr>
              <w:t>用于监测施工扬尘中颗粒物排放</w:t>
            </w:r>
            <w:r>
              <w:rPr>
                <w:rFonts w:ascii="宋体" w:hAnsi="宋体" w:cs="宋体" w:eastAsia="宋体" w:hint="default"/>
                <w:sz w:val="18"/>
                <w:szCs w:val="18"/>
              </w:rPr>
              <w:t> 浓度</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扬尘在线监测系统的开发及中试。</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659"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29</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32"/>
              <w:jc w:val="left"/>
              <w:rPr>
                <w:rFonts w:ascii="宋体" w:hAnsi="宋体" w:cs="宋体" w:eastAsia="宋体" w:hint="default"/>
                <w:sz w:val="18"/>
                <w:szCs w:val="18"/>
              </w:rPr>
            </w:pPr>
            <w:r>
              <w:rPr>
                <w:rFonts w:ascii="宋体" w:hAnsi="宋体" w:cs="宋体" w:eastAsia="宋体" w:hint="default"/>
                <w:spacing w:val="22"/>
                <w:sz w:val="18"/>
                <w:szCs w:val="18"/>
              </w:rPr>
              <w:t>便携式</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PM2.5</w:t>
            </w:r>
            <w:r>
              <w:rPr>
                <w:rFonts w:ascii="Times New Roman" w:hAnsi="Times New Roman" w:cs="Times New Roman" w:eastAsia="Times New Roman" w:hint="default"/>
                <w:spacing w:val="-9"/>
                <w:sz w:val="18"/>
                <w:szCs w:val="18"/>
              </w:rPr>
              <w:t> </w:t>
            </w:r>
            <w:r>
              <w:rPr>
                <w:rFonts w:ascii="宋体" w:hAnsi="宋体" w:cs="宋体" w:eastAsia="宋体" w:hint="default"/>
                <w:spacing w:val="17"/>
                <w:sz w:val="18"/>
                <w:szCs w:val="18"/>
              </w:rPr>
              <w:t>颗粒</w:t>
            </w:r>
            <w:r>
              <w:rPr>
                <w:rFonts w:ascii="宋体" w:hAnsi="宋体" w:cs="宋体" w:eastAsia="宋体" w:hint="default"/>
                <w:spacing w:val="-56"/>
                <w:sz w:val="18"/>
                <w:szCs w:val="18"/>
              </w:rPr>
              <w:t> </w:t>
            </w:r>
            <w:r>
              <w:rPr>
                <w:rFonts w:ascii="宋体" w:hAnsi="宋体" w:cs="宋体" w:eastAsia="宋体" w:hint="default"/>
                <w:sz w:val="18"/>
                <w:szCs w:val="18"/>
              </w:rPr>
              <w:t>物检测仪</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23"/>
              <w:jc w:val="left"/>
              <w:rPr>
                <w:rFonts w:ascii="宋体" w:hAnsi="宋体" w:cs="宋体" w:eastAsia="宋体" w:hint="default"/>
                <w:sz w:val="18"/>
                <w:szCs w:val="18"/>
              </w:rPr>
            </w:pPr>
            <w:r>
              <w:rPr>
                <w:rFonts w:ascii="宋体" w:hAnsi="宋体" w:cs="宋体" w:eastAsia="宋体" w:hint="default"/>
                <w:spacing w:val="24"/>
                <w:sz w:val="18"/>
                <w:szCs w:val="18"/>
              </w:rPr>
              <w:t>用于快速检测空气中细颗粒物</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PM2.5</w:t>
            </w:r>
            <w:r>
              <w:rPr>
                <w:rFonts w:ascii="宋体" w:hAnsi="宋体" w:cs="宋体" w:eastAsia="宋体" w:hint="default"/>
                <w:sz w:val="18"/>
                <w:szCs w:val="18"/>
              </w:rPr>
              <w:t>）含量</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便携式颗粒物检测仪的开发及中试。</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1595"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1"/>
              <w:jc w:val="both"/>
              <w:rPr>
                <w:rFonts w:ascii="宋体" w:hAnsi="宋体" w:cs="宋体" w:eastAsia="宋体" w:hint="default"/>
                <w:sz w:val="18"/>
                <w:szCs w:val="18"/>
              </w:rPr>
            </w:pPr>
            <w:r>
              <w:rPr>
                <w:rFonts w:ascii="宋体" w:hAnsi="宋体" w:cs="宋体" w:eastAsia="宋体" w:hint="default"/>
                <w:spacing w:val="17"/>
                <w:sz w:val="18"/>
                <w:szCs w:val="18"/>
              </w:rPr>
              <w:t>基于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PM2.5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成</w:t>
            </w:r>
            <w:r>
              <w:rPr>
                <w:rFonts w:ascii="宋体" w:hAnsi="宋体" w:cs="宋体" w:eastAsia="宋体" w:hint="default"/>
                <w:spacing w:val="-56"/>
                <w:sz w:val="18"/>
                <w:szCs w:val="18"/>
              </w:rPr>
              <w:t> </w:t>
            </w:r>
            <w:r>
              <w:rPr>
                <w:rFonts w:ascii="宋体" w:hAnsi="宋体" w:cs="宋体" w:eastAsia="宋体" w:hint="default"/>
                <w:sz w:val="18"/>
                <w:szCs w:val="18"/>
              </w:rPr>
              <w:t>分</w:t>
            </w:r>
            <w:r>
              <w:rPr>
                <w:rFonts w:ascii="宋体" w:hAnsi="宋体" w:cs="宋体" w:eastAsia="宋体" w:hint="default"/>
                <w:spacing w:val="-57"/>
                <w:sz w:val="18"/>
                <w:szCs w:val="18"/>
              </w:rPr>
              <w:t> </w:t>
            </w:r>
            <w:r>
              <w:rPr>
                <w:rFonts w:ascii="宋体" w:hAnsi="宋体" w:cs="宋体" w:eastAsia="宋体" w:hint="default"/>
                <w:sz w:val="18"/>
                <w:szCs w:val="18"/>
              </w:rPr>
              <w:t>在</w:t>
            </w:r>
            <w:r>
              <w:rPr>
                <w:rFonts w:ascii="宋体" w:hAnsi="宋体" w:cs="宋体" w:eastAsia="宋体" w:hint="default"/>
                <w:w w:val="99"/>
                <w:sz w:val="18"/>
                <w:szCs w:val="18"/>
              </w:rPr>
              <w:t> </w:t>
            </w:r>
            <w:r>
              <w:rPr>
                <w:rFonts w:ascii="宋体" w:hAnsi="宋体" w:cs="宋体" w:eastAsia="宋体" w:hint="default"/>
                <w:spacing w:val="14"/>
                <w:sz w:val="18"/>
                <w:szCs w:val="18"/>
              </w:rPr>
              <w:t>线分析的快速源解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析系统</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pacing w:val="-3"/>
                <w:sz w:val="18"/>
                <w:szCs w:val="18"/>
              </w:rPr>
              <w:t>实现在线源解析、源谱库管理、受</w:t>
            </w:r>
            <w:r>
              <w:rPr>
                <w:rFonts w:ascii="宋体" w:hAnsi="宋体" w:cs="宋体" w:eastAsia="宋体" w:hint="default"/>
                <w:sz w:val="18"/>
                <w:szCs w:val="18"/>
              </w:rPr>
              <w:t> </w:t>
            </w:r>
            <w:r>
              <w:rPr>
                <w:rFonts w:ascii="宋体" w:hAnsi="宋体" w:cs="宋体" w:eastAsia="宋体" w:hint="default"/>
                <w:spacing w:val="9"/>
                <w:sz w:val="18"/>
                <w:szCs w:val="18"/>
              </w:rPr>
              <w:t>体模型污染源解析并自动生成源</w:t>
            </w:r>
            <w:r>
              <w:rPr>
                <w:rFonts w:ascii="宋体" w:hAnsi="宋体" w:cs="宋体" w:eastAsia="宋体" w:hint="default"/>
                <w:sz w:val="18"/>
                <w:szCs w:val="18"/>
              </w:rPr>
              <w:t> </w:t>
            </w:r>
            <w:r>
              <w:rPr>
                <w:rFonts w:ascii="宋体" w:hAnsi="宋体" w:cs="宋体" w:eastAsia="宋体" w:hint="default"/>
                <w:spacing w:val="-3"/>
                <w:sz w:val="18"/>
                <w:szCs w:val="18"/>
              </w:rPr>
              <w:t>解析报告等功能，在突发重污染事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件下能够自动识别污染来源，实现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应急指挥。</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z w:val="18"/>
                <w:szCs w:val="18"/>
              </w:rPr>
              <w:t>产业化示范</w:t>
            </w:r>
            <w:r>
              <w:rPr>
                <w:rFonts w:ascii="宋体" w:hAnsi="宋体" w:cs="宋体" w:eastAsia="宋体" w:hint="default"/>
                <w:spacing w:val="-85"/>
                <w:sz w:val="18"/>
                <w:szCs w:val="18"/>
              </w:rPr>
              <w:t> </w:t>
            </w:r>
            <w:r>
              <w:rPr>
                <w:rFonts w:ascii="宋体" w:hAnsi="宋体" w:cs="宋体" w:eastAsia="宋体" w:hint="default"/>
                <w:sz w:val="18"/>
                <w:szCs w:val="18"/>
              </w:rPr>
              <w:t>运行阶段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0"/>
              <w:jc w:val="both"/>
              <w:rPr>
                <w:rFonts w:ascii="宋体" w:hAnsi="宋体" w:cs="宋体" w:eastAsia="宋体" w:hint="default"/>
                <w:sz w:val="18"/>
                <w:szCs w:val="18"/>
              </w:rPr>
            </w:pPr>
            <w:r>
              <w:rPr>
                <w:rFonts w:ascii="宋体" w:hAnsi="宋体" w:cs="宋体" w:eastAsia="宋体" w:hint="default"/>
                <w:spacing w:val="8"/>
                <w:sz w:val="18"/>
                <w:szCs w:val="18"/>
              </w:rPr>
              <w:t>完成基于</w:t>
            </w:r>
            <w:r>
              <w:rPr>
                <w:rFonts w:ascii="Times New Roman" w:hAnsi="Times New Roman" w:cs="Times New Roman" w:eastAsia="Times New Roman" w:hint="default"/>
                <w:spacing w:val="8"/>
                <w:sz w:val="18"/>
                <w:szCs w:val="18"/>
              </w:rPr>
              <w:t>PM2.5</w:t>
            </w:r>
            <w:r>
              <w:rPr>
                <w:rFonts w:ascii="宋体" w:hAnsi="宋体" w:cs="宋体" w:eastAsia="宋体" w:hint="default"/>
                <w:spacing w:val="8"/>
                <w:sz w:val="18"/>
                <w:szCs w:val="18"/>
              </w:rPr>
              <w:t>成分在线分析的快速源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解析系统开发，并在武汉市环境监测站试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点运行。</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1595"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14"/>
                <w:sz w:val="18"/>
                <w:szCs w:val="18"/>
              </w:rPr>
              <w:t>网格化大气监测系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统</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0"/>
              <w:jc w:val="both"/>
              <w:rPr>
                <w:rFonts w:ascii="宋体" w:hAnsi="宋体" w:cs="宋体" w:eastAsia="宋体" w:hint="default"/>
                <w:sz w:val="18"/>
                <w:szCs w:val="18"/>
              </w:rPr>
            </w:pPr>
            <w:r>
              <w:rPr>
                <w:rFonts w:ascii="宋体" w:hAnsi="宋体" w:cs="宋体" w:eastAsia="宋体" w:hint="default"/>
                <w:spacing w:val="-3"/>
                <w:sz w:val="18"/>
                <w:szCs w:val="18"/>
              </w:rPr>
              <w:t>以颗粒物传感器、气体传感器为重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点，实现可密集布点、成本低廉、 </w:t>
            </w:r>
            <w:r>
              <w:rPr>
                <w:rFonts w:ascii="宋体" w:hAnsi="宋体" w:cs="宋体" w:eastAsia="宋体" w:hint="default"/>
                <w:spacing w:val="9"/>
                <w:sz w:val="18"/>
                <w:szCs w:val="18"/>
              </w:rPr>
              <w:t>数据可靠的大气监测系统及网络</w:t>
            </w:r>
            <w:r>
              <w:rPr>
                <w:rFonts w:ascii="宋体" w:hAnsi="宋体" w:cs="宋体" w:eastAsia="宋体" w:hint="default"/>
                <w:sz w:val="18"/>
                <w:szCs w:val="18"/>
              </w:rPr>
              <w:t> 管理平台。</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1"/>
              <w:ind w:left="3" w:right="-4"/>
              <w:jc w:val="both"/>
              <w:rPr>
                <w:rFonts w:ascii="宋体" w:hAnsi="宋体" w:cs="宋体" w:eastAsia="宋体" w:hint="default"/>
                <w:sz w:val="18"/>
                <w:szCs w:val="18"/>
              </w:rPr>
            </w:pPr>
            <w:r>
              <w:rPr>
                <w:rFonts w:ascii="宋体" w:hAnsi="宋体" w:cs="宋体" w:eastAsia="宋体" w:hint="default"/>
                <w:sz w:val="18"/>
                <w:szCs w:val="18"/>
              </w:rPr>
              <w:t>升</w:t>
            </w:r>
            <w:r>
              <w:rPr>
                <w:rFonts w:ascii="宋体" w:hAnsi="宋体" w:cs="宋体" w:eastAsia="宋体" w:hint="default"/>
                <w:spacing w:val="-65"/>
                <w:sz w:val="18"/>
                <w:szCs w:val="18"/>
              </w:rPr>
              <w:t> </w:t>
            </w:r>
            <w:r>
              <w:rPr>
                <w:rFonts w:ascii="宋体" w:hAnsi="宋体" w:cs="宋体" w:eastAsia="宋体" w:hint="default"/>
                <w:sz w:val="18"/>
                <w:szCs w:val="18"/>
              </w:rPr>
              <w:t>级</w:t>
            </w:r>
            <w:r>
              <w:rPr>
                <w:rFonts w:ascii="宋体" w:hAnsi="宋体" w:cs="宋体" w:eastAsia="宋体" w:hint="default"/>
                <w:spacing w:val="-65"/>
                <w:sz w:val="18"/>
                <w:szCs w:val="18"/>
              </w:rPr>
              <w:t> </w:t>
            </w:r>
            <w:r>
              <w:rPr>
                <w:rFonts w:ascii="宋体" w:hAnsi="宋体" w:cs="宋体" w:eastAsia="宋体" w:hint="default"/>
                <w:sz w:val="18"/>
                <w:szCs w:val="18"/>
              </w:rPr>
              <w:t>改</w:t>
            </w:r>
            <w:r>
              <w:rPr>
                <w:rFonts w:ascii="宋体" w:hAnsi="宋体" w:cs="宋体" w:eastAsia="宋体" w:hint="default"/>
                <w:spacing w:val="-65"/>
                <w:sz w:val="18"/>
                <w:szCs w:val="18"/>
              </w:rPr>
              <w:t> </w:t>
            </w:r>
            <w:r>
              <w:rPr>
                <w:rFonts w:ascii="宋体" w:hAnsi="宋体" w:cs="宋体" w:eastAsia="宋体" w:hint="default"/>
                <w:sz w:val="18"/>
                <w:szCs w:val="18"/>
              </w:rPr>
              <w:t>进</w:t>
            </w:r>
            <w:r>
              <w:rPr>
                <w:rFonts w:ascii="宋体" w:hAnsi="宋体" w:cs="宋体" w:eastAsia="宋体" w:hint="default"/>
                <w:spacing w:val="-65"/>
                <w:sz w:val="18"/>
                <w:szCs w:val="18"/>
              </w:rPr>
              <w:t> </w:t>
            </w:r>
            <w:r>
              <w:rPr>
                <w:rFonts w:ascii="宋体" w:hAnsi="宋体" w:cs="宋体" w:eastAsia="宋体" w:hint="default"/>
                <w:sz w:val="18"/>
                <w:szCs w:val="18"/>
              </w:rPr>
              <w:t>室</w:t>
            </w:r>
            <w:r>
              <w:rPr>
                <w:rFonts w:ascii="宋体" w:hAnsi="宋体" w:cs="宋体" w:eastAsia="宋体" w:hint="default"/>
                <w:spacing w:val="-66"/>
                <w:sz w:val="18"/>
                <w:szCs w:val="18"/>
              </w:rPr>
              <w:t> </w:t>
            </w:r>
            <w:r>
              <w:rPr>
                <w:rFonts w:ascii="宋体" w:hAnsi="宋体" w:cs="宋体" w:eastAsia="宋体" w:hint="default"/>
                <w:sz w:val="18"/>
                <w:szCs w:val="18"/>
              </w:rPr>
              <w:t>外</w:t>
            </w:r>
            <w:r>
              <w:rPr>
                <w:rFonts w:ascii="宋体" w:hAnsi="宋体" w:cs="宋体" w:eastAsia="宋体" w:hint="default"/>
                <w:spacing w:val="-65"/>
                <w:sz w:val="18"/>
                <w:szCs w:val="18"/>
              </w:rPr>
              <w:t> </w:t>
            </w:r>
            <w:r>
              <w:rPr>
                <w:rFonts w:ascii="宋体" w:hAnsi="宋体" w:cs="宋体" w:eastAsia="宋体" w:hint="default"/>
                <w:sz w:val="18"/>
                <w:szCs w:val="18"/>
              </w:rPr>
              <w:t>全</w:t>
            </w:r>
            <w:r>
              <w:rPr>
                <w:rFonts w:ascii="宋体" w:hAnsi="宋体" w:cs="宋体" w:eastAsia="宋体" w:hint="default"/>
                <w:spacing w:val="-65"/>
                <w:sz w:val="18"/>
                <w:szCs w:val="18"/>
              </w:rPr>
              <w:t> </w:t>
            </w:r>
            <w:r>
              <w:rPr>
                <w:rFonts w:ascii="宋体" w:hAnsi="宋体" w:cs="宋体" w:eastAsia="宋体" w:hint="default"/>
                <w:sz w:val="18"/>
                <w:szCs w:val="18"/>
              </w:rPr>
              <w:t>参</w:t>
            </w:r>
            <w:r>
              <w:rPr>
                <w:rFonts w:ascii="宋体" w:hAnsi="宋体" w:cs="宋体" w:eastAsia="宋体" w:hint="default"/>
                <w:spacing w:val="-65"/>
                <w:sz w:val="18"/>
                <w:szCs w:val="18"/>
              </w:rPr>
              <w:t> </w:t>
            </w:r>
            <w:r>
              <w:rPr>
                <w:rFonts w:ascii="宋体" w:hAnsi="宋体" w:cs="宋体" w:eastAsia="宋体" w:hint="default"/>
                <w:sz w:val="18"/>
                <w:szCs w:val="18"/>
              </w:rPr>
              <w:t>数</w:t>
            </w:r>
            <w:r>
              <w:rPr>
                <w:rFonts w:ascii="宋体" w:hAnsi="宋体" w:cs="宋体" w:eastAsia="宋体" w:hint="default"/>
                <w:spacing w:val="-65"/>
                <w:sz w:val="18"/>
                <w:szCs w:val="18"/>
              </w:rPr>
              <w:t> </w:t>
            </w:r>
            <w:r>
              <w:rPr>
                <w:rFonts w:ascii="宋体" w:hAnsi="宋体" w:cs="宋体" w:eastAsia="宋体" w:hint="default"/>
                <w:sz w:val="18"/>
                <w:szCs w:val="18"/>
              </w:rPr>
              <w:t>监</w:t>
            </w:r>
            <w:r>
              <w:rPr>
                <w:rFonts w:ascii="宋体" w:hAnsi="宋体" w:cs="宋体" w:eastAsia="宋体" w:hint="default"/>
                <w:spacing w:val="-66"/>
                <w:sz w:val="18"/>
                <w:szCs w:val="18"/>
              </w:rPr>
              <w:t> </w:t>
            </w:r>
            <w:r>
              <w:rPr>
                <w:rFonts w:ascii="宋体" w:hAnsi="宋体" w:cs="宋体" w:eastAsia="宋体" w:hint="default"/>
                <w:sz w:val="18"/>
                <w:szCs w:val="18"/>
              </w:rPr>
              <w:t>测</w:t>
            </w:r>
            <w:r>
              <w:rPr>
                <w:rFonts w:ascii="宋体" w:hAnsi="宋体" w:cs="宋体" w:eastAsia="宋体" w:hint="default"/>
                <w:spacing w:val="-65"/>
                <w:sz w:val="18"/>
                <w:szCs w:val="18"/>
              </w:rPr>
              <w:t> </w:t>
            </w:r>
            <w:r>
              <w:rPr>
                <w:rFonts w:ascii="宋体" w:hAnsi="宋体" w:cs="宋体" w:eastAsia="宋体" w:hint="default"/>
                <w:sz w:val="18"/>
                <w:szCs w:val="18"/>
              </w:rPr>
              <w:t>仪</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(PM10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PM2.5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SO2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NO2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CO</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O3)</w:t>
            </w:r>
            <w:r>
              <w:rPr>
                <w:rFonts w:ascii="宋体" w:hAnsi="宋体" w:cs="宋体" w:eastAsia="宋体" w:hint="default"/>
                <w:spacing w:val="2"/>
                <w:sz w:val="18"/>
                <w:szCs w:val="18"/>
              </w:rPr>
              <w:t>、室外颗</w:t>
            </w:r>
            <w:r>
              <w:rPr>
                <w:rFonts w:ascii="宋体" w:hAnsi="宋体" w:cs="宋体" w:eastAsia="宋体" w:hint="default"/>
                <w:spacing w:val="4"/>
                <w:w w:val="99"/>
                <w:sz w:val="18"/>
                <w:szCs w:val="18"/>
              </w:rPr>
              <w:t> </w:t>
            </w:r>
            <w:r>
              <w:rPr>
                <w:rFonts w:ascii="宋体" w:hAnsi="宋体" w:cs="宋体" w:eastAsia="宋体" w:hint="default"/>
                <w:spacing w:val="3"/>
                <w:sz w:val="18"/>
                <w:szCs w:val="18"/>
              </w:rPr>
              <w:t>粒物监测仪（</w:t>
            </w:r>
            <w:r>
              <w:rPr>
                <w:rFonts w:ascii="Times New Roman" w:hAnsi="Times New Roman" w:cs="Times New Roman" w:eastAsia="Times New Roman" w:hint="default"/>
                <w:spacing w:val="3"/>
                <w:sz w:val="18"/>
                <w:szCs w:val="18"/>
              </w:rPr>
              <w:t>PM10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PM2.5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VOC</w:t>
            </w:r>
            <w:r>
              <w:rPr>
                <w:rFonts w:ascii="宋体" w:hAnsi="宋体" w:cs="宋体" w:eastAsia="宋体" w:hint="default"/>
                <w:spacing w:val="3"/>
                <w:sz w:val="18"/>
                <w:szCs w:val="18"/>
              </w:rPr>
              <w:t>监</w:t>
            </w:r>
            <w:r>
              <w:rPr>
                <w:rFonts w:ascii="宋体" w:hAnsi="宋体" w:cs="宋体" w:eastAsia="宋体" w:hint="default"/>
                <w:spacing w:val="-86"/>
                <w:sz w:val="18"/>
                <w:szCs w:val="18"/>
              </w:rPr>
              <w:t> </w:t>
            </w:r>
            <w:r>
              <w:rPr>
                <w:rFonts w:ascii="宋体" w:hAnsi="宋体" w:cs="宋体" w:eastAsia="宋体" w:hint="default"/>
                <w:spacing w:val="-4"/>
                <w:sz w:val="18"/>
                <w:szCs w:val="18"/>
              </w:rPr>
              <w:t>测仪及网络管理平台，并进行了多个试点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的安装及推广。</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32</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14"/>
                <w:sz w:val="18"/>
                <w:szCs w:val="18"/>
              </w:rPr>
              <w:t>移动空气网格化监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测系统项目</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pacing w:val="-3"/>
                <w:sz w:val="18"/>
                <w:szCs w:val="18"/>
              </w:rPr>
              <w:t>用于移动执法、应急监测、道路交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通空气质量监测、工业园区空气质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量监测、隧道空气质量监测环境测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评等</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z w:val="18"/>
                <w:szCs w:val="18"/>
              </w:rPr>
              <w:t>产业化示范</w:t>
            </w:r>
            <w:r>
              <w:rPr>
                <w:rFonts w:ascii="宋体" w:hAnsi="宋体" w:cs="宋体" w:eastAsia="宋体" w:hint="default"/>
                <w:spacing w:val="-85"/>
                <w:sz w:val="18"/>
                <w:szCs w:val="18"/>
              </w:rPr>
              <w:t> </w:t>
            </w:r>
            <w:r>
              <w:rPr>
                <w:rFonts w:ascii="宋体" w:hAnsi="宋体" w:cs="宋体" w:eastAsia="宋体" w:hint="default"/>
                <w:sz w:val="18"/>
                <w:szCs w:val="18"/>
              </w:rPr>
              <w:t>运行阶段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both"/>
              <w:rPr>
                <w:rFonts w:ascii="宋体" w:hAnsi="宋体" w:cs="宋体" w:eastAsia="宋体" w:hint="default"/>
                <w:sz w:val="18"/>
                <w:szCs w:val="18"/>
              </w:rPr>
            </w:pPr>
            <w:r>
              <w:rPr>
                <w:rFonts w:ascii="宋体" w:hAnsi="宋体" w:cs="宋体" w:eastAsia="宋体" w:hint="default"/>
                <w:spacing w:val="-4"/>
                <w:sz w:val="18"/>
                <w:szCs w:val="18"/>
              </w:rPr>
              <w:t>快速达到监测现场、迅速完成对气体成分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的定量分析，提高监测、执法、校准及应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急处置效率</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2220"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33</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14"/>
                <w:sz w:val="18"/>
                <w:szCs w:val="18"/>
              </w:rPr>
              <w:t>化工园区监测系统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集成开发</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0"/>
              <w:jc w:val="both"/>
              <w:rPr>
                <w:rFonts w:ascii="宋体" w:hAnsi="宋体" w:cs="宋体" w:eastAsia="宋体" w:hint="default"/>
                <w:sz w:val="18"/>
                <w:szCs w:val="18"/>
              </w:rPr>
            </w:pPr>
            <w:r>
              <w:rPr>
                <w:rFonts w:ascii="宋体" w:hAnsi="宋体" w:cs="宋体" w:eastAsia="宋体" w:hint="default"/>
                <w:spacing w:val="9"/>
                <w:sz w:val="18"/>
                <w:szCs w:val="18"/>
              </w:rPr>
              <w:t>通过挖掘工业园区的环境监测需</w:t>
            </w:r>
            <w:r>
              <w:rPr>
                <w:rFonts w:ascii="宋体" w:hAnsi="宋体" w:cs="宋体" w:eastAsia="宋体" w:hint="default"/>
                <w:sz w:val="18"/>
                <w:szCs w:val="18"/>
              </w:rPr>
              <w:t> </w:t>
            </w:r>
            <w:r>
              <w:rPr>
                <w:rFonts w:ascii="宋体" w:hAnsi="宋体" w:cs="宋体" w:eastAsia="宋体" w:hint="default"/>
                <w:spacing w:val="-3"/>
                <w:sz w:val="18"/>
                <w:szCs w:val="18"/>
              </w:rPr>
              <w:t>求，整合公司内外部的空气监测和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软件产品，形成有针对性和先河特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色的工业园区监测方案，建立完善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的</w:t>
            </w:r>
            <w:r>
              <w:rPr>
                <w:rFonts w:ascii="Times New Roman" w:hAnsi="Times New Roman" w:cs="Times New Roman" w:eastAsia="Times New Roman" w:hint="default"/>
                <w:spacing w:val="2"/>
                <w:sz w:val="18"/>
                <w:szCs w:val="18"/>
              </w:rPr>
              <w:t>VOCs</w:t>
            </w:r>
            <w:r>
              <w:rPr>
                <w:rFonts w:ascii="宋体" w:hAnsi="宋体" w:cs="宋体" w:eastAsia="宋体" w:hint="default"/>
                <w:spacing w:val="2"/>
                <w:sz w:val="18"/>
                <w:szCs w:val="18"/>
              </w:rPr>
              <w:t>监测产品线，以及有害气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体监测产品线，建立工业园区环境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监测预警体系。</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实施阶段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4"/>
                <w:sz w:val="18"/>
                <w:szCs w:val="18"/>
              </w:rPr>
              <w:t>形成一套完整的、有先河特色的工业园区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监测方案，完善工业园区监控产品线，建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立试点项目</w:t>
            </w:r>
            <w:r>
              <w:rPr>
                <w:rFonts w:ascii="Times New Roman" w:hAnsi="Times New Roman" w:cs="Times New Roman" w:eastAsia="Times New Roman" w:hint="default"/>
                <w:sz w:val="18"/>
                <w:szCs w:val="18"/>
              </w:rPr>
              <w:t>1-3</w:t>
            </w:r>
            <w:r>
              <w:rPr>
                <w:rFonts w:ascii="宋体" w:hAnsi="宋体" w:cs="宋体" w:eastAsia="宋体" w:hint="default"/>
                <w:sz w:val="18"/>
                <w:szCs w:val="18"/>
              </w:rPr>
              <w:t>项。</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347"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34</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pacing w:val="14"/>
                <w:sz w:val="18"/>
                <w:szCs w:val="18"/>
              </w:rPr>
              <w:t>大气挥发性有机物</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7"/>
                <w:sz w:val="18"/>
                <w:szCs w:val="18"/>
              </w:rPr>
              <w:t>用于工业园区大气及城市</w:t>
            </w:r>
            <w:r>
              <w:rPr>
                <w:rFonts w:ascii="Times New Roman" w:hAnsi="Times New Roman" w:cs="Times New Roman" w:eastAsia="Times New Roman" w:hint="default"/>
                <w:spacing w:val="7"/>
                <w:sz w:val="18"/>
                <w:szCs w:val="18"/>
              </w:rPr>
              <w:t>VOC</w:t>
            </w:r>
            <w:r>
              <w:rPr>
                <w:rFonts w:ascii="宋体" w:hAnsi="宋体" w:cs="宋体" w:eastAsia="宋体" w:hint="default"/>
                <w:spacing w:val="7"/>
                <w:sz w:val="18"/>
                <w:szCs w:val="18"/>
              </w:rPr>
              <w:t>监</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pacing w:val="3"/>
                <w:sz w:val="18"/>
                <w:szCs w:val="18"/>
              </w:rPr>
              <w:t>引进先进的</w:t>
            </w:r>
            <w:r>
              <w:rPr>
                <w:rFonts w:ascii="Times New Roman" w:hAnsi="Times New Roman" w:cs="Times New Roman" w:eastAsia="Times New Roman" w:hint="default"/>
                <w:spacing w:val="3"/>
                <w:sz w:val="18"/>
                <w:szCs w:val="18"/>
              </w:rPr>
              <w:t>VOC</w:t>
            </w:r>
            <w:r>
              <w:rPr>
                <w:rFonts w:ascii="宋体" w:hAnsi="宋体" w:cs="宋体" w:eastAsia="宋体" w:hint="default"/>
                <w:spacing w:val="3"/>
                <w:sz w:val="18"/>
                <w:szCs w:val="18"/>
              </w:rPr>
              <w:t>监测技术，建立</w:t>
            </w:r>
            <w:r>
              <w:rPr>
                <w:rFonts w:ascii="Times New Roman" w:hAnsi="Times New Roman" w:cs="Times New Roman" w:eastAsia="Times New Roman" w:hint="default"/>
                <w:spacing w:val="3"/>
                <w:sz w:val="18"/>
                <w:szCs w:val="18"/>
              </w:rPr>
              <w:t>VOC</w:t>
            </w:r>
            <w:r>
              <w:rPr>
                <w:rFonts w:ascii="宋体" w:hAnsi="宋体" w:cs="宋体" w:eastAsia="宋体" w:hint="default"/>
                <w:spacing w:val="3"/>
                <w:sz w:val="18"/>
                <w:szCs w:val="18"/>
              </w:rPr>
              <w:t>污</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自立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96"/>
        <w:gridCol w:w="1583"/>
        <w:gridCol w:w="2678"/>
        <w:gridCol w:w="924"/>
        <w:gridCol w:w="3202"/>
        <w:gridCol w:w="884"/>
      </w:tblGrid>
      <w:tr>
        <w:trPr>
          <w:trHeight w:val="659" w:hRule="exact"/>
        </w:trPr>
        <w:tc>
          <w:tcPr>
            <w:tcW w:w="496"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产品引进项目</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测及综合污染防治，为环境管理部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门提供有力的决策支持。</w:t>
            </w:r>
          </w:p>
        </w:tc>
        <w:tc>
          <w:tcPr>
            <w:tcW w:w="924" w:type="dxa"/>
            <w:tcBorders>
              <w:top w:val="single" w:sz="6" w:space="0" w:color="000000"/>
              <w:left w:val="single" w:sz="6" w:space="0" w:color="000000"/>
              <w:bottom w:val="single" w:sz="6" w:space="0" w:color="000000"/>
              <w:right w:val="single" w:sz="6" w:space="0" w:color="000000"/>
            </w:tcBorders>
          </w:tcPr>
          <w:p>
            <w:pP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
              <w:jc w:val="left"/>
              <w:rPr>
                <w:rFonts w:ascii="宋体" w:hAnsi="宋体" w:cs="宋体" w:eastAsia="宋体" w:hint="default"/>
                <w:sz w:val="18"/>
                <w:szCs w:val="18"/>
              </w:rPr>
            </w:pPr>
            <w:r>
              <w:rPr>
                <w:rFonts w:ascii="宋体" w:hAnsi="宋体" w:cs="宋体" w:eastAsia="宋体" w:hint="default"/>
                <w:spacing w:val="5"/>
                <w:sz w:val="18"/>
                <w:szCs w:val="18"/>
              </w:rPr>
              <w:t>染监测平台，实现工业园区及城市</w:t>
            </w:r>
            <w:r>
              <w:rPr>
                <w:rFonts w:ascii="Times New Roman" w:hAnsi="Times New Roman" w:cs="Times New Roman" w:eastAsia="Times New Roman" w:hint="default"/>
                <w:spacing w:val="5"/>
                <w:sz w:val="18"/>
                <w:szCs w:val="18"/>
              </w:rPr>
              <w:t>VOC</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污染监测及监管。</w:t>
            </w:r>
          </w:p>
        </w:tc>
        <w:tc>
          <w:tcPr>
            <w:tcW w:w="884" w:type="dxa"/>
            <w:tcBorders>
              <w:top w:val="single" w:sz="6" w:space="0" w:color="000000"/>
              <w:left w:val="single" w:sz="6" w:space="0" w:color="000000"/>
              <w:bottom w:val="single" w:sz="6" w:space="0" w:color="000000"/>
              <w:right w:val="single" w:sz="6" w:space="0" w:color="000000"/>
            </w:tcBorders>
          </w:tcPr>
          <w:p>
            <w:pPr/>
          </w:p>
        </w:tc>
      </w:tr>
      <w:tr>
        <w:trPr>
          <w:trHeight w:val="1596"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50" w:right="0"/>
              <w:jc w:val="left"/>
              <w:rPr>
                <w:rFonts w:ascii="Times New Roman" w:hAnsi="Times New Roman" w:cs="Times New Roman" w:eastAsia="Times New Roman" w:hint="default"/>
                <w:sz w:val="18"/>
                <w:szCs w:val="18"/>
              </w:rPr>
            </w:pPr>
            <w:r>
              <w:rPr>
                <w:rFonts w:ascii="Times New Roman"/>
                <w:sz w:val="18"/>
              </w:rPr>
              <w:t>35</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大气成分解析车</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2" w:right="-18"/>
              <w:jc w:val="both"/>
              <w:rPr>
                <w:rFonts w:ascii="宋体" w:hAnsi="宋体" w:cs="宋体" w:eastAsia="宋体" w:hint="default"/>
                <w:sz w:val="18"/>
                <w:szCs w:val="18"/>
              </w:rPr>
            </w:pPr>
            <w:r>
              <w:rPr>
                <w:rFonts w:ascii="宋体" w:hAnsi="宋体" w:cs="宋体" w:eastAsia="宋体" w:hint="default"/>
                <w:spacing w:val="-2"/>
                <w:sz w:val="18"/>
                <w:szCs w:val="18"/>
              </w:rPr>
              <w:t>用于管理咨询项目的源解析支持，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7"/>
                <w:sz w:val="18"/>
                <w:szCs w:val="18"/>
              </w:rPr>
              <w:t>工业园区监测项目企业排放</w:t>
            </w:r>
            <w:r>
              <w:rPr>
                <w:rFonts w:ascii="Times New Roman" w:hAnsi="Times New Roman" w:cs="Times New Roman" w:eastAsia="Times New Roman" w:hint="default"/>
                <w:spacing w:val="7"/>
                <w:sz w:val="18"/>
                <w:szCs w:val="18"/>
              </w:rPr>
              <w:t>VOC</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源谱建立，气溶胶水平、垂直分布</w:t>
            </w:r>
            <w:r>
              <w:rPr>
                <w:rFonts w:ascii="宋体" w:hAnsi="宋体" w:cs="宋体" w:eastAsia="宋体" w:hint="default"/>
                <w:sz w:val="18"/>
                <w:szCs w:val="18"/>
              </w:rPr>
              <w:t> 监测。</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完成验收</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1"/>
              <w:ind w:left="3" w:right="-2"/>
              <w:jc w:val="both"/>
              <w:rPr>
                <w:rFonts w:ascii="宋体" w:hAnsi="宋体" w:cs="宋体" w:eastAsia="宋体" w:hint="default"/>
                <w:sz w:val="18"/>
                <w:szCs w:val="18"/>
              </w:rPr>
            </w:pPr>
            <w:r>
              <w:rPr>
                <w:rFonts w:ascii="宋体" w:hAnsi="宋体" w:cs="宋体" w:eastAsia="宋体" w:hint="default"/>
                <w:sz w:val="18"/>
                <w:szCs w:val="18"/>
              </w:rPr>
              <w:t>完成大气颗粒物、</w:t>
            </w:r>
            <w:r>
              <w:rPr>
                <w:rFonts w:ascii="Times New Roman" w:hAnsi="Times New Roman" w:cs="Times New Roman" w:eastAsia="Times New Roman" w:hint="default"/>
                <w:sz w:val="18"/>
                <w:szCs w:val="18"/>
              </w:rPr>
              <w:t>VOCs</w:t>
            </w:r>
            <w:r>
              <w:rPr>
                <w:rFonts w:ascii="宋体" w:hAnsi="宋体" w:cs="宋体" w:eastAsia="宋体" w:hint="default"/>
                <w:sz w:val="18"/>
                <w:szCs w:val="18"/>
              </w:rPr>
              <w:t>解析车制作，车</w:t>
            </w:r>
            <w:r>
              <w:rPr>
                <w:rFonts w:ascii="宋体" w:hAnsi="宋体" w:cs="宋体" w:eastAsia="宋体" w:hint="default"/>
                <w:spacing w:val="-61"/>
                <w:sz w:val="18"/>
                <w:szCs w:val="18"/>
              </w:rPr>
              <w:t> </w:t>
            </w:r>
            <w:r>
              <w:rPr>
                <w:rFonts w:ascii="宋体" w:hAnsi="宋体" w:cs="宋体" w:eastAsia="宋体" w:hint="default"/>
                <w:spacing w:val="6"/>
                <w:sz w:val="18"/>
                <w:szCs w:val="18"/>
              </w:rPr>
              <w:t>载仪器整套系统运转正常达到出厂技术</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指标，形成源解析数据报告模板，完成</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个左右城市的源解析服务，气溶胶分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布监测。</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自立</w:t>
            </w:r>
          </w:p>
        </w:tc>
      </w:tr>
    </w:tbl>
    <w:p>
      <w:pPr>
        <w:pStyle w:val="BodyText"/>
        <w:spacing w:line="240" w:lineRule="auto" w:before="51"/>
        <w:ind w:right="0"/>
        <w:jc w:val="left"/>
      </w:pPr>
      <w:r>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14.11%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55,978,066.79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48,867,892.00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48,026,730.33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研发投入总额占营业收入的比重较上年发生显著变化的原因</w:t>
      </w:r>
    </w:p>
    <w:p>
      <w:pPr>
        <w:pStyle w:val="BodyText"/>
        <w:spacing w:line="340" w:lineRule="auto" w:before="11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1,204,119,977.34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1,274,493,505.58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1,276,383,396.81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1,083,081,250.03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-72,263,419.47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191,412,255.55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-137.75%</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507,393.16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7,783.43%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42,895,933.06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36,927,361.10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-2,895,933.06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-36,419,967.94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-92.05%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59,765,164.04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39,752,826.83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50.34%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74,234,835.96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-39,752,826.83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-286.74%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0" w:right="0"/>
              <w:jc w:val="left"/>
              <w:rPr>
                <w:rFonts w:ascii="Times New Roman" w:hAnsi="Times New Roman" w:cs="Times New Roman" w:eastAsia="Times New Roman" w:hint="default"/>
                <w:sz w:val="18"/>
                <w:szCs w:val="18"/>
              </w:rPr>
            </w:pPr>
            <w:r>
              <w:rPr>
                <w:rFonts w:ascii="Times New Roman"/>
                <w:sz w:val="18"/>
              </w:rPr>
              <w:t>-241,728.14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0" w:right="0"/>
              <w:jc w:val="left"/>
              <w:rPr>
                <w:rFonts w:ascii="Times New Roman" w:hAnsi="Times New Roman" w:cs="Times New Roman" w:eastAsia="Times New Roman" w:hint="default"/>
                <w:sz w:val="18"/>
                <w:szCs w:val="18"/>
              </w:rPr>
            </w:pPr>
            <w:r>
              <w:rPr>
                <w:rFonts w:ascii="Times New Roman"/>
                <w:sz w:val="18"/>
              </w:rPr>
              <w:t>114,748,670.01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-100.21%</w:t>
            </w:r>
            <w:r>
              <w:rPr>
                <w:rFonts w:ascii="Times New Roman"/>
                <w:sz w:val="18"/>
              </w:rPr>
            </w:r>
          </w:p>
        </w:tc>
      </w:tr>
    </w:tbl>
    <w:p>
      <w:pPr>
        <w:pStyle w:val="BodyText"/>
        <w:spacing w:line="240" w:lineRule="auto" w:before="51"/>
        <w:ind w:right="0"/>
        <w:jc w:val="left"/>
      </w:pPr>
      <w:r>
        <w:rPr/>
        <w:t>相关数据同比发生重大变动的主要影响因素说明</w:t>
      </w:r>
    </w:p>
    <w:p>
      <w:pPr>
        <w:pStyle w:val="BodyText"/>
        <w:spacing w:line="328" w:lineRule="auto" w:before="117"/>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经营活动产生的现金流量净额变动主要原因是本公司本期业务量增长、收入增加而款项尚未收回；另外，支付购货款增加双</w:t>
      </w:r>
      <w:r>
        <w:rPr>
          <w:spacing w:val="-66"/>
        </w:rPr>
        <w:t> </w:t>
      </w:r>
      <w:r>
        <w:rPr>
          <w:spacing w:val="-66"/>
        </w:rPr>
      </w:r>
      <w:r>
        <w:rPr/>
        <w:t>重影响；</w:t>
      </w:r>
    </w:p>
    <w:p>
      <w:pPr>
        <w:pStyle w:val="BodyText"/>
        <w:spacing w:line="316" w:lineRule="auto" w:before="10"/>
        <w:ind w:right="1393"/>
        <w:jc w:val="left"/>
      </w:pPr>
      <w:r>
        <w:rPr/>
        <w:t>投资活动现金流入变动主要原因是上期购买理财产品在本期到期赎回所致； 投资活动产生的现金流量净额变动主要原因是支付股权转让款影响； 筹资活动现金流入变动主要原因是公司本期取得短期借款影响； 筹资活动现金流出小计变动主要原因是公司本期回购公司股份影响； 筹资活动产生的现金流量净额变动主要原因是公司本期取得短期借款影响。</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right="0"/>
        <w:jc w:val="left"/>
      </w:pPr>
      <w:r>
        <w:rPr/>
        <w:t>报告期内公司经营活动产生的现金净流量与本年度净利润存在重大差异的原因说明</w:t>
      </w:r>
    </w:p>
    <w:p>
      <w:pPr>
        <w:pStyle w:val="BodyText"/>
        <w:spacing w:line="338" w:lineRule="auto" w:before="116"/>
        <w:ind w:right="30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主要原因是本公司本期业务量增长、收入增加而款项尚未收回；另外，支付购货款增加双重影响。</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53,012,723.04</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17.03%</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主要是坏账损失和商誉减 值准备</w:t>
            </w:r>
          </w:p>
        </w:tc>
        <w:tc>
          <w:tcPr>
            <w:tcW w:w="2340" w:type="dxa"/>
            <w:vMerge w:val="restart"/>
            <w:tcBorders>
              <w:top w:val="single" w:sz="4" w:space="0" w:color="000000"/>
              <w:left w:val="single" w:sz="4" w:space="0" w:color="000000"/>
              <w:right w:val="single" w:sz="4" w:space="0" w:color="000000"/>
            </w:tcBorders>
          </w:tcPr>
          <w:p>
            <w:pP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2,063,469.51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主要为政府补助</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884,539.40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479"/>
        <w:gridCol w:w="993"/>
        <w:gridCol w:w="1276"/>
        <w:gridCol w:w="992"/>
        <w:gridCol w:w="993"/>
        <w:gridCol w:w="2480"/>
      </w:tblGrid>
      <w:tr>
        <w:trPr>
          <w:trHeight w:val="38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4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47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8"/>
              <w:ind w:left="400" w:right="40"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8"/>
              <w:ind w:left="400" w:right="41"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4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69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4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3"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vMerge/>
            <w:tcBorders>
              <w:left w:val="single" w:sz="4" w:space="0" w:color="000000"/>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248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479"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993" w:type="dxa"/>
            <w:vMerge w:val="restart"/>
            <w:tcBorders>
              <w:top w:val="nil" w:sz="6" w:space="0" w:color="auto"/>
              <w:left w:val="single" w:sz="4" w:space="0" w:color="000000"/>
              <w:right w:val="single" w:sz="4" w:space="0" w:color="000000"/>
            </w:tcBorders>
            <w:shd w:val="clear" w:color="auto" w:fill="D2D2D2"/>
          </w:tcPr>
          <w:p>
            <w:pPr/>
          </w:p>
        </w:tc>
        <w:tc>
          <w:tcPr>
            <w:tcW w:w="2480"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47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248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572,708,285.99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570,186,613.69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599,886,629.33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290,837,482.22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10.57%</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473,444,069.39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415,526,571.16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246,675,191.87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247,286,844.71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5,266,632.90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3,722,428.60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468"/>
        <w:gridCol w:w="993"/>
        <w:gridCol w:w="1276"/>
        <w:gridCol w:w="992"/>
        <w:gridCol w:w="993"/>
        <w:gridCol w:w="248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134,000,000.00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5.42%</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年取得建行贷款本金</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134,000,000.00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310,650,771.51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293,709,487.56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5" w:right="0"/>
              <w:jc w:val="left"/>
              <w:rPr>
                <w:rFonts w:ascii="Times New Roman" w:hAnsi="Times New Roman" w:cs="Times New Roman" w:eastAsia="Times New Roman" w:hint="default"/>
                <w:sz w:val="18"/>
                <w:szCs w:val="18"/>
              </w:rPr>
            </w:pPr>
            <w:r>
              <w:rPr>
                <w:rFonts w:ascii="Times New Roman"/>
                <w:sz w:val="18"/>
              </w:rPr>
              <w:t>13.85%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w:t>
            </w: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2567"/>
        <w:gridCol w:w="2126"/>
        <w:gridCol w:w="3970"/>
      </w:tblGrid>
      <w:tr>
        <w:trPr>
          <w:trHeight w:val="425" w:hRule="exact"/>
        </w:trPr>
        <w:tc>
          <w:tcPr>
            <w:tcW w:w="256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7"/>
              <w:ind w:right="1087"/>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7"/>
              <w:ind w:left="515"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39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7"/>
              <w:ind w:right="5"/>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414" w:hRule="exact"/>
        </w:trPr>
        <w:tc>
          <w:tcPr>
            <w:tcW w:w="2567" w:type="dxa"/>
            <w:tcBorders>
              <w:top w:val="single" w:sz="4" w:space="0" w:color="000000"/>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21,485,843.62</w:t>
            </w:r>
          </w:p>
        </w:tc>
        <w:tc>
          <w:tcPr>
            <w:tcW w:w="3970" w:type="dxa"/>
            <w:tcBorders>
              <w:top w:val="single" w:sz="4" w:space="0" w:color="000000"/>
              <w:left w:val="single" w:sz="4" w:space="0" w:color="000000"/>
              <w:bottom w:val="nil" w:sz="6" w:space="0" w:color="auto"/>
              <w:right w:val="nil" w:sz="6" w:space="0" w:color="auto"/>
            </w:tcBorders>
          </w:tcPr>
          <w:p>
            <w:pPr>
              <w:pStyle w:val="TableParagraph"/>
              <w:spacing w:line="240" w:lineRule="auto" w:before="57"/>
              <w:ind w:right="5"/>
              <w:jc w:val="center"/>
              <w:rPr>
                <w:rFonts w:ascii="宋体" w:hAnsi="宋体" w:cs="宋体" w:eastAsia="宋体" w:hint="default"/>
                <w:sz w:val="18"/>
                <w:szCs w:val="18"/>
              </w:rPr>
            </w:pPr>
            <w:r>
              <w:rPr>
                <w:rFonts w:ascii="宋体" w:hAnsi="宋体" w:cs="宋体" w:eastAsia="宋体" w:hint="default"/>
                <w:sz w:val="18"/>
                <w:szCs w:val="18"/>
              </w:rPr>
              <w:t>贷款抵押</w:t>
            </w:r>
          </w:p>
        </w:tc>
      </w:tr>
      <w:tr>
        <w:trPr>
          <w:trHeight w:val="382" w:hRule="exact"/>
        </w:trPr>
        <w:tc>
          <w:tcPr>
            <w:tcW w:w="2567"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1"/>
              <w:jc w:val="right"/>
              <w:rPr>
                <w:rFonts w:ascii="Arial Narrow" w:hAnsi="Arial Narrow" w:cs="Arial Narrow" w:eastAsia="Arial Narrow" w:hint="default"/>
                <w:sz w:val="18"/>
                <w:szCs w:val="18"/>
              </w:rPr>
            </w:pPr>
            <w:r>
              <w:rPr>
                <w:rFonts w:ascii="Arial Narrow"/>
                <w:spacing w:val="-2"/>
                <w:sz w:val="18"/>
              </w:rPr>
              <w:t>11,869,609.09</w:t>
            </w:r>
          </w:p>
        </w:tc>
        <w:tc>
          <w:tcPr>
            <w:tcW w:w="3970" w:type="dxa"/>
            <w:tcBorders>
              <w:top w:val="nil" w:sz="6" w:space="0" w:color="auto"/>
              <w:left w:val="single" w:sz="4" w:space="0" w:color="000000"/>
              <w:bottom w:val="nil" w:sz="6" w:space="0" w:color="auto"/>
              <w:right w:val="nil" w:sz="6" w:space="0" w:color="auto"/>
            </w:tcBorders>
          </w:tcPr>
          <w:p>
            <w:pPr>
              <w:pStyle w:val="TableParagraph"/>
              <w:spacing w:line="240" w:lineRule="auto" w:before="54"/>
              <w:ind w:right="5"/>
              <w:jc w:val="center"/>
              <w:rPr>
                <w:rFonts w:ascii="宋体" w:hAnsi="宋体" w:cs="宋体" w:eastAsia="宋体" w:hint="default"/>
                <w:sz w:val="18"/>
                <w:szCs w:val="18"/>
              </w:rPr>
            </w:pPr>
            <w:r>
              <w:rPr>
                <w:rFonts w:ascii="宋体" w:hAnsi="宋体" w:cs="宋体" w:eastAsia="宋体" w:hint="default"/>
                <w:sz w:val="18"/>
                <w:szCs w:val="18"/>
              </w:rPr>
              <w:t>贷款抵押</w:t>
            </w:r>
          </w:p>
        </w:tc>
      </w:tr>
      <w:tr>
        <w:trPr>
          <w:trHeight w:val="667" w:hRule="exact"/>
        </w:trPr>
        <w:tc>
          <w:tcPr>
            <w:tcW w:w="2567"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122,743.21</w:t>
            </w:r>
          </w:p>
        </w:tc>
        <w:tc>
          <w:tcPr>
            <w:tcW w:w="3970" w:type="dxa"/>
            <w:tcBorders>
              <w:top w:val="nil" w:sz="6" w:space="0" w:color="auto"/>
              <w:left w:val="single" w:sz="4" w:space="0" w:color="000000"/>
              <w:bottom w:val="nil" w:sz="6" w:space="0" w:color="auto"/>
              <w:right w:val="nil" w:sz="6" w:space="0" w:color="auto"/>
            </w:tcBorders>
          </w:tcPr>
          <w:p>
            <w:pPr>
              <w:pStyle w:val="TableParagraph"/>
              <w:spacing w:line="316" w:lineRule="auto" w:before="30"/>
              <w:ind w:left="1618" w:right="184" w:hanging="1440"/>
              <w:jc w:val="left"/>
              <w:rPr>
                <w:rFonts w:ascii="宋体" w:hAnsi="宋体" w:cs="宋体" w:eastAsia="宋体" w:hint="default"/>
                <w:sz w:val="18"/>
                <w:szCs w:val="18"/>
              </w:rPr>
            </w:pPr>
            <w:r>
              <w:rPr>
                <w:rFonts w:ascii="宋体" w:hAnsi="宋体" w:cs="宋体" w:eastAsia="宋体" w:hint="default"/>
                <w:sz w:val="18"/>
                <w:szCs w:val="18"/>
              </w:rPr>
              <w:t>子公司北京卫家环境技术有限公司涉诉被司法 冻结资金</w:t>
            </w:r>
          </w:p>
        </w:tc>
      </w:tr>
      <w:tr>
        <w:trPr>
          <w:trHeight w:val="387" w:hRule="exact"/>
        </w:trPr>
        <w:tc>
          <w:tcPr>
            <w:tcW w:w="2567" w:type="dxa"/>
            <w:tcBorders>
              <w:top w:val="nil" w:sz="6" w:space="0" w:color="auto"/>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Narrow" w:hAnsi="Arial Narrow" w:cs="Arial Narrow" w:eastAsia="Arial Narrow" w:hint="default"/>
                <w:sz w:val="18"/>
                <w:szCs w:val="18"/>
              </w:rPr>
            </w:pPr>
            <w:r>
              <w:rPr>
                <w:rFonts w:ascii="Arial Narrow"/>
                <w:spacing w:val="-1"/>
                <w:sz w:val="18"/>
              </w:rPr>
              <w:t>15,985,001.73</w:t>
            </w:r>
          </w:p>
        </w:tc>
        <w:tc>
          <w:tcPr>
            <w:tcW w:w="3970" w:type="dxa"/>
            <w:tcBorders>
              <w:top w:val="nil" w:sz="6" w:space="0" w:color="auto"/>
              <w:left w:val="single" w:sz="4" w:space="0" w:color="000000"/>
              <w:bottom w:val="single" w:sz="4" w:space="0" w:color="000000"/>
              <w:right w:val="nil" w:sz="6" w:space="0" w:color="auto"/>
            </w:tcBorders>
          </w:tcPr>
          <w:p>
            <w:pPr>
              <w:pStyle w:val="TableParagraph"/>
              <w:spacing w:line="240" w:lineRule="auto" w:before="34"/>
              <w:ind w:right="5"/>
              <w:jc w:val="center"/>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25" w:hRule="exact"/>
        </w:trPr>
        <w:tc>
          <w:tcPr>
            <w:tcW w:w="256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7"/>
              <w:ind w:right="1088"/>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b/>
                <w:spacing w:val="-1"/>
                <w:sz w:val="18"/>
              </w:rPr>
              <w:t>49,463,197.65</w:t>
            </w:r>
            <w:r>
              <w:rPr>
                <w:rFonts w:ascii="Arial Narrow"/>
                <w:spacing w:val="-1"/>
                <w:sz w:val="18"/>
              </w:rPr>
            </w:r>
          </w:p>
        </w:tc>
        <w:tc>
          <w:tcPr>
            <w:tcW w:w="39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7"/>
              <w:ind w:left="103" w:right="0"/>
              <w:jc w:val="left"/>
              <w:rPr>
                <w:rFonts w:ascii="宋体" w:hAnsi="宋体" w:cs="宋体" w:eastAsia="宋体" w:hint="default"/>
                <w:sz w:val="18"/>
                <w:szCs w:val="18"/>
              </w:rPr>
            </w:pPr>
            <w:r>
              <w:rPr>
                <w:rFonts w:ascii="宋体"/>
                <w:b/>
                <w:sz w:val="18"/>
              </w:rPr>
              <w:t>--</w:t>
            </w:r>
            <w:r>
              <w:rPr>
                <w:rFonts w:ascii="宋体"/>
                <w:sz w:val="18"/>
              </w:rPr>
            </w:r>
          </w:p>
        </w:tc>
      </w:tr>
    </w:tbl>
    <w:p>
      <w:pPr>
        <w:pStyle w:val="BodyText"/>
        <w:spacing w:line="316" w:lineRule="auto" w:before="70"/>
        <w:ind w:right="0" w:firstLine="526"/>
        <w:jc w:val="left"/>
      </w:pPr>
      <w:r>
        <w:rPr/>
        <w:t>本公司于</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29</w:t>
      </w:r>
      <w:r>
        <w:rPr/>
        <w:t>日将房屋建筑物、土地使用权作为抵押，与中国建设银行河北省分行营业部签订了在</w:t>
      </w:r>
      <w:r>
        <w:rPr>
          <w:rFonts w:ascii="宋体" w:hAnsi="宋体" w:cs="宋体" w:eastAsia="宋体" w:hint="default"/>
        </w:rPr>
        <w:t>2016</w:t>
      </w:r>
      <w:r>
        <w:rPr/>
        <w:t>年</w:t>
      </w:r>
      <w:r>
        <w:rPr>
          <w:rFonts w:ascii="宋体" w:hAnsi="宋体" w:cs="宋体" w:eastAsia="宋体" w:hint="default"/>
        </w:rPr>
        <w:t>1 </w:t>
      </w:r>
      <w:r>
        <w:rPr/>
        <w:t>月</w:t>
      </w:r>
      <w:r>
        <w:rPr>
          <w:rFonts w:ascii="宋体" w:hAnsi="宋体" w:cs="宋体" w:eastAsia="宋体" w:hint="default"/>
        </w:rPr>
        <w:t>28</w:t>
      </w:r>
      <w:r>
        <w:rPr/>
        <w:t>日到</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27</w:t>
      </w:r>
      <w:r>
        <w:rPr/>
        <w:t>日期间最高限额为</w:t>
      </w:r>
      <w:r>
        <w:rPr>
          <w:rFonts w:ascii="宋体" w:hAnsi="宋体" w:cs="宋体" w:eastAsia="宋体" w:hint="default"/>
        </w:rPr>
        <w:t>7,107</w:t>
      </w:r>
      <w:r>
        <w:rPr/>
        <w:t>万元的抵押贷款合同。</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4"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61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河北先 河正合 环境科 技有限</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0"/>
              <w:jc w:val="left"/>
              <w:rPr>
                <w:rFonts w:ascii="宋体" w:hAnsi="宋体" w:cs="宋体" w:eastAsia="宋体" w:hint="default"/>
                <w:sz w:val="18"/>
                <w:szCs w:val="18"/>
              </w:rPr>
            </w:pPr>
            <w:r>
              <w:rPr>
                <w:rFonts w:ascii="宋体" w:hAnsi="宋体" w:cs="宋体" w:eastAsia="宋体" w:hint="default"/>
                <w:sz w:val="18"/>
                <w:szCs w:val="18"/>
              </w:rPr>
              <w:t>环境污 染治理 技术研 </w:t>
            </w:r>
            <w:r>
              <w:rPr>
                <w:rFonts w:ascii="宋体" w:hAnsi="宋体" w:cs="宋体" w:eastAsia="宋体" w:hint="default"/>
                <w:spacing w:val="-21"/>
                <w:sz w:val="18"/>
                <w:szCs w:val="18"/>
              </w:rPr>
              <w:t>发、技术</w:t>
            </w:r>
            <w:r>
              <w:rPr>
                <w:rFonts w:ascii="宋体" w:hAnsi="宋体" w:cs="宋体" w:eastAsia="宋体" w:hint="default"/>
                <w:sz w:val="18"/>
                <w:szCs w:val="18"/>
              </w:rPr>
              <w:t> </w:t>
            </w:r>
            <w:r>
              <w:rPr>
                <w:rFonts w:ascii="宋体" w:hAnsi="宋体" w:cs="宋体" w:eastAsia="宋体" w:hint="default"/>
                <w:spacing w:val="-21"/>
                <w:sz w:val="18"/>
                <w:szCs w:val="18"/>
              </w:rPr>
              <w:t>咨询、技</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53.00%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83"/>
              <w:jc w:val="both"/>
              <w:rPr>
                <w:rFonts w:ascii="宋体" w:hAnsi="宋体" w:cs="宋体" w:eastAsia="宋体" w:hint="default"/>
                <w:sz w:val="18"/>
                <w:szCs w:val="18"/>
              </w:rPr>
            </w:pPr>
            <w:r>
              <w:rPr>
                <w:rFonts w:ascii="宋体" w:hAnsi="宋体" w:cs="宋体" w:eastAsia="宋体" w:hint="default"/>
                <w:sz w:val="18"/>
                <w:szCs w:val="18"/>
              </w:rPr>
              <w:t>河北智 旅投资 有限公 司、河 北鹏瑜</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83"/>
              <w:jc w:val="both"/>
              <w:rPr>
                <w:rFonts w:ascii="宋体" w:hAnsi="宋体" w:cs="宋体" w:eastAsia="宋体" w:hint="default"/>
                <w:sz w:val="18"/>
                <w:szCs w:val="18"/>
              </w:rPr>
            </w:pPr>
            <w:r>
              <w:rPr>
                <w:rFonts w:ascii="宋体" w:hAnsi="宋体" w:cs="宋体" w:eastAsia="宋体" w:hint="default"/>
                <w:sz w:val="18"/>
                <w:szCs w:val="18"/>
              </w:rPr>
              <w:t>环境污 染治理 设备、 工程等</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2,468,70</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3.92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0"/>
              <w:jc w:val="left"/>
              <w:rPr>
                <w:rFonts w:ascii="宋体" w:hAnsi="宋体" w:cs="宋体" w:eastAsia="宋体" w:hint="default"/>
                <w:sz w:val="18"/>
                <w:szCs w:val="18"/>
              </w:rPr>
            </w:pPr>
            <w:r>
              <w:rPr>
                <w:rFonts w:ascii="宋体" w:hAnsi="宋体" w:cs="宋体" w:eastAsia="宋体" w:hint="default"/>
                <w:sz w:val="18"/>
                <w:szCs w:val="18"/>
              </w:rPr>
              <w:t>巨潮资 </w:t>
            </w:r>
            <w:r>
              <w:rPr>
                <w:rFonts w:ascii="宋体" w:hAnsi="宋体" w:cs="宋体" w:eastAsia="宋体" w:hint="default"/>
                <w:spacing w:val="-14"/>
                <w:sz w:val="18"/>
                <w:szCs w:val="18"/>
              </w:rPr>
              <w:t>讯《关于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投资设 立控股 子公司</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10234" w:lineRule="exact"/>
        <w:ind w:left="149" w:right="0" w:firstLine="0"/>
        <w:rPr>
          <w:rFonts w:ascii="宋体" w:hAnsi="宋体" w:cs="宋体" w:eastAsia="宋体" w:hint="default"/>
          <w:sz w:val="20"/>
          <w:szCs w:val="20"/>
        </w:rPr>
      </w:pPr>
      <w:r>
        <w:rPr>
          <w:rFonts w:ascii="宋体" w:hAnsi="宋体" w:cs="宋体" w:eastAsia="宋体" w:hint="default"/>
          <w:position w:val="-204"/>
          <w:sz w:val="20"/>
          <w:szCs w:val="20"/>
        </w:rPr>
        <w:pict>
          <v:group style="width:479.85pt;height:511.75pt;mso-position-horizontal-relative:char;mso-position-vertical-relative:line" coordorigin="0,0" coordsize="9597,10235">
            <v:group style="position:absolute;left:1397;top:14;width:652;height:7530" coordorigin="1397,14" coordsize="652,7530">
              <v:shape style="position:absolute;left:1397;top:14;width:652;height:7530" coordorigin="1397,14" coordsize="652,7530" path="m1397,7544l2049,7544,2049,14,1397,14,1397,7544xe" filled="true" fillcolor="#ffffff" stroked="false">
                <v:path arrowok="t"/>
                <v:fill type="solid"/>
              </v:shape>
            </v:group>
            <v:group style="position:absolute;left:10;top:10;width:685;height:2" coordorigin="10,10" coordsize="685,2">
              <v:shape style="position:absolute;left:10;top:10;width:685;height:2" coordorigin="10,10" coordsize="685,0" path="m10,10l694,10e" filled="false" stroked="true" strokeweight=".48pt" strokecolor="#000000">
                <v:path arrowok="t"/>
              </v:shape>
            </v:group>
            <v:group style="position:absolute;left:704;top:10;width:684;height:2" coordorigin="704,10" coordsize="684,2">
              <v:shape style="position:absolute;left:704;top:10;width:684;height:2" coordorigin="704,10" coordsize="684,0" path="m704,10l1388,10e" filled="false" stroked="true" strokeweight=".48pt" strokecolor="#000000">
                <v:path arrowok="t"/>
              </v:shape>
            </v:group>
            <v:group style="position:absolute;left:1397;top:10;width:653;height:2" coordorigin="1397,10" coordsize="653,2">
              <v:shape style="position:absolute;left:1397;top:10;width:653;height:2" coordorigin="1397,10" coordsize="653,0" path="m1397,10l2050,10e" filled="false" stroked="true" strokeweight=".48pt" strokecolor="#000000">
                <v:path arrowok="t"/>
              </v:shape>
            </v:group>
            <v:group style="position:absolute;left:2060;top:10;width:652;height:2" coordorigin="2060,10" coordsize="652,2">
              <v:shape style="position:absolute;left:2060;top:10;width:652;height:2" coordorigin="2060,10" coordsize="652,0" path="m2060,10l2711,10e" filled="false" stroked="true" strokeweight=".48pt" strokecolor="#000000">
                <v:path arrowok="t"/>
              </v:shape>
            </v:group>
            <v:group style="position:absolute;left:2721;top:10;width:653;height:2" coordorigin="2721,10" coordsize="653,2">
              <v:shape style="position:absolute;left:2721;top:10;width:653;height:2" coordorigin="2721,10" coordsize="653,0" path="m2721,10l3374,10e" filled="false" stroked="true" strokeweight=".48pt" strokecolor="#000000">
                <v:path arrowok="t"/>
              </v:shape>
            </v:group>
            <v:group style="position:absolute;left:3383;top:10;width:654;height:2" coordorigin="3383,10" coordsize="654,2">
              <v:shape style="position:absolute;left:3383;top:10;width:654;height:2" coordorigin="3383,10" coordsize="654,0" path="m3383,10l4036,10e" filled="false" stroked="true" strokeweight=".48pt" strokecolor="#000000">
                <v:path arrowok="t"/>
              </v:shape>
            </v:group>
            <v:group style="position:absolute;left:4046;top:10;width:648;height:2" coordorigin="4046,10" coordsize="648,2">
              <v:shape style="position:absolute;left:4046;top:10;width:648;height:2" coordorigin="4046,10" coordsize="648,0" path="m4046,10l4694,10e" filled="false" stroked="true" strokeweight=".48pt" strokecolor="#000000">
                <v:path arrowok="t"/>
              </v:shape>
            </v:group>
            <v:group style="position:absolute;left:4704;top:10;width:646;height:2" coordorigin="4704,10" coordsize="646,2">
              <v:shape style="position:absolute;left:4704;top:10;width:646;height:2" coordorigin="4704,10" coordsize="646,0" path="m4704,10l5349,10e" filled="false" stroked="true" strokeweight=".48pt" strokecolor="#000000">
                <v:path arrowok="t"/>
              </v:shape>
            </v:group>
            <v:group style="position:absolute;left:5359;top:10;width:648;height:2" coordorigin="5359,10" coordsize="648,2">
              <v:shape style="position:absolute;left:5359;top:10;width:648;height:2" coordorigin="5359,10" coordsize="648,0" path="m5359,10l6007,10e" filled="false" stroked="true" strokeweight=".48pt" strokecolor="#000000">
                <v:path arrowok="t"/>
              </v:shape>
            </v:group>
            <v:group style="position:absolute;left:6016;top:10;width:620;height:2" coordorigin="6016,10" coordsize="620,2">
              <v:shape style="position:absolute;left:6016;top:10;width:620;height:2" coordorigin="6016,10" coordsize="620,0" path="m6016,10l6636,10e" filled="false" stroked="true" strokeweight=".48pt" strokecolor="#000000">
                <v:path arrowok="t"/>
              </v:shape>
            </v:group>
            <v:group style="position:absolute;left:6645;top:10;width:730;height:2" coordorigin="6645,10" coordsize="730,2">
              <v:shape style="position:absolute;left:6645;top:10;width:730;height:2" coordorigin="6645,10" coordsize="730,0" path="m6645,10l7375,10e" filled="false" stroked="true" strokeweight=".48pt" strokecolor="#000000">
                <v:path arrowok="t"/>
              </v:shape>
            </v:group>
            <v:group style="position:absolute;left:7385;top:10;width:725;height:2" coordorigin="7385,10" coordsize="725,2">
              <v:shape style="position:absolute;left:7385;top:10;width:725;height:2" coordorigin="7385,10" coordsize="725,0" path="m7385,10l8110,10e" filled="false" stroked="true" strokeweight=".48pt" strokecolor="#000000">
                <v:path arrowok="t"/>
              </v:shape>
            </v:group>
            <v:group style="position:absolute;left:8119;top:10;width:724;height:2" coordorigin="8119,10" coordsize="724,2">
              <v:shape style="position:absolute;left:8119;top:10;width:724;height:2" coordorigin="8119,10" coordsize="724,0" path="m8119,10l8843,10e" filled="false" stroked="true" strokeweight=".48pt" strokecolor="#000000">
                <v:path arrowok="t"/>
              </v:shape>
            </v:group>
            <v:group style="position:absolute;left:8852;top:10;width:714;height:2" coordorigin="8852,10" coordsize="714,2">
              <v:shape style="position:absolute;left:8852;top:10;width:714;height:2" coordorigin="8852,10" coordsize="714,0" path="m8852,10l9566,10e" filled="false" stroked="true" strokeweight=".48pt" strokecolor="#000000">
                <v:path arrowok="t"/>
              </v:shape>
            </v:group>
            <v:group style="position:absolute;left:10;top:7549;width:685;height:2" coordorigin="10,7549" coordsize="685,2">
              <v:shape style="position:absolute;left:10;top:7549;width:685;height:2" coordorigin="10,7549" coordsize="685,0" path="m10,7549l694,7549e" filled="false" stroked="true" strokeweight=".48001pt" strokecolor="#000000">
                <v:path arrowok="t"/>
              </v:shape>
            </v:group>
            <v:group style="position:absolute;left:704;top:7549;width:684;height:2" coordorigin="704,7549" coordsize="684,2">
              <v:shape style="position:absolute;left:704;top:7549;width:684;height:2" coordorigin="704,7549" coordsize="684,0" path="m704,7549l1388,7549e" filled="false" stroked="true" strokeweight=".48001pt" strokecolor="#000000">
                <v:path arrowok="t"/>
              </v:shape>
            </v:group>
            <v:group style="position:absolute;left:1397;top:7549;width:653;height:2" coordorigin="1397,7549" coordsize="653,2">
              <v:shape style="position:absolute;left:1397;top:7549;width:653;height:2" coordorigin="1397,7549" coordsize="653,0" path="m1397,7549l2050,7549e" filled="false" stroked="true" strokeweight=".48001pt" strokecolor="#000000">
                <v:path arrowok="t"/>
              </v:shape>
            </v:group>
            <v:group style="position:absolute;left:2060;top:7549;width:652;height:2" coordorigin="2060,7549" coordsize="652,2">
              <v:shape style="position:absolute;left:2060;top:7549;width:652;height:2" coordorigin="2060,7549" coordsize="652,0" path="m2060,7549l2711,7549e" filled="false" stroked="true" strokeweight=".48001pt" strokecolor="#000000">
                <v:path arrowok="t"/>
              </v:shape>
            </v:group>
            <v:group style="position:absolute;left:2721;top:7549;width:653;height:2" coordorigin="2721,7549" coordsize="653,2">
              <v:shape style="position:absolute;left:2721;top:7549;width:653;height:2" coordorigin="2721,7549" coordsize="653,0" path="m2721,7549l3374,7549e" filled="false" stroked="true" strokeweight=".48001pt" strokecolor="#000000">
                <v:path arrowok="t"/>
              </v:shape>
            </v:group>
            <v:group style="position:absolute;left:3383;top:7549;width:654;height:2" coordorigin="3383,7549" coordsize="654,2">
              <v:shape style="position:absolute;left:3383;top:7549;width:654;height:2" coordorigin="3383,7549" coordsize="654,0" path="m3383,7549l4036,7549e" filled="false" stroked="true" strokeweight=".48001pt" strokecolor="#000000">
                <v:path arrowok="t"/>
              </v:shape>
            </v:group>
            <v:group style="position:absolute;left:4046;top:7549;width:648;height:2" coordorigin="4046,7549" coordsize="648,2">
              <v:shape style="position:absolute;left:4046;top:7549;width:648;height:2" coordorigin="4046,7549" coordsize="648,0" path="m4046,7549l4694,7549e" filled="false" stroked="true" strokeweight=".48001pt" strokecolor="#000000">
                <v:path arrowok="t"/>
              </v:shape>
            </v:group>
            <v:group style="position:absolute;left:4704;top:7549;width:646;height:2" coordorigin="4704,7549" coordsize="646,2">
              <v:shape style="position:absolute;left:4704;top:7549;width:646;height:2" coordorigin="4704,7549" coordsize="646,0" path="m4704,7549l5349,7549e" filled="false" stroked="true" strokeweight=".48001pt" strokecolor="#000000">
                <v:path arrowok="t"/>
              </v:shape>
            </v:group>
            <v:group style="position:absolute;left:5359;top:7549;width:648;height:2" coordorigin="5359,7549" coordsize="648,2">
              <v:shape style="position:absolute;left:5359;top:7549;width:648;height:2" coordorigin="5359,7549" coordsize="648,0" path="m5359,7549l6007,7549e" filled="false" stroked="true" strokeweight=".48001pt" strokecolor="#000000">
                <v:path arrowok="t"/>
              </v:shape>
            </v:group>
            <v:group style="position:absolute;left:6016;top:7549;width:620;height:2" coordorigin="6016,7549" coordsize="620,2">
              <v:shape style="position:absolute;left:6016;top:7549;width:620;height:2" coordorigin="6016,7549" coordsize="620,0" path="m6016,7549l6636,7549e" filled="false" stroked="true" strokeweight=".48001pt" strokecolor="#000000">
                <v:path arrowok="t"/>
              </v:shape>
            </v:group>
            <v:group style="position:absolute;left:6645;top:7549;width:730;height:2" coordorigin="6645,7549" coordsize="730,2">
              <v:shape style="position:absolute;left:6645;top:7549;width:730;height:2" coordorigin="6645,7549" coordsize="730,0" path="m6645,7549l7375,7549e" filled="false" stroked="true" strokeweight=".48001pt" strokecolor="#000000">
                <v:path arrowok="t"/>
              </v:shape>
            </v:group>
            <v:group style="position:absolute;left:7385;top:7549;width:725;height:2" coordorigin="7385,7549" coordsize="725,2">
              <v:shape style="position:absolute;left:7385;top:7549;width:725;height:2" coordorigin="7385,7549" coordsize="725,0" path="m7385,7549l8110,7549e" filled="false" stroked="true" strokeweight=".48001pt" strokecolor="#000000">
                <v:path arrowok="t"/>
              </v:shape>
            </v:group>
            <v:group style="position:absolute;left:8119;top:7549;width:724;height:2" coordorigin="8119,7549" coordsize="724,2">
              <v:shape style="position:absolute;left:8119;top:7549;width:724;height:2" coordorigin="8119,7549" coordsize="724,0" path="m8119,7549l8843,7549e" filled="false" stroked="true" strokeweight=".48001pt" strokecolor="#000000">
                <v:path arrowok="t"/>
              </v:shape>
            </v:group>
            <v:group style="position:absolute;left:8852;top:7549;width:714;height:2" coordorigin="8852,7549" coordsize="714,2">
              <v:shape style="position:absolute;left:8852;top:7549;width:714;height:2" coordorigin="8852,7549" coordsize="714,0" path="m8852,7549l9566,7549e" filled="false" stroked="true" strokeweight=".48001pt" strokecolor="#000000">
                <v:path arrowok="t"/>
              </v:shape>
            </v:group>
            <v:group style="position:absolute;left:10;top:9516;width:685;height:156" coordorigin="10,9516" coordsize="685,156">
              <v:shape style="position:absolute;left:10;top:9516;width:685;height:156" coordorigin="10,9516" coordsize="685,156" path="m10,9672l694,9672,694,9516,10,9516,10,9672xe" filled="true" fillcolor="#d2d2d2" stroked="false">
                <v:path arrowok="t"/>
                <v:fill type="solid"/>
              </v:shape>
            </v:group>
            <v:group style="position:absolute;left:21;top:9672;width:2;height:393" coordorigin="21,9672" coordsize="2,393">
              <v:shape style="position:absolute;left:21;top:9672;width:2;height:393" coordorigin="21,9672" coordsize="0,393" path="m21,9672l21,10064e" filled="false" stroked="true" strokeweight="1.140pt" strokecolor="#d2d2d2">
                <v:path arrowok="t"/>
              </v:shape>
            </v:group>
            <v:group style="position:absolute;left:683;top:9672;width:2;height:393" coordorigin="683,9672" coordsize="2,393">
              <v:shape style="position:absolute;left:683;top:9672;width:2;height:393" coordorigin="683,9672" coordsize="0,393" path="m683,9672l683,10064e" filled="false" stroked="true" strokeweight="1.140pt" strokecolor="#d2d2d2">
                <v:path arrowok="t"/>
              </v:shape>
            </v:group>
            <v:group style="position:absolute;left:10;top:10064;width:685;height:156" coordorigin="10,10064" coordsize="685,156">
              <v:shape style="position:absolute;left:10;top:10064;width:685;height:156" coordorigin="10,10064" coordsize="685,156" path="m10,10220l694,10220,694,10064,10,10064,10,10220xe" filled="true" fillcolor="#d2d2d2" stroked="false">
                <v:path arrowok="t"/>
                <v:fill type="solid"/>
              </v:shape>
            </v:group>
            <v:group style="position:absolute;left:32;top:9672;width:639;height:393" coordorigin="32,9672" coordsize="639,393">
              <v:shape style="position:absolute;left:32;top:9672;width:639;height:393" coordorigin="32,9672" coordsize="639,393" path="m32,10064l671,10064,671,9672,32,9672,32,10064xe" filled="true" fillcolor="#d2d2d2" stroked="false">
                <v:path arrowok="t"/>
                <v:fill type="solid"/>
              </v:shape>
            </v:group>
            <v:group style="position:absolute;left:704;top:9516;width:684;height:156" coordorigin="704,9516" coordsize="684,156">
              <v:shape style="position:absolute;left:704;top:9516;width:684;height:156" coordorigin="704,9516" coordsize="684,156" path="m704,9672l1388,9672,1388,9516,704,9516,704,9672xe" filled="true" fillcolor="#d2d2d2" stroked="false">
                <v:path arrowok="t"/>
                <v:fill type="solid"/>
              </v:shape>
            </v:group>
            <v:group style="position:absolute;left:716;top:9672;width:2;height:393" coordorigin="716,9672" coordsize="2,393">
              <v:shape style="position:absolute;left:716;top:9672;width:2;height:393" coordorigin="716,9672" coordsize="0,393" path="m716,9672l716,10064e" filled="false" stroked="true" strokeweight="1.2pt" strokecolor="#d2d2d2">
                <v:path arrowok="t"/>
              </v:shape>
            </v:group>
            <v:group style="position:absolute;left:1376;top:9672;width:2;height:393" coordorigin="1376,9672" coordsize="2,393">
              <v:shape style="position:absolute;left:1376;top:9672;width:2;height:393" coordorigin="1376,9672" coordsize="0,393" path="m1376,9672l1376,10064e" filled="false" stroked="true" strokeweight="1.2pt" strokecolor="#d2d2d2">
                <v:path arrowok="t"/>
              </v:shape>
            </v:group>
            <v:group style="position:absolute;left:704;top:10064;width:684;height:156" coordorigin="704,10064" coordsize="684,156">
              <v:shape style="position:absolute;left:704;top:10064;width:684;height:156" coordorigin="704,10064" coordsize="684,156" path="m704,10220l1388,10220,1388,10064,704,10064,704,10220xe" filled="true" fillcolor="#d2d2d2" stroked="false">
                <v:path arrowok="t"/>
                <v:fill type="solid"/>
              </v:shape>
            </v:group>
            <v:group style="position:absolute;left:728;top:9672;width:636;height:393" coordorigin="728,9672" coordsize="636,393">
              <v:shape style="position:absolute;left:728;top:9672;width:636;height:393" coordorigin="728,9672" coordsize="636,393" path="m728,10064l1364,10064,1364,9672,728,9672,728,10064xe" filled="true" fillcolor="#d2d2d2" stroked="false">
                <v:path arrowok="t"/>
                <v:fill type="solid"/>
              </v:shape>
            </v:group>
            <v:group style="position:absolute;left:1397;top:9516;width:652;height:156" coordorigin="1397,9516" coordsize="652,156">
              <v:shape style="position:absolute;left:1397;top:9516;width:652;height:156" coordorigin="1397,9516" coordsize="652,156" path="m1397,9672l2049,9672,2049,9516,1397,9516,1397,9672xe" filled="true" fillcolor="#d2d2d2" stroked="false">
                <v:path arrowok="t"/>
                <v:fill type="solid"/>
              </v:shape>
            </v:group>
            <v:group style="position:absolute;left:1409;top:9672;width:2;height:393" coordorigin="1409,9672" coordsize="2,393">
              <v:shape style="position:absolute;left:1409;top:9672;width:2;height:393" coordorigin="1409,9672" coordsize="0,393" path="m1409,9672l1409,10064e" filled="false" stroked="true" strokeweight="1.140pt" strokecolor="#d2d2d2">
                <v:path arrowok="t"/>
              </v:shape>
            </v:group>
            <v:group style="position:absolute;left:2037;top:9672;width:2;height:393" coordorigin="2037,9672" coordsize="2,393">
              <v:shape style="position:absolute;left:2037;top:9672;width:2;height:393" coordorigin="2037,9672" coordsize="0,393" path="m2037,9672l2037,10064e" filled="false" stroked="true" strokeweight="1.140pt" strokecolor="#d2d2d2">
                <v:path arrowok="t"/>
              </v:shape>
            </v:group>
            <v:group style="position:absolute;left:1397;top:10064;width:652;height:156" coordorigin="1397,10064" coordsize="652,156">
              <v:shape style="position:absolute;left:1397;top:10064;width:652;height:156" coordorigin="1397,10064" coordsize="652,156" path="m1397,10220l2049,10220,2049,10064,1397,10064,1397,10220xe" filled="true" fillcolor="#d2d2d2" stroked="false">
                <v:path arrowok="t"/>
                <v:fill type="solid"/>
              </v:shape>
            </v:group>
            <v:group style="position:absolute;left:1420;top:9672;width:606;height:393" coordorigin="1420,9672" coordsize="606,393">
              <v:shape style="position:absolute;left:1420;top:9672;width:606;height:393" coordorigin="1420,9672" coordsize="606,393" path="m1420,10064l2026,10064,2026,9672,1420,9672,1420,10064xe" filled="true" fillcolor="#d2d2d2" stroked="false">
                <v:path arrowok="t"/>
                <v:fill type="solid"/>
              </v:shape>
            </v:group>
            <v:group style="position:absolute;left:10;top:9511;width:685;height:2" coordorigin="10,9511" coordsize="685,2">
              <v:shape style="position:absolute;left:10;top:9511;width:685;height:2" coordorigin="10,9511" coordsize="685,0" path="m10,9511l694,9511e" filled="false" stroked="true" strokeweight=".47998pt" strokecolor="#000000">
                <v:path arrowok="t"/>
              </v:shape>
            </v:group>
            <v:group style="position:absolute;left:704;top:9511;width:684;height:2" coordorigin="704,9511" coordsize="684,2">
              <v:shape style="position:absolute;left:704;top:9511;width:684;height:2" coordorigin="704,9511" coordsize="684,0" path="m704,9511l1388,9511e" filled="false" stroked="true" strokeweight=".47998pt" strokecolor="#000000">
                <v:path arrowok="t"/>
              </v:shape>
            </v:group>
            <v:group style="position:absolute;left:1397;top:9511;width:653;height:2" coordorigin="1397,9511" coordsize="653,2">
              <v:shape style="position:absolute;left:1397;top:9511;width:653;height:2" coordorigin="1397,9511" coordsize="653,0" path="m1397,9511l2050,9511e" filled="false" stroked="true" strokeweight=".47998pt" strokecolor="#000000">
                <v:path arrowok="t"/>
              </v:shape>
            </v:group>
            <v:group style="position:absolute;left:2721;top:9516;width:653;height:156" coordorigin="2721,9516" coordsize="653,156">
              <v:shape style="position:absolute;left:2721;top:9516;width:653;height:156" coordorigin="2721,9516" coordsize="653,156" path="m2721,9672l3374,9672,3374,9516,2721,9516,2721,9672xe" filled="true" fillcolor="#d2d2d2" stroked="false">
                <v:path arrowok="t"/>
                <v:fill type="solid"/>
              </v:shape>
            </v:group>
            <v:group style="position:absolute;left:2732;top:9672;width:2;height:393" coordorigin="2732,9672" coordsize="2,393">
              <v:shape style="position:absolute;left:2732;top:9672;width:2;height:393" coordorigin="2732,9672" coordsize="0,393" path="m2732,9672l2732,10064e" filled="false" stroked="true" strokeweight="1.140pt" strokecolor="#d2d2d2">
                <v:path arrowok="t"/>
              </v:shape>
            </v:group>
            <v:group style="position:absolute;left:3362;top:9672;width:2;height:393" coordorigin="3362,9672" coordsize="2,393">
              <v:shape style="position:absolute;left:3362;top:9672;width:2;height:393" coordorigin="3362,9672" coordsize="0,393" path="m3362,9672l3362,10064e" filled="false" stroked="true" strokeweight="1.2pt" strokecolor="#d2d2d2">
                <v:path arrowok="t"/>
              </v:shape>
            </v:group>
            <v:group style="position:absolute;left:2721;top:10064;width:653;height:156" coordorigin="2721,10064" coordsize="653,156">
              <v:shape style="position:absolute;left:2721;top:10064;width:653;height:156" coordorigin="2721,10064" coordsize="653,156" path="m2721,10220l3374,10220,3374,10064,2721,10064,2721,10220xe" filled="true" fillcolor="#d2d2d2" stroked="false">
                <v:path arrowok="t"/>
                <v:fill type="solid"/>
              </v:shape>
            </v:group>
            <v:group style="position:absolute;left:2744;top:9672;width:606;height:393" coordorigin="2744,9672" coordsize="606,393">
              <v:shape style="position:absolute;left:2744;top:9672;width:606;height:393" coordorigin="2744,9672" coordsize="606,393" path="m2744,10064l3350,10064,3350,9672,2744,9672,2744,10064xe" filled="true" fillcolor="#d2d2d2" stroked="false">
                <v:path arrowok="t"/>
                <v:fill type="solid"/>
              </v:shape>
            </v:group>
            <v:group style="position:absolute;left:3383;top:9516;width:652;height:156" coordorigin="3383,9516" coordsize="652,156">
              <v:shape style="position:absolute;left:3383;top:9516;width:652;height:156" coordorigin="3383,9516" coordsize="652,156" path="m3383,9672l4035,9672,4035,9516,3383,9516,3383,9672xe" filled="true" fillcolor="#d2d2d2" stroked="false">
                <v:path arrowok="t"/>
                <v:fill type="solid"/>
              </v:shape>
            </v:group>
            <v:group style="position:absolute;left:3395;top:9672;width:2;height:393" coordorigin="3395,9672" coordsize="2,393">
              <v:shape style="position:absolute;left:3395;top:9672;width:2;height:393" coordorigin="3395,9672" coordsize="0,393" path="m3395,9672l3395,10064e" filled="false" stroked="true" strokeweight="1.140pt" strokecolor="#d2d2d2">
                <v:path arrowok="t"/>
              </v:shape>
            </v:group>
            <v:group style="position:absolute;left:4024;top:9672;width:2;height:393" coordorigin="4024,9672" coordsize="2,393">
              <v:shape style="position:absolute;left:4024;top:9672;width:2;height:393" coordorigin="4024,9672" coordsize="0,393" path="m4024,9672l4024,10064e" filled="false" stroked="true" strokeweight="1.140pt" strokecolor="#d2d2d2">
                <v:path arrowok="t"/>
              </v:shape>
            </v:group>
            <v:group style="position:absolute;left:3383;top:10064;width:652;height:156" coordorigin="3383,10064" coordsize="652,156">
              <v:shape style="position:absolute;left:3383;top:10064;width:652;height:156" coordorigin="3383,10064" coordsize="652,156" path="m3383,10220l4035,10220,4035,10064,3383,10064,3383,10220xe" filled="true" fillcolor="#d2d2d2" stroked="false">
                <v:path arrowok="t"/>
                <v:fill type="solid"/>
              </v:shape>
            </v:group>
            <v:group style="position:absolute;left:3406;top:9672;width:607;height:393" coordorigin="3406,9672" coordsize="607,393">
              <v:shape style="position:absolute;left:3406;top:9672;width:607;height:393" coordorigin="3406,9672" coordsize="607,393" path="m3406,10064l4012,10064,4012,9672,3406,9672,3406,10064xe" filled="true" fillcolor="#d2d2d2" stroked="false">
                <v:path arrowok="t"/>
                <v:fill type="solid"/>
              </v:shape>
            </v:group>
            <v:group style="position:absolute;left:4046;top:9516;width:648;height:156" coordorigin="4046,9516" coordsize="648,156">
              <v:shape style="position:absolute;left:4046;top:9516;width:648;height:156" coordorigin="4046,9516" coordsize="648,156" path="m4046,9672l4694,9672,4694,9516,4046,9516,4046,9672xe" filled="true" fillcolor="#d2d2d2" stroked="false">
                <v:path arrowok="t"/>
                <v:fill type="solid"/>
              </v:shape>
            </v:group>
            <v:group style="position:absolute;left:4057;top:9672;width:2;height:393" coordorigin="4057,9672" coordsize="2,393">
              <v:shape style="position:absolute;left:4057;top:9672;width:2;height:393" coordorigin="4057,9672" coordsize="0,393" path="m4057,9672l4057,10064e" filled="false" stroked="true" strokeweight="1.140pt" strokecolor="#d2d2d2">
                <v:path arrowok="t"/>
              </v:shape>
            </v:group>
            <v:group style="position:absolute;left:4682;top:9672;width:2;height:393" coordorigin="4682,9672" coordsize="2,393">
              <v:shape style="position:absolute;left:4682;top:9672;width:2;height:393" coordorigin="4682,9672" coordsize="0,393" path="m4682,9672l4682,10064e" filled="false" stroked="true" strokeweight="1.2pt" strokecolor="#d2d2d2">
                <v:path arrowok="t"/>
              </v:shape>
            </v:group>
            <v:group style="position:absolute;left:4046;top:10064;width:648;height:156" coordorigin="4046,10064" coordsize="648,156">
              <v:shape style="position:absolute;left:4046;top:10064;width:648;height:156" coordorigin="4046,10064" coordsize="648,156" path="m4046,10220l4694,10220,4694,10064,4046,10064,4046,10220xe" filled="true" fillcolor="#d2d2d2" stroked="false">
                <v:path arrowok="t"/>
                <v:fill type="solid"/>
              </v:shape>
            </v:group>
            <v:group style="position:absolute;left:4069;top:9672;width:602;height:393" coordorigin="4069,9672" coordsize="602,393">
              <v:shape style="position:absolute;left:4069;top:9672;width:602;height:393" coordorigin="4069,9672" coordsize="602,393" path="m4069,10064l4670,10064,4670,9672,4069,9672,4069,10064xe" filled="true" fillcolor="#d2d2d2" stroked="false">
                <v:path arrowok="t"/>
                <v:fill type="solid"/>
              </v:shape>
            </v:group>
            <v:group style="position:absolute;left:4704;top:9516;width:645;height:156" coordorigin="4704,9516" coordsize="645,156">
              <v:shape style="position:absolute;left:4704;top:9516;width:645;height:156" coordorigin="4704,9516" coordsize="645,156" path="m4704,9672l5348,9672,5348,9516,4704,9516,4704,9672xe" filled="true" fillcolor="#d2d2d2" stroked="false">
                <v:path arrowok="t"/>
                <v:fill type="solid"/>
              </v:shape>
            </v:group>
            <v:group style="position:absolute;left:4715;top:9672;width:2;height:393" coordorigin="4715,9672" coordsize="2,393">
              <v:shape style="position:absolute;left:4715;top:9672;width:2;height:393" coordorigin="4715,9672" coordsize="0,393" path="m4715,9672l4715,10064e" filled="false" stroked="true" strokeweight="1.140pt" strokecolor="#d2d2d2">
                <v:path arrowok="t"/>
              </v:shape>
            </v:group>
            <v:group style="position:absolute;left:5337;top:9672;width:2;height:393" coordorigin="5337,9672" coordsize="2,393">
              <v:shape style="position:absolute;left:5337;top:9672;width:2;height:393" coordorigin="5337,9672" coordsize="0,393" path="m5337,9672l5337,10064e" filled="false" stroked="true" strokeweight="1.140pt" strokecolor="#d2d2d2">
                <v:path arrowok="t"/>
              </v:shape>
            </v:group>
            <v:group style="position:absolute;left:4704;top:10064;width:645;height:156" coordorigin="4704,10064" coordsize="645,156">
              <v:shape style="position:absolute;left:4704;top:10064;width:645;height:156" coordorigin="4704,10064" coordsize="645,156" path="m4704,10220l5348,10220,5348,10064,4704,10064,4704,10220xe" filled="true" fillcolor="#d2d2d2" stroked="false">
                <v:path arrowok="t"/>
                <v:fill type="solid"/>
              </v:shape>
            </v:group>
            <v:group style="position:absolute;left:4726;top:9672;width:599;height:393" coordorigin="4726,9672" coordsize="599,393">
              <v:shape style="position:absolute;left:4726;top:9672;width:599;height:393" coordorigin="4726,9672" coordsize="599,393" path="m4726,10064l5325,10064,5325,9672,4726,9672,4726,10064xe" filled="true" fillcolor="#d2d2d2" stroked="false">
                <v:path arrowok="t"/>
                <v:fill type="solid"/>
              </v:shape>
            </v:group>
            <v:group style="position:absolute;left:5359;top:9516;width:648;height:156" coordorigin="5359,9516" coordsize="648,156">
              <v:shape style="position:absolute;left:5359;top:9516;width:648;height:156" coordorigin="5359,9516" coordsize="648,156" path="m5359,9672l6007,9672,6007,9516,5359,9516,5359,9672xe" filled="true" fillcolor="#d2d2d2" stroked="false">
                <v:path arrowok="t"/>
                <v:fill type="solid"/>
              </v:shape>
            </v:group>
            <v:group style="position:absolute;left:5370;top:9672;width:2;height:393" coordorigin="5370,9672" coordsize="2,393">
              <v:shape style="position:absolute;left:5370;top:9672;width:2;height:393" coordorigin="5370,9672" coordsize="0,393" path="m5370,9672l5370,10064e" filled="false" stroked="true" strokeweight="1.140pt" strokecolor="#d2d2d2">
                <v:path arrowok="t"/>
              </v:shape>
            </v:group>
            <v:group style="position:absolute;left:5995;top:9672;width:2;height:393" coordorigin="5995,9672" coordsize="2,393">
              <v:shape style="position:absolute;left:5995;top:9672;width:2;height:393" coordorigin="5995,9672" coordsize="0,393" path="m5995,9672l5995,10064e" filled="false" stroked="true" strokeweight="1.140pt" strokecolor="#d2d2d2">
                <v:path arrowok="t"/>
              </v:shape>
            </v:group>
            <v:group style="position:absolute;left:5359;top:10064;width:648;height:156" coordorigin="5359,10064" coordsize="648,156">
              <v:shape style="position:absolute;left:5359;top:10064;width:648;height:156" coordorigin="5359,10064" coordsize="648,156" path="m5359,10220l6007,10220,6007,10064,5359,10064,5359,10220xe" filled="true" fillcolor="#d2d2d2" stroked="false">
                <v:path arrowok="t"/>
                <v:fill type="solid"/>
              </v:shape>
            </v:group>
            <v:group style="position:absolute;left:5382;top:9672;width:603;height:393" coordorigin="5382,9672" coordsize="603,393">
              <v:shape style="position:absolute;left:5382;top:9672;width:603;height:393" coordorigin="5382,9672" coordsize="603,393" path="m5382,10064l5984,10064,5984,9672,5382,9672,5382,10064xe" filled="true" fillcolor="#d2d2d2" stroked="false">
                <v:path arrowok="t"/>
                <v:fill type="solid"/>
              </v:shape>
            </v:group>
            <v:group style="position:absolute;left:2060;top:9511;width:652;height:2" coordorigin="2060,9511" coordsize="652,2">
              <v:shape style="position:absolute;left:2060;top:9511;width:652;height:2" coordorigin="2060,9511" coordsize="652,0" path="m2060,9511l2711,9511e" filled="false" stroked="true" strokeweight=".47998pt" strokecolor="#000000">
                <v:path arrowok="t"/>
              </v:shape>
            </v:group>
            <v:group style="position:absolute;left:2721;top:9511;width:653;height:2" coordorigin="2721,9511" coordsize="653,2">
              <v:shape style="position:absolute;left:2721;top:9511;width:653;height:2" coordorigin="2721,9511" coordsize="653,0" path="m2721,9511l3374,9511e" filled="false" stroked="true" strokeweight=".47998pt" strokecolor="#000000">
                <v:path arrowok="t"/>
              </v:shape>
            </v:group>
            <v:group style="position:absolute;left:3383;top:9511;width:654;height:2" coordorigin="3383,9511" coordsize="654,2">
              <v:shape style="position:absolute;left:3383;top:9511;width:654;height:2" coordorigin="3383,9511" coordsize="654,0" path="m3383,9511l4036,9511e" filled="false" stroked="true" strokeweight=".47998pt" strokecolor="#000000">
                <v:path arrowok="t"/>
              </v:shape>
            </v:group>
            <v:group style="position:absolute;left:4046;top:9511;width:648;height:2" coordorigin="4046,9511" coordsize="648,2">
              <v:shape style="position:absolute;left:4046;top:9511;width:648;height:2" coordorigin="4046,9511" coordsize="648,0" path="m4046,9511l4694,9511e" filled="false" stroked="true" strokeweight=".47998pt" strokecolor="#000000">
                <v:path arrowok="t"/>
              </v:shape>
            </v:group>
            <v:group style="position:absolute;left:4704;top:9511;width:646;height:2" coordorigin="4704,9511" coordsize="646,2">
              <v:shape style="position:absolute;left:4704;top:9511;width:646;height:2" coordorigin="4704,9511" coordsize="646,0" path="m4704,9511l5349,9511e" filled="false" stroked="true" strokeweight=".47998pt" strokecolor="#000000">
                <v:path arrowok="t"/>
              </v:shape>
            </v:group>
            <v:group style="position:absolute;left:5359;top:9511;width:648;height:2" coordorigin="5359,9511" coordsize="648,2">
              <v:shape style="position:absolute;left:5359;top:9511;width:648;height:2" coordorigin="5359,9511" coordsize="648,0" path="m5359,9511l6007,9511e" filled="false" stroked="true" strokeweight=".47998pt" strokecolor="#000000">
                <v:path arrowok="t"/>
              </v:shape>
            </v:group>
            <v:group style="position:absolute;left:6016;top:9511;width:620;height:2" coordorigin="6016,9511" coordsize="620,2">
              <v:shape style="position:absolute;left:6016;top:9511;width:620;height:2" coordorigin="6016,9511" coordsize="620,0" path="m6016,9511l6636,9511e" filled="false" stroked="true" strokeweight=".47998pt" strokecolor="#000000">
                <v:path arrowok="t"/>
              </v:shape>
            </v:group>
            <v:group style="position:absolute;left:7385;top:9516;width:724;height:156" coordorigin="7385,9516" coordsize="724,156">
              <v:shape style="position:absolute;left:7385;top:9516;width:724;height:156" coordorigin="7385,9516" coordsize="724,156" path="m7385,9672l8108,9672,8108,9516,7385,9516,7385,9672xe" filled="true" fillcolor="#d2d2d2" stroked="false">
                <v:path arrowok="t"/>
                <v:fill type="solid"/>
              </v:shape>
            </v:group>
            <v:group style="position:absolute;left:7396;top:9672;width:2;height:393" coordorigin="7396,9672" coordsize="2,393">
              <v:shape style="position:absolute;left:7396;top:9672;width:2;height:393" coordorigin="7396,9672" coordsize="0,393" path="m7396,9672l7396,10064e" filled="false" stroked="true" strokeweight="1.140pt" strokecolor="#d2d2d2">
                <v:path arrowok="t"/>
              </v:shape>
            </v:group>
            <v:group style="position:absolute;left:8097;top:9672;width:2;height:393" coordorigin="8097,9672" coordsize="2,393">
              <v:shape style="position:absolute;left:8097;top:9672;width:2;height:393" coordorigin="8097,9672" coordsize="0,393" path="m8097,9672l8097,10064e" filled="false" stroked="true" strokeweight="1.140pt" strokecolor="#d2d2d2">
                <v:path arrowok="t"/>
              </v:shape>
            </v:group>
            <v:group style="position:absolute;left:7385;top:10064;width:724;height:156" coordorigin="7385,10064" coordsize="724,156">
              <v:shape style="position:absolute;left:7385;top:10064;width:724;height:156" coordorigin="7385,10064" coordsize="724,156" path="m7385,10220l8108,10220,8108,10064,7385,10064,7385,10220xe" filled="true" fillcolor="#d2d2d2" stroked="false">
                <v:path arrowok="t"/>
                <v:fill type="solid"/>
              </v:shape>
            </v:group>
            <v:group style="position:absolute;left:7408;top:9672;width:678;height:393" coordorigin="7408,9672" coordsize="678,393">
              <v:shape style="position:absolute;left:7408;top:9672;width:678;height:393" coordorigin="7408,9672" coordsize="678,393" path="m7408,10064l8086,10064,8086,9672,7408,9672,7408,10064xe" filled="true" fillcolor="#d2d2d2" stroked="false">
                <v:path arrowok="t"/>
                <v:fill type="solid"/>
              </v:shape>
            </v:group>
            <v:group style="position:absolute;left:8119;top:9516;width:724;height:156" coordorigin="8119,9516" coordsize="724,156">
              <v:shape style="position:absolute;left:8119;top:9516;width:724;height:156" coordorigin="8119,9516" coordsize="724,156" path="m8119,9672l8843,9672,8843,9516,8119,9516,8119,9672xe" filled="true" fillcolor="#d2d2d2" stroked="false">
                <v:path arrowok="t"/>
                <v:fill type="solid"/>
              </v:shape>
            </v:group>
            <v:group style="position:absolute;left:8131;top:9672;width:2;height:393" coordorigin="8131,9672" coordsize="2,393">
              <v:shape style="position:absolute;left:8131;top:9672;width:2;height:393" coordorigin="8131,9672" coordsize="0,393" path="m8131,9672l8131,10064e" filled="false" stroked="true" strokeweight="1.140pt" strokecolor="#d2d2d2">
                <v:path arrowok="t"/>
              </v:shape>
            </v:group>
            <v:group style="position:absolute;left:8831;top:9672;width:2;height:393" coordorigin="8831,9672" coordsize="2,393">
              <v:shape style="position:absolute;left:8831;top:9672;width:2;height:393" coordorigin="8831,9672" coordsize="0,393" path="m8831,9672l8831,10064e" filled="false" stroked="true" strokeweight="1.140pt" strokecolor="#d2d2d2">
                <v:path arrowok="t"/>
              </v:shape>
            </v:group>
            <v:group style="position:absolute;left:8119;top:10064;width:724;height:156" coordorigin="8119,10064" coordsize="724,156">
              <v:shape style="position:absolute;left:8119;top:10064;width:724;height:156" coordorigin="8119,10064" coordsize="724,156" path="m8119,10220l8843,10220,8843,10064,8119,10064,8119,10220xe" filled="true" fillcolor="#d2d2d2" stroked="false">
                <v:path arrowok="t"/>
                <v:fill type="solid"/>
              </v:shape>
            </v:group>
            <v:group style="position:absolute;left:8142;top:9672;width:678;height:393" coordorigin="8142,9672" coordsize="678,393">
              <v:shape style="position:absolute;left:8142;top:9672;width:678;height:393" coordorigin="8142,9672" coordsize="678,393" path="m8142,10064l8820,10064,8820,9672,8142,9672,8142,10064xe" filled="true" fillcolor="#d2d2d2" stroked="false">
                <v:path arrowok="t"/>
                <v:fill type="solid"/>
              </v:shape>
            </v:group>
            <v:group style="position:absolute;left:8854;top:9516;width:713;height:156" coordorigin="8854,9516" coordsize="713,156">
              <v:shape style="position:absolute;left:8854;top:9516;width:713;height:156" coordorigin="8854,9516" coordsize="713,156" path="m8854,9672l9566,9672,9566,9516,8854,9516,8854,9672xe" filled="true" fillcolor="#d2d2d2" stroked="false">
                <v:path arrowok="t"/>
                <v:fill type="solid"/>
              </v:shape>
            </v:group>
            <v:group style="position:absolute;left:8865;top:9672;width:2;height:393" coordorigin="8865,9672" coordsize="2,393">
              <v:shape style="position:absolute;left:8865;top:9672;width:2;height:393" coordorigin="8865,9672" coordsize="0,393" path="m8865,9672l8865,10064e" filled="false" stroked="true" strokeweight="1.140pt" strokecolor="#d2d2d2">
                <v:path arrowok="t"/>
              </v:shape>
            </v:group>
            <v:group style="position:absolute;left:9555;top:9672;width:2;height:393" coordorigin="9555,9672" coordsize="2,393">
              <v:shape style="position:absolute;left:9555;top:9672;width:2;height:393" coordorigin="9555,9672" coordsize="0,393" path="m9555,9672l9555,10064e" filled="false" stroked="true" strokeweight="1.140pt" strokecolor="#d2d2d2">
                <v:path arrowok="t"/>
              </v:shape>
            </v:group>
            <v:group style="position:absolute;left:8854;top:10064;width:713;height:156" coordorigin="8854,10064" coordsize="713,156">
              <v:shape style="position:absolute;left:8854;top:10064;width:713;height:156" coordorigin="8854,10064" coordsize="713,156" path="m8854,10220l9566,10220,9566,10064,8854,10064,8854,10220xe" filled="true" fillcolor="#d2d2d2" stroked="false">
                <v:path arrowok="t"/>
                <v:fill type="solid"/>
              </v:shape>
            </v:group>
            <v:group style="position:absolute;left:8876;top:9672;width:668;height:393" coordorigin="8876,9672" coordsize="668,393">
              <v:shape style="position:absolute;left:8876;top:9672;width:668;height:393" coordorigin="8876,9672" coordsize="668,393" path="m8876,10064l9544,10064,9544,9672,8876,9672,8876,10064xe" filled="true" fillcolor="#d2d2d2" stroked="false">
                <v:path arrowok="t"/>
                <v:fill type="solid"/>
              </v:shape>
            </v:group>
            <v:group style="position:absolute;left:6645;top:9511;width:730;height:2" coordorigin="6645,9511" coordsize="730,2">
              <v:shape style="position:absolute;left:6645;top:9511;width:730;height:2" coordorigin="6645,9511" coordsize="730,0" path="m6645,9511l7375,9511e" filled="false" stroked="true" strokeweight=".47998pt" strokecolor="#000000">
                <v:path arrowok="t"/>
              </v:shape>
            </v:group>
            <v:group style="position:absolute;left:7385;top:9511;width:725;height:2" coordorigin="7385,9511" coordsize="725,2">
              <v:shape style="position:absolute;left:7385;top:9511;width:725;height:2" coordorigin="7385,9511" coordsize="725,0" path="m7385,9511l8110,9511e" filled="false" stroked="true" strokeweight=".47998pt" strokecolor="#000000">
                <v:path arrowok="t"/>
              </v:shape>
            </v:group>
            <v:group style="position:absolute;left:8119;top:9511;width:724;height:2" coordorigin="8119,9511" coordsize="724,2">
              <v:shape style="position:absolute;left:8119;top:9511;width:724;height:2" coordorigin="8119,9511" coordsize="724,0" path="m8119,9511l8843,9511e" filled="false" stroked="true" strokeweight=".47998pt" strokecolor="#000000">
                <v:path arrowok="t"/>
              </v:shape>
            </v:group>
            <v:group style="position:absolute;left:8852;top:9511;width:714;height:2" coordorigin="8852,9511" coordsize="714,2">
              <v:shape style="position:absolute;left:8852;top:9511;width:714;height:2" coordorigin="8852,9511" coordsize="714,0" path="m8852,9511l9566,9511e" filled="false" stroked="true" strokeweight=".47998pt" strokecolor="#000000">
                <v:path arrowok="t"/>
              </v:shape>
            </v:group>
            <v:group style="position:absolute;left:5;top:5;width:2;height:10225" coordorigin="5,5" coordsize="2,10225">
              <v:shape style="position:absolute;left:5;top:5;width:2;height:10225" coordorigin="5,5" coordsize="0,10225" path="m5,5l5,10230e" filled="false" stroked="true" strokeweight=".48pt" strokecolor="#000000">
                <v:path arrowok="t"/>
              </v:shape>
            </v:group>
            <v:group style="position:absolute;left:10;top:10225;width:685;height:2" coordorigin="10,10225" coordsize="685,2">
              <v:shape style="position:absolute;left:10;top:10225;width:685;height:2" coordorigin="10,10225" coordsize="685,0" path="m10,10225l694,10225e" filled="false" stroked="true" strokeweight=".47998pt" strokecolor="#000000">
                <v:path arrowok="t"/>
              </v:shape>
            </v:group>
            <v:group style="position:absolute;left:699;top:5;width:2;height:10225" coordorigin="699,5" coordsize="2,10225">
              <v:shape style="position:absolute;left:699;top:5;width:2;height:10225" coordorigin="699,5" coordsize="0,10225" path="m699,5l699,10230e" filled="false" stroked="true" strokeweight=".48pt" strokecolor="#000000">
                <v:path arrowok="t"/>
              </v:shape>
            </v:group>
            <v:group style="position:absolute;left:704;top:10225;width:684;height:2" coordorigin="704,10225" coordsize="684,2">
              <v:shape style="position:absolute;left:704;top:10225;width:684;height:2" coordorigin="704,10225" coordsize="684,0" path="m704,10225l1388,10225e" filled="false" stroked="true" strokeweight=".47998pt" strokecolor="#000000">
                <v:path arrowok="t"/>
              </v:shape>
            </v:group>
            <v:group style="position:absolute;left:1392;top:5;width:2;height:10225" coordorigin="1392,5" coordsize="2,10225">
              <v:shape style="position:absolute;left:1392;top:5;width:2;height:10225" coordorigin="1392,5" coordsize="0,10225" path="m1392,5l1392,10230e" filled="false" stroked="true" strokeweight=".48pt" strokecolor="#000000">
                <v:path arrowok="t"/>
              </v:shape>
            </v:group>
            <v:group style="position:absolute;left:1397;top:10225;width:653;height:2" coordorigin="1397,10225" coordsize="653,2">
              <v:shape style="position:absolute;left:1397;top:10225;width:653;height:2" coordorigin="1397,10225" coordsize="653,0" path="m1397,10225l2050,10225e" filled="false" stroked="true" strokeweight=".47998pt" strokecolor="#000000">
                <v:path arrowok="t"/>
              </v:shape>
            </v:group>
            <v:group style="position:absolute;left:2055;top:5;width:2;height:10225" coordorigin="2055,5" coordsize="2,10225">
              <v:shape style="position:absolute;left:2055;top:5;width:2;height:10225" coordorigin="2055,5" coordsize="0,10225" path="m2055,5l2055,10230e" filled="false" stroked="true" strokeweight=".48001pt" strokecolor="#000000">
                <v:path arrowok="t"/>
              </v:shape>
            </v:group>
            <v:group style="position:absolute;left:2060;top:10225;width:652;height:2" coordorigin="2060,10225" coordsize="652,2">
              <v:shape style="position:absolute;left:2060;top:10225;width:652;height:2" coordorigin="2060,10225" coordsize="652,0" path="m2060,10225l2711,10225e" filled="false" stroked="true" strokeweight=".47998pt" strokecolor="#000000">
                <v:path arrowok="t"/>
              </v:shape>
            </v:group>
            <v:group style="position:absolute;left:2716;top:5;width:2;height:10225" coordorigin="2716,5" coordsize="2,10225">
              <v:shape style="position:absolute;left:2716;top:5;width:2;height:10225" coordorigin="2716,5" coordsize="0,10225" path="m2716,5l2716,10230e" filled="false" stroked="true" strokeweight=".48001pt" strokecolor="#000000">
                <v:path arrowok="t"/>
              </v:shape>
            </v:group>
            <v:group style="position:absolute;left:2721;top:10225;width:653;height:2" coordorigin="2721,10225" coordsize="653,2">
              <v:shape style="position:absolute;left:2721;top:10225;width:653;height:2" coordorigin="2721,10225" coordsize="653,0" path="m2721,10225l3374,10225e" filled="false" stroked="true" strokeweight=".47998pt" strokecolor="#000000">
                <v:path arrowok="t"/>
              </v:shape>
            </v:group>
            <v:group style="position:absolute;left:3378;top:5;width:2;height:10225" coordorigin="3378,5" coordsize="2,10225">
              <v:shape style="position:absolute;left:3378;top:5;width:2;height:10225" coordorigin="3378,5" coordsize="0,10225" path="m3378,5l3378,10230e" filled="false" stroked="true" strokeweight=".48pt" strokecolor="#000000">
                <v:path arrowok="t"/>
              </v:shape>
            </v:group>
            <v:group style="position:absolute;left:3383;top:10225;width:654;height:2" coordorigin="3383,10225" coordsize="654,2">
              <v:shape style="position:absolute;left:3383;top:10225;width:654;height:2" coordorigin="3383,10225" coordsize="654,0" path="m3383,10225l4036,10225e" filled="false" stroked="true" strokeweight=".47998pt" strokecolor="#000000">
                <v:path arrowok="t"/>
              </v:shape>
            </v:group>
            <v:group style="position:absolute;left:4041;top:5;width:2;height:10225" coordorigin="4041,5" coordsize="2,10225">
              <v:shape style="position:absolute;left:4041;top:5;width:2;height:10225" coordorigin="4041,5" coordsize="0,10225" path="m4041,5l4041,10230e" filled="false" stroked="true" strokeweight=".47998pt" strokecolor="#000000">
                <v:path arrowok="t"/>
              </v:shape>
            </v:group>
            <v:group style="position:absolute;left:4046;top:10225;width:648;height:2" coordorigin="4046,10225" coordsize="648,2">
              <v:shape style="position:absolute;left:4046;top:10225;width:648;height:2" coordorigin="4046,10225" coordsize="648,0" path="m4046,10225l4694,10225e" filled="false" stroked="true" strokeweight=".47998pt" strokecolor="#000000">
                <v:path arrowok="t"/>
              </v:shape>
            </v:group>
            <v:group style="position:absolute;left:4699;top:5;width:2;height:10225" coordorigin="4699,5" coordsize="2,10225">
              <v:shape style="position:absolute;left:4699;top:5;width:2;height:10225" coordorigin="4699,5" coordsize="0,10225" path="m4699,5l4699,10230e" filled="false" stroked="true" strokeweight=".47998pt" strokecolor="#000000">
                <v:path arrowok="t"/>
              </v:shape>
            </v:group>
            <v:group style="position:absolute;left:4704;top:10225;width:646;height:2" coordorigin="4704,10225" coordsize="646,2">
              <v:shape style="position:absolute;left:4704;top:10225;width:646;height:2" coordorigin="4704,10225" coordsize="646,0" path="m4704,10225l5349,10225e" filled="false" stroked="true" strokeweight=".47998pt" strokecolor="#000000">
                <v:path arrowok="t"/>
              </v:shape>
            </v:group>
            <v:group style="position:absolute;left:5354;top:5;width:2;height:10225" coordorigin="5354,5" coordsize="2,10225">
              <v:shape style="position:absolute;left:5354;top:5;width:2;height:10225" coordorigin="5354,5" coordsize="0,10225" path="m5354,5l5354,10230e" filled="false" stroked="true" strokeweight=".48001pt" strokecolor="#000000">
                <v:path arrowok="t"/>
              </v:shape>
            </v:group>
            <v:group style="position:absolute;left:5359;top:10225;width:648;height:2" coordorigin="5359,10225" coordsize="648,2">
              <v:shape style="position:absolute;left:5359;top:10225;width:648;height:2" coordorigin="5359,10225" coordsize="648,0" path="m5359,10225l6007,10225e" filled="false" stroked="true" strokeweight=".47998pt" strokecolor="#000000">
                <v:path arrowok="t"/>
              </v:shape>
            </v:group>
            <v:group style="position:absolute;left:6012;top:5;width:2;height:10225" coordorigin="6012,5" coordsize="2,10225">
              <v:shape style="position:absolute;left:6012;top:5;width:2;height:10225" coordorigin="6012,5" coordsize="0,10225" path="m6012,5l6012,10230e" filled="false" stroked="true" strokeweight=".48001pt" strokecolor="#000000">
                <v:path arrowok="t"/>
              </v:shape>
            </v:group>
            <v:group style="position:absolute;left:6016;top:10225;width:620;height:2" coordorigin="6016,10225" coordsize="620,2">
              <v:shape style="position:absolute;left:6016;top:10225;width:620;height:2" coordorigin="6016,10225" coordsize="620,0" path="m6016,10225l6636,10225e" filled="false" stroked="true" strokeweight=".47998pt" strokecolor="#000000">
                <v:path arrowok="t"/>
              </v:shape>
            </v:group>
            <v:group style="position:absolute;left:6640;top:5;width:2;height:10225" coordorigin="6640,5" coordsize="2,10225">
              <v:shape style="position:absolute;left:6640;top:5;width:2;height:10225" coordorigin="6640,5" coordsize="0,10225" path="m6640,5l6640,10230e" filled="false" stroked="true" strokeweight=".48001pt" strokecolor="#000000">
                <v:path arrowok="t"/>
              </v:shape>
            </v:group>
            <v:group style="position:absolute;left:6645;top:10225;width:730;height:2" coordorigin="6645,10225" coordsize="730,2">
              <v:shape style="position:absolute;left:6645;top:10225;width:730;height:2" coordorigin="6645,10225" coordsize="730,0" path="m6645,10225l7375,10225e" filled="false" stroked="true" strokeweight=".47998pt" strokecolor="#000000">
                <v:path arrowok="t"/>
              </v:shape>
            </v:group>
            <v:group style="position:absolute;left:7380;top:5;width:2;height:10225" coordorigin="7380,5" coordsize="2,10225">
              <v:shape style="position:absolute;left:7380;top:5;width:2;height:10225" coordorigin="7380,5" coordsize="0,10225" path="m7380,5l7380,10230e" filled="false" stroked="true" strokeweight=".47998pt" strokecolor="#000000">
                <v:path arrowok="t"/>
              </v:shape>
            </v:group>
            <v:group style="position:absolute;left:7385;top:10225;width:725;height:2" coordorigin="7385,10225" coordsize="725,2">
              <v:shape style="position:absolute;left:7385;top:10225;width:725;height:2" coordorigin="7385,10225" coordsize="725,0" path="m7385,10225l8110,10225e" filled="false" stroked="true" strokeweight=".47998pt" strokecolor="#000000">
                <v:path arrowok="t"/>
              </v:shape>
            </v:group>
            <v:group style="position:absolute;left:8114;top:5;width:2;height:10225" coordorigin="8114,5" coordsize="2,10225">
              <v:shape style="position:absolute;left:8114;top:5;width:2;height:10225" coordorigin="8114,5" coordsize="0,10225" path="m8114,5l8114,10230e" filled="false" stroked="true" strokeweight=".47998pt" strokecolor="#000000">
                <v:path arrowok="t"/>
              </v:shape>
            </v:group>
            <v:group style="position:absolute;left:8119;top:10225;width:724;height:2" coordorigin="8119,10225" coordsize="724,2">
              <v:shape style="position:absolute;left:8119;top:10225;width:724;height:2" coordorigin="8119,10225" coordsize="724,0" path="m8119,10225l8843,10225e" filled="false" stroked="true" strokeweight=".47998pt" strokecolor="#000000">
                <v:path arrowok="t"/>
              </v:shape>
            </v:group>
            <v:group style="position:absolute;left:8848;top:5;width:2;height:10225" coordorigin="8848,5" coordsize="2,10225">
              <v:shape style="position:absolute;left:8848;top:5;width:2;height:10225" coordorigin="8848,5" coordsize="0,10225" path="m8848,5l8848,10230e" filled="false" stroked="true" strokeweight=".48001pt" strokecolor="#000000">
                <v:path arrowok="t"/>
              </v:shape>
            </v:group>
            <v:group style="position:absolute;left:8852;top:10225;width:714;height:2" coordorigin="8852,10225" coordsize="714,2">
              <v:shape style="position:absolute;left:8852;top:10225;width:714;height:2" coordorigin="8852,10225" coordsize="714,0" path="m8852,10225l9566,10225e" filled="false" stroked="true" strokeweight=".47998pt" strokecolor="#000000">
                <v:path arrowok="t"/>
              </v:shape>
            </v:group>
            <v:group style="position:absolute;left:9571;top:5;width:2;height:10225" coordorigin="9571,5" coordsize="2,10225">
              <v:shape style="position:absolute;left:9571;top:5;width:2;height:10225" coordorigin="9571,5" coordsize="0,10225" path="m9571,5l9571,10230e" filled="false" stroked="true" strokeweight=".48004pt" strokecolor="#000000">
                <v:path arrowok="t"/>
              </v:shape>
              <v:shape style="position:absolute;left:32;top:8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w:t>
                      </w:r>
                    </w:p>
                  </w:txbxContent>
                </v:textbox>
                <w10:wrap type="none"/>
              </v:shape>
              <v:shape style="position:absolute;left:728;top:81;width:720;height:735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术服务、</w:t>
                      </w:r>
                    </w:p>
                    <w:p>
                      <w:pPr>
                        <w:spacing w:line="316" w:lineRule="auto"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技术转 </w:t>
                      </w:r>
                      <w:r>
                        <w:rPr>
                          <w:rFonts w:ascii="宋体" w:hAnsi="宋体" w:cs="宋体" w:eastAsia="宋体" w:hint="default"/>
                          <w:spacing w:val="-21"/>
                          <w:sz w:val="18"/>
                          <w:szCs w:val="18"/>
                        </w:rPr>
                        <w:t>让；环保</w:t>
                      </w:r>
                      <w:r>
                        <w:rPr>
                          <w:rFonts w:ascii="宋体" w:hAnsi="宋体" w:cs="宋体" w:eastAsia="宋体" w:hint="default"/>
                          <w:sz w:val="18"/>
                          <w:szCs w:val="18"/>
                        </w:rPr>
                        <w:t> </w:t>
                      </w:r>
                      <w:r>
                        <w:rPr>
                          <w:rFonts w:ascii="宋体" w:hAnsi="宋体" w:cs="宋体" w:eastAsia="宋体" w:hint="default"/>
                          <w:spacing w:val="-21"/>
                          <w:sz w:val="18"/>
                          <w:szCs w:val="18"/>
                        </w:rPr>
                        <w:t>工程、市</w:t>
                      </w:r>
                      <w:r>
                        <w:rPr>
                          <w:rFonts w:ascii="宋体" w:hAnsi="宋体" w:cs="宋体" w:eastAsia="宋体" w:hint="default"/>
                          <w:sz w:val="18"/>
                          <w:szCs w:val="18"/>
                        </w:rPr>
                        <w:t> 政工程、 土石方 </w:t>
                      </w:r>
                      <w:r>
                        <w:rPr>
                          <w:rFonts w:ascii="宋体" w:hAnsi="宋体" w:cs="宋体" w:eastAsia="宋体" w:hint="default"/>
                          <w:spacing w:val="-21"/>
                          <w:sz w:val="18"/>
                          <w:szCs w:val="18"/>
                        </w:rPr>
                        <w:t>工程、建</w:t>
                      </w:r>
                      <w:r>
                        <w:rPr>
                          <w:rFonts w:ascii="宋体" w:hAnsi="宋体" w:cs="宋体" w:eastAsia="宋体" w:hint="default"/>
                          <w:sz w:val="18"/>
                          <w:szCs w:val="18"/>
                        </w:rPr>
                        <w:t> 筑工程、 景观工 </w:t>
                      </w:r>
                      <w:r>
                        <w:rPr>
                          <w:rFonts w:ascii="宋体" w:hAnsi="宋体" w:cs="宋体" w:eastAsia="宋体" w:hint="default"/>
                          <w:spacing w:val="-21"/>
                          <w:sz w:val="18"/>
                          <w:szCs w:val="18"/>
                        </w:rPr>
                        <w:t>程、园林</w:t>
                      </w:r>
                      <w:r>
                        <w:rPr>
                          <w:rFonts w:ascii="宋体" w:hAnsi="宋体" w:cs="宋体" w:eastAsia="宋体" w:hint="default"/>
                          <w:sz w:val="18"/>
                          <w:szCs w:val="18"/>
                        </w:rPr>
                        <w:t> 绿化工 程的设 计、施 </w:t>
                      </w:r>
                      <w:r>
                        <w:rPr>
                          <w:rFonts w:ascii="宋体" w:hAnsi="宋体" w:cs="宋体" w:eastAsia="宋体" w:hint="default"/>
                          <w:spacing w:val="-21"/>
                          <w:sz w:val="18"/>
                          <w:szCs w:val="18"/>
                        </w:rPr>
                        <w:t>工、技术</w:t>
                      </w:r>
                      <w:r>
                        <w:rPr>
                          <w:rFonts w:ascii="宋体" w:hAnsi="宋体" w:cs="宋体" w:eastAsia="宋体" w:hint="default"/>
                          <w:sz w:val="18"/>
                          <w:szCs w:val="18"/>
                        </w:rPr>
                        <w:t> 咨询及 技术服 </w:t>
                      </w:r>
                      <w:r>
                        <w:rPr>
                          <w:rFonts w:ascii="宋体" w:hAnsi="宋体" w:cs="宋体" w:eastAsia="宋体" w:hint="default"/>
                          <w:spacing w:val="-21"/>
                          <w:sz w:val="18"/>
                          <w:szCs w:val="18"/>
                        </w:rPr>
                        <w:t>务；环保</w:t>
                      </w:r>
                      <w:r>
                        <w:rPr>
                          <w:rFonts w:ascii="宋体" w:hAnsi="宋体" w:cs="宋体" w:eastAsia="宋体" w:hint="default"/>
                          <w:sz w:val="18"/>
                          <w:szCs w:val="18"/>
                        </w:rPr>
                        <w:t> 设备的 </w:t>
                      </w:r>
                      <w:r>
                        <w:rPr>
                          <w:rFonts w:ascii="宋体" w:hAnsi="宋体" w:cs="宋体" w:eastAsia="宋体" w:hint="default"/>
                          <w:spacing w:val="-21"/>
                          <w:sz w:val="18"/>
                          <w:szCs w:val="18"/>
                        </w:rPr>
                        <w:t>研发、生</w:t>
                      </w:r>
                      <w:r>
                        <w:rPr>
                          <w:rFonts w:ascii="宋体" w:hAnsi="宋体" w:cs="宋体" w:eastAsia="宋体" w:hint="default"/>
                          <w:sz w:val="18"/>
                          <w:szCs w:val="18"/>
                        </w:rPr>
                        <w:t> </w:t>
                      </w:r>
                      <w:r>
                        <w:rPr>
                          <w:rFonts w:ascii="宋体" w:hAnsi="宋体" w:cs="宋体" w:eastAsia="宋体" w:hint="default"/>
                          <w:spacing w:val="-21"/>
                          <w:sz w:val="18"/>
                          <w:szCs w:val="18"/>
                        </w:rPr>
                        <w:t>产、销售</w:t>
                      </w:r>
                      <w:r>
                        <w:rPr>
                          <w:rFonts w:ascii="宋体" w:hAnsi="宋体" w:cs="宋体" w:eastAsia="宋体" w:hint="default"/>
                          <w:sz w:val="18"/>
                          <w:szCs w:val="18"/>
                        </w:rPr>
                        <w:t> 及维修； 软件研 发及销</w:t>
                      </w:r>
                    </w:p>
                    <w:p>
                      <w:pPr>
                        <w:spacing w:before="20"/>
                        <w:ind w:left="0" w:right="0" w:firstLine="0"/>
                        <w:jc w:val="left"/>
                        <w:rPr>
                          <w:rFonts w:ascii="宋体" w:hAnsi="宋体" w:cs="宋体" w:eastAsia="宋体" w:hint="default"/>
                          <w:sz w:val="18"/>
                          <w:szCs w:val="18"/>
                        </w:rPr>
                      </w:pPr>
                      <w:r>
                        <w:rPr>
                          <w:rFonts w:ascii="宋体" w:hAnsi="宋体" w:cs="宋体" w:eastAsia="宋体" w:hint="default"/>
                          <w:sz w:val="18"/>
                          <w:szCs w:val="18"/>
                        </w:rPr>
                        <w:t>售。</w:t>
                      </w:r>
                    </w:p>
                  </w:txbxContent>
                </v:textbox>
                <w10:wrap type="none"/>
              </v:shape>
              <v:shape style="position:absolute;left:4069;top:81;width:603;height:486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环保科</w:t>
                      </w:r>
                    </w:p>
                    <w:p>
                      <w:pPr>
                        <w:spacing w:line="316" w:lineRule="auto"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技有限 公司、 袁安 明、石 家庄荣 驰环境 治理中 心（有 限合 </w:t>
                      </w:r>
                      <w:r>
                        <w:rPr>
                          <w:rFonts w:ascii="宋体" w:hAnsi="宋体" w:cs="宋体" w:eastAsia="宋体" w:hint="default"/>
                          <w:spacing w:val="-30"/>
                          <w:sz w:val="18"/>
                          <w:szCs w:val="18"/>
                        </w:rPr>
                        <w:t>伙）、重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庆全来 环保科 技发展 有限公</w:t>
                      </w:r>
                    </w:p>
                    <w:p>
                      <w:pPr>
                        <w:spacing w:before="20"/>
                        <w:ind w:left="0" w:right="0" w:firstLine="0"/>
                        <w:jc w:val="left"/>
                        <w:rPr>
                          <w:rFonts w:ascii="宋体" w:hAnsi="宋体" w:cs="宋体" w:eastAsia="宋体" w:hint="default"/>
                          <w:sz w:val="18"/>
                          <w:szCs w:val="18"/>
                        </w:rPr>
                      </w:pPr>
                      <w:r>
                        <w:rPr>
                          <w:rFonts w:ascii="宋体" w:hAnsi="宋体" w:cs="宋体" w:eastAsia="宋体" w:hint="default"/>
                          <w:sz w:val="18"/>
                          <w:szCs w:val="18"/>
                        </w:rPr>
                        <w:t>司</w:t>
                      </w:r>
                    </w:p>
                  </w:txbxContent>
                </v:textbox>
                <w10:wrap type="none"/>
              </v:shape>
              <v:shape style="position:absolute;left:8876;top:81;width:720;height:174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的公告》</w:t>
                      </w:r>
                    </w:p>
                    <w:p>
                      <w:pPr>
                        <w:spacing w:line="319" w:lineRule="auto" w:before="76"/>
                        <w:ind w:left="0" w:right="0" w:firstLine="0"/>
                        <w:jc w:val="left"/>
                        <w:rPr>
                          <w:rFonts w:ascii="宋体" w:hAnsi="宋体" w:cs="宋体" w:eastAsia="宋体" w:hint="default"/>
                          <w:sz w:val="18"/>
                          <w:szCs w:val="18"/>
                        </w:rPr>
                      </w:pPr>
                      <w:r>
                        <w:rPr>
                          <w:rFonts w:ascii="宋体" w:hAnsi="宋体" w:cs="宋体" w:eastAsia="宋体" w:hint="default"/>
                          <w:spacing w:val="-14"/>
                          <w:sz w:val="18"/>
                          <w:szCs w:val="18"/>
                        </w:rPr>
                        <w:t>和《关于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控股子 公司增 资扩股</w:t>
                      </w:r>
                    </w:p>
                    <w:p>
                      <w:pPr>
                        <w:spacing w:before="18"/>
                        <w:ind w:left="0" w:right="0" w:firstLine="0"/>
                        <w:jc w:val="left"/>
                        <w:rPr>
                          <w:rFonts w:ascii="宋体" w:hAnsi="宋体" w:cs="宋体" w:eastAsia="宋体" w:hint="default"/>
                          <w:sz w:val="18"/>
                          <w:szCs w:val="18"/>
                        </w:rPr>
                      </w:pPr>
                      <w:r>
                        <w:rPr>
                          <w:rFonts w:ascii="宋体" w:hAnsi="宋体" w:cs="宋体" w:eastAsia="宋体" w:hint="default"/>
                          <w:sz w:val="18"/>
                          <w:szCs w:val="18"/>
                        </w:rPr>
                        <w:t>的公告》</w:t>
                      </w:r>
                    </w:p>
                  </w:txbxContent>
                </v:textbox>
                <w10:wrap type="none"/>
              </v:shape>
              <v:shape style="position:absolute;left:32;top:7973;width:540;height:111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重庆渝</w:t>
                      </w:r>
                    </w:p>
                    <w:p>
                      <w:pPr>
                        <w:spacing w:line="316" w:lineRule="auto" w:before="75"/>
                        <w:ind w:left="0" w:right="0" w:firstLine="0"/>
                        <w:jc w:val="left"/>
                        <w:rPr>
                          <w:rFonts w:ascii="宋体" w:hAnsi="宋体" w:cs="宋体" w:eastAsia="宋体" w:hint="default"/>
                          <w:sz w:val="18"/>
                          <w:szCs w:val="18"/>
                        </w:rPr>
                      </w:pPr>
                      <w:r>
                        <w:rPr>
                          <w:rFonts w:ascii="宋体" w:hAnsi="宋体" w:cs="宋体" w:eastAsia="宋体" w:hint="default"/>
                          <w:sz w:val="18"/>
                          <w:szCs w:val="18"/>
                        </w:rPr>
                        <w:t>凡实业 有限公</w:t>
                      </w:r>
                    </w:p>
                    <w:p>
                      <w:pPr>
                        <w:spacing w:before="20"/>
                        <w:ind w:left="0" w:right="0" w:firstLine="0"/>
                        <w:jc w:val="left"/>
                        <w:rPr>
                          <w:rFonts w:ascii="宋体" w:hAnsi="宋体" w:cs="宋体" w:eastAsia="宋体" w:hint="default"/>
                          <w:sz w:val="18"/>
                          <w:szCs w:val="18"/>
                        </w:rPr>
                      </w:pPr>
                      <w:r>
                        <w:rPr>
                          <w:rFonts w:ascii="宋体" w:hAnsi="宋体" w:cs="宋体" w:eastAsia="宋体" w:hint="default"/>
                          <w:sz w:val="18"/>
                          <w:szCs w:val="18"/>
                        </w:rPr>
                        <w:t>司</w:t>
                      </w:r>
                    </w:p>
                  </w:txbxContent>
                </v:textbox>
                <w10:wrap type="none"/>
              </v:shape>
              <v:shape style="position:absolute;left:728;top:8285;width:54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建筑施</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工</w:t>
                      </w:r>
                    </w:p>
                  </w:txbxContent>
                </v:textbox>
                <w10:wrap type="none"/>
              </v:shape>
              <v:shape style="position:absolute;left:1420;top:8285;width:2526;height:500" type="#_x0000_t202" filled="false" stroked="false">
                <v:textbox inset="0,0,0,0">
                  <w:txbxContent>
                    <w:p>
                      <w:pPr>
                        <w:spacing w:line="147" w:lineRule="exact" w:before="0"/>
                        <w:ind w:left="7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35,000,    100.00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自有资</w:t>
                      </w:r>
                    </w:p>
                    <w:p>
                      <w:pPr>
                        <w:spacing w:line="14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收购</w:t>
                      </w:r>
                    </w:p>
                    <w:p>
                      <w:pPr>
                        <w:tabs>
                          <w:tab w:pos="1779" w:val="left" w:leader="none"/>
                        </w:tabs>
                        <w:spacing w:line="203" w:lineRule="exact" w:before="0"/>
                        <w:ind w:left="77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000.00</w:t>
                        <w:tab/>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金</w:t>
                      </w:r>
                    </w:p>
                  </w:txbxContent>
                </v:textbox>
                <w10:wrap type="none"/>
              </v:shape>
              <v:shape style="position:absolute;left:4069;top:7817;width:540;height:1428"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重庆全</w:t>
                      </w:r>
                    </w:p>
                    <w:p>
                      <w:pPr>
                        <w:spacing w:line="316" w:lineRule="auto" w:before="75"/>
                        <w:ind w:left="0" w:right="0" w:firstLine="0"/>
                        <w:jc w:val="both"/>
                        <w:rPr>
                          <w:rFonts w:ascii="宋体" w:hAnsi="宋体" w:cs="宋体" w:eastAsia="宋体" w:hint="default"/>
                          <w:sz w:val="18"/>
                          <w:szCs w:val="18"/>
                        </w:rPr>
                      </w:pPr>
                      <w:r>
                        <w:rPr>
                          <w:rFonts w:ascii="宋体" w:hAnsi="宋体" w:cs="宋体" w:eastAsia="宋体" w:hint="default"/>
                          <w:sz w:val="18"/>
                          <w:szCs w:val="18"/>
                        </w:rPr>
                        <w:t>来环保 科技发 展有限</w:t>
                      </w:r>
                    </w:p>
                    <w:p>
                      <w:pPr>
                        <w:spacing w:before="20"/>
                        <w:ind w:left="0" w:right="0" w:firstLine="0"/>
                        <w:jc w:val="both"/>
                        <w:rPr>
                          <w:rFonts w:ascii="宋体" w:hAnsi="宋体" w:cs="宋体" w:eastAsia="宋体" w:hint="default"/>
                          <w:sz w:val="18"/>
                          <w:szCs w:val="18"/>
                        </w:rPr>
                      </w:pPr>
                      <w:r>
                        <w:rPr>
                          <w:rFonts w:ascii="宋体" w:hAnsi="宋体" w:cs="宋体" w:eastAsia="宋体" w:hint="default"/>
                          <w:sz w:val="18"/>
                          <w:szCs w:val="18"/>
                        </w:rPr>
                        <w:t>公司</w:t>
                      </w:r>
                    </w:p>
                  </w:txbxContent>
                </v:textbox>
                <w10:wrap type="none"/>
              </v:shape>
              <v:shape style="position:absolute;left:4726;top:8285;width:1196;height:492" type="#_x0000_t202" filled="false" stroked="false">
                <v:textbox inset="0,0,0,0">
                  <w:txbxContent>
                    <w:p>
                      <w:pPr>
                        <w:spacing w:line="140" w:lineRule="exact" w:before="0"/>
                        <w:ind w:left="655" w:right="0" w:firstLine="0"/>
                        <w:jc w:val="left"/>
                        <w:rPr>
                          <w:rFonts w:ascii="宋体" w:hAnsi="宋体" w:cs="宋体" w:eastAsia="宋体" w:hint="default"/>
                          <w:sz w:val="18"/>
                          <w:szCs w:val="18"/>
                        </w:rPr>
                      </w:pPr>
                      <w:r>
                        <w:rPr>
                          <w:rFonts w:ascii="宋体" w:hAnsi="宋体" w:cs="宋体" w:eastAsia="宋体" w:hint="default"/>
                          <w:sz w:val="18"/>
                          <w:szCs w:val="18"/>
                        </w:rPr>
                        <w:t>建筑施</w:t>
                      </w:r>
                    </w:p>
                    <w:p>
                      <w:pPr>
                        <w:spacing w:line="15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长期</w:t>
                      </w:r>
                    </w:p>
                    <w:p>
                      <w:pPr>
                        <w:spacing w:line="196" w:lineRule="exact" w:before="0"/>
                        <w:ind w:left="655" w:right="0" w:firstLine="0"/>
                        <w:jc w:val="left"/>
                        <w:rPr>
                          <w:rFonts w:ascii="宋体" w:hAnsi="宋体" w:cs="宋体" w:eastAsia="宋体" w:hint="default"/>
                          <w:sz w:val="18"/>
                          <w:szCs w:val="18"/>
                        </w:rPr>
                      </w:pPr>
                      <w:r>
                        <w:rPr>
                          <w:rFonts w:ascii="宋体" w:hAnsi="宋体" w:cs="宋体" w:eastAsia="宋体" w:hint="default"/>
                          <w:sz w:val="18"/>
                          <w:szCs w:val="18"/>
                        </w:rPr>
                        <w:t>工</w:t>
                      </w:r>
                    </w:p>
                  </w:txbxContent>
                </v:textbox>
                <w10:wrap type="none"/>
              </v:shape>
              <v:shape style="position:absolute;left:6751;top:8292;width:837;height:492" type="#_x0000_t202" filled="false" stroked="false">
                <v:textbox inset="0,0,0,0">
                  <w:txbxContent>
                    <w:p>
                      <w:pPr>
                        <w:spacing w:line="138" w:lineRule="exact" w:before="0"/>
                        <w:ind w:left="0" w:right="234" w:firstLine="0"/>
                        <w:jc w:val="center"/>
                        <w:rPr>
                          <w:rFonts w:ascii="Times New Roman" w:hAnsi="Times New Roman" w:cs="Times New Roman" w:eastAsia="Times New Roman" w:hint="default"/>
                          <w:sz w:val="18"/>
                          <w:szCs w:val="18"/>
                        </w:rPr>
                      </w:pPr>
                      <w:r>
                        <w:rPr>
                          <w:rFonts w:ascii="Times New Roman"/>
                          <w:sz w:val="18"/>
                        </w:rPr>
                        <w:t>-1,784,0</w:t>
                      </w:r>
                    </w:p>
                    <w:p>
                      <w:pPr>
                        <w:spacing w:line="17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否</w:t>
                      </w:r>
                    </w:p>
                    <w:p>
                      <w:pPr>
                        <w:spacing w:line="183" w:lineRule="exact" w:before="0"/>
                        <w:ind w:left="0" w:right="38" w:firstLine="0"/>
                        <w:jc w:val="center"/>
                        <w:rPr>
                          <w:rFonts w:ascii="Times New Roman" w:hAnsi="Times New Roman" w:cs="Times New Roman" w:eastAsia="Times New Roman" w:hint="default"/>
                          <w:sz w:val="18"/>
                          <w:szCs w:val="18"/>
                        </w:rPr>
                      </w:pPr>
                      <w:r>
                        <w:rPr>
                          <w:rFonts w:ascii="Times New Roman"/>
                          <w:sz w:val="18"/>
                        </w:rPr>
                        <w:t>97.91</w:t>
                      </w:r>
                    </w:p>
                  </w:txbxContent>
                </v:textbox>
                <w10:wrap type="none"/>
              </v:shape>
              <v:shape style="position:absolute;left:8142;top:7661;width:1455;height:1740" type="#_x0000_t202" filled="false" stroked="false">
                <v:textbox inset="0,0,0,0">
                  <w:txbxContent>
                    <w:p>
                      <w:pPr>
                        <w:spacing w:line="180" w:lineRule="exact" w:before="0"/>
                        <w:ind w:left="734" w:right="0" w:firstLine="0"/>
                        <w:jc w:val="left"/>
                        <w:rPr>
                          <w:rFonts w:ascii="宋体" w:hAnsi="宋体" w:cs="宋体" w:eastAsia="宋体" w:hint="default"/>
                          <w:sz w:val="18"/>
                          <w:szCs w:val="18"/>
                        </w:rPr>
                      </w:pPr>
                      <w:r>
                        <w:rPr>
                          <w:rFonts w:ascii="宋体" w:hAnsi="宋体" w:cs="宋体" w:eastAsia="宋体" w:hint="default"/>
                          <w:sz w:val="18"/>
                          <w:szCs w:val="18"/>
                        </w:rPr>
                        <w:t>巨潮资</w:t>
                      </w:r>
                    </w:p>
                    <w:p>
                      <w:pPr>
                        <w:spacing w:line="196" w:lineRule="exact" w:before="75"/>
                        <w:ind w:left="734" w:right="0" w:firstLine="0"/>
                        <w:jc w:val="left"/>
                        <w:rPr>
                          <w:rFonts w:ascii="宋体" w:hAnsi="宋体" w:cs="宋体" w:eastAsia="宋体" w:hint="default"/>
                          <w:sz w:val="18"/>
                          <w:szCs w:val="18"/>
                        </w:rPr>
                      </w:pPr>
                      <w:r>
                        <w:rPr>
                          <w:rFonts w:ascii="宋体" w:hAnsi="宋体" w:cs="宋体" w:eastAsia="宋体" w:hint="default"/>
                          <w:spacing w:val="-14"/>
                          <w:sz w:val="18"/>
                          <w:szCs w:val="18"/>
                        </w:rPr>
                        <w:t>讯《关于</w:t>
                      </w:r>
                    </w:p>
                    <w:p>
                      <w:pPr>
                        <w:spacing w:line="163"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149" w:lineRule="exact" w:before="0"/>
                        <w:ind w:left="734" w:right="0" w:firstLine="0"/>
                        <w:jc w:val="left"/>
                        <w:rPr>
                          <w:rFonts w:ascii="宋体" w:hAnsi="宋体" w:cs="宋体" w:eastAsia="宋体" w:hint="default"/>
                          <w:sz w:val="18"/>
                          <w:szCs w:val="18"/>
                        </w:rPr>
                      </w:pPr>
                      <w:r>
                        <w:rPr>
                          <w:rFonts w:ascii="宋体" w:hAnsi="宋体" w:cs="宋体" w:eastAsia="宋体" w:hint="default"/>
                          <w:sz w:val="18"/>
                          <w:szCs w:val="18"/>
                        </w:rPr>
                        <w:t>控股子</w:t>
                      </w:r>
                    </w:p>
                    <w:p>
                      <w:pPr>
                        <w:spacing w:line="163" w:lineRule="exact" w:before="0"/>
                        <w:ind w:left="0"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spacing w:line="150" w:lineRule="exact" w:before="0"/>
                        <w:ind w:left="734" w:right="0" w:firstLine="0"/>
                        <w:jc w:val="left"/>
                        <w:rPr>
                          <w:rFonts w:ascii="宋体" w:hAnsi="宋体" w:cs="宋体" w:eastAsia="宋体" w:hint="default"/>
                          <w:sz w:val="18"/>
                          <w:szCs w:val="18"/>
                        </w:rPr>
                      </w:pPr>
                      <w:r>
                        <w:rPr>
                          <w:rFonts w:ascii="宋体" w:hAnsi="宋体" w:cs="宋体" w:eastAsia="宋体" w:hint="default"/>
                          <w:sz w:val="18"/>
                          <w:szCs w:val="18"/>
                        </w:rPr>
                        <w:t>公司收</w:t>
                      </w:r>
                    </w:p>
                    <w:p>
                      <w:pPr>
                        <w:spacing w:line="15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line="195" w:lineRule="exact" w:before="0"/>
                        <w:ind w:left="734" w:right="0" w:firstLine="0"/>
                        <w:jc w:val="left"/>
                        <w:rPr>
                          <w:rFonts w:ascii="宋体" w:hAnsi="宋体" w:cs="宋体" w:eastAsia="宋体" w:hint="default"/>
                          <w:sz w:val="18"/>
                          <w:szCs w:val="18"/>
                        </w:rPr>
                      </w:pPr>
                      <w:r>
                        <w:rPr>
                          <w:rFonts w:ascii="宋体" w:hAnsi="宋体" w:cs="宋体" w:eastAsia="宋体" w:hint="default"/>
                          <w:sz w:val="18"/>
                          <w:szCs w:val="18"/>
                        </w:rPr>
                        <w:t>购股权</w:t>
                      </w:r>
                    </w:p>
                    <w:p>
                      <w:pPr>
                        <w:spacing w:before="77"/>
                        <w:ind w:left="734" w:right="0" w:firstLine="0"/>
                        <w:jc w:val="left"/>
                        <w:rPr>
                          <w:rFonts w:ascii="宋体" w:hAnsi="宋体" w:cs="宋体" w:eastAsia="宋体" w:hint="default"/>
                          <w:sz w:val="18"/>
                          <w:szCs w:val="18"/>
                        </w:rPr>
                      </w:pPr>
                      <w:r>
                        <w:rPr>
                          <w:rFonts w:ascii="宋体" w:hAnsi="宋体" w:cs="宋体" w:eastAsia="宋体" w:hint="default"/>
                          <w:sz w:val="18"/>
                          <w:szCs w:val="18"/>
                        </w:rPr>
                        <w:t>的公告》</w:t>
                      </w:r>
                    </w:p>
                  </w:txbxContent>
                </v:textbox>
                <w10:wrap type="none"/>
              </v:shape>
              <v:shape style="position:absolute;left:32;top:977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986;top:9786;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1662;top:9786;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2148;top:9630;width:541;height:492" type="#_x0000_t202" filled="false" stroked="false">
                <v:textbox inset="0,0,0,0">
                  <w:txbxContent>
                    <w:p>
                      <w:pPr>
                        <w:spacing w:line="184" w:lineRule="exact" w:before="0"/>
                        <w:ind w:left="0" w:right="0" w:firstLine="0"/>
                        <w:jc w:val="left"/>
                        <w:rPr>
                          <w:rFonts w:ascii="Times New Roman" w:hAnsi="Times New Roman" w:cs="Times New Roman" w:eastAsia="Times New Roman" w:hint="default"/>
                          <w:sz w:val="18"/>
                          <w:szCs w:val="18"/>
                        </w:rPr>
                      </w:pPr>
                      <w:r>
                        <w:rPr>
                          <w:rFonts w:ascii="Times New Roman"/>
                          <w:sz w:val="18"/>
                        </w:rPr>
                        <w:t>75,000,</w:t>
                      </w:r>
                    </w:p>
                    <w:p>
                      <w:pPr>
                        <w:spacing w:line="203" w:lineRule="exact" w:before="105"/>
                        <w:ind w:left="45" w:right="0" w:firstLine="0"/>
                        <w:jc w:val="left"/>
                        <w:rPr>
                          <w:rFonts w:ascii="Times New Roman" w:hAnsi="Times New Roman" w:cs="Times New Roman" w:eastAsia="Times New Roman" w:hint="default"/>
                          <w:sz w:val="18"/>
                          <w:szCs w:val="18"/>
                        </w:rPr>
                      </w:pPr>
                      <w:r>
                        <w:rPr>
                          <w:rFonts w:ascii="Times New Roman"/>
                          <w:sz w:val="18"/>
                        </w:rPr>
                        <w:t>000.00</w:t>
                      </w:r>
                    </w:p>
                  </w:txbxContent>
                </v:textbox>
                <w10:wrap type="none"/>
              </v:shape>
              <v:shape style="position:absolute;left:2986;top:9786;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3648;top:9786;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4310;top:9786;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4965;top:9786;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5623;top:9786;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6297;top:9786;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0.00</w:t>
                      </w:r>
                    </w:p>
                  </w:txbxContent>
                </v:textbox>
                <w10:wrap type="none"/>
              </v:shape>
              <v:shape style="position:absolute;left:6721;top:9630;width:631;height:492" type="#_x0000_t202" filled="false" stroked="false">
                <v:textbox inset="0,0,0,0">
                  <w:txbxContent>
                    <w:p>
                      <w:pPr>
                        <w:spacing w:line="184" w:lineRule="exact" w:before="0"/>
                        <w:ind w:left="0" w:right="0" w:firstLine="0"/>
                        <w:jc w:val="right"/>
                        <w:rPr>
                          <w:rFonts w:ascii="Times New Roman" w:hAnsi="Times New Roman" w:cs="Times New Roman" w:eastAsia="Times New Roman" w:hint="default"/>
                          <w:sz w:val="18"/>
                          <w:szCs w:val="18"/>
                        </w:rPr>
                      </w:pPr>
                      <w:r>
                        <w:rPr>
                          <w:rFonts w:ascii="Times New Roman"/>
                          <w:sz w:val="18"/>
                        </w:rPr>
                        <w:t>684,606.</w:t>
                      </w:r>
                    </w:p>
                    <w:p>
                      <w:pPr>
                        <w:spacing w:line="203" w:lineRule="exact" w:before="105"/>
                        <w:ind w:left="0" w:right="0" w:firstLine="0"/>
                        <w:jc w:val="right"/>
                        <w:rPr>
                          <w:rFonts w:ascii="Times New Roman" w:hAnsi="Times New Roman" w:cs="Times New Roman" w:eastAsia="Times New Roman" w:hint="default"/>
                          <w:sz w:val="18"/>
                          <w:szCs w:val="18"/>
                        </w:rPr>
                      </w:pPr>
                      <w:r>
                        <w:rPr>
                          <w:rFonts w:ascii="Times New Roman"/>
                          <w:sz w:val="18"/>
                        </w:rPr>
                        <w:t>01</w:t>
                      </w:r>
                    </w:p>
                  </w:txbxContent>
                </v:textbox>
                <w10:wrap type="none"/>
              </v:shape>
              <v:shape style="position:absolute;left:7686;top:9786;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8420;top:9786;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9150;top:9786;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group>
          </v:group>
        </w:pict>
      </w:r>
      <w:r>
        <w:rPr>
          <w:rFonts w:ascii="宋体" w:hAnsi="宋体" w:cs="宋体" w:eastAsia="宋体" w:hint="default"/>
          <w:position w:val="-204"/>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公司报告期无募集资金使用情况。</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1"/>
      <w:bookmarkEnd w:id="5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2"/>
      <w:bookmarkEnd w:id="5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公司报告期内无应当披露的重要控股参股公司信息。</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（一）公司未来发展战略</w:t>
      </w:r>
    </w:p>
    <w:p>
      <w:pPr>
        <w:pStyle w:val="BodyText"/>
        <w:spacing w:line="300" w:lineRule="auto" w:before="76"/>
        <w:ind w:left="514" w:right="0"/>
        <w:jc w:val="left"/>
      </w:pPr>
      <w:r>
        <w:rPr>
          <w:rFonts w:ascii="Times New Roman" w:hAnsi="Times New Roman" w:cs="Times New Roman" w:eastAsia="Times New Roman" w:hint="default"/>
        </w:rPr>
        <w:t>1</w:t>
      </w:r>
      <w:r>
        <w:rPr/>
        <w:t>、实施目标管理，增强发展动能 </w:t>
      </w:r>
      <w:r>
        <w:rPr>
          <w:spacing w:val="-2"/>
        </w:rPr>
        <w:t>公司将在对子公司逐步加强人力资源与财务管控的基础上，实施目标管理。将绩效考核指标细化为关键业绩指标、运营</w:t>
      </w:r>
    </w:p>
    <w:p>
      <w:pPr>
        <w:pStyle w:val="BodyText"/>
        <w:spacing w:line="316" w:lineRule="auto" w:before="31"/>
        <w:ind w:right="1032"/>
        <w:jc w:val="left"/>
      </w:pPr>
      <w:r>
        <w:rPr/>
        <w:t>管理指标、边界管控指标三部分，通过目标导向，督促子公司提升经营意识，提高经营质量。根据年度业绩综合考核结果， </w:t>
      </w:r>
      <w:r>
        <w:rPr>
          <w:spacing w:val="-2"/>
        </w:rPr>
        <w:t>确定管理层的薪酬收入。并据此核定子公司全员工资总额，真正将公司发展与全员薪酬增减挂钩。通过强化目标管理，增强</w:t>
      </w:r>
      <w:r>
        <w:rPr>
          <w:spacing w:val="-66"/>
        </w:rPr>
        <w:t> </w:t>
      </w:r>
      <w:r>
        <w:rPr>
          <w:spacing w:val="-66"/>
        </w:rPr>
      </w:r>
      <w:r>
        <w:rPr/>
        <w:t>经营意识，成为公司的动力中心，全面推动公司战略决策部署和目标任务落地。</w:t>
      </w:r>
    </w:p>
    <w:p>
      <w:pPr>
        <w:pStyle w:val="BodyText"/>
        <w:spacing w:line="300" w:lineRule="auto" w:before="19"/>
        <w:ind w:left="514" w:right="0"/>
        <w:jc w:val="left"/>
      </w:pPr>
      <w:r>
        <w:rPr>
          <w:rFonts w:ascii="Times New Roman" w:hAnsi="Times New Roman" w:cs="Times New Roman" w:eastAsia="Times New Roman" w:hint="default"/>
        </w:rPr>
        <w:t>2</w:t>
      </w:r>
      <w:r>
        <w:rPr/>
        <w:t>、推动降本增效，夯实经营质量 </w:t>
      </w:r>
      <w:r>
        <w:rPr>
          <w:spacing w:val="-2"/>
        </w:rPr>
        <w:t>降本增效要作为一项长期重点工作。一方面应该鼓足干劲，抢占市场，提升份额，提高效益；另一方面应该转变思想观</w:t>
      </w:r>
    </w:p>
    <w:p>
      <w:pPr>
        <w:pStyle w:val="BodyText"/>
        <w:spacing w:line="316" w:lineRule="auto" w:before="31"/>
        <w:ind w:right="0"/>
        <w:jc w:val="left"/>
      </w:pPr>
      <w:r>
        <w:rPr>
          <w:spacing w:val="-2"/>
        </w:rPr>
        <w:t>念和作风，居安思危、艰苦奋斗，牢固树立节约意识；三是建立节约激励机制和奖惩制度，将节约成本纳入企业日常考核范</w:t>
      </w:r>
      <w:r>
        <w:rPr>
          <w:spacing w:val="-66"/>
        </w:rPr>
        <w:t> </w:t>
      </w:r>
      <w:r>
        <w:rPr>
          <w:spacing w:val="-66"/>
        </w:rPr>
      </w:r>
      <w:r>
        <w:rPr/>
        <w:t>围，定期检查。确保抓出成效，切实解决好各个部门、各个环节的</w:t>
      </w:r>
      <w:r>
        <w:rPr>
          <w:rFonts w:ascii="Times New Roman" w:hAnsi="Times New Roman" w:cs="Times New Roman" w:eastAsia="Times New Roman" w:hint="default"/>
        </w:rPr>
        <w:t>“</w:t>
      </w:r>
      <w:r>
        <w:rPr/>
        <w:t>跑冒滴漏</w:t>
      </w:r>
      <w:r>
        <w:rPr>
          <w:rFonts w:ascii="Times New Roman" w:hAnsi="Times New Roman" w:cs="Times New Roman" w:eastAsia="Times New Roman" w:hint="default"/>
        </w:rPr>
        <w:t>”</w:t>
      </w:r>
      <w:r>
        <w:rPr/>
        <w:t>问题。</w:t>
      </w:r>
    </w:p>
    <w:p>
      <w:pPr>
        <w:pStyle w:val="BodyText"/>
        <w:spacing w:line="300" w:lineRule="auto"/>
        <w:ind w:left="514" w:right="1032"/>
        <w:jc w:val="left"/>
      </w:pPr>
      <w:r>
        <w:rPr>
          <w:rFonts w:ascii="Times New Roman" w:hAnsi="Times New Roman" w:cs="Times New Roman" w:eastAsia="Times New Roman" w:hint="default"/>
        </w:rPr>
        <w:t>3</w:t>
      </w:r>
      <w:r>
        <w:rPr/>
        <w:t>、狠抓研发创新，塑造内生动力 继续加强产品和技术创新，增加研发投入，坚定不移地发展自主产品。公司将继续增加研发投入，大力支持技术创新、</w:t>
      </w:r>
    </w:p>
    <w:p>
      <w:pPr>
        <w:pStyle w:val="BodyText"/>
        <w:spacing w:line="316" w:lineRule="auto" w:before="31"/>
        <w:ind w:right="0"/>
        <w:jc w:val="left"/>
      </w:pPr>
      <w:r>
        <w:rPr>
          <w:spacing w:val="-4"/>
        </w:rPr>
        <w:t>模式创新、管理创新，提升公司核心竞争力；另一方面将建立创新激励机制，在公司内营造争先创优、创新创造的良好氛围。</w:t>
      </w:r>
      <w:r>
        <w:rPr>
          <w:spacing w:val="-44"/>
        </w:rPr>
        <w:t> </w:t>
      </w:r>
      <w:r>
        <w:rPr>
          <w:spacing w:val="-44"/>
        </w:rPr>
      </w:r>
      <w:r>
        <w:rPr>
          <w:spacing w:val="-2"/>
        </w:rPr>
        <w:t>技术研究开发要立足全球视野，瞄准未来市场发展方向，加快相关技术产品研究研发。同时，整合创新要素资源，扩大深化</w:t>
      </w:r>
      <w:r>
        <w:rPr>
          <w:spacing w:val="-66"/>
        </w:rPr>
        <w:t> </w:t>
      </w:r>
      <w:r>
        <w:rPr>
          <w:spacing w:val="-66"/>
        </w:rPr>
      </w:r>
      <w:r>
        <w:rPr/>
        <w:t>与相关科研机构、院所的技术交流合作，为可持续发展、实现创新引领提供原动力。</w:t>
      </w:r>
    </w:p>
    <w:p>
      <w:pPr>
        <w:pStyle w:val="BodyText"/>
        <w:spacing w:line="300" w:lineRule="auto" w:before="19"/>
        <w:ind w:left="514" w:right="0"/>
        <w:jc w:val="left"/>
      </w:pPr>
      <w:r>
        <w:rPr>
          <w:rFonts w:ascii="Times New Roman" w:hAnsi="Times New Roman" w:cs="Times New Roman" w:eastAsia="Times New Roman" w:hint="default"/>
        </w:rPr>
        <w:t>4</w:t>
      </w:r>
      <w:r>
        <w:rPr/>
        <w:t>、强化人才支撑，驱动创新发展 </w:t>
      </w:r>
      <w:r>
        <w:rPr>
          <w:spacing w:val="-2"/>
        </w:rPr>
        <w:t>人才是创新的根本，对于公司发展包括实现战略构想在某种程度上甚至起着决定性作用。引进与赋能并重，做好人才招</w:t>
      </w:r>
    </w:p>
    <w:p>
      <w:pPr>
        <w:pStyle w:val="BodyText"/>
        <w:spacing w:line="316" w:lineRule="auto" w:before="31"/>
        <w:ind w:right="0"/>
        <w:jc w:val="left"/>
      </w:pPr>
      <w:r>
        <w:rPr>
          <w:spacing w:val="-2"/>
        </w:rPr>
        <w:t>揽与使用：一方面加强高端人才引进，争当伯乐，积极引荐。另一方面对现有人员进行赋能，挖掘潜力，实现人尽其才、各</w:t>
      </w:r>
      <w:r>
        <w:rPr>
          <w:spacing w:val="-71"/>
        </w:rPr>
        <w:t> </w:t>
      </w:r>
      <w:r>
        <w:rPr>
          <w:spacing w:val="-71"/>
        </w:rPr>
      </w:r>
      <w:r>
        <w:rPr/>
        <w:t>尽其能，坚持以奋斗者为荣、以奋斗者为本的价值导向和取向，解决好发展的根本性问题。</w:t>
      </w:r>
    </w:p>
    <w:p>
      <w:pPr>
        <w:pStyle w:val="BodyText"/>
        <w:spacing w:line="240" w:lineRule="auto" w:before="19"/>
        <w:ind w:left="514" w:right="0"/>
        <w:jc w:val="left"/>
      </w:pPr>
      <w:r>
        <w:rPr/>
        <w:t>（二）对公司未来发展战略和经营目标的实现产生不利影响的因素分析</w:t>
      </w:r>
    </w:p>
    <w:p>
      <w:pPr>
        <w:pStyle w:val="BodyText"/>
        <w:spacing w:line="240" w:lineRule="auto" w:before="76"/>
        <w:ind w:left="515" w:right="0"/>
        <w:jc w:val="left"/>
      </w:pPr>
      <w:r>
        <w:rPr>
          <w:rFonts w:ascii="Times New Roman" w:hAnsi="Times New Roman" w:cs="Times New Roman" w:eastAsia="Times New Roman" w:hint="default"/>
        </w:rPr>
        <w:t>1</w:t>
      </w:r>
      <w:r>
        <w:rPr/>
        <w:t>、管理风险</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16" w:lineRule="auto" w:before="44"/>
        <w:ind w:right="1131" w:firstLine="360"/>
        <w:jc w:val="both"/>
      </w:pPr>
      <w:r>
        <w:rPr>
          <w:spacing w:val="-2"/>
        </w:rPr>
        <w:t>公司的业务和规模不断扩张，使得管理的跨度和半径愈来愈大，进而提升了管理的难度；同时双轮驱动发展战略，对公</w:t>
      </w:r>
      <w:r>
        <w:rPr/>
        <w:t> </w:t>
      </w:r>
      <w:r>
        <w:rPr>
          <w:spacing w:val="-2"/>
        </w:rPr>
        <w:t>司经营管理层在投资决策、资源整合、资本运作、生产经营、市场开拓等方面提出更高的能力要求。如公司经营管理水平不</w:t>
      </w:r>
      <w:r>
        <w:rPr>
          <w:spacing w:val="-66"/>
        </w:rPr>
        <w:t> </w:t>
      </w:r>
      <w:r>
        <w:rPr>
          <w:spacing w:val="-66"/>
        </w:rPr>
      </w:r>
      <w:r>
        <w:rPr>
          <w:spacing w:val="-2"/>
        </w:rPr>
        <w:t>能适应业务发展需求，可能面临一定的经营管理风险。公司将充分利用上市公司平台，将投资项目纳入上市公司内控管理体</w:t>
      </w:r>
      <w:r>
        <w:rPr>
          <w:spacing w:val="-66"/>
        </w:rPr>
        <w:t> </w:t>
      </w:r>
      <w:r>
        <w:rPr>
          <w:spacing w:val="-66"/>
        </w:rPr>
      </w:r>
      <w:r>
        <w:rPr/>
        <w:t>系，同时公司管理层加强学习，整合行业专家、科研机构等资源，降低经营管理风险。</w:t>
      </w:r>
    </w:p>
    <w:p>
      <w:pPr>
        <w:pStyle w:val="BodyText"/>
        <w:spacing w:line="338" w:lineRule="auto" w:before="59"/>
        <w:ind w:left="514" w:right="0"/>
        <w:jc w:val="left"/>
      </w:pPr>
      <w:r>
        <w:rPr>
          <w:rFonts w:ascii="Times New Roman" w:hAnsi="Times New Roman" w:cs="Times New Roman" w:eastAsia="Times New Roman" w:hint="default"/>
        </w:rPr>
        <w:t>2</w:t>
      </w:r>
      <w:r>
        <w:rPr/>
        <w:t>、商誉减值的风险 </w:t>
      </w:r>
      <w:r>
        <w:rPr>
          <w:spacing w:val="-4"/>
        </w:rPr>
        <w:t>由于公司的对外投资并购，在合并资产负债表中形成一定金额的商誉，公司对截止</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日的商誉进行减值测试，</w:t>
      </w:r>
    </w:p>
    <w:p>
      <w:pPr>
        <w:pStyle w:val="BodyText"/>
        <w:spacing w:line="217" w:lineRule="exact"/>
        <w:ind w:right="0"/>
        <w:jc w:val="both"/>
      </w:pPr>
      <w:r>
        <w:rPr/>
        <w:t>发现广东科迪隆科技有限公司商誉在本期发生减值并计提商誉减值准备，其他公司经测试不存在商誉减值迹象。若在未来经</w:t>
      </w:r>
    </w:p>
    <w:p>
      <w:pPr>
        <w:pStyle w:val="BodyText"/>
        <w:spacing w:line="319" w:lineRule="auto" w:before="76"/>
        <w:ind w:right="0"/>
        <w:jc w:val="left"/>
      </w:pPr>
      <w:r>
        <w:rPr>
          <w:spacing w:val="-2"/>
        </w:rPr>
        <w:t>营中，并购的有关子公司不能较好地实现收益，那么可能出现计提商誉减值的风险，从而对公司资产情况和经营业绩产生不</w:t>
      </w:r>
      <w:r>
        <w:rPr>
          <w:spacing w:val="-66"/>
        </w:rPr>
        <w:t> </w:t>
      </w:r>
      <w:r>
        <w:rPr>
          <w:spacing w:val="-66"/>
        </w:rPr>
      </w:r>
      <w:r>
        <w:rPr>
          <w:spacing w:val="-4"/>
        </w:rPr>
        <w:t>利影响。公司将紧密关注子公司的经营状况，通过提升管理水平、整合技术及业务资源、开拓市场等措施，保障其稳健发展，</w:t>
      </w:r>
      <w:r>
        <w:rPr>
          <w:spacing w:val="-44"/>
        </w:rPr>
        <w:t> </w:t>
      </w:r>
      <w:r>
        <w:rPr>
          <w:spacing w:val="-44"/>
        </w:rPr>
      </w:r>
      <w:r>
        <w:rPr/>
        <w:t>最大限度地降低可能的商誉减值风险。</w:t>
      </w:r>
    </w:p>
    <w:p>
      <w:pPr>
        <w:pStyle w:val="BodyText"/>
        <w:spacing w:line="338" w:lineRule="auto" w:before="56"/>
        <w:ind w:left="514" w:right="0"/>
        <w:jc w:val="left"/>
      </w:pPr>
      <w:r>
        <w:rPr>
          <w:rFonts w:ascii="Times New Roman" w:hAnsi="Times New Roman" w:cs="Times New Roman" w:eastAsia="Times New Roman" w:hint="default"/>
        </w:rPr>
        <w:t>3</w:t>
      </w:r>
      <w:r>
        <w:rPr/>
        <w:t>、市场竞争风险 </w:t>
      </w:r>
      <w:r>
        <w:rPr>
          <w:spacing w:val="-2"/>
        </w:rPr>
        <w:t>公司产品的性能和质量处于国内领先水平，但近年来行业进入者增多，市场竞争日趋激烈；虽然大部分竞争对手从经营</w:t>
      </w:r>
    </w:p>
    <w:p>
      <w:pPr>
        <w:pStyle w:val="BodyText"/>
        <w:spacing w:line="319" w:lineRule="auto" w:before="2"/>
        <w:ind w:right="1133"/>
        <w:jc w:val="both"/>
      </w:pPr>
      <w:r>
        <w:rPr>
          <w:spacing w:val="-2"/>
        </w:rPr>
        <w:t>规模、技术水准等方面对公司的长远发展不构成影响，但短期内可能对公司的经营业绩造成一定冲击；而且与国际竞争对手</w:t>
      </w:r>
      <w:r>
        <w:rPr>
          <w:spacing w:val="-66"/>
        </w:rPr>
        <w:t> </w:t>
      </w:r>
      <w:r>
        <w:rPr>
          <w:spacing w:val="-66"/>
        </w:rPr>
      </w:r>
      <w:r>
        <w:rPr>
          <w:spacing w:val="-2"/>
        </w:rPr>
        <w:t>相比，公司存在起步相对较晚，技术上仍须完善提高等不利因素。公司将导入卓越绩效管理模式，增强技术、产品和管理优</w:t>
      </w:r>
      <w:r>
        <w:rPr>
          <w:spacing w:val="-66"/>
        </w:rPr>
        <w:t> </w:t>
      </w:r>
      <w:r>
        <w:rPr>
          <w:spacing w:val="-66"/>
        </w:rPr>
      </w:r>
      <w:r>
        <w:rPr/>
        <w:t>势，同时加强与国际先进企业实施合作，技术逐步突破国际先进水平。</w:t>
      </w:r>
    </w:p>
    <w:p>
      <w:pPr>
        <w:pStyle w:val="BodyText"/>
        <w:spacing w:line="340" w:lineRule="auto" w:before="56"/>
        <w:ind w:left="514" w:right="0" w:firstLine="1"/>
        <w:jc w:val="left"/>
      </w:pPr>
      <w:r>
        <w:rPr>
          <w:rFonts w:ascii="Times New Roman" w:hAnsi="Times New Roman" w:cs="Times New Roman" w:eastAsia="Times New Roman" w:hint="default"/>
        </w:rPr>
        <w:t>4</w:t>
      </w:r>
      <w:r>
        <w:rPr/>
        <w:t>、产业政策风险 </w:t>
      </w:r>
      <w:r>
        <w:rPr>
          <w:spacing w:val="-2"/>
        </w:rPr>
        <w:t>随着中国经济的高速增长，环境污染问题日趋严重，面对迫切的环境压力，政府对环境保护越来越重视。国家产业政策</w:t>
      </w:r>
    </w:p>
    <w:p>
      <w:pPr>
        <w:pStyle w:val="BodyText"/>
        <w:spacing w:line="319" w:lineRule="auto"/>
        <w:ind w:right="1131"/>
        <w:jc w:val="both"/>
      </w:pPr>
      <w:r>
        <w:rPr>
          <w:spacing w:val="-2"/>
        </w:rPr>
        <w:t>出台的时间和执行力度和以及环保投资规模直接影响着公司业务拓展。因此产业相关支持政策能否有效落实并得到有效的执</w:t>
      </w:r>
      <w:r>
        <w:rPr>
          <w:spacing w:val="-64"/>
        </w:rPr>
        <w:t> </w:t>
      </w:r>
      <w:r>
        <w:rPr>
          <w:spacing w:val="-64"/>
        </w:rPr>
      </w:r>
      <w:r>
        <w:rPr/>
        <w:t>行将会对公司产生经营产生较大影响。对此 公司将密切关注国家相关政策的变化，并对其进行分析研究，加强与地方政府</w:t>
      </w:r>
      <w:r>
        <w:rPr>
          <w:spacing w:val="-88"/>
        </w:rPr>
        <w:t> </w:t>
      </w:r>
      <w:r>
        <w:rPr>
          <w:spacing w:val="-88"/>
        </w:rPr>
      </w:r>
      <w:r>
        <w:rPr/>
        <w:t>的沟通和联系，提高公司应变能力和抗风险水平。</w:t>
      </w:r>
    </w:p>
    <w:p>
      <w:pPr>
        <w:pStyle w:val="BodyText"/>
        <w:spacing w:line="340" w:lineRule="auto" w:before="55"/>
        <w:ind w:left="514" w:right="1032" w:firstLine="1"/>
        <w:jc w:val="left"/>
      </w:pPr>
      <w:r>
        <w:rPr>
          <w:rFonts w:ascii="Times New Roman" w:hAnsi="Times New Roman" w:cs="Times New Roman" w:eastAsia="Times New Roman" w:hint="default"/>
        </w:rPr>
        <w:t>5</w:t>
      </w:r>
      <w:r>
        <w:rPr/>
        <w:t>、行政许可的风险 按照《中华人民共和国计量法》，环境监测仪器属于计量器具，应符合《制造计量器具许可证考核规范》的考核要求，</w:t>
      </w:r>
    </w:p>
    <w:p>
      <w:pPr>
        <w:pStyle w:val="BodyText"/>
        <w:spacing w:line="309" w:lineRule="auto" w:before="1"/>
        <w:ind w:right="1089"/>
        <w:jc w:val="both"/>
      </w:pPr>
      <w:r>
        <w:rPr/>
        <w:t>生产厂家按照法律规定须向质量技术监督局提出申请，并经计量行政主管部门对生产厂家组织考核合格后，才能取得</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制造 计量器具许可证</w:t>
      </w: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t>。《制造计量器具许可证考核规范》》是强制性规定，环保主管部门对技术标准的规定属于规范性要求。 </w:t>
      </w:r>
      <w:r>
        <w:rPr>
          <w:spacing w:val="-2"/>
        </w:rPr>
        <w:t>公司虽然已经取得以上运营许可资质，并且采取了积极的资质展期申请准备措施，但是如果以上资质管理办法与技术规范性</w:t>
      </w:r>
      <w:r>
        <w:rPr>
          <w:spacing w:val="-64"/>
        </w:rPr>
        <w:t> </w:t>
      </w:r>
      <w:r>
        <w:rPr>
          <w:spacing w:val="-64"/>
        </w:rPr>
      </w:r>
      <w:r>
        <w:rPr>
          <w:spacing w:val="-2"/>
        </w:rPr>
        <w:t>要求发生变化，可能会对公司产生一定影响。公司将继续强化技术优势，加强国内外技术交流及引进，对技术前瞻性和实用</w:t>
      </w:r>
      <w:r>
        <w:rPr>
          <w:spacing w:val="-66"/>
        </w:rPr>
        <w:t> </w:t>
      </w:r>
      <w:r>
        <w:rPr>
          <w:spacing w:val="-66"/>
        </w:rPr>
      </w:r>
      <w:r>
        <w:rPr/>
        <w:t>性并重，争取在关键领域保持领先。</w:t>
      </w:r>
    </w:p>
    <w:p>
      <w:pPr>
        <w:spacing w:line="240" w:lineRule="auto" w:before="13"/>
        <w:rPr>
          <w:rFonts w:ascii="宋体" w:hAnsi="宋体" w:cs="宋体" w:eastAsia="宋体" w:hint="default"/>
          <w:sz w:val="20"/>
          <w:szCs w:val="20"/>
        </w:rPr>
      </w:pPr>
    </w:p>
    <w:p>
      <w:pPr>
        <w:pStyle w:val="Heading2"/>
        <w:spacing w:line="240" w:lineRule="auto"/>
        <w:ind w:right="0"/>
        <w:jc w:val="both"/>
        <w:rPr>
          <w:b w:val="0"/>
          <w:bCs w:val="0"/>
        </w:rPr>
      </w:pPr>
      <w:bookmarkStart w:name="十、接待调研、沟通、采访等活动登记表" w:id="56"/>
      <w:bookmarkEnd w:id="56"/>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57"/>
      <w:bookmarkEnd w:id="5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42.839996pt;margin-top:614.579956pt;width:290.95pt;height:20.8pt;mso-position-horizontal-relative:page;mso-position-vertical-relative:page;z-index:-907384" coordorigin="4857,12292" coordsize="5819,416">
            <v:group style="position:absolute;left:4868;top:12303;width:2;height:393" coordorigin="4868,12303" coordsize="2,393">
              <v:shape style="position:absolute;left:4868;top:12303;width:2;height:393" coordorigin="4868,12303" coordsize="0,393" path="m4868,12303l4868,12696e" filled="false" stroked="true" strokeweight="1.160pt" strokecolor="#ffffff">
                <v:path arrowok="t"/>
              </v:shape>
            </v:group>
            <v:group style="position:absolute;left:4880;top:12303;width:5796;height:393" coordorigin="4880,12303" coordsize="5796,393">
              <v:shape style="position:absolute;left:4880;top:12303;width:5796;height:393" coordorigin="4880,12303" coordsize="5796,393" path="m4880,12696l10675,12696,10675,12303,4880,12303,4880,12696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126"/>
        <w:jc w:val="center"/>
        <w:rPr>
          <w:b w:val="0"/>
          <w:bCs w:val="0"/>
        </w:rPr>
      </w:pPr>
      <w:bookmarkStart w:name="第五节 重要事项" w:id="58"/>
      <w:bookmarkEnd w:id="58"/>
      <w:r>
        <w:rPr>
          <w:b w:val="0"/>
          <w:bCs w:val="0"/>
        </w:rPr>
      </w:r>
      <w:bookmarkStart w:name="_bookmark4" w:id="59"/>
      <w:bookmarkEnd w:id="59"/>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日召开的</w:t>
      </w:r>
      <w:r>
        <w:rPr>
          <w:rFonts w:ascii="Times New Roman" w:hAnsi="Times New Roman" w:cs="Times New Roman" w:eastAsia="Times New Roman" w:hint="default"/>
          <w:spacing w:val="-1"/>
        </w:rPr>
        <w:t>2017</w:t>
      </w:r>
      <w:r>
        <w:rPr>
          <w:spacing w:val="-1"/>
        </w:rPr>
        <w:t>年度股东大会审议通过</w:t>
      </w:r>
      <w:r>
        <w:rPr>
          <w:rFonts w:ascii="Times New Roman" w:hAnsi="Times New Roman" w:cs="Times New Roman" w:eastAsia="Times New Roman" w:hint="default"/>
          <w:spacing w:val="-1"/>
        </w:rPr>
        <w:t>2017</w:t>
      </w:r>
      <w:r>
        <w:rPr>
          <w:spacing w:val="-1"/>
        </w:rPr>
        <w:t>年年度权益分派方案</w:t>
      </w:r>
      <w:r>
        <w:rPr>
          <w:rFonts w:ascii="Times New Roman" w:hAnsi="Times New Roman" w:cs="Times New Roman" w:eastAsia="Times New Roman" w:hint="default"/>
          <w:spacing w:val="-1"/>
        </w:rPr>
        <w:t>,</w:t>
      </w:r>
      <w:r>
        <w:rPr>
          <w:spacing w:val="-1"/>
        </w:rPr>
        <w:t>以公司总股本</w:t>
      </w:r>
      <w:r>
        <w:rPr>
          <w:rFonts w:ascii="Times New Roman" w:hAnsi="Times New Roman" w:cs="Times New Roman" w:eastAsia="Times New Roman" w:hint="default"/>
          <w:spacing w:val="-1"/>
        </w:rPr>
        <w:t>344,395,344</w:t>
      </w:r>
      <w:r>
        <w:rPr>
          <w:spacing w:val="-1"/>
        </w:rPr>
        <w:t>为基数，向</w:t>
      </w:r>
    </w:p>
    <w:p>
      <w:pPr>
        <w:pStyle w:val="BodyText"/>
        <w:spacing w:line="230" w:lineRule="exact"/>
        <w:ind w:right="0"/>
        <w:jc w:val="left"/>
      </w:pPr>
      <w:r>
        <w:rPr/>
        <w:t>全体股东每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0.5</w:t>
      </w:r>
      <w:r>
        <w:rPr>
          <w:rFonts w:ascii="Times New Roman" w:hAnsi="Times New Roman" w:cs="Times New Roman" w:eastAsia="Times New Roman" w:hint="default"/>
          <w:spacing w:val="23"/>
        </w:rPr>
        <w:t> </w:t>
      </w:r>
      <w:r>
        <w:rPr/>
        <w:t>元（含税），合计派发现金红利</w:t>
      </w:r>
      <w:r>
        <w:rPr>
          <w:rFonts w:ascii="Times New Roman" w:hAnsi="Times New Roman" w:cs="Times New Roman" w:eastAsia="Times New Roman" w:hint="default"/>
        </w:rPr>
        <w:t>17,219,767.20</w:t>
      </w:r>
      <w:r>
        <w:rPr/>
        <w:t>元（含税）；同时以资本公积金转增</w:t>
      </w:r>
    </w:p>
    <w:p>
      <w:pPr>
        <w:pStyle w:val="BodyText"/>
        <w:spacing w:line="300" w:lineRule="auto" w:before="63"/>
        <w:ind w:right="0"/>
        <w:jc w:val="left"/>
      </w:pPr>
      <w:r>
        <w:rPr>
          <w:spacing w:val="-2"/>
        </w:rPr>
        <w:t>股本，每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6</w:t>
      </w:r>
      <w:r>
        <w:rPr>
          <w:spacing w:val="-2"/>
        </w:rPr>
        <w:t>股，共计转增</w:t>
      </w:r>
      <w:r>
        <w:rPr>
          <w:rFonts w:ascii="Times New Roman" w:hAnsi="Times New Roman" w:cs="Times New Roman" w:eastAsia="Times New Roman" w:hint="default"/>
          <w:spacing w:val="-2"/>
        </w:rPr>
        <w:t>206,637,206</w:t>
      </w:r>
      <w:r>
        <w:rPr>
          <w:spacing w:val="-2"/>
        </w:rPr>
        <w:t>股，转增完毕后，公司总股本变更为</w:t>
      </w:r>
      <w:r>
        <w:rPr>
          <w:rFonts w:ascii="Times New Roman" w:hAnsi="Times New Roman" w:cs="Times New Roman" w:eastAsia="Times New Roman" w:hint="default"/>
          <w:spacing w:val="-2"/>
        </w:rPr>
        <w:t>551,032,550</w:t>
      </w:r>
      <w:r>
        <w:rPr>
          <w:spacing w:val="-2"/>
        </w:rPr>
        <w:t>股。公司于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17</w:t>
      </w:r>
      <w:r>
        <w:rPr>
          <w:spacing w:val="-2"/>
        </w:rPr>
        <w:t>日将该</w:t>
      </w:r>
      <w:r>
        <w:rPr>
          <w:spacing w:val="-38"/>
        </w:rPr>
        <w:t> </w:t>
      </w:r>
      <w:r>
        <w:rPr>
          <w:spacing w:val="-38"/>
        </w:rPr>
      </w:r>
      <w:r>
        <w:rPr/>
        <w:t>权益分派方案实施完毕。</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报告期内现金分红政策未调整或变更</w:t>
            </w:r>
          </w:p>
        </w:tc>
      </w:tr>
    </w:tbl>
    <w:p>
      <w:pPr>
        <w:pStyle w:val="BodyText"/>
        <w:spacing w:line="240" w:lineRule="auto" w:before="72"/>
        <w:ind w:right="0"/>
        <w:jc w:val="left"/>
      </w:pPr>
      <w:r>
        <w:rPr/>
        <w:t>公司报告期利润分配预案及资本公积金转增股本预案与公司章程和分红管理办法等的相关规定一致</w:t>
      </w:r>
    </w:p>
    <w:p>
      <w:pPr>
        <w:pStyle w:val="BodyText"/>
        <w:spacing w:line="348" w:lineRule="auto" w:before="117"/>
        <w:ind w:right="42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551,032,550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tabs>
                <w:tab w:pos="4783"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36,901,998.60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36,901,998.60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747,799,132.86</w:t>
            </w:r>
          </w:p>
        </w:tc>
      </w:tr>
      <w:tr>
        <w:trPr>
          <w:trHeight w:val="71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337.629028pt;margin-top:714.059998pt;width:197.3pt;height:54.6pt;mso-position-horizontal-relative:page;mso-position-vertical-relative:page;z-index:-9073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left="0" w:right="0"/>
                    <w:jc w:val="left"/>
                  </w:pPr>
                  <w:r>
                    <w:rPr/>
                    <w:t>稳定、</w:t>
                  </w:r>
                </w:p>
              </w:txbxContent>
            </v:textbox>
            <w10:wrap type="none"/>
          </v:shape>
        </w:pict>
      </w:r>
      <w:r>
        <w:rPr/>
        <w:pict>
          <v:group style="position:absolute;margin-left:361.779999pt;margin-top:714.059998pt;width:173.15pt;height:54.6pt;mso-position-horizontal-relative:page;mso-position-vertical-relative:page;z-index:-907312" coordorigin="7236,14281" coordsize="3463,1092">
            <v:shape style="position:absolute;left:7236;top:14281;width:3463;height:1092" coordorigin="7236,14281" coordsize="3463,1092" path="m7236,15373l10698,15373,10698,14281,7236,14281,7236,15373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before="44"/>
        <w:ind w:left="0" w:right="1139"/>
        <w:jc w:val="right"/>
      </w:pPr>
      <w:r>
        <w:rPr/>
        <w:pict>
          <v:shape style="position:absolute;margin-left:56.459999pt;margin-top:-20.948271pt;width:479.2pt;height:56.3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0"/>
                          <w:jc w:val="left"/>
                          <w:rPr>
                            <w:rFonts w:ascii="宋体" w:hAnsi="宋体" w:cs="宋体" w:eastAsia="宋体" w:hint="default"/>
                            <w:sz w:val="18"/>
                            <w:szCs w:val="18"/>
                          </w:rPr>
                        </w:pPr>
                        <w:r>
                          <w:rPr>
                            <w:rFonts w:ascii="宋体" w:hAnsi="宋体" w:cs="宋体" w:eastAsia="宋体" w:hint="default"/>
                            <w:spacing w:val="-3"/>
                            <w:sz w:val="18"/>
                            <w:szCs w:val="18"/>
                          </w:rPr>
                          <w:t>结合公司近年来利润分配情况，综合考虑公司日常经营和长期发展资金需求，公司董事会拟定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年度利润分配预案为 不派发现金红利，不送红股，也不进行资本公积金转增股本，未分配利润结转下一年度。</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right="0"/>
        <w:jc w:val="both"/>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2"/>
        <w:ind w:right="1051"/>
        <w:jc w:val="left"/>
      </w:pPr>
      <w:r>
        <w:rPr/>
        <w:t>（</w:t>
      </w:r>
      <w:r>
        <w:rPr>
          <w:rFonts w:ascii="Times New Roman" w:hAnsi="Times New Roman" w:cs="Times New Roman" w:eastAsia="Times New Roman" w:hint="default"/>
        </w:rPr>
        <w:t>1</w:t>
      </w:r>
      <w:r>
        <w:rPr/>
        <w:t>）公司</w:t>
      </w:r>
      <w:r>
        <w:rPr>
          <w:spacing w:val="-19"/>
        </w:rPr>
        <w:t> </w:t>
      </w:r>
      <w:r>
        <w:rPr>
          <w:rFonts w:ascii="Times New Roman" w:hAnsi="Times New Roman" w:cs="Times New Roman" w:eastAsia="Times New Roman" w:hint="default"/>
        </w:rPr>
        <w:t>2018</w:t>
      </w:r>
      <w:r>
        <w:rPr/>
        <w:t>年度利润分配及资本公积金转增股本预案为：不派发现金红利，不送红股，也不进行资本公积金转增股本， 未分配利润结转下一年度。</w:t>
      </w:r>
    </w:p>
    <w:p>
      <w:pPr>
        <w:pStyle w:val="BodyText"/>
        <w:spacing w:line="300" w:lineRule="auto" w:before="31"/>
        <w:ind w:right="1186"/>
        <w:jc w:val="both"/>
      </w:pPr>
      <w:r>
        <w:rPr/>
        <w:t>（</w:t>
      </w:r>
      <w:r>
        <w:rPr>
          <w:rFonts w:ascii="Times New Roman" w:hAnsi="Times New Roman" w:cs="Times New Roman" w:eastAsia="Times New Roman" w:hint="default"/>
        </w:rPr>
        <w:t>2</w:t>
      </w:r>
      <w:r>
        <w:rPr/>
        <w:t>）公司</w:t>
      </w:r>
      <w:r>
        <w:rPr>
          <w:spacing w:val="-20"/>
        </w:rPr>
        <w:t> </w:t>
      </w:r>
      <w:r>
        <w:rPr>
          <w:rFonts w:ascii="Times New Roman" w:hAnsi="Times New Roman" w:cs="Times New Roman" w:eastAsia="Times New Roman" w:hint="default"/>
        </w:rPr>
        <w:t>2017</w:t>
      </w:r>
      <w:r>
        <w:rPr/>
        <w:t>年度利润分配及资本公积金转增股本预案为：向全体股东每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0.5</w:t>
      </w:r>
      <w:r>
        <w:rPr/>
        <w:t>元（含税），合计 派发现金红利</w:t>
      </w:r>
      <w:r>
        <w:rPr>
          <w:rFonts w:ascii="Times New Roman" w:hAnsi="Times New Roman" w:cs="Times New Roman" w:eastAsia="Times New Roman" w:hint="default"/>
        </w:rPr>
        <w:t>17,219,767.20</w:t>
      </w:r>
      <w:r>
        <w:rPr/>
        <w:t>元（含税）；同时以资本公积金转增股本，每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股，共计转增</w:t>
      </w:r>
      <w:r>
        <w:rPr>
          <w:rFonts w:ascii="Times New Roman" w:hAnsi="Times New Roman" w:cs="Times New Roman" w:eastAsia="Times New Roman" w:hint="default"/>
        </w:rPr>
        <w:t>206,637,206</w:t>
      </w:r>
      <w:r>
        <w:rPr/>
        <w:t>股，转增完毕 后，公司总股本变更为</w:t>
      </w:r>
      <w:r>
        <w:rPr>
          <w:rFonts w:ascii="Times New Roman" w:hAnsi="Times New Roman" w:cs="Times New Roman" w:eastAsia="Times New Roman" w:hint="default"/>
        </w:rPr>
        <w:t>551,032,550</w:t>
      </w:r>
      <w:r>
        <w:rPr/>
        <w:t>股。</w:t>
      </w:r>
    </w:p>
    <w:p>
      <w:pPr>
        <w:pStyle w:val="BodyText"/>
        <w:spacing w:line="300" w:lineRule="auto" w:before="53"/>
        <w:ind w:right="1127"/>
        <w:jc w:val="both"/>
      </w:pPr>
      <w:r>
        <w:rPr/>
        <w:t>（</w:t>
      </w: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2016</w:t>
      </w:r>
      <w:r>
        <w:rPr/>
        <w:t>年度利润分配及资本公积金转增股本方案为：以公司总股本</w:t>
      </w:r>
      <w:r>
        <w:rPr>
          <w:rFonts w:ascii="Times New Roman" w:hAnsi="Times New Roman" w:cs="Times New Roman" w:eastAsia="Times New Roman" w:hint="default"/>
        </w:rPr>
        <w:t>344,395,344</w:t>
      </w:r>
      <w:r>
        <w:rPr/>
        <w:t>股为基数，向全体股东每 </w:t>
      </w:r>
      <w:r>
        <w:rPr>
          <w:rFonts w:ascii="Times New Roman" w:hAnsi="Times New Roman" w:cs="Times New Roman" w:eastAsia="Times New Roman" w:hint="default"/>
        </w:rPr>
        <w:t>10 </w:t>
      </w:r>
      <w:r>
        <w:rPr/>
        <w:t>股派发</w:t>
      </w:r>
      <w:r>
        <w:rPr>
          <w:spacing w:val="-86"/>
        </w:rPr>
        <w:t> </w:t>
      </w:r>
      <w:r>
        <w:rPr/>
        <w:t>现金股利</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，合计派发现金</w:t>
      </w:r>
      <w:r>
        <w:rPr>
          <w:rFonts w:ascii="Times New Roman" w:hAnsi="Times New Roman" w:cs="Times New Roman" w:eastAsia="Times New Roman" w:hint="default"/>
        </w:rPr>
        <w:t>34,439,534.40</w:t>
      </w:r>
      <w:r>
        <w:rPr/>
        <w:t>元；不转增股本及送红股。</w:t>
      </w:r>
    </w:p>
    <w:p>
      <w:pPr>
        <w:spacing w:line="240" w:lineRule="auto" w:before="8"/>
        <w:rPr>
          <w:rFonts w:ascii="宋体" w:hAnsi="宋体" w:cs="宋体" w:eastAsia="宋体" w:hint="default"/>
          <w:sz w:val="27"/>
          <w:szCs w:val="27"/>
        </w:rPr>
      </w:pPr>
    </w:p>
    <w:p>
      <w:pPr>
        <w:pStyle w:val="BodyText"/>
        <w:spacing w:line="240" w:lineRule="auto" w:before="44"/>
        <w:ind w:right="0"/>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6"/>
        <w:gridCol w:w="1185"/>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52"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259,434,109.03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36,901,998.60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14.22%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36,901,998.60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14.22%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17,219,767.20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188,169,290.74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17,219,767.20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9.15%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34,439,534.40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105,311,976.46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34,439,534.40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32.70%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097"/>
        <w:gridCol w:w="3472"/>
      </w:tblGrid>
      <w:tr>
        <w:trPr>
          <w:trHeight w:val="714" w:hRule="exact"/>
        </w:trPr>
        <w:tc>
          <w:tcPr>
            <w:tcW w:w="6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22" w:right="73" w:hanging="225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报告期内盈利且母公司可供普通股股东分配利润为正但未提出普通股现金红 利分配预案的原因</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4146"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7"/>
              <w:jc w:val="left"/>
              <w:rPr>
                <w:rFonts w:ascii="宋体" w:hAnsi="宋体" w:cs="宋体" w:eastAsia="宋体" w:hint="default"/>
                <w:sz w:val="18"/>
                <w:szCs w:val="18"/>
              </w:rPr>
            </w:pPr>
            <w:r>
              <w:rPr>
                <w:rFonts w:ascii="宋体" w:hAnsi="宋体" w:cs="宋体" w:eastAsia="宋体" w:hint="default"/>
                <w:spacing w:val="-3"/>
                <w:sz w:val="18"/>
                <w:szCs w:val="18"/>
              </w:rPr>
              <w:t>公司近年来重视发放现金股利回报投资者，最近三年以现金方式累计分配的利</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润已超过最近三年（</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年）实现的年均可分配利润的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（根 据《深圳证券交易所上市公司回购股份实施细则》 </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上市公司以现金为对价， </w:t>
            </w:r>
            <w:r>
              <w:rPr>
                <w:rFonts w:ascii="宋体" w:hAnsi="宋体" w:cs="宋体" w:eastAsia="宋体" w:hint="default"/>
                <w:spacing w:val="-3"/>
                <w:sz w:val="18"/>
                <w:szCs w:val="18"/>
              </w:rPr>
              <w:t>采用要约方式、集中竞方式回购股份的，当年已实施的回购股份金额视同现金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分红金额，纳入该年度现金分红的相关比例计算</w:t>
            </w:r>
            <w:r>
              <w:rPr>
                <w:rFonts w:ascii="Times New Roman" w:hAnsi="Times New Roman" w:cs="Times New Roman" w:eastAsia="Times New Roman" w:hint="default"/>
                <w:sz w:val="18"/>
                <w:szCs w:val="18"/>
              </w:rPr>
              <w:t>”</w:t>
            </w:r>
            <w:r>
              <w:rPr>
                <w:rFonts w:ascii="宋体" w:hAnsi="宋体" w:cs="宋体" w:eastAsia="宋体" w:hint="default"/>
                <w:sz w:val="18"/>
                <w:szCs w:val="18"/>
              </w:rPr>
              <w:t>，公司在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年度以集中</w:t>
            </w:r>
          </w:p>
          <w:p>
            <w:pPr>
              <w:pStyle w:val="TableParagraph"/>
              <w:spacing w:line="309" w:lineRule="auto" w:before="5"/>
              <w:ind w:left="22" w:right="21"/>
              <w:jc w:val="left"/>
              <w:rPr>
                <w:rFonts w:ascii="宋体" w:hAnsi="宋体" w:cs="宋体" w:eastAsia="宋体" w:hint="default"/>
                <w:sz w:val="18"/>
                <w:szCs w:val="18"/>
              </w:rPr>
            </w:pPr>
            <w:r>
              <w:rPr>
                <w:rFonts w:ascii="宋体" w:hAnsi="宋体" w:cs="宋体" w:eastAsia="宋体" w:hint="default"/>
                <w:sz w:val="18"/>
                <w:szCs w:val="18"/>
              </w:rPr>
              <w:t>竞价方式回购股份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36,901,998.60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元，视同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年度现金分红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36,901,998.60 </w:t>
            </w:r>
            <w:r>
              <w:rPr>
                <w:rFonts w:ascii="宋体" w:hAnsi="宋体" w:cs="宋体" w:eastAsia="宋体" w:hint="default"/>
                <w:spacing w:val="-3"/>
                <w:sz w:val="18"/>
                <w:szCs w:val="18"/>
              </w:rPr>
              <w:t>元），符合根据中国证券监督管理委员会《关于进一步落实上市公司现金分红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1"/>
                <w:sz w:val="18"/>
                <w:szCs w:val="18"/>
              </w:rPr>
              <w:t>有关事的通知》、《上市公司监管指引</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上市公司现金分红》及《公司章 程》等相关规定。综合考虑公司短期经营发展和长远发展，公司董事会拟定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年度不派发现金红利，不送红股，也不进行资本公积金转增股本，未分 </w:t>
            </w:r>
            <w:r>
              <w:rPr>
                <w:rFonts w:ascii="宋体" w:hAnsi="宋体" w:cs="宋体" w:eastAsia="宋体" w:hint="default"/>
                <w:spacing w:val="-3"/>
                <w:sz w:val="18"/>
                <w:szCs w:val="18"/>
              </w:rPr>
              <w:t>配利润结转下一年度。留存未分配利润用于满足公司日常经营和投资需要，保</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障公司正常生产经营和稳定发展，增强抵御风险的能力，实现公司持续、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健康发展，更好地维护全体股东的长远利益。</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right="-51"/>
              <w:jc w:val="left"/>
              <w:rPr>
                <w:rFonts w:ascii="宋体" w:hAnsi="宋体" w:cs="宋体" w:eastAsia="宋体" w:hint="default"/>
                <w:sz w:val="20"/>
                <w:szCs w:val="20"/>
              </w:rPr>
            </w:pPr>
            <w:r>
              <w:rPr>
                <w:rFonts w:ascii="宋体" w:hAnsi="宋体" w:cs="宋体" w:eastAsia="宋体" w:hint="default"/>
                <w:position w:val="-21"/>
                <w:sz w:val="20"/>
                <w:szCs w:val="20"/>
              </w:rPr>
              <w:pict>
                <v:group style="width:173.15pt;height:54.6pt;mso-position-horizontal-relative:char;mso-position-vertical-relative:line" coordorigin="0,0" coordsize="3463,1092">
                  <v:group style="position:absolute;left:0;top:0;width:3463;height:1092" coordorigin="0,0" coordsize="3463,1092">
                    <v:shape style="position:absolute;left:0;top:0;width:3463;height:1092" coordorigin="0,0" coordsize="3463,1092" path="m0,1092l3462,1092,3462,0,0,0,0,1092xe" filled="true" fillcolor="#ffffff" stroked="false">
                      <v:path arrowok="t"/>
                      <v:fill type="solid"/>
                    </v:shape>
                  </v:group>
                </v:group>
              </w:pict>
            </w:r>
            <w:r>
              <w:rPr>
                <w:rFonts w:ascii="宋体" w:hAnsi="宋体" w:cs="宋体" w:eastAsia="宋体" w:hint="default"/>
                <w:position w:val="-21"/>
                <w:sz w:val="20"/>
                <w:szCs w:val="20"/>
              </w:rPr>
            </w:r>
          </w:p>
          <w:p>
            <w:pPr>
              <w:pStyle w:val="TableParagraph"/>
              <w:spacing w:line="319"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公司未分配利润将全部用于公司运营及发 展。今后，公司将一如既往地重视以现金分 红形式对投资者进行回报，严格按照法律法 规和《公司章程》等规定，综合考虑与利润 分配相关的各种因素，积极履行公司的利润 分配制度，与投资者共享公司发展的成果。</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r>
        <w:rPr/>
        <w:pict>
          <v:shape style="position:absolute;margin-left:255.440002pt;margin-top:269.719971pt;width:212.15pt;height:163.85pt;mso-position-horizontal-relative:page;mso-position-vertical-relative:page;z-index:-90721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firstLine="1079"/>
                    <w:jc w:val="left"/>
                  </w:pPr>
                  <w:r>
                    <w:rPr/>
                    <w:t>上述限售期届满后分三次解禁，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1"/>
                    <w:ind w:left="0" w:right="0"/>
                    <w:jc w:val="left"/>
                  </w:pPr>
                  <w:r>
                    <w:rPr/>
                    <w:t>第二次解锁时间以下列日期中最晚日期确定：</w:t>
                  </w:r>
                </w:p>
              </w:txbxContent>
            </v:textbox>
            <w10:wrap type="none"/>
          </v:shape>
        </w:pict>
      </w:r>
    </w:p>
    <w:p>
      <w:pPr>
        <w:pStyle w:val="Heading2"/>
        <w:spacing w:line="240" w:lineRule="auto" w:before="26"/>
        <w:ind w:right="0"/>
        <w:jc w:val="left"/>
        <w:rPr>
          <w:b w:val="0"/>
          <w:bCs w:val="0"/>
        </w:rPr>
      </w:pPr>
      <w:bookmarkStart w:name="二、承诺事项履行情况" w:id="61"/>
      <w:bookmarkEnd w:id="61"/>
      <w:r>
        <w:rPr>
          <w:b w:val="0"/>
          <w:bCs w:val="0"/>
        </w:rPr>
      </w:r>
      <w:r>
        <w:rPr/>
        <w:t>二、承诺事项履行情况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2"/>
      <w:bookmarkEnd w:id="62"/>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851"/>
        <w:gridCol w:w="709"/>
        <w:gridCol w:w="4820"/>
        <w:gridCol w:w="709"/>
        <w:gridCol w:w="566"/>
        <w:gridCol w:w="992"/>
      </w:tblGrid>
      <w:tr>
        <w:trPr>
          <w:trHeight w:val="161"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4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09" w:type="dxa"/>
            <w:vMerge/>
            <w:tcBorders>
              <w:left w:val="single" w:sz="4" w:space="0" w:color="000000"/>
              <w:right w:val="single" w:sz="4" w:space="0" w:color="000000"/>
            </w:tcBorders>
            <w:shd w:val="clear" w:color="auto" w:fill="D2D2D2"/>
          </w:tcPr>
          <w:p>
            <w:pPr/>
          </w:p>
        </w:tc>
        <w:tc>
          <w:tcPr>
            <w:tcW w:w="48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09"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4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85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574"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梁常清</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82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本次发行股份购买资产获得的上市公司股份，自股份发行结 束之日起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个月内不得转让， 解禁额度分别为梁常清因本次交易所获得的先河环保股份总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。首次解锁时间以下列日期中最晚 日期确定：具有证券业务资格的会计师事务所对标的公司截 至盈利承诺年度第一年期末累计实际净利润与累计承诺净利 润的差异情况出具专项审核报告之日后的第五日；依据《盈 利预测补偿协议》的约定履行完毕补偿义务（如需）之后的 第五日；自梁常清获取的上市公司股份登记日起已满十二个 月后的第五日。 具有证券业务资格的会计师事务所对标的公司截至盈利承诺 年度第二年期末累计实际净利润与累计承诺净利润的差异情 况出具专项审核报告之日后的第五日；依据《盈利预测补偿 协议》的约定履行完毕补偿义务（如需）之后的第五日；自 梁常清获取的上市公司股份登记日起已满二十四个月后的第 五日。第三次解锁时间以下列日期中最晚日期确定：具有证 券业务资格的会计师事务所对标的公司截至盈利承诺年度第 三年期末累计实际净利润与累计承诺净利润的差异情况出具 专项审核报告之日后的第五日；依据《盈利预测补偿协议》 的约定履行完毕补偿义务（如需）之后的第五日；自梁常清 获取的上市公司股份登记日起已满三十六个月后的第五日。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日，梁常清将其首发后限售股份最后一次解除</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限售的股票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3,190,255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股限售期延长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个月，即解锁时间由原</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09" w:type="dxa"/>
            <w:vMerge w:val="restart"/>
            <w:tcBorders>
              <w:top w:val="single" w:sz="4" w:space="0" w:color="000000"/>
              <w:left w:val="single" w:sz="4" w:space="0" w:color="000000"/>
              <w:right w:val="single" w:sz="4" w:space="0" w:color="000000"/>
            </w:tcBorders>
          </w:tcPr>
          <w:p>
            <w:pPr>
              <w:pStyle w:val="TableParagraph"/>
              <w:spacing w:line="3276" w:lineRule="exact"/>
              <w:ind w:right="-50"/>
              <w:jc w:val="left"/>
              <w:rPr>
                <w:rFonts w:ascii="宋体" w:hAnsi="宋体" w:cs="宋体" w:eastAsia="宋体" w:hint="default"/>
                <w:sz w:val="20"/>
                <w:szCs w:val="20"/>
              </w:rPr>
            </w:pPr>
            <w:r>
              <w:rPr>
                <w:rFonts w:ascii="宋体" w:hAnsi="宋体" w:cs="宋体" w:eastAsia="宋体" w:hint="default"/>
                <w:position w:val="-65"/>
                <w:sz w:val="20"/>
                <w:szCs w:val="20"/>
              </w:rPr>
              <w:pict>
                <v:group style="width:34.950pt;height:163.85pt;mso-position-horizontal-relative:char;mso-position-vertical-relative:line" coordorigin="0,0" coordsize="699,3277">
                  <v:group style="position:absolute;left:0;top:0;width:699;height:3277" coordorigin="0,0" coordsize="699,3277">
                    <v:shape style="position:absolute;left:0;top:0;width:699;height:3277" coordorigin="0,0" coordsize="699,3277" path="m0,3276l698,3276,698,0,0,0,0,3276xe" filled="true" fillcolor="#ffffff" stroked="false">
                      <v:path arrowok="t"/>
                      <v:fill type="solid"/>
                    </v:shape>
                  </v:group>
                </v:group>
              </w:pict>
            </w:r>
            <w:r>
              <w:rPr>
                <w:rFonts w:ascii="宋体" w:hAnsi="宋体" w:cs="宋体" w:eastAsia="宋体" w:hint="default"/>
                <w:position w:val="-6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8-15</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704"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851"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2299" w:hRule="exact"/>
        </w:trPr>
        <w:tc>
          <w:tcPr>
            <w:tcW w:w="1134" w:type="dxa"/>
            <w:vMerge w:val="restart"/>
            <w:tcBorders>
              <w:top w:val="nil" w:sz="6" w:space="0" w:color="auto"/>
              <w:left w:val="single" w:sz="4" w:space="0" w:color="000000"/>
              <w:right w:val="single" w:sz="4" w:space="0" w:color="000000"/>
            </w:tcBorders>
            <w:shd w:val="clear" w:color="auto" w:fill="D2D2D2"/>
          </w:tcPr>
          <w:p>
            <w:pPr/>
          </w:p>
        </w:tc>
        <w:tc>
          <w:tcPr>
            <w:tcW w:w="851"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482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nil" w:sz="6" w:space="0" w:color="auto"/>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2276"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6"/>
              <w:ind w:left="22" w:right="47"/>
              <w:jc w:val="left"/>
              <w:rPr>
                <w:rFonts w:ascii="宋体" w:hAnsi="宋体" w:cs="宋体" w:eastAsia="宋体" w:hint="default"/>
                <w:sz w:val="18"/>
                <w:szCs w:val="18"/>
              </w:rPr>
            </w:pPr>
            <w:r>
              <w:rPr>
                <w:rFonts w:ascii="宋体" w:hAnsi="宋体" w:cs="宋体" w:eastAsia="宋体" w:hint="default"/>
                <w:sz w:val="18"/>
                <w:szCs w:val="18"/>
              </w:rPr>
              <w:t>梁常清</w:t>
            </w:r>
            <w:r>
              <w:rPr>
                <w:rFonts w:ascii="Times New Roman" w:hAnsi="Times New Roman" w:cs="Times New Roman" w:eastAsia="Times New Roman" w:hint="default"/>
                <w:sz w:val="18"/>
                <w:szCs w:val="18"/>
              </w:rPr>
              <w:t>;</w:t>
            </w:r>
            <w:r>
              <w:rPr>
                <w:rFonts w:ascii="宋体" w:hAnsi="宋体" w:cs="宋体" w:eastAsia="宋体" w:hint="default"/>
                <w:sz w:val="18"/>
                <w:szCs w:val="18"/>
              </w:rPr>
              <w:t>梁 宝欣</w:t>
            </w:r>
          </w:p>
        </w:tc>
        <w:tc>
          <w:tcPr>
            <w:tcW w:w="709"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2"/>
              <w:ind w:left="22" w:right="-50"/>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7"/>
                <w:sz w:val="18"/>
                <w:szCs w:val="18"/>
              </w:rPr>
              <w:t>易、资金</w:t>
            </w:r>
            <w:r>
              <w:rPr>
                <w:rFonts w:ascii="宋体" w:hAnsi="宋体" w:cs="宋体" w:eastAsia="宋体" w:hint="default"/>
                <w:sz w:val="18"/>
                <w:szCs w:val="18"/>
              </w:rPr>
              <w:t> 占用方 面的承</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820" w:type="dxa"/>
            <w:tcBorders>
              <w:top w:val="single" w:sz="4" w:space="0" w:color="000000"/>
              <w:left w:val="single" w:sz="9" w:space="0" w:color="FFFFFF"/>
              <w:bottom w:val="single" w:sz="4" w:space="0" w:color="000000"/>
              <w:right w:val="single" w:sz="9" w:space="0" w:color="FFFFFF"/>
            </w:tcBorders>
          </w:tcPr>
          <w:p>
            <w:pPr>
              <w:pStyle w:val="TableParagraph"/>
              <w:spacing w:line="312" w:lineRule="auto" w:before="71"/>
              <w:ind w:left="16" w:right="-39"/>
              <w:jc w:val="left"/>
              <w:rPr>
                <w:rFonts w:ascii="宋体" w:hAnsi="宋体" w:cs="宋体" w:eastAsia="宋体" w:hint="default"/>
                <w:sz w:val="18"/>
                <w:szCs w:val="18"/>
              </w:rPr>
            </w:pPr>
            <w:r>
              <w:rPr>
                <w:rFonts w:ascii="宋体" w:hAnsi="宋体" w:cs="宋体" w:eastAsia="宋体" w:hint="default"/>
                <w:sz w:val="18"/>
                <w:szCs w:val="18"/>
              </w:rPr>
              <w:t>一、关于避免同业竞争的承诺（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）承诺内容为了维护先河环 保及其他股东的合法权益，避免交易对方梁常清及梁宝欣与 </w:t>
            </w:r>
            <w:r>
              <w:rPr>
                <w:rFonts w:ascii="宋体" w:hAnsi="宋体" w:cs="宋体" w:eastAsia="宋体" w:hint="default"/>
                <w:spacing w:val="-2"/>
                <w:sz w:val="18"/>
                <w:szCs w:val="18"/>
              </w:rPr>
              <w:t>先河环保、科迪隆及广西先得（包括其各自的子公司，下同）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之间产生同业竞争，梁常清与梁宝欣作出如下郑重承诺：</w:t>
            </w:r>
            <w:r>
              <w:rPr>
                <w:rFonts w:ascii="Times New Roman" w:hAnsi="Times New Roman" w:cs="Times New Roman" w:eastAsia="Times New Roman" w:hint="default"/>
                <w:sz w:val="18"/>
                <w:szCs w:val="18"/>
              </w:rPr>
              <w:t>1</w:t>
            </w:r>
            <w:r>
              <w:rPr>
                <w:rFonts w:ascii="宋体" w:hAnsi="宋体" w:cs="宋体" w:eastAsia="宋体" w:hint="default"/>
                <w:sz w:val="18"/>
                <w:szCs w:val="18"/>
              </w:rPr>
              <w:t>、 承诺人目前经营的环境质量在线监测系统建设和环境监测设 备的运营维护业务均是通过科迪隆及广西先得进行的，没有 直接或间接通过承诺人直接或间接控制的其他经营主体（以</w:t>
            </w:r>
          </w:p>
        </w:tc>
        <w:tc>
          <w:tcPr>
            <w:tcW w:w="70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351" w:lineRule="exact"/>
              <w:ind w:left="16" w:right="-27"/>
              <w:jc w:val="left"/>
              <w:rPr>
                <w:rFonts w:ascii="宋体" w:hAnsi="宋体" w:cs="宋体" w:eastAsia="宋体" w:hint="default"/>
                <w:sz w:val="20"/>
                <w:szCs w:val="20"/>
              </w:rPr>
            </w:pPr>
            <w:r>
              <w:rPr>
                <w:rFonts w:ascii="宋体" w:hAnsi="宋体" w:cs="宋体" w:eastAsia="宋体" w:hint="default"/>
                <w:position w:val="-6"/>
                <w:sz w:val="20"/>
                <w:szCs w:val="20"/>
              </w:rPr>
              <w:pict>
                <v:group style="width:32.65pt;height:17.6pt;mso-position-horizontal-relative:char;mso-position-vertical-relative:line" coordorigin="0,0" coordsize="653,352">
                  <v:group style="position:absolute;left:0;top:0;width:653;height:352" coordorigin="0,0" coordsize="653,352">
                    <v:shape style="position:absolute;left:0;top:0;width:653;height:352" coordorigin="0,0" coordsize="653,352" path="m0,352l653,352,653,0,0,0,0,352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59"/>
              <w:jc w:val="both"/>
              <w:rPr>
                <w:rFonts w:ascii="宋体" w:hAnsi="宋体" w:cs="宋体" w:eastAsia="宋体" w:hint="default"/>
                <w:sz w:val="18"/>
                <w:szCs w:val="18"/>
              </w:rPr>
            </w:pPr>
            <w:r>
              <w:rPr>
                <w:rFonts w:ascii="宋体" w:hAnsi="宋体" w:cs="宋体" w:eastAsia="宋体" w:hint="default"/>
                <w:sz w:val="18"/>
                <w:szCs w:val="18"/>
              </w:rPr>
              <w:t>未发生违反 承诺的事项 和行为。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5.440002pt;margin-top:72.47998pt;width:122.15pt;height:686.5pt;mso-position-horizontal-relative:page;mso-position-vertical-relative:page;z-index:-9071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4"/>
                      <w:szCs w:val="24"/>
                    </w:rPr>
                  </w:pPr>
                </w:p>
                <w:p>
                  <w:pPr>
                    <w:pStyle w:val="BodyText"/>
                    <w:spacing w:line="240" w:lineRule="auto"/>
                    <w:ind w:left="0" w:right="0"/>
                    <w:jc w:val="left"/>
                  </w:pPr>
                  <w:r>
                    <w:rPr/>
                    <w:t>并依法承担相应责任。</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1"/>
        <w:gridCol w:w="709"/>
        <w:gridCol w:w="4820"/>
        <w:gridCol w:w="709"/>
        <w:gridCol w:w="566"/>
        <w:gridCol w:w="992"/>
      </w:tblGrid>
      <w:tr>
        <w:trPr>
          <w:trHeight w:val="322"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承诺人的关联企业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，不包括科迪隆和广西先得）或以</w:t>
            </w:r>
          </w:p>
        </w:tc>
        <w:tc>
          <w:tcPr>
            <w:tcW w:w="709" w:type="dxa"/>
            <w:vMerge w:val="restart"/>
            <w:tcBorders>
              <w:top w:val="single" w:sz="4" w:space="0" w:color="000000"/>
              <w:left w:val="single" w:sz="4" w:space="0" w:color="000000"/>
              <w:right w:val="single" w:sz="4" w:space="0" w:color="000000"/>
            </w:tcBorders>
          </w:tcPr>
          <w:p>
            <w:pPr>
              <w:pStyle w:val="TableParagraph"/>
              <w:spacing w:line="1372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34.950pt;height:686.5pt;mso-position-horizontal-relative:char;mso-position-vertical-relative:line" coordorigin="0,0" coordsize="699,13730">
                  <v:group style="position:absolute;left:0;top:0;width:699;height:13730" coordorigin="0,0" coordsize="699,13730">
                    <v:shape style="position:absolute;left:0;top:0;width:699;height:13730" coordorigin="0,0" coordsize="699,13730" path="m0,13729l698,13729,698,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566"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自然人名义直接从事与先河环保、科迪隆及广西先得现有业</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务相同或类似的业务，也没有在经营与先河环保（包括其合</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并范围内子公司</w:t>
            </w:r>
            <w:r>
              <w:rPr>
                <w:rFonts w:ascii="宋体" w:hAnsi="宋体" w:cs="宋体" w:eastAsia="宋体" w:hint="default"/>
                <w:spacing w:val="-4"/>
                <w:sz w:val="18"/>
                <w:szCs w:val="18"/>
              </w:rPr>
              <w:t>，</w:t>
            </w:r>
            <w:r>
              <w:rPr>
                <w:rFonts w:ascii="宋体" w:hAnsi="宋体" w:cs="宋体" w:eastAsia="宋体" w:hint="default"/>
                <w:sz w:val="18"/>
                <w:szCs w:val="18"/>
              </w:rPr>
              <w:t>下同</w:t>
            </w:r>
            <w:r>
              <w:rPr>
                <w:rFonts w:ascii="宋体" w:hAnsi="宋体" w:cs="宋体" w:eastAsia="宋体" w:hint="default"/>
                <w:spacing w:val="-90"/>
                <w:sz w:val="18"/>
                <w:szCs w:val="18"/>
              </w:rPr>
              <w:t>）</w:t>
            </w:r>
            <w:r>
              <w:rPr>
                <w:rFonts w:ascii="宋体" w:hAnsi="宋体" w:cs="宋体" w:eastAsia="宋体" w:hint="default"/>
                <w:spacing w:val="-4"/>
                <w:sz w:val="18"/>
                <w:szCs w:val="18"/>
              </w:rPr>
              <w:t>、</w:t>
            </w:r>
            <w:r>
              <w:rPr>
                <w:rFonts w:ascii="宋体" w:hAnsi="宋体" w:cs="宋体" w:eastAsia="宋体" w:hint="default"/>
                <w:sz w:val="18"/>
                <w:szCs w:val="18"/>
              </w:rPr>
              <w:t>科迪隆或广西先得的现有业务相同</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或类似业务的任何经营实体中任职或担任任何形式的顾问，</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没有以其他方式协助其他主体经营与先河环保、科迪隆或广</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西先得的现有业务相同或相类似的业务。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、承诺人保证，本</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次交易完成后，承诺人将不会以自营方式、直接或间接通过</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承诺人的关联企业开展、经营与先河环保、科迪隆或广西先</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得业务相同或相似的业务；不在经营与先河环保、科迪隆或</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广西先得业务相同或者类似业务的任何经营实体中任职或者</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担任任何形式的顾问；不以其他方式协助其他主体经营与先</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河环保、科迪隆或广西先得的业务相同或相类似的业务。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如承诺人或承诺人的关联企业有任何商业机会可从事或参与</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任何可能与先河环保、科迪隆或广西先得的生产经营构成竞</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争的经营活动，则承诺人将亲自或促使承诺人的关联企业于</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知悉该等商业机会之日起的三日内将上述商业机会书面通知</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先河环保、科迪隆或广西先得，如在书面通知所指定的合理</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期间内，先河环保、科迪隆或广西先得书面作出愿意利用该</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商业机会的肯定答复，则承诺人应尽力（包括促使承诺人的</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关联企业）将该商业机会优先提供给先河环保、科迪隆或广</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西先得。</w:t>
            </w:r>
            <w:r>
              <w:rPr>
                <w:rFonts w:ascii="Times New Roman" w:hAnsi="Times New Roman" w:cs="Times New Roman" w:eastAsia="Times New Roman" w:hint="default"/>
                <w:sz w:val="18"/>
                <w:szCs w:val="18"/>
              </w:rPr>
              <w:t>4</w:t>
            </w:r>
            <w:r>
              <w:rPr>
                <w:rFonts w:ascii="宋体" w:hAnsi="宋体" w:cs="宋体" w:eastAsia="宋体" w:hint="default"/>
                <w:sz w:val="18"/>
                <w:szCs w:val="18"/>
              </w:rPr>
              <w:t>、如果承诺人违反上述承诺，先河环保、科迪隆或</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广西先得有权要求承诺人及承诺人的关联企业停止相应的经</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济活动或行为，并将已经形成的有关权益、可得利益或者合</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同项下的权利义务转让给独立第三方或者按照公允价值转让</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给先河环保、科迪隆或广西先得或者其指定的第三方，承诺</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人将促使承诺人的关联企业（如需）按照先河环保、科迪隆</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或广西先得的要求实施相关行为；如因违反上述承诺造成先</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河环保、科迪隆或广西先得经济损失的，承诺人将赔偿先河</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环保、科迪隆或广西先得因此受到的全部损失，且承诺人之</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间将相互连带地承担该等赔偿责任。</w:t>
            </w:r>
            <w:r>
              <w:rPr>
                <w:rFonts w:ascii="Times New Roman" w:hAnsi="Times New Roman" w:cs="Times New Roman" w:eastAsia="Times New Roman" w:hint="default"/>
                <w:sz w:val="18"/>
                <w:szCs w:val="18"/>
              </w:rPr>
              <w:t>5</w:t>
            </w:r>
            <w:r>
              <w:rPr>
                <w:rFonts w:ascii="宋体" w:hAnsi="宋体" w:cs="宋体" w:eastAsia="宋体" w:hint="default"/>
                <w:sz w:val="18"/>
                <w:szCs w:val="18"/>
              </w:rPr>
              <w:t>、在触发上述第（</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项承诺情况发生后，承诺人未能履行相应承诺的，则先河环</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保、科迪隆或广西先得有权相应扣减应付承诺人的现金分红</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和应付承诺人的税后薪酬。在相应的承诺履行前，承诺人亦</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不转让承诺人所直接或间接所持的先河环保的股份，但为履</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行上述承诺而进行转让的除外。</w:t>
            </w:r>
            <w:r>
              <w:rPr>
                <w:rFonts w:ascii="Times New Roman" w:hAnsi="Times New Roman" w:cs="Times New Roman" w:eastAsia="Times New Roman" w:hint="default"/>
                <w:sz w:val="18"/>
                <w:szCs w:val="18"/>
              </w:rPr>
              <w:t>6</w:t>
            </w:r>
            <w:r>
              <w:rPr>
                <w:rFonts w:ascii="宋体" w:hAnsi="宋体" w:cs="宋体" w:eastAsia="宋体" w:hint="default"/>
                <w:sz w:val="18"/>
                <w:szCs w:val="18"/>
              </w:rPr>
              <w:t>、本承诺函所述承诺事项已</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经承诺人确认，为承诺人的真实意思表示，对承诺人具有法</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律约束力。承诺人自愿接受监管机关、社会公众及投资者的</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监督，积极采取合法措施履行本承诺，</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、本承诺持续有效且不可变更或撤销。二、关于规范关联交</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）承诺内容本次交易实施前，科迪隆和广西先得</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与上市公司不构成关联方关系，亦不存在关联交易情形，科</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迪隆与上市公司之间仅存在正常的购销业务；本次交易完成</w:t>
            </w:r>
          </w:p>
        </w:tc>
        <w:tc>
          <w:tcPr>
            <w:tcW w:w="70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8"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后，科迪隆和广西先得将成为上市公司持股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的控股子公</w:t>
            </w:r>
          </w:p>
        </w:tc>
        <w:tc>
          <w:tcPr>
            <w:tcW w:w="709"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46.440002pt;margin-top:72.47998pt;width:221.15pt;height:641.7pt;mso-position-horizontal-relative:page;mso-position-vertical-relative:page;z-index:-9071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4"/>
                    <w:ind w:left="0" w:right="0"/>
                    <w:jc w:val="left"/>
                  </w:pPr>
                  <w:r>
                    <w:rPr/>
                    <w:t>对无法避免或者有合理原因而发生的关联交易，</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8"/>
                      <w:szCs w:val="18"/>
                    </w:rPr>
                  </w:pPr>
                </w:p>
                <w:p>
                  <w:pPr>
                    <w:pStyle w:val="BodyText"/>
                    <w:spacing w:line="240" w:lineRule="auto"/>
                    <w:ind w:left="1620" w:right="0"/>
                    <w:jc w:val="left"/>
                  </w:pPr>
                  <w:r>
                    <w:rPr/>
                    <w:t>科迪隆和广西先得的股份，</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1"/>
        <w:gridCol w:w="709"/>
        <w:gridCol w:w="4820"/>
        <w:gridCol w:w="709"/>
        <w:gridCol w:w="566"/>
        <w:gridCol w:w="995"/>
      </w:tblGrid>
      <w:tr>
        <w:trPr>
          <w:trHeight w:val="12844"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4"/>
              <w:jc w:val="left"/>
              <w:rPr>
                <w:rFonts w:ascii="宋体" w:hAnsi="宋体" w:cs="宋体" w:eastAsia="宋体" w:hint="default"/>
                <w:sz w:val="18"/>
                <w:szCs w:val="18"/>
              </w:rPr>
            </w:pPr>
            <w:r>
              <w:rPr>
                <w:rFonts w:ascii="宋体" w:hAnsi="宋体" w:cs="宋体" w:eastAsia="宋体" w:hint="default"/>
                <w:sz w:val="18"/>
                <w:szCs w:val="18"/>
              </w:rPr>
              <w:t>司，交易对方梁常清、梁宝欣作出《关于规范关联交易的承 </w:t>
            </w:r>
            <w:r>
              <w:rPr>
                <w:rFonts w:ascii="宋体" w:hAnsi="宋体" w:cs="宋体" w:eastAsia="宋体" w:hint="default"/>
                <w:spacing w:val="-4"/>
                <w:sz w:val="18"/>
                <w:szCs w:val="18"/>
              </w:rPr>
              <w:t>诺函》，承诺：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、承诺人保证，本次交易完成后，将善意行</w:t>
            </w:r>
            <w:r>
              <w:rPr>
                <w:rFonts w:ascii="宋体" w:hAnsi="宋体" w:cs="宋体" w:eastAsia="宋体" w:hint="default"/>
                <w:spacing w:val="-72"/>
                <w:sz w:val="18"/>
                <w:szCs w:val="18"/>
              </w:rPr>
              <w:t> </w:t>
            </w:r>
            <w:r>
              <w:rPr>
                <w:rFonts w:ascii="宋体" w:hAnsi="宋体" w:cs="宋体" w:eastAsia="宋体" w:hint="default"/>
                <w:sz w:val="18"/>
                <w:szCs w:val="18"/>
              </w:rPr>
              <w:t>使和履行作为科迪隆及广西先得的股东、董事、监事或高级 管理人员的权利和义务，充分尊重科迪隆及广西先得的独立 法人地位，保障科迪隆及广西先得独立经营、自主决策。在 科迪隆或广西先得的股东会、董事会、管理层会议对涉及承 诺人的关联交易进行表决时，本人将回避表决。</w:t>
            </w:r>
            <w:r>
              <w:rPr>
                <w:rFonts w:ascii="Times New Roman" w:hAnsi="Times New Roman" w:cs="Times New Roman" w:eastAsia="Times New Roman" w:hint="default"/>
                <w:sz w:val="18"/>
                <w:szCs w:val="18"/>
              </w:rPr>
              <w:t>2</w:t>
            </w:r>
            <w:r>
              <w:rPr>
                <w:rFonts w:ascii="宋体" w:hAnsi="宋体" w:cs="宋体" w:eastAsia="宋体" w:hint="default"/>
                <w:sz w:val="18"/>
                <w:szCs w:val="18"/>
              </w:rPr>
              <w:t>、承诺人保 证，本次交易完成后，将避免一切非法占用科迪隆或广西先 得的资金、资产的行为，在任何情况下，不要求科迪隆或广 西先得向承诺人及承诺人控股或实际控制的其他公司或者其 </w:t>
            </w:r>
            <w:r>
              <w:rPr>
                <w:rFonts w:ascii="宋体" w:hAnsi="宋体" w:cs="宋体" w:eastAsia="宋体" w:hint="default"/>
                <w:spacing w:val="-3"/>
                <w:sz w:val="18"/>
                <w:szCs w:val="18"/>
              </w:rPr>
              <w:t>他企业或经济组织（以下简称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承诺人的关联企业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）提供任何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形式的担保。</w:t>
            </w:r>
            <w:r>
              <w:rPr>
                <w:rFonts w:ascii="Times New Roman" w:hAnsi="Times New Roman" w:cs="Times New Roman" w:eastAsia="Times New Roman" w:hint="default"/>
                <w:sz w:val="18"/>
                <w:szCs w:val="18"/>
              </w:rPr>
              <w:t>3</w:t>
            </w:r>
            <w:r>
              <w:rPr>
                <w:rFonts w:ascii="宋体" w:hAnsi="宋体" w:cs="宋体" w:eastAsia="宋体" w:hint="default"/>
                <w:sz w:val="18"/>
                <w:szCs w:val="18"/>
              </w:rPr>
              <w:t>、承诺人保证，本次交易完成后，将尽可能地 避免和减少承诺人及承诺人的关联企业与科迪隆或广西先得 的关联交易； 承诺人及承诺人的关联企业将遵循市场公正、公平、公开的 原则，并依法与相关公司签订协议，履行合法程序，按照相 关公司的章程、有关法律法规的规定履行信息披露义务和办 理有关报批程序。承诺人保证将按照正常的商业条件严格和 善意地进行上述关联交易，且承诺人及承诺人的关联企业将 不会要求或接受科迪隆或广西先得给予的比在任何一项市场 公平交易中第三者更优惠的条件，也不会向科迪隆或广西先 得谋求任何超出该等交易以外的利益或收益，保证不通过关 联交易损害科迪隆或广西先得及其各自股东的合法权益。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 如果承诺人违反上述承诺，科迪隆或广西先得以及其各自的 股东有权要求承诺人及承诺人的关联企业规范相应的交易行 为，并将已经从交易中获得的利益、收益以现金的方式补偿 </w:t>
            </w:r>
            <w:r>
              <w:rPr>
                <w:rFonts w:ascii="宋体" w:hAnsi="宋体" w:cs="宋体" w:eastAsia="宋体" w:hint="default"/>
                <w:spacing w:val="-4"/>
                <w:sz w:val="18"/>
                <w:szCs w:val="18"/>
              </w:rPr>
              <w:t>给科迪隆或广西先得，且承诺人将促使承诺人的关联企业（如</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需）按照科迪隆或广西先得以及其各自的股东的要求实施补 偿；如因违反上述承诺造成科迪隆或广西先得经济损失的， 承诺人将赔偿并促使承诺人的关联企业赔偿先河环保、科迪 隆或广西先得因此受到的全部损失，且承诺人之间将相互连 带地承担该等赔偿责任。</w:t>
            </w:r>
            <w:r>
              <w:rPr>
                <w:rFonts w:ascii="Times New Roman" w:hAnsi="Times New Roman" w:cs="Times New Roman" w:eastAsia="Times New Roman" w:hint="default"/>
                <w:sz w:val="18"/>
                <w:szCs w:val="18"/>
              </w:rPr>
              <w:t>5</w:t>
            </w:r>
            <w:r>
              <w:rPr>
                <w:rFonts w:ascii="宋体" w:hAnsi="宋体" w:cs="宋体" w:eastAsia="宋体" w:hint="default"/>
                <w:sz w:val="18"/>
                <w:szCs w:val="18"/>
              </w:rPr>
              <w:t>、在触发上述第（</w:t>
            </w:r>
            <w:r>
              <w:rPr>
                <w:rFonts w:ascii="Times New Roman" w:hAnsi="Times New Roman" w:cs="Times New Roman" w:eastAsia="Times New Roman" w:hint="default"/>
                <w:sz w:val="18"/>
                <w:szCs w:val="18"/>
              </w:rPr>
              <w:t>4</w:t>
            </w:r>
            <w:r>
              <w:rPr>
                <w:rFonts w:ascii="宋体" w:hAnsi="宋体" w:cs="宋体" w:eastAsia="宋体" w:hint="default"/>
                <w:sz w:val="18"/>
                <w:szCs w:val="18"/>
              </w:rPr>
              <w:t>）项承诺情况 发生后，承诺人未能履行相应承诺的，则先河环保、科迪隆 和广西先得有权相应扣减应付承诺人的现金分红和应付承诺 人的税后薪酬。在相应的承诺履行前，承诺人亦不转让承诺 人所直接或间接所持的先河环保、 但为履行上述承诺而进行转让的除外。</w:t>
            </w:r>
            <w:r>
              <w:rPr>
                <w:rFonts w:ascii="Times New Roman" w:hAnsi="Times New Roman" w:cs="Times New Roman" w:eastAsia="Times New Roman" w:hint="default"/>
                <w:sz w:val="18"/>
                <w:szCs w:val="18"/>
              </w:rPr>
              <w:t>6</w:t>
            </w:r>
            <w:r>
              <w:rPr>
                <w:rFonts w:ascii="宋体" w:hAnsi="宋体" w:cs="宋体" w:eastAsia="宋体" w:hint="default"/>
                <w:sz w:val="18"/>
                <w:szCs w:val="18"/>
              </w:rPr>
              <w:t>、本承诺函所述承诺 事项已经承诺人确认，为承诺人的真实意思表示，对承诺人 具有法律约束力。承诺人自愿接受监管机关、社会公众及投 资者的监督，积极采取合法措施履行本承诺，并依法承担相 应责任。</w:t>
            </w:r>
            <w:r>
              <w:rPr>
                <w:rFonts w:ascii="Times New Roman" w:hAnsi="Times New Roman" w:cs="Times New Roman" w:eastAsia="Times New Roman" w:hint="default"/>
                <w:sz w:val="18"/>
                <w:szCs w:val="18"/>
              </w:rPr>
              <w:t>7</w:t>
            </w:r>
            <w:r>
              <w:rPr>
                <w:rFonts w:ascii="宋体" w:hAnsi="宋体" w:cs="宋体" w:eastAsia="宋体" w:hint="default"/>
                <w:sz w:val="18"/>
                <w:szCs w:val="18"/>
              </w:rPr>
              <w:t>、本承诺持续有效且不可变更或撤销。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283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6"/>
                <w:sz w:val="20"/>
                <w:szCs w:val="20"/>
              </w:rPr>
              <w:pict>
                <v:group style="width:34.950pt;height:641.7pt;mso-position-horizontal-relative:char;mso-position-vertical-relative:line" coordorigin="0,0" coordsize="699,12834">
                  <v:group style="position:absolute;left:0;top:0;width:699;height:12834" coordorigin="0,0" coordsize="699,12834">
                    <v:shape style="position:absolute;left:0;top:0;width:699;height:12834" coordorigin="0,0" coordsize="699,12834" path="m0,12834l698,12834,698,0,0,0,0,12834xe" filled="true" fillcolor="#ffffff" stroked="false">
                      <v:path arrowok="t"/>
                      <v:fill type="solid"/>
                    </v:shape>
                  </v:group>
                </v:group>
              </w:pict>
            </w:r>
            <w:r>
              <w:rPr>
                <w:rFonts w:ascii="Times New Roman" w:hAnsi="Times New Roman" w:cs="Times New Roman" w:eastAsia="Times New Roman" w:hint="default"/>
                <w:position w:val="-256"/>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709"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71"/>
              <w:ind w:left="22" w:right="128"/>
              <w:jc w:val="both"/>
              <w:rPr>
                <w:rFonts w:ascii="宋体" w:hAnsi="宋体" w:cs="宋体" w:eastAsia="宋体" w:hint="default"/>
                <w:sz w:val="18"/>
                <w:szCs w:val="18"/>
              </w:rPr>
            </w:pPr>
            <w:r>
              <w:rPr>
                <w:rFonts w:ascii="宋体" w:hAnsi="宋体" w:cs="宋体" w:eastAsia="宋体" w:hint="default"/>
                <w:sz w:val="18"/>
                <w:szCs w:val="18"/>
              </w:rPr>
              <w:t>关于同 业竞争 关联交</w:t>
            </w:r>
          </w:p>
        </w:tc>
        <w:tc>
          <w:tcPr>
            <w:tcW w:w="482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71"/>
              <w:ind w:left="16" w:right="0"/>
              <w:jc w:val="left"/>
              <w:rPr>
                <w:rFonts w:ascii="宋体" w:hAnsi="宋体" w:cs="宋体" w:eastAsia="宋体" w:hint="default"/>
                <w:sz w:val="18"/>
                <w:szCs w:val="18"/>
              </w:rPr>
            </w:pPr>
            <w:r>
              <w:rPr>
                <w:rFonts w:ascii="宋体" w:hAnsi="宋体" w:cs="宋体" w:eastAsia="宋体" w:hint="default"/>
                <w:sz w:val="18"/>
                <w:szCs w:val="18"/>
              </w:rPr>
              <w:t>一、关于避免同业竞争的承诺（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）承诺内容为充分保护上市</w:t>
            </w:r>
          </w:p>
          <w:p>
            <w:pPr>
              <w:pStyle w:val="TableParagraph"/>
              <w:spacing w:line="316" w:lineRule="auto" w:before="61"/>
              <w:ind w:left="16" w:right="21" w:hanging="170"/>
              <w:jc w:val="left"/>
              <w:rPr>
                <w:rFonts w:ascii="宋体" w:hAnsi="宋体" w:cs="宋体" w:eastAsia="宋体" w:hint="default"/>
                <w:sz w:val="18"/>
                <w:szCs w:val="18"/>
              </w:rPr>
            </w:pPr>
            <w:r>
              <w:rPr>
                <w:rFonts w:ascii="宋体" w:hAnsi="宋体" w:cs="宋体" w:eastAsia="宋体" w:hint="default"/>
                <w:sz w:val="18"/>
                <w:szCs w:val="18"/>
              </w:rPr>
              <w:t>、公司的利益，作为先河环保的控股股东及实际控制人，李玉 国先生承诺：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、本人声明，本人已向先河环保准确、全面地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2-31</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未发生违反 承诺的事项 和行为。</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pStyle w:val="BodyText"/>
        <w:spacing w:line="240" w:lineRule="auto"/>
        <w:ind w:left="2166" w:right="0"/>
        <w:jc w:val="left"/>
      </w:pPr>
      <w:r>
        <w:rPr>
          <w:spacing w:val="-17"/>
        </w:rPr>
        <w:t>易、资金</w:t>
      </w:r>
      <w:r>
        <w:rPr>
          <w:spacing w:val="-34"/>
        </w:rPr>
        <w:t> </w:t>
      </w:r>
      <w:r>
        <w:rPr/>
        <w:t>披露本人直接或间接持有的其他企业和其他经济组织（先河</w:t>
      </w:r>
    </w:p>
    <w:p>
      <w:pPr>
        <w:spacing w:after="0" w:line="240" w:lineRule="auto"/>
        <w:jc w:val="left"/>
        <w:sectPr>
          <w:pgSz w:w="11910" w:h="16840"/>
          <w:pgMar w:header="747" w:footer="979" w:top="1060" w:bottom="1160" w:left="980" w:right="0"/>
        </w:sectPr>
      </w:pPr>
    </w:p>
    <w:p>
      <w:pPr>
        <w:pStyle w:val="BodyText"/>
        <w:spacing w:line="319" w:lineRule="auto" w:before="76"/>
        <w:ind w:left="2166" w:right="0"/>
        <w:jc w:val="both"/>
      </w:pPr>
      <w:r>
        <w:rPr/>
        <w:pict>
          <v:shape style="position:absolute;margin-left:417.440002pt;margin-top:72.47998pt;width:50.15pt;height:686.5pt;mso-position-horizontal-relative:page;mso-position-vertical-relative:page;z-index:-9070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9"/>
                      <w:szCs w:val="19"/>
                    </w:rPr>
                  </w:pPr>
                </w:p>
                <w:p>
                  <w:pPr>
                    <w:pStyle w:val="BodyText"/>
                    <w:spacing w:line="240" w:lineRule="auto"/>
                    <w:ind w:left="0" w:right="0" w:firstLine="180"/>
                    <w:jc w:val="lef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BodyText"/>
                    <w:spacing w:line="240" w:lineRule="auto"/>
                    <w:ind w:left="0" w:right="0"/>
                    <w:jc w:val="left"/>
                  </w:pPr>
                  <w:r>
                    <w:rPr/>
                    <w:t>二、</w:t>
                  </w:r>
                </w:p>
              </w:txbxContent>
            </v:textbox>
            <w10:wrap type="none"/>
          </v:shape>
        </w:pict>
      </w:r>
      <w:r>
        <w:rPr/>
        <w:pict>
          <v:group style="position:absolute;margin-left:56.459999pt;margin-top:71.759979pt;width:489.6pt;height:688pt;mso-position-horizontal-relative:page;mso-position-vertical-relative:page;z-index:-907072" coordorigin="1129,1435" coordsize="9792,13760">
            <v:group style="position:absolute;left:1139;top:1450;width:1125;height:13730" coordorigin="1139,1450" coordsize="1125,13730">
              <v:shape style="position:absolute;left:1139;top:1450;width:1125;height:13730" coordorigin="1139,1450" coordsize="1125,13730" path="m1139,15179l2264,15179,2264,1450,1139,1450,1139,15179xe" filled="true" fillcolor="#d2d2d2" stroked="false">
                <v:path arrowok="t"/>
                <v:fill type="solid"/>
              </v:shape>
            </v:group>
            <v:group style="position:absolute;left:1139;top:1445;width:1125;height:2" coordorigin="1139,1445" coordsize="1125,2">
              <v:shape style="position:absolute;left:1139;top:1445;width:1125;height:2" coordorigin="1139,1445" coordsize="1125,0" path="m1139,1445l2264,1445e" filled="false" stroked="true" strokeweight=".48pt" strokecolor="#000000">
                <v:path arrowok="t"/>
              </v:shape>
            </v:group>
            <v:group style="position:absolute;left:2273;top:1445;width:842;height:2" coordorigin="2273,1445" coordsize="842,2">
              <v:shape style="position:absolute;left:2273;top:1445;width:842;height:2" coordorigin="2273,1445" coordsize="842,0" path="m2273,1445l3114,1445e" filled="false" stroked="true" strokeweight=".48pt" strokecolor="#000000">
                <v:path arrowok="t"/>
              </v:shape>
            </v:group>
            <v:group style="position:absolute;left:3124;top:1445;width:700;height:2" coordorigin="3124,1445" coordsize="700,2">
              <v:shape style="position:absolute;left:3124;top:1445;width:700;height:2" coordorigin="3124,1445" coordsize="700,0" path="m3124,1445l3824,1445e" filled="false" stroked="true" strokeweight=".48pt" strokecolor="#000000">
                <v:path arrowok="t"/>
              </v:shape>
            </v:group>
            <v:group style="position:absolute;left:8653;top:1450;width:699;height:13730" coordorigin="8653,1450" coordsize="699,13730">
              <v:shape style="position:absolute;left:8653;top:1450;width:699;height:13730" coordorigin="8653,1450" coordsize="699,13730" path="m8653,15179l9352,15179,9352,1450,8653,1450,8653,15179xe" filled="true" fillcolor="#ffffff" stroked="false">
                <v:path arrowok="t"/>
                <v:fill type="solid"/>
              </v:shape>
            </v:group>
            <v:group style="position:absolute;left:3833;top:1445;width:4811;height:2" coordorigin="3833,1445" coordsize="4811,2">
              <v:shape style="position:absolute;left:3833;top:1445;width:4811;height:2" coordorigin="3833,1445" coordsize="4811,0" path="m3833,1445l8644,1445e" filled="false" stroked="true" strokeweight=".48pt" strokecolor="#000000">
                <v:path arrowok="t"/>
              </v:shape>
            </v:group>
            <v:group style="position:absolute;left:8653;top:1445;width:700;height:2" coordorigin="8653,1445" coordsize="700,2">
              <v:shape style="position:absolute;left:8653;top:1445;width:700;height:2" coordorigin="8653,1445" coordsize="700,0" path="m8653,1445l9353,1445e" filled="false" stroked="true" strokeweight=".48pt" strokecolor="#000000">
                <v:path arrowok="t"/>
              </v:shape>
            </v:group>
            <v:group style="position:absolute;left:9362;top:1445;width:557;height:2" coordorigin="9362,1445" coordsize="557,2">
              <v:shape style="position:absolute;left:9362;top:1445;width:557;height:2" coordorigin="9362,1445" coordsize="557,0" path="m9362,1445l9919,1445e" filled="false" stroked="true" strokeweight=".48pt" strokecolor="#000000">
                <v:path arrowok="t"/>
              </v:shape>
            </v:group>
            <v:group style="position:absolute;left:9929;top:1445;width:983;height:2" coordorigin="9929,1445" coordsize="983,2">
              <v:shape style="position:absolute;left:9929;top:1445;width:983;height:2" coordorigin="9929,1445" coordsize="983,0" path="m9929,1445l10912,1445e" filled="false" stroked="true" strokeweight=".48pt" strokecolor="#000000">
                <v:path arrowok="t"/>
              </v:shape>
            </v:group>
            <v:group style="position:absolute;left:1134;top:1440;width:2;height:13750" coordorigin="1134,1440" coordsize="2,13750">
              <v:shape style="position:absolute;left:1134;top:1440;width:2;height:13750" coordorigin="1134,1440" coordsize="0,13750" path="m1134,1440l1134,15190e" filled="false" stroked="true" strokeweight=".48pt" strokecolor="#000000">
                <v:path arrowok="t"/>
              </v:shape>
            </v:group>
            <v:group style="position:absolute;left:1139;top:15185;width:1125;height:2" coordorigin="1139,15185" coordsize="1125,2">
              <v:shape style="position:absolute;left:1139;top:15185;width:1125;height:2" coordorigin="1139,15185" coordsize="1125,0" path="m1139,15185l2264,15185e" filled="false" stroked="true" strokeweight=".47998pt" strokecolor="#000000">
                <v:path arrowok="t"/>
              </v:shape>
            </v:group>
            <v:group style="position:absolute;left:2268;top:1440;width:2;height:13750" coordorigin="2268,1440" coordsize="2,13750">
              <v:shape style="position:absolute;left:2268;top:1440;width:2;height:13750" coordorigin="2268,1440" coordsize="0,13750" path="m2268,1440l2268,15190e" filled="false" stroked="true" strokeweight=".48pt" strokecolor="#000000">
                <v:path arrowok="t"/>
              </v:shape>
            </v:group>
            <v:group style="position:absolute;left:2273;top:15185;width:842;height:2" coordorigin="2273,15185" coordsize="842,2">
              <v:shape style="position:absolute;left:2273;top:15185;width:842;height:2" coordorigin="2273,15185" coordsize="842,0" path="m2273,15185l3114,15185e" filled="false" stroked="true" strokeweight=".47998pt" strokecolor="#000000">
                <v:path arrowok="t"/>
              </v:shape>
            </v:group>
            <v:group style="position:absolute;left:3119;top:1440;width:2;height:13750" coordorigin="3119,1440" coordsize="2,13750">
              <v:shape style="position:absolute;left:3119;top:1440;width:2;height:13750" coordorigin="3119,1440" coordsize="0,13750" path="m3119,1440l3119,15190e" filled="false" stroked="true" strokeweight=".48pt" strokecolor="#000000">
                <v:path arrowok="t"/>
              </v:shape>
            </v:group>
            <v:group style="position:absolute;left:3124;top:15185;width:700;height:2" coordorigin="3124,15185" coordsize="700,2">
              <v:shape style="position:absolute;left:3124;top:15185;width:700;height:2" coordorigin="3124,15185" coordsize="700,0" path="m3124,15185l3824,15185e" filled="false" stroked="true" strokeweight=".47998pt" strokecolor="#000000">
                <v:path arrowok="t"/>
              </v:shape>
            </v:group>
            <v:group style="position:absolute;left:3828;top:1440;width:2;height:13750" coordorigin="3828,1440" coordsize="2,13750">
              <v:shape style="position:absolute;left:3828;top:1440;width:2;height:13750" coordorigin="3828,1440" coordsize="0,13750" path="m3828,1440l3828,15190e" filled="false" stroked="true" strokeweight=".48pt" strokecolor="#000000">
                <v:path arrowok="t"/>
              </v:shape>
            </v:group>
            <v:group style="position:absolute;left:3833;top:15185;width:4811;height:2" coordorigin="3833,15185" coordsize="4811,2">
              <v:shape style="position:absolute;left:3833;top:15185;width:4811;height:2" coordorigin="3833,15185" coordsize="4811,0" path="m3833,15185l8644,15185e" filled="false" stroked="true" strokeweight=".47998pt" strokecolor="#000000">
                <v:path arrowok="t"/>
              </v:shape>
            </v:group>
            <v:group style="position:absolute;left:8648;top:1440;width:2;height:13750" coordorigin="8648,1440" coordsize="2,13750">
              <v:shape style="position:absolute;left:8648;top:1440;width:2;height:13750" coordorigin="8648,1440" coordsize="0,13750" path="m8648,1440l8648,15190e" filled="false" stroked="true" strokeweight=".48001pt" strokecolor="#000000">
                <v:path arrowok="t"/>
              </v:shape>
            </v:group>
            <v:group style="position:absolute;left:8653;top:15185;width:700;height:2" coordorigin="8653,15185" coordsize="700,2">
              <v:shape style="position:absolute;left:8653;top:15185;width:700;height:2" coordorigin="8653,15185" coordsize="700,0" path="m8653,15185l9353,15185e" filled="false" stroked="true" strokeweight=".47998pt" strokecolor="#000000">
                <v:path arrowok="t"/>
              </v:shape>
            </v:group>
            <v:group style="position:absolute;left:9358;top:1440;width:2;height:13750" coordorigin="9358,1440" coordsize="2,13750">
              <v:shape style="position:absolute;left:9358;top:1440;width:2;height:13750" coordorigin="9358,1440" coordsize="0,13750" path="m9358,1440l9358,15190e" filled="false" stroked="true" strokeweight=".48001pt" strokecolor="#000000">
                <v:path arrowok="t"/>
              </v:shape>
            </v:group>
            <v:group style="position:absolute;left:9362;top:15185;width:557;height:2" coordorigin="9362,15185" coordsize="557,2">
              <v:shape style="position:absolute;left:9362;top:15185;width:557;height:2" coordorigin="9362,15185" coordsize="557,0" path="m9362,15185l9919,15185e" filled="false" stroked="true" strokeweight=".47998pt" strokecolor="#000000">
                <v:path arrowok="t"/>
              </v:shape>
            </v:group>
            <v:group style="position:absolute;left:9924;top:1440;width:2;height:13750" coordorigin="9924,1440" coordsize="2,13750">
              <v:shape style="position:absolute;left:9924;top:1440;width:2;height:13750" coordorigin="9924,1440" coordsize="0,13750" path="m9924,1440l9924,15190e" filled="false" stroked="true" strokeweight=".48001pt" strokecolor="#000000">
                <v:path arrowok="t"/>
              </v:shape>
            </v:group>
            <v:group style="position:absolute;left:9929;top:15185;width:983;height:2" coordorigin="9929,15185" coordsize="983,2">
              <v:shape style="position:absolute;left:9929;top:15185;width:983;height:2" coordorigin="9929,15185" coordsize="983,0" path="m9929,15185l10912,15185e" filled="false" stroked="true" strokeweight=".47998pt" strokecolor="#000000">
                <v:path arrowok="t"/>
              </v:shape>
            </v:group>
            <v:group style="position:absolute;left:10916;top:1440;width:2;height:13750" coordorigin="10916,1440" coordsize="2,13750">
              <v:shape style="position:absolute;left:10916;top:1440;width:2;height:13750" coordorigin="10916,1440" coordsize="0,13750" path="m10916,1440l10916,15190e" filled="false" stroked="true" strokeweight=".47998pt" strokecolor="#000000">
                <v:path arrowok="t"/>
              </v:shape>
            </v:group>
            <w10:wrap type="none"/>
          </v:group>
        </w:pict>
      </w:r>
      <w:r>
        <w:rPr/>
        <w:t>占用方 面的承 诺</w:t>
      </w:r>
    </w:p>
    <w:p>
      <w:pPr>
        <w:pStyle w:val="BodyText"/>
        <w:spacing w:line="316" w:lineRule="auto" w:before="76"/>
        <w:ind w:left="129" w:right="3260"/>
        <w:jc w:val="left"/>
      </w:pPr>
      <w:r>
        <w:rPr/>
        <w:br w:type="column"/>
      </w:r>
      <w:r>
        <w:rPr/>
        <w:t>环保控制的企业和其他经济组织除外）的股权或权益情况， 本人未在与先河环保存在同业竞争的其他企业、机构或其他 经济组织中担任董事、高级管理人员或核心技术人员；本人 及本人直接或间接控制的其他企业或其他经济组织未以任何 其他方式直接或间接从事与先河环保相竞争的业务。</w:t>
      </w:r>
      <w:r>
        <w:rPr>
          <w:rFonts w:ascii="Times New Roman" w:hAnsi="Times New Roman" w:cs="Times New Roman" w:eastAsia="Times New Roman" w:hint="default"/>
        </w:rPr>
        <w:t>2</w:t>
      </w:r>
      <w:r>
        <w:rPr/>
        <w:t>、本人 承诺，在本人作为先河环保的实际控制人期间，本人及本人 现有或将来成立的全资子公司、控股子公司和其他实质上受 本人控制的企业或经济组织（先河环保控制的企业和其他经 济组织除外，下称本人所控制的其他企业或经济组织）不会 以任何形式从事对先河环保的生产经营构成或可能构成同业 竞争的业务和经营活动，也不会以任何方式为与先河环保竞 争的企业、机构或其他经济组织提供任何资金、业务、技术 和管理等方面的帮助。</w:t>
      </w:r>
      <w:r>
        <w:rPr>
          <w:rFonts w:ascii="Times New Roman" w:hAnsi="Times New Roman" w:cs="Times New Roman" w:eastAsia="Times New Roman" w:hint="default"/>
        </w:rPr>
        <w:t>3</w:t>
      </w:r>
      <w:r>
        <w:rPr/>
        <w:t>、本人承诺，在本人作为先河环保的 实际控制人期间，凡本人及本人所控制的其他企业或经济组 织有任何商业机会可从事、参与或入股任何可能会与先河环 保生产经营构成竞争的业务，本人将或将促使本人所控制的 其他企业或经济组织按照先河环保的要求，将该等商业机会 让与先河环保，由先河环保在同等条件下优先收购有关业务 所涉及的资产或股权，以避免与先河环保存在同业竞争。</w:t>
      </w:r>
      <w:r>
        <w:rPr>
          <w:rFonts w:ascii="Times New Roman" w:hAnsi="Times New Roman" w:cs="Times New Roman" w:eastAsia="Times New Roman" w:hint="default"/>
        </w:rPr>
        <w:t>4</w:t>
      </w:r>
      <w:r>
        <w:rPr/>
        <w:t>、 本人承诺，如果本人违反上述承诺，先河环保依据其董事会 所作出的决策（关联董事应回避表决）或者股东大会作出的 </w:t>
      </w:r>
      <w:r>
        <w:rPr>
          <w:spacing w:val="-4"/>
        </w:rPr>
        <w:t>决策（关联股东应回避表决），有权要求本人及本人所控制的</w:t>
      </w:r>
      <w:r>
        <w:rPr>
          <w:spacing w:val="-80"/>
        </w:rPr>
        <w:t> </w:t>
      </w:r>
      <w:r>
        <w:rPr>
          <w:spacing w:val="-80"/>
        </w:rPr>
      </w:r>
      <w:r>
        <w:rPr/>
        <w:t>其他企业或经济组织停止相应的经济活动或行为，并将已经 形成的有关权益、可得利益或者合同项下的权利义务转让给 独立第三方或者按照公允价值转让给先河环保或者其指定的 第三方，本人将并将促使本人所控制的其他企业或经济组织</w:t>
      </w:r>
    </w:p>
    <w:p>
      <w:pPr>
        <w:pStyle w:val="BodyText"/>
        <w:spacing w:line="312" w:lineRule="auto" w:before="19"/>
        <w:ind w:left="129" w:right="3260"/>
        <w:jc w:val="left"/>
      </w:pPr>
      <w:r>
        <w:rPr/>
        <w:t>（如需）按照先河环保的要求实施相关行为；造成先河环保 经济损失的，本人将赔偿先河环保因此受到的全部损失。</w:t>
      </w:r>
      <w:r>
        <w:rPr>
          <w:rFonts w:ascii="Times New Roman" w:hAnsi="Times New Roman" w:cs="Times New Roman" w:eastAsia="Times New Roman" w:hint="default"/>
        </w:rPr>
        <w:t>5</w:t>
      </w:r>
      <w:r>
        <w:rPr/>
        <w:t>、 本人未能履行第四项所述的规范同业竞争行为、赔偿损失等 承诺的，则先河环保有权相应扣减应付本人的现金分红和应 付本人的税后薪酬抵作赔偿或者作为促使本人履行第四项所 述承诺的措施，且在第四项所述承诺全部履行完成前，本人 亦不转让本人所直接或间接所持的先河环保的股份，但为履 行第四项所述承诺而进行转让的除外。</w:t>
      </w:r>
      <w:r>
        <w:rPr>
          <w:rFonts w:ascii="Times New Roman" w:hAnsi="Times New Roman" w:cs="Times New Roman" w:eastAsia="Times New Roman" w:hint="default"/>
        </w:rPr>
        <w:t>6</w:t>
      </w:r>
      <w:r>
        <w:rPr/>
        <w:t>、本承诺函所述承诺 事项已经本人确认，为本人的真实意思表示，对本人具有法 律约束力。本人自愿接受监管机关、社会公众及投资者的监 </w:t>
      </w:r>
      <w:r>
        <w:rPr>
          <w:spacing w:val="-4"/>
        </w:rPr>
        <w:t>督，积极采取合法措施履行本承诺，并依法承担相应责任。</w:t>
      </w:r>
      <w:r>
        <w:rPr>
          <w:rFonts w:ascii="Times New Roman" w:hAnsi="Times New Roman" w:cs="Times New Roman" w:eastAsia="Times New Roman" w:hint="default"/>
          <w:spacing w:val="-4"/>
        </w:rPr>
        <w:t>7</w:t>
      </w:r>
      <w:r>
        <w:rPr>
          <w:rFonts w:ascii="Times New Roman" w:hAnsi="Times New Roman" w:cs="Times New Roman" w:eastAsia="Times New Roman" w:hint="default"/>
          <w:spacing w:val="-35"/>
        </w:rPr>
        <w:t> </w:t>
      </w:r>
      <w:r>
        <w:rPr/>
        <w:t>本承诺函自签署之日起生效并持续有效，自生效之日起，即 取代此前本人就本承诺函项下的事项所作出的承诺，但本承 诺函自下列较早时间起不再有效：</w:t>
      </w:r>
      <w:r>
        <w:rPr>
          <w:rFonts w:ascii="Times New Roman" w:hAnsi="Times New Roman" w:cs="Times New Roman" w:eastAsia="Times New Roman" w:hint="default"/>
        </w:rPr>
        <w:t>1</w:t>
      </w:r>
      <w:r>
        <w:rPr/>
        <w:t>）先河环保不再是公众公 司；</w:t>
      </w:r>
      <w:r>
        <w:rPr>
          <w:rFonts w:ascii="Times New Roman" w:hAnsi="Times New Roman" w:cs="Times New Roman" w:eastAsia="Times New Roman" w:hint="default"/>
        </w:rPr>
        <w:t>2</w:t>
      </w:r>
      <w:r>
        <w:rPr/>
        <w:t>）依据本人、本人关系密切的家庭成员及本人实际控制 的相关主体所实际持有或控制的先河环保的股份的比例，对 先河环保的股东大会的决议的形成不再能产生重大影响。</w:t>
      </w:r>
    </w:p>
    <w:p>
      <w:pPr>
        <w:spacing w:after="0" w:line="312" w:lineRule="auto"/>
        <w:jc w:val="left"/>
        <w:sectPr>
          <w:type w:val="continuous"/>
          <w:pgSz w:w="11910" w:h="16840"/>
          <w:pgMar w:top="1060" w:bottom="1160" w:left="980" w:right="0"/>
          <w:cols w:num="2" w:equalWidth="0">
            <w:col w:w="2707" w:space="40"/>
            <w:col w:w="8183"/>
          </w:cols>
        </w:sectPr>
      </w:pPr>
    </w:p>
    <w:p>
      <w:pPr>
        <w:spacing w:line="240" w:lineRule="auto" w:before="0"/>
        <w:rPr>
          <w:rFonts w:ascii="Times New Roman" w:hAnsi="Times New Roman" w:cs="Times New Roman" w:eastAsia="Times New Roman" w:hint="default"/>
          <w:sz w:val="20"/>
          <w:szCs w:val="20"/>
        </w:rPr>
      </w:pPr>
      <w:r>
        <w:rPr/>
        <w:pict>
          <v:shape style="position:absolute;margin-left:246.434006pt;margin-top:72.47998pt;width:221.15pt;height:657.3pt;mso-position-horizontal-relative:page;mso-position-vertical-relative:page;z-index:-9070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pStyle w:val="BodyText"/>
                    <w:spacing w:line="240" w:lineRule="auto"/>
                    <w:ind w:left="0" w:right="0"/>
                    <w:jc w:val="left"/>
                  </w:pPr>
                  <w:r>
                    <w:rPr/>
                    <w:t>将善意履行作为先河环保的实际控制人的义务，</w:t>
                  </w:r>
                </w:p>
                <w:p>
                  <w:pPr>
                    <w:pStyle w:val="BodyText"/>
                    <w:spacing w:line="240" w:lineRule="auto" w:before="76"/>
                    <w:ind w:left="1080" w:right="0" w:firstLine="719"/>
                    <w:jc w:val="left"/>
                  </w:pPr>
                  <w:r>
                    <w:rPr/>
                    <w:t>保障先河环保独立经营、</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pStyle w:val="BodyText"/>
                    <w:spacing w:line="240" w:lineRule="auto"/>
                    <w:ind w:left="1080" w:right="0"/>
                    <w:jc w:val="left"/>
                  </w:pPr>
                  <w:r>
                    <w:rPr/>
                    <w:t>函自签署之日起生效并持续有效，</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1080" w:right="0"/>
                    <w:jc w:val="left"/>
                  </w:pPr>
                  <w:r>
                    <w:rPr/>
                    <w:t>据先河环保所应遵守的相关规则，</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1"/>
        <w:gridCol w:w="709"/>
        <w:gridCol w:w="4820"/>
        <w:gridCol w:w="709"/>
        <w:gridCol w:w="566"/>
        <w:gridCol w:w="995"/>
      </w:tblGrid>
      <w:tr>
        <w:trPr>
          <w:trHeight w:val="13156"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关于规范关联交易的承诺（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）承诺内容为充分保护上市公司 的利益，作为先河环保的控股股东及实际控制人李玉国先生 </w:t>
            </w:r>
            <w:r>
              <w:rPr>
                <w:rFonts w:ascii="宋体" w:hAnsi="宋体" w:cs="宋体" w:eastAsia="宋体" w:hint="default"/>
                <w:spacing w:val="-14"/>
                <w:sz w:val="18"/>
                <w:szCs w:val="18"/>
              </w:rPr>
              <w:t>承诺：</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、本人</w:t>
            </w:r>
          </w:p>
          <w:p>
            <w:pPr>
              <w:pStyle w:val="TableParagraph"/>
              <w:spacing w:line="314" w:lineRule="auto" w:before="5"/>
              <w:ind w:left="22" w:right="14"/>
              <w:jc w:val="left"/>
              <w:rPr>
                <w:rFonts w:ascii="宋体" w:hAnsi="宋体" w:cs="宋体" w:eastAsia="宋体" w:hint="default"/>
                <w:sz w:val="18"/>
                <w:szCs w:val="18"/>
              </w:rPr>
            </w:pPr>
            <w:r>
              <w:rPr>
                <w:rFonts w:ascii="宋体" w:hAnsi="宋体" w:cs="宋体" w:eastAsia="宋体" w:hint="default"/>
                <w:sz w:val="18"/>
                <w:szCs w:val="18"/>
              </w:rPr>
              <w:t>充分尊重先河环保的独立法人地位， 自主决策。本人将严格按照中国《公司法》以及先河环保公 司章程的规定，依法行使本人作为先河环保股东的权利，并 按照在先河环保所任职务（如有）依法行使相应职权，履行 诚信和勤勉义务，并促使由本人提名的先河环保董事依法履 行其应尽的诚信和勤勉义务。</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、保证本人以及本人控股或实 际控制的公司或者其他企业或经济组织（以下统称本人控制 </w:t>
            </w:r>
            <w:r>
              <w:rPr>
                <w:rFonts w:ascii="宋体" w:hAnsi="宋体" w:cs="宋体" w:eastAsia="宋体" w:hint="default"/>
                <w:spacing w:val="-4"/>
                <w:sz w:val="18"/>
                <w:szCs w:val="18"/>
              </w:rPr>
              <w:t>的企业），今后原则上不与先河环保发生关联交易。如果先河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环保在今后的经营活动中必须与本人或本人控制的企业发生 不可避免的关联交易，本人将促使此等交易严格按照国家有 关法律法规、先河环保的章程和有关规定履行有关程序，并 按照正常的商业条件进行，且保证本人及本人控制的企业将 不会要求或接受先河环保给予比在任何一项市场公平交易中 第三者更优惠的条件。并且保证不利用股东地位，就先河环 保与本人或本人控制的企业相关的任何关联交易采取任何行 动，故意促使先河环保的股东大会或董事会作出侵犯其他股 东合法权益的决议。</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、保证本人及本人控制的企业将严格和 善意地履行其与先河环保签订的各种关联交易协议。本人及 本人控制的企业将不会向先河环保谋求任何超出该等协议规 定以外的利益或收益。</w:t>
            </w:r>
            <w:r>
              <w:rPr>
                <w:rFonts w:ascii="Times New Roman" w:hAnsi="Times New Roman" w:cs="Times New Roman" w:eastAsia="Times New Roman" w:hint="default"/>
                <w:sz w:val="18"/>
                <w:szCs w:val="18"/>
              </w:rPr>
              <w:t>4</w:t>
            </w:r>
            <w:r>
              <w:rPr>
                <w:rFonts w:ascii="宋体" w:hAnsi="宋体" w:cs="宋体" w:eastAsia="宋体" w:hint="default"/>
                <w:sz w:val="18"/>
                <w:szCs w:val="18"/>
              </w:rPr>
              <w:t>、如果本人违反上述承诺，先河环保 有权要求本人及本人控制的企业规范相应的交易行为，并将 已经从交易中获得的利益、收益以现金的方式补偿给先河环 保，且本人将促使本人控制的企业（如需）按照先河环保要 求实施补偿；如因违反上述承诺造成先河环保经济损失的， 本人将赔偿并促使本人控制的企业赔偿先河环保因此受到的 全部损失。</w:t>
            </w:r>
            <w:r>
              <w:rPr>
                <w:rFonts w:ascii="Times New Roman" w:hAnsi="Times New Roman" w:cs="Times New Roman" w:eastAsia="Times New Roman" w:hint="default"/>
                <w:sz w:val="18"/>
                <w:szCs w:val="18"/>
              </w:rPr>
              <w:t>5</w:t>
            </w:r>
            <w:r>
              <w:rPr>
                <w:rFonts w:ascii="宋体" w:hAnsi="宋体" w:cs="宋体" w:eastAsia="宋体" w:hint="default"/>
                <w:sz w:val="18"/>
                <w:szCs w:val="18"/>
              </w:rPr>
              <w:t>、本人未能履行第（</w:t>
            </w:r>
            <w:r>
              <w:rPr>
                <w:rFonts w:ascii="Times New Roman" w:hAnsi="Times New Roman" w:cs="Times New Roman" w:eastAsia="Times New Roman" w:hint="default"/>
                <w:sz w:val="18"/>
                <w:szCs w:val="18"/>
              </w:rPr>
              <w:t>4</w:t>
            </w:r>
            <w:r>
              <w:rPr>
                <w:rFonts w:ascii="宋体" w:hAnsi="宋体" w:cs="宋体" w:eastAsia="宋体" w:hint="default"/>
                <w:sz w:val="18"/>
                <w:szCs w:val="18"/>
              </w:rPr>
              <w:t>）项所述的规范交易、补 偿、赔偿等承诺的，则先河环保有权相应扣减应付本人的现 金分红和应付本人的税后薪酬抵作补偿、赔偿或者作为促使 本人履行第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项所述承诺的措施，且在第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项所述承诺全部 履行完成前，本人亦不转让本人所直接或间接所持的先河环 保的股份，但为履行第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项所述承诺而进行转让的除外。</w:t>
            </w:r>
            <w:r>
              <w:rPr>
                <w:rFonts w:ascii="Times New Roman" w:hAnsi="Times New Roman" w:cs="Times New Roman" w:eastAsia="Times New Roman" w:hint="default"/>
                <w:sz w:val="18"/>
                <w:szCs w:val="18"/>
              </w:rPr>
              <w:t>6</w:t>
            </w:r>
            <w:r>
              <w:rPr>
                <w:rFonts w:ascii="宋体" w:hAnsi="宋体" w:cs="宋体" w:eastAsia="宋体" w:hint="default"/>
                <w:sz w:val="18"/>
                <w:szCs w:val="18"/>
              </w:rPr>
              <w:t>、 本承诺函所述承诺事项已经本人确认，为本人的真实意思表 示，对本人具有法律约束力。本人自愿接受监管机关、社会 公众及投资者的监督，积极采取合法措施履行本承诺，并依 </w:t>
            </w:r>
            <w:r>
              <w:rPr>
                <w:rFonts w:ascii="宋体" w:hAnsi="宋体" w:cs="宋体" w:eastAsia="宋体" w:hint="default"/>
                <w:spacing w:val="-8"/>
                <w:sz w:val="18"/>
                <w:szCs w:val="18"/>
              </w:rPr>
              <w:t>法承担相应责任。</w:t>
            </w:r>
            <w:r>
              <w:rPr>
                <w:rFonts w:ascii="Times New Roman" w:hAnsi="Times New Roman" w:cs="Times New Roman" w:eastAsia="Times New Roman" w:hint="default"/>
                <w:spacing w:val="-8"/>
                <w:sz w:val="18"/>
                <w:szCs w:val="18"/>
              </w:rPr>
              <w:t>7</w:t>
            </w:r>
            <w:r>
              <w:rPr>
                <w:rFonts w:ascii="宋体" w:hAnsi="宋体" w:cs="宋体" w:eastAsia="宋体" w:hint="default"/>
                <w:spacing w:val="-8"/>
                <w:sz w:val="18"/>
                <w:szCs w:val="18"/>
              </w:rPr>
              <w:t>、本承诺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自生效之日起，即取代此前本人就本承诺函项下的事项所作 出的承诺，但本承诺函自下列较早时间起不再有效：</w:t>
            </w:r>
            <w:r>
              <w:rPr>
                <w:rFonts w:ascii="Times New Roman" w:hAnsi="Times New Roman" w:cs="Times New Roman" w:eastAsia="Times New Roman" w:hint="default"/>
                <w:sz w:val="18"/>
                <w:szCs w:val="18"/>
              </w:rPr>
              <w:t>1</w:t>
            </w:r>
            <w:r>
              <w:rPr>
                <w:rFonts w:ascii="宋体" w:hAnsi="宋体" w:cs="宋体" w:eastAsia="宋体" w:hint="default"/>
                <w:sz w:val="18"/>
                <w:szCs w:val="18"/>
              </w:rPr>
              <w:t>）先河 </w:t>
            </w:r>
            <w:r>
              <w:rPr>
                <w:rFonts w:ascii="宋体" w:hAnsi="宋体" w:cs="宋体" w:eastAsia="宋体" w:hint="default"/>
                <w:spacing w:val="-8"/>
                <w:sz w:val="18"/>
                <w:szCs w:val="18"/>
              </w:rPr>
              <w:t>环保不再是公众公司；</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）依</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本人不再是先河环保的关联方。</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3146"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2"/>
                <w:sz w:val="20"/>
                <w:szCs w:val="20"/>
              </w:rPr>
              <w:pict>
                <v:group style="width:34.950pt;height:657.3pt;mso-position-horizontal-relative:char;mso-position-vertical-relative:line" coordorigin="0,0" coordsize="699,13146">
                  <v:group style="position:absolute;left:0;top:0;width:699;height:13146" coordorigin="0,0" coordsize="699,13146">
                    <v:shape style="position:absolute;left:0;top:0;width:699;height:13146" coordorigin="0,0" coordsize="699,13146" path="m0,13146l698,13146,698,0,0,0,0,13146xe" filled="true" fillcolor="#ffffff" stroked="false">
                      <v:path arrowok="t"/>
                      <v:fill type="solid"/>
                    </v:shape>
                  </v:group>
                </v:group>
              </w:pict>
            </w:r>
            <w:r>
              <w:rPr>
                <w:rFonts w:ascii="Times New Roman" w:hAnsi="Times New Roman" w:cs="Times New Roman" w:eastAsia="Times New Roman" w:hint="default"/>
                <w:position w:val="-262"/>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梁常清</w:t>
            </w:r>
            <w:r>
              <w:rPr>
                <w:rFonts w:ascii="Times New Roman" w:hAnsi="Times New Roman" w:cs="Times New Roman" w:eastAsia="Times New Roman" w:hint="default"/>
                <w:sz w:val="18"/>
                <w:szCs w:val="18"/>
              </w:rPr>
              <w:t>;</w:t>
            </w:r>
            <w:r>
              <w:rPr>
                <w:rFonts w:ascii="宋体" w:hAnsi="宋体" w:cs="宋体" w:eastAsia="宋体" w:hint="default"/>
                <w:sz w:val="18"/>
                <w:szCs w:val="18"/>
              </w:rPr>
              <w:t>梁 宝欣</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90"/>
              <w:jc w:val="left"/>
              <w:rPr>
                <w:rFonts w:ascii="宋体" w:hAnsi="宋体" w:cs="宋体" w:eastAsia="宋体" w:hint="default"/>
                <w:sz w:val="18"/>
                <w:szCs w:val="18"/>
              </w:rPr>
            </w:pPr>
            <w:r>
              <w:rPr>
                <w:rFonts w:ascii="宋体" w:hAnsi="宋体" w:cs="宋体" w:eastAsia="宋体" w:hint="default"/>
                <w:sz w:val="18"/>
                <w:szCs w:val="18"/>
              </w:rPr>
              <w:t>一、若政府主管部门追缴科迪隆及其子公司、广西先得及其 子公司在科迪隆以及广西先得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股权交割日（科迪隆以及</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2-31</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0"/>
              <w:jc w:val="left"/>
              <w:rPr>
                <w:rFonts w:ascii="宋体" w:hAnsi="宋体" w:cs="宋体" w:eastAsia="宋体" w:hint="default"/>
                <w:sz w:val="18"/>
                <w:szCs w:val="18"/>
              </w:rPr>
            </w:pPr>
            <w:r>
              <w:rPr>
                <w:rFonts w:ascii="宋体" w:hAnsi="宋体" w:cs="宋体" w:eastAsia="宋体" w:hint="default"/>
                <w:sz w:val="18"/>
                <w:szCs w:val="18"/>
              </w:rPr>
              <w:t>未发生违反 承诺的事项</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1"/>
        <w:gridCol w:w="709"/>
        <w:gridCol w:w="4820"/>
        <w:gridCol w:w="709"/>
        <w:gridCol w:w="566"/>
        <w:gridCol w:w="992"/>
      </w:tblGrid>
      <w:tr>
        <w:trPr>
          <w:trHeight w:val="1611"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90"/>
              <w:jc w:val="both"/>
              <w:rPr>
                <w:rFonts w:ascii="宋体" w:hAnsi="宋体" w:cs="宋体" w:eastAsia="宋体" w:hint="default"/>
                <w:sz w:val="18"/>
                <w:szCs w:val="18"/>
              </w:rPr>
            </w:pPr>
            <w:r>
              <w:rPr>
                <w:rFonts w:ascii="宋体" w:hAnsi="宋体" w:cs="宋体" w:eastAsia="宋体" w:hint="default"/>
                <w:sz w:val="18"/>
                <w:szCs w:val="18"/>
              </w:rPr>
              <w:t>广西先得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股权办理完毕过户至先河环保的工商变更登记 手续之日）前发生的应缴税款，科迪隆及其子公司、广西先 得及其子公司缴纳上述税款及相应滞纳金、罚金后，由梁常 清、梁宝欣按照各自的持股比例给予科迪隆及其子公司、广 西先得及其子公司足额补偿。</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和行为。</w:t>
            </w:r>
          </w:p>
        </w:tc>
      </w:tr>
      <w:tr>
        <w:trPr>
          <w:trHeight w:val="2586"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319" w:lineRule="auto"/>
              <w:ind w:left="22" w:right="201"/>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3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22"/>
              <w:jc w:val="left"/>
              <w:rPr>
                <w:rFonts w:ascii="宋体" w:hAnsi="宋体" w:cs="宋体" w:eastAsia="宋体" w:hint="default"/>
                <w:sz w:val="18"/>
                <w:szCs w:val="18"/>
              </w:rPr>
            </w:pPr>
            <w:r>
              <w:rPr>
                <w:rFonts w:ascii="宋体" w:hAnsi="宋体" w:cs="宋体" w:eastAsia="宋体" w:hint="default"/>
                <w:sz w:val="18"/>
                <w:szCs w:val="18"/>
              </w:rPr>
              <w:t>本公司实际控制人、控股股东李玉国承诺：自发行人股票上 市交易之日起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个月内，不转让或者委托他人管理其直接和</w:t>
            </w:r>
            <w:r>
              <w:rPr>
                <w:rFonts w:ascii="宋体" w:hAnsi="宋体" w:cs="宋体" w:eastAsia="宋体" w:hint="default"/>
                <w:sz w:val="18"/>
                <w:szCs w:val="18"/>
              </w:rPr>
              <w:t> 间接持有的发行人股份，也不由发行人收购该部分股份；在 其任职期间每年转让的股份不超过其直接或间接持有的发行 人股份总数的百分之二十五，离职后半年内，不转让其直接 或者间接持有的发行人股份。</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2013-1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本公司实际 控制人、控 股股东李玉 国严格遵守 上述承诺， 未发现违反 上述承诺情 况。</w:t>
            </w:r>
          </w:p>
        </w:tc>
      </w:tr>
      <w:tr>
        <w:trPr>
          <w:trHeight w:val="1650" w:hRule="exact"/>
        </w:trPr>
        <w:tc>
          <w:tcPr>
            <w:tcW w:w="1134"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范朝承诺：自发行人股票上市交易之日起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9"/>
                <w:sz w:val="18"/>
                <w:szCs w:val="18"/>
              </w:rPr>
              <w:t> </w:t>
            </w:r>
            <w:r>
              <w:rPr>
                <w:rFonts w:ascii="宋体" w:hAnsi="宋体" w:cs="宋体" w:eastAsia="宋体" w:hint="default"/>
                <w:spacing w:val="-4"/>
                <w:sz w:val="18"/>
                <w:szCs w:val="18"/>
              </w:rPr>
              <w:t>个月内，不转让</w:t>
            </w:r>
            <w:r>
              <w:rPr>
                <w:rFonts w:ascii="宋体" w:hAnsi="宋体" w:cs="宋体" w:eastAsia="宋体" w:hint="default"/>
                <w:sz w:val="18"/>
                <w:szCs w:val="18"/>
              </w:rPr>
              <w:t> 或者委托他人管理其直接和间接持有的发行人股份，也不由 发行人收购该部分股份；在其任职期间每年转让的股份不超 过其直接或间接持有的发行人股份总数的百分之二十五，离 职后半年内，不转让其直接或者间接持有的发行人股份。</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2013-1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范朝严格遵 守上述承 诺，未发现 违反上述承 诺情况</w:t>
            </w:r>
          </w:p>
        </w:tc>
      </w:tr>
      <w:tr>
        <w:trPr>
          <w:trHeight w:val="1650" w:hRule="exact"/>
        </w:trPr>
        <w:tc>
          <w:tcPr>
            <w:tcW w:w="1134"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陈荣强承诺：自发行人股票上市交易之日起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1"/>
                <w:sz w:val="18"/>
                <w:szCs w:val="18"/>
              </w:rPr>
              <w:t> </w:t>
            </w:r>
            <w:r>
              <w:rPr>
                <w:rFonts w:ascii="宋体" w:hAnsi="宋体" w:cs="宋体" w:eastAsia="宋体" w:hint="default"/>
                <w:spacing w:val="-5"/>
                <w:sz w:val="18"/>
                <w:szCs w:val="18"/>
              </w:rPr>
              <w:t>个月内，不转</w:t>
            </w:r>
            <w:r>
              <w:rPr>
                <w:rFonts w:ascii="宋体" w:hAnsi="宋体" w:cs="宋体" w:eastAsia="宋体" w:hint="default"/>
                <w:sz w:val="18"/>
                <w:szCs w:val="18"/>
              </w:rPr>
              <w:t> 让或者委托他人管理其直接和间接持有的发行人股份，也不 由发行人收购该部分股份；在其任职期间每年转让的股份不 超过其直接或间接持有的发行人股份总数的百分之二十五， 离职后半年内，不转让其直接或者间接持有的发行人股份。</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2013-1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陈荣强严格 遵守上述承 诺，未发现 违反上述承 诺情况。</w:t>
            </w:r>
          </w:p>
        </w:tc>
      </w:tr>
      <w:tr>
        <w:trPr>
          <w:trHeight w:val="2586" w:hRule="exact"/>
        </w:trPr>
        <w:tc>
          <w:tcPr>
            <w:tcW w:w="1134"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709"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0"/>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7"/>
                <w:sz w:val="18"/>
                <w:szCs w:val="18"/>
              </w:rPr>
              <w:t>易、资金</w:t>
            </w:r>
            <w:r>
              <w:rPr>
                <w:rFonts w:ascii="宋体" w:hAnsi="宋体" w:cs="宋体" w:eastAsia="宋体" w:hint="default"/>
                <w:sz w:val="18"/>
                <w:szCs w:val="18"/>
              </w:rPr>
              <w:t> 占用方 面的承</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82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6" w:right="22"/>
              <w:jc w:val="left"/>
              <w:rPr>
                <w:rFonts w:ascii="宋体" w:hAnsi="宋体" w:cs="宋体" w:eastAsia="宋体" w:hint="default"/>
                <w:sz w:val="18"/>
                <w:szCs w:val="18"/>
              </w:rPr>
            </w:pPr>
            <w:r>
              <w:rPr>
                <w:rFonts w:ascii="宋体" w:hAnsi="宋体" w:cs="宋体" w:eastAsia="宋体" w:hint="default"/>
                <w:sz w:val="18"/>
                <w:szCs w:val="18"/>
              </w:rPr>
              <w:t>本公司控股股东和实际控制人李玉国出具了《关于避免同业 </w:t>
            </w:r>
            <w:r>
              <w:rPr>
                <w:rFonts w:ascii="宋体" w:hAnsi="宋体" w:cs="宋体" w:eastAsia="宋体" w:hint="default"/>
                <w:spacing w:val="-7"/>
                <w:w w:val="99"/>
                <w:sz w:val="18"/>
                <w:szCs w:val="18"/>
              </w:rPr>
              <w:t>竞争的承诺函》，承诺</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本人在作为先河环保的控股股东或实际</w:t>
            </w:r>
            <w:r>
              <w:rPr>
                <w:rFonts w:ascii="宋体" w:hAnsi="宋体" w:cs="宋体" w:eastAsia="宋体" w:hint="default"/>
                <w:spacing w:val="-66"/>
                <w:w w:val="99"/>
                <w:sz w:val="18"/>
                <w:szCs w:val="18"/>
              </w:rPr>
              <w:t> </w:t>
            </w:r>
            <w:r>
              <w:rPr>
                <w:rFonts w:ascii="宋体" w:hAnsi="宋体" w:cs="宋体" w:eastAsia="宋体" w:hint="default"/>
                <w:sz w:val="18"/>
                <w:szCs w:val="18"/>
              </w:rPr>
              <w:t>控制人期间，不会以任何形式从事对先河环保的生产经营构 成或可能构成同业竞争的业务和经营活动，也不会以任何方 式为与先河环保竞争的企业、机构或其他经济组织提供任何 资金、业务、技术和管理等方面的帮助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公司控股股 东和实际控 制人李玉国 严格遵守上 述承诺，未 发现违反上 述承诺情 况。</w:t>
            </w:r>
          </w:p>
        </w:tc>
      </w:tr>
      <w:tr>
        <w:trPr>
          <w:trHeight w:val="3795"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39"/>
              <w:ind w:left="22" w:right="47"/>
              <w:jc w:val="left"/>
              <w:rPr>
                <w:rFonts w:ascii="宋体" w:hAnsi="宋体" w:cs="宋体" w:eastAsia="宋体" w:hint="default"/>
                <w:sz w:val="18"/>
                <w:szCs w:val="18"/>
              </w:rPr>
            </w:pPr>
            <w:r>
              <w:rPr>
                <w:rFonts w:ascii="宋体" w:hAnsi="宋体" w:cs="宋体" w:eastAsia="宋体" w:hint="default"/>
                <w:sz w:val="18"/>
                <w:szCs w:val="18"/>
              </w:rPr>
              <w:t>李玉国</w:t>
            </w:r>
            <w:r>
              <w:rPr>
                <w:rFonts w:ascii="Times New Roman" w:hAnsi="Times New Roman" w:cs="Times New Roman" w:eastAsia="Times New Roman" w:hint="default"/>
                <w:sz w:val="18"/>
                <w:szCs w:val="18"/>
              </w:rPr>
              <w:t>;</w:t>
            </w:r>
            <w:r>
              <w:rPr>
                <w:rFonts w:ascii="宋体" w:hAnsi="宋体" w:cs="宋体" w:eastAsia="宋体" w:hint="default"/>
                <w:sz w:val="18"/>
                <w:szCs w:val="18"/>
              </w:rPr>
              <w:t>陈 爱珍</w:t>
            </w:r>
            <w:r>
              <w:rPr>
                <w:rFonts w:ascii="Times New Roman" w:hAnsi="Times New Roman" w:cs="Times New Roman" w:eastAsia="Times New Roman" w:hint="default"/>
                <w:sz w:val="18"/>
                <w:szCs w:val="18"/>
              </w:rPr>
              <w:t>;</w:t>
            </w:r>
            <w:r>
              <w:rPr>
                <w:rFonts w:ascii="宋体" w:hAnsi="宋体" w:cs="宋体" w:eastAsia="宋体" w:hint="default"/>
                <w:sz w:val="18"/>
                <w:szCs w:val="18"/>
              </w:rPr>
              <w:t>陈荣 强</w:t>
            </w:r>
            <w:r>
              <w:rPr>
                <w:rFonts w:ascii="Times New Roman" w:hAnsi="Times New Roman" w:cs="Times New Roman" w:eastAsia="Times New Roman" w:hint="default"/>
                <w:sz w:val="18"/>
                <w:szCs w:val="18"/>
              </w:rPr>
              <w:t>;</w:t>
            </w:r>
            <w:r>
              <w:rPr>
                <w:rFonts w:ascii="宋体" w:hAnsi="宋体" w:cs="宋体" w:eastAsia="宋体" w:hint="default"/>
                <w:sz w:val="18"/>
                <w:szCs w:val="18"/>
              </w:rPr>
              <w:t>董岩</w:t>
            </w:r>
            <w:r>
              <w:rPr>
                <w:rFonts w:ascii="Times New Roman" w:hAnsi="Times New Roman" w:cs="Times New Roman" w:eastAsia="Times New Roman" w:hint="default"/>
                <w:sz w:val="18"/>
                <w:szCs w:val="18"/>
              </w:rPr>
              <w:t>; </w:t>
            </w:r>
            <w:r>
              <w:rPr>
                <w:rFonts w:ascii="宋体" w:hAnsi="宋体" w:cs="宋体" w:eastAsia="宋体" w:hint="default"/>
                <w:sz w:val="18"/>
                <w:szCs w:val="18"/>
              </w:rPr>
              <w:t>范朝</w:t>
            </w:r>
            <w:r>
              <w:rPr>
                <w:rFonts w:ascii="Times New Roman" w:hAnsi="Times New Roman" w:cs="Times New Roman" w:eastAsia="Times New Roman" w:hint="default"/>
                <w:sz w:val="18"/>
                <w:szCs w:val="18"/>
              </w:rPr>
              <w:t>;</w:t>
            </w:r>
            <w:r>
              <w:rPr>
                <w:rFonts w:ascii="宋体" w:hAnsi="宋体" w:cs="宋体" w:eastAsia="宋体" w:hint="default"/>
                <w:sz w:val="18"/>
                <w:szCs w:val="18"/>
              </w:rPr>
              <w:t>庞贵 永</w:t>
            </w:r>
            <w:r>
              <w:rPr>
                <w:rFonts w:ascii="Times New Roman" w:hAnsi="Times New Roman" w:cs="Times New Roman" w:eastAsia="Times New Roman" w:hint="default"/>
                <w:sz w:val="18"/>
                <w:szCs w:val="18"/>
              </w:rPr>
              <w:t>;</w:t>
            </w:r>
            <w:r>
              <w:rPr>
                <w:rFonts w:ascii="宋体" w:hAnsi="宋体" w:cs="宋体" w:eastAsia="宋体" w:hint="default"/>
                <w:sz w:val="18"/>
                <w:szCs w:val="18"/>
              </w:rPr>
              <w:t>闫成 德</w:t>
            </w:r>
            <w:r>
              <w:rPr>
                <w:rFonts w:ascii="Times New Roman" w:hAnsi="Times New Roman" w:cs="Times New Roman" w:eastAsia="Times New Roman" w:hint="default"/>
                <w:sz w:val="18"/>
                <w:szCs w:val="18"/>
              </w:rPr>
              <w:t>;</w:t>
            </w:r>
            <w:r>
              <w:rPr>
                <w:rFonts w:ascii="宋体" w:hAnsi="宋体" w:cs="宋体" w:eastAsia="宋体" w:hint="default"/>
                <w:sz w:val="18"/>
                <w:szCs w:val="18"/>
              </w:rPr>
              <w:t>张华</w:t>
            </w:r>
          </w:p>
        </w:tc>
        <w:tc>
          <w:tcPr>
            <w:tcW w:w="709"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6" w:lineRule="auto"/>
              <w:ind w:left="22" w:right="-50"/>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8"/>
                <w:sz w:val="18"/>
                <w:szCs w:val="18"/>
              </w:rPr>
              <w:t>易、资金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占用方 面的承</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820" w:type="dxa"/>
            <w:tcBorders>
              <w:top w:val="single" w:sz="4" w:space="0" w:color="000000"/>
              <w:left w:val="single" w:sz="9" w:space="0" w:color="FFFFFF"/>
              <w:bottom w:val="single" w:sz="4" w:space="0" w:color="000000"/>
              <w:right w:val="single" w:sz="4" w:space="0" w:color="000000"/>
            </w:tcBorders>
          </w:tcPr>
          <w:p>
            <w:pPr>
              <w:pStyle w:val="TableParagraph"/>
              <w:spacing w:line="312" w:lineRule="auto" w:before="51"/>
              <w:ind w:left="16" w:right="15"/>
              <w:jc w:val="left"/>
              <w:rPr>
                <w:rFonts w:ascii="宋体" w:hAnsi="宋体" w:cs="宋体" w:eastAsia="宋体" w:hint="default"/>
                <w:sz w:val="18"/>
                <w:szCs w:val="18"/>
              </w:rPr>
            </w:pPr>
            <w:r>
              <w:rPr>
                <w:rFonts w:ascii="宋体" w:hAnsi="宋体" w:cs="宋体" w:eastAsia="宋体" w:hint="default"/>
                <w:sz w:val="18"/>
                <w:szCs w:val="18"/>
              </w:rPr>
              <w:t>本公司主要股东及董事、监事、高级管理人员关于规范执行 关联交易的承诺：持有公司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以上股份的股东以及董事、监 </w:t>
            </w:r>
            <w:r>
              <w:rPr>
                <w:rFonts w:ascii="宋体" w:hAnsi="宋体" w:cs="宋体" w:eastAsia="宋体" w:hint="default"/>
                <w:spacing w:val="-4"/>
                <w:sz w:val="18"/>
                <w:szCs w:val="18"/>
              </w:rPr>
              <w:t>事、高级管理人员出具了《关于规范执行关联交易的承诺》，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承诺</w:t>
            </w:r>
            <w:r>
              <w:rPr>
                <w:rFonts w:ascii="Times New Roman" w:hAnsi="Times New Roman" w:cs="Times New Roman" w:eastAsia="Times New Roman" w:hint="default"/>
                <w:sz w:val="18"/>
                <w:szCs w:val="18"/>
              </w:rPr>
              <w:t>"</w:t>
            </w:r>
            <w:r>
              <w:rPr>
                <w:rFonts w:ascii="宋体" w:hAnsi="宋体" w:cs="宋体" w:eastAsia="宋体" w:hint="default"/>
                <w:sz w:val="18"/>
                <w:szCs w:val="18"/>
              </w:rPr>
              <w:t>本人以及本人控股或实际控制的公司或者其他企业或经 </w:t>
            </w:r>
            <w:r>
              <w:rPr>
                <w:rFonts w:ascii="宋体" w:hAnsi="宋体" w:cs="宋体" w:eastAsia="宋体" w:hint="default"/>
                <w:spacing w:val="-4"/>
                <w:w w:val="99"/>
                <w:sz w:val="18"/>
                <w:szCs w:val="18"/>
              </w:rPr>
              <w:t>济组织（以下统称</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本人控制的企业</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），今后原则上不与先河</w:t>
            </w:r>
            <w:r>
              <w:rPr>
                <w:rFonts w:ascii="宋体" w:hAnsi="宋体" w:cs="宋体" w:eastAsia="宋体" w:hint="default"/>
                <w:spacing w:val="-70"/>
                <w:w w:val="99"/>
                <w:sz w:val="18"/>
                <w:szCs w:val="18"/>
              </w:rPr>
              <w:t> </w:t>
            </w:r>
            <w:r>
              <w:rPr>
                <w:rFonts w:ascii="宋体" w:hAnsi="宋体" w:cs="宋体" w:eastAsia="宋体" w:hint="default"/>
                <w:spacing w:val="-70"/>
                <w:w w:val="99"/>
                <w:sz w:val="18"/>
                <w:szCs w:val="18"/>
              </w:rPr>
            </w:r>
            <w:r>
              <w:rPr>
                <w:rFonts w:ascii="宋体" w:hAnsi="宋体" w:cs="宋体" w:eastAsia="宋体" w:hint="default"/>
                <w:sz w:val="18"/>
                <w:szCs w:val="18"/>
              </w:rPr>
              <w:t>环保发生关联交易。如果先河环保在今后的经营活动中必须 与本人或本人控制的企业发生不可避免的关联交易，本人将 促使此等交易严格按照国家有关法律法规、先河环保的章程 和有关规定履行有关程序，并按照正常的商业条件进行，且 保证本人及本人控制的企业将不会要求或接受先河环保给予 比在任何一项市场公平交易中第三者更优惠的条件。并且保 证不利用股东地位，就先河环保与本人或本人控制的企业相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6"/>
              <w:ind w:left="22" w:right="59"/>
              <w:jc w:val="left"/>
              <w:rPr>
                <w:rFonts w:ascii="宋体" w:hAnsi="宋体" w:cs="宋体" w:eastAsia="宋体" w:hint="default"/>
                <w:sz w:val="18"/>
                <w:szCs w:val="18"/>
              </w:rPr>
            </w:pPr>
            <w:r>
              <w:rPr>
                <w:rFonts w:ascii="宋体" w:hAnsi="宋体" w:cs="宋体" w:eastAsia="宋体" w:hint="default"/>
                <w:sz w:val="18"/>
                <w:szCs w:val="18"/>
              </w:rPr>
              <w:t>持有公司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份的股东以 及董事、监 事、高级管 理人员严格 遵守上述承 诺，未发现 违反上述承 诺情况。</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1"/>
        <w:gridCol w:w="709"/>
        <w:gridCol w:w="4820"/>
        <w:gridCol w:w="709"/>
        <w:gridCol w:w="566"/>
        <w:gridCol w:w="995"/>
      </w:tblGrid>
      <w:tr>
        <w:trPr>
          <w:trHeight w:val="674"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5"/>
              <w:jc w:val="left"/>
              <w:rPr>
                <w:rFonts w:ascii="宋体" w:hAnsi="宋体" w:cs="宋体" w:eastAsia="宋体" w:hint="default"/>
                <w:sz w:val="18"/>
                <w:szCs w:val="18"/>
              </w:rPr>
            </w:pPr>
            <w:r>
              <w:rPr>
                <w:rFonts w:ascii="宋体" w:hAnsi="宋体" w:cs="宋体" w:eastAsia="宋体" w:hint="default"/>
                <w:sz w:val="18"/>
                <w:szCs w:val="18"/>
              </w:rPr>
              <w:t>关的任何关联交易采取任何行动，故意促使先河环保的股东 大会或董事会做出侵犯其他股东合法权益的决议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1134"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北京科桥 投资顾问 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上海兴烨 创业投资 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上海正同 创业投资 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肖水龙</w:t>
            </w:r>
            <w:r>
              <w:rPr>
                <w:rFonts w:ascii="Times New Roman" w:hAnsi="Times New Roman" w:cs="Times New Roman" w:eastAsia="Times New Roman" w:hint="default"/>
                <w:sz w:val="18"/>
                <w:szCs w:val="18"/>
              </w:rPr>
              <w:t>;</w:t>
            </w:r>
            <w:r>
              <w:rPr>
                <w:rFonts w:ascii="宋体" w:hAnsi="宋体" w:cs="宋体" w:eastAsia="宋体" w:hint="default"/>
                <w:sz w:val="18"/>
                <w:szCs w:val="18"/>
              </w:rPr>
              <w:t>红 塔创新投 资股份有 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134"/>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22"/>
              <w:jc w:val="left"/>
              <w:rPr>
                <w:rFonts w:ascii="宋体" w:hAnsi="宋体" w:cs="宋体" w:eastAsia="宋体" w:hint="default"/>
                <w:sz w:val="18"/>
                <w:szCs w:val="18"/>
              </w:rPr>
            </w:pPr>
            <w:r>
              <w:rPr>
                <w:rFonts w:ascii="宋体" w:hAnsi="宋体" w:cs="宋体" w:eastAsia="宋体" w:hint="default"/>
                <w:sz w:val="18"/>
                <w:szCs w:val="18"/>
              </w:rPr>
              <w:t>发行人的法人股东北京科桥、红塔创投、兴烨创投、正同创 投和自然人股东肖水龙均出具下述承诺：本公司（本人）将 不以任何方式谋求成为先河环保的控股股东或实际控制人， 不以控制为目的增持先河环保的股份，不与先河环保的其他 股东签署与控制权有关的任何协议（包括但不限于一致行动 </w:t>
            </w:r>
            <w:r>
              <w:rPr>
                <w:rFonts w:ascii="宋体" w:hAnsi="宋体" w:cs="宋体" w:eastAsia="宋体" w:hint="default"/>
                <w:spacing w:val="-4"/>
                <w:sz w:val="18"/>
                <w:szCs w:val="18"/>
              </w:rPr>
              <w:t>协议、限制实际控制人行使权利协议），不参与任何可能影响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李玉国作为先河环保实际控制人地位的活动。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2-31</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60"/>
              <w:jc w:val="both"/>
              <w:rPr>
                <w:rFonts w:ascii="宋体" w:hAnsi="宋体" w:cs="宋体" w:eastAsia="宋体" w:hint="default"/>
                <w:sz w:val="18"/>
                <w:szCs w:val="18"/>
              </w:rPr>
            </w:pPr>
            <w:r>
              <w:rPr>
                <w:rFonts w:ascii="宋体" w:hAnsi="宋体" w:cs="宋体" w:eastAsia="宋体" w:hint="default"/>
                <w:sz w:val="18"/>
                <w:szCs w:val="18"/>
              </w:rPr>
              <w:t>北京科桥、 红塔创投、 兴烨创投、 正同创投和 自然人股东 肖水龙严格 遵守上述承 诺，未发现 违反上述承 诺情况。</w:t>
            </w:r>
          </w:p>
        </w:tc>
      </w:tr>
      <w:tr>
        <w:trPr>
          <w:trHeight w:val="3210" w:hRule="exact"/>
        </w:trPr>
        <w:tc>
          <w:tcPr>
            <w:tcW w:w="1134"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59"/>
              <w:ind w:left="22" w:right="47"/>
              <w:jc w:val="left"/>
              <w:rPr>
                <w:rFonts w:ascii="宋体" w:hAnsi="宋体" w:cs="宋体" w:eastAsia="宋体" w:hint="default"/>
                <w:sz w:val="18"/>
                <w:szCs w:val="18"/>
              </w:rPr>
            </w:pPr>
            <w:r>
              <w:rPr>
                <w:rFonts w:ascii="宋体" w:hAnsi="宋体" w:cs="宋体" w:eastAsia="宋体" w:hint="default"/>
                <w:sz w:val="18"/>
                <w:szCs w:val="18"/>
              </w:rPr>
              <w:t>李玉国</w:t>
            </w:r>
            <w:r>
              <w:rPr>
                <w:rFonts w:ascii="Times New Roman" w:hAnsi="Times New Roman" w:cs="Times New Roman" w:eastAsia="Times New Roman" w:hint="default"/>
                <w:sz w:val="18"/>
                <w:szCs w:val="18"/>
              </w:rPr>
              <w:t>;</w:t>
            </w:r>
            <w:r>
              <w:rPr>
                <w:rFonts w:ascii="宋体" w:hAnsi="宋体" w:cs="宋体" w:eastAsia="宋体" w:hint="default"/>
                <w:sz w:val="18"/>
                <w:szCs w:val="18"/>
              </w:rPr>
              <w:t>范 朝</w:t>
            </w:r>
            <w:r>
              <w:rPr>
                <w:rFonts w:ascii="Times New Roman" w:hAnsi="Times New Roman" w:cs="Times New Roman" w:eastAsia="Times New Roman" w:hint="default"/>
                <w:sz w:val="18"/>
                <w:szCs w:val="18"/>
              </w:rPr>
              <w:t>;</w:t>
            </w:r>
            <w:r>
              <w:rPr>
                <w:rFonts w:ascii="宋体" w:hAnsi="宋体" w:cs="宋体" w:eastAsia="宋体" w:hint="default"/>
                <w:sz w:val="18"/>
                <w:szCs w:val="18"/>
              </w:rPr>
              <w:t>陈荣 强；张香 计</w:t>
            </w:r>
            <w:r>
              <w:rPr>
                <w:rFonts w:ascii="Times New Roman" w:hAnsi="Times New Roman" w:cs="Times New Roman" w:eastAsia="Times New Roman" w:hint="default"/>
                <w:sz w:val="18"/>
                <w:szCs w:val="18"/>
              </w:rPr>
              <w:t>;</w:t>
            </w:r>
            <w:r>
              <w:rPr>
                <w:rFonts w:ascii="宋体" w:hAnsi="宋体" w:cs="宋体" w:eastAsia="宋体" w:hint="default"/>
                <w:sz w:val="18"/>
                <w:szCs w:val="18"/>
              </w:rPr>
              <w:t>吴艳茹</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05"/>
              <w:jc w:val="both"/>
              <w:rPr>
                <w:rFonts w:ascii="宋体" w:hAnsi="宋体" w:cs="宋体" w:eastAsia="宋体" w:hint="default"/>
                <w:sz w:val="18"/>
                <w:szCs w:val="18"/>
              </w:rPr>
            </w:pPr>
            <w:r>
              <w:rPr>
                <w:rFonts w:ascii="宋体" w:hAnsi="宋体" w:cs="宋体" w:eastAsia="宋体" w:hint="default"/>
                <w:sz w:val="18"/>
                <w:szCs w:val="18"/>
              </w:rPr>
              <w:t>天泽科技的原股东李玉国、范朝、陈荣强、张香计、吴艳茹 均已出具承诺，如发行人因天泽科技存续期间存在任何违法 违规行为而被要求承担责任，则该等自然人按其对天泽科技 的出资比例承担该等责任，保证发行人不因此而受到损失。</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2-31</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天泽科技的 原股东李玉 国、范朝、 陈荣强、张 香计、吴艳 茹严格遵守 上述承诺， 未发现违反 上述承诺情 况。</w:t>
            </w:r>
          </w:p>
        </w:tc>
      </w:tr>
      <w:tr>
        <w:trPr>
          <w:trHeight w:val="5667"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34"/>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年研究中心以低于评估价转让其所持先河有限</w:t>
            </w:r>
          </w:p>
          <w:p>
            <w:pPr>
              <w:pStyle w:val="TableParagraph"/>
              <w:tabs>
                <w:tab w:pos="2715" w:val="left" w:leader="none"/>
                <w:tab w:pos="2869" w:val="left" w:leader="none"/>
              </w:tabs>
              <w:spacing w:line="312" w:lineRule="auto" w:before="61"/>
              <w:ind w:left="22" w:right="21"/>
              <w:jc w:val="left"/>
              <w:rPr>
                <w:rFonts w:ascii="宋体" w:hAnsi="宋体" w:cs="宋体" w:eastAsia="宋体" w:hint="default"/>
                <w:sz w:val="18"/>
                <w:szCs w:val="18"/>
              </w:rPr>
            </w:pPr>
            <w:r>
              <w:rPr>
                <w:rFonts w:ascii="宋体" w:hAnsi="宋体" w:cs="宋体" w:eastAsia="宋体" w:hint="default"/>
                <w:spacing w:val="-2"/>
                <w:sz w:val="18"/>
                <w:szCs w:val="18"/>
              </w:rPr>
              <w:t>（公司前身）国有股权的承诺。</w:t>
              <w:tab/>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日，李玉</w:t>
            </w:r>
            <w:r>
              <w:rPr>
                <w:rFonts w:ascii="宋体" w:hAnsi="宋体" w:cs="宋体" w:eastAsia="宋体" w:hint="default"/>
                <w:sz w:val="18"/>
                <w:szCs w:val="18"/>
              </w:rPr>
              <w:t> 国先生出具《关于河北省环境计量技术研究中心转让河北先 </w:t>
            </w:r>
            <w:r>
              <w:rPr>
                <w:rFonts w:ascii="宋体" w:hAnsi="宋体" w:cs="宋体" w:eastAsia="宋体" w:hint="default"/>
                <w:spacing w:val="-4"/>
                <w:sz w:val="18"/>
                <w:szCs w:val="18"/>
              </w:rPr>
              <w:t>河科技发展有限公司出资的情况说明和承诺》，作出如下承</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诺：如果国有资产监督管理机构按照法律法规的规定要求受 让人补交低于评估值的款项，其本人将予以全额补交。</w:t>
            </w:r>
            <w:r>
              <w:rPr>
                <w:rFonts w:ascii="Times New Roman" w:hAnsi="Times New Roman" w:cs="Times New Roman" w:eastAsia="Times New Roman" w:hint="default"/>
                <w:sz w:val="18"/>
                <w:szCs w:val="18"/>
              </w:rPr>
              <w:t>2</w:t>
            </w:r>
            <w:r>
              <w:rPr>
                <w:rFonts w:ascii="宋体" w:hAnsi="宋体" w:cs="宋体" w:eastAsia="宋体" w:hint="default"/>
                <w:sz w:val="18"/>
                <w:szCs w:val="18"/>
              </w:rPr>
              <w:t>、关</w:t>
            </w:r>
            <w:r>
              <w:rPr>
                <w:rFonts w:ascii="宋体" w:hAnsi="宋体" w:cs="宋体" w:eastAsia="宋体" w:hint="default"/>
                <w:spacing w:val="-3"/>
                <w:sz w:val="18"/>
                <w:szCs w:val="18"/>
              </w:rPr>
              <w:t> </w:t>
            </w:r>
            <w:r>
              <w:rPr>
                <w:rFonts w:ascii="宋体" w:hAnsi="宋体" w:cs="宋体" w:eastAsia="宋体" w:hint="default"/>
                <w:sz w:val="18"/>
                <w:szCs w:val="18"/>
              </w:rPr>
              <w:t>于先河工会代持事宜的承诺。</w:t>
              <w:tab/>
              <w:t>李玉国先生于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tabs>
                <w:tab w:pos="3533" w:val="left" w:leader="none"/>
              </w:tabs>
              <w:spacing w:line="314" w:lineRule="auto" w:before="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日作出承诺：如因先河工会受托代持事宜引发任何纠纷或 风险隐患，其本人将依法予以解决，如先河工会因此而需承 担相应的责任，其将代先河工会承担且不向先河工会进行任 何追偿。</w:t>
            </w:r>
            <w:r>
              <w:rPr>
                <w:rFonts w:ascii="Times New Roman" w:hAnsi="Times New Roman" w:cs="Times New Roman" w:eastAsia="Times New Roman" w:hint="default"/>
                <w:sz w:val="18"/>
                <w:szCs w:val="18"/>
              </w:rPr>
              <w:t>3</w:t>
            </w:r>
            <w:r>
              <w:rPr>
                <w:rFonts w:ascii="宋体" w:hAnsi="宋体" w:cs="宋体" w:eastAsia="宋体" w:hint="default"/>
                <w:sz w:val="18"/>
                <w:szCs w:val="18"/>
              </w:rPr>
              <w:t>、关于社会保险和住房公积金的承诺。李玉国先生 承诺：如发行人被社会保障部门或其他有权机构要求补缴以 前年度有关的社保险费，或发行人因未足额缴纳以前年度的 有关的社会保险费而需缴纳滞纳金、被处以行政处罚，李玉 国本人将代发行人承担该等需补缴的社会保险费、滞纳金和 需缴纳的罚款，且不向发行人追偿，保证发行人不因此而受 到损失。</w:t>
              <w:tab/>
              <w:t>李玉国先生承</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诺：如发行人因未为员工缴纳以前年度的住房公积金而被有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2-31</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60"/>
              <w:jc w:val="left"/>
              <w:rPr>
                <w:rFonts w:ascii="宋体" w:hAnsi="宋体" w:cs="宋体" w:eastAsia="宋体" w:hint="default"/>
                <w:sz w:val="18"/>
                <w:szCs w:val="18"/>
              </w:rPr>
            </w:pPr>
            <w:r>
              <w:rPr>
                <w:rFonts w:ascii="宋体" w:hAnsi="宋体" w:cs="宋体" w:eastAsia="宋体" w:hint="default"/>
                <w:sz w:val="18"/>
                <w:szCs w:val="18"/>
              </w:rPr>
              <w:t>公司控股股 东、实际控 制人李玉国 先生严格遵 守上述承 诺，未发现 违反上述承 诺情况。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112"/>
        <w:gridCol w:w="862"/>
        <w:gridCol w:w="709"/>
        <w:gridCol w:w="4820"/>
        <w:gridCol w:w="709"/>
        <w:gridCol w:w="566"/>
        <w:gridCol w:w="992"/>
      </w:tblGrid>
      <w:tr>
        <w:trPr>
          <w:trHeight w:val="674"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5"/>
              <w:jc w:val="left"/>
              <w:rPr>
                <w:rFonts w:ascii="宋体" w:hAnsi="宋体" w:cs="宋体" w:eastAsia="宋体" w:hint="default"/>
                <w:sz w:val="18"/>
                <w:szCs w:val="18"/>
              </w:rPr>
            </w:pPr>
            <w:r>
              <w:rPr>
                <w:rFonts w:ascii="宋体" w:hAnsi="宋体" w:cs="宋体" w:eastAsia="宋体" w:hint="default"/>
                <w:sz w:val="18"/>
                <w:szCs w:val="18"/>
              </w:rPr>
              <w:t>权机构处以罚款或被要求补缴的，李玉国将代发行人承担该 等责任且不向发行人追偿，保证发行人不因此受到损失。</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8"/>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862"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8"/>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862"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1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88"/>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62" w:type="dxa"/>
            <w:vMerge w:val="restart"/>
            <w:tcBorders>
              <w:top w:val="single" w:sz="4" w:space="0" w:color="000000"/>
              <w:left w:val="single" w:sz="13" w:space="0" w:color="D2D2D2"/>
              <w:right w:val="single" w:sz="9"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4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112" w:type="dxa"/>
            <w:vMerge/>
            <w:tcBorders>
              <w:left w:val="single" w:sz="4" w:space="0" w:color="000000"/>
              <w:right w:val="single" w:sz="4" w:space="0" w:color="000000"/>
            </w:tcBorders>
            <w:shd w:val="clear" w:color="auto" w:fill="D2D2D2"/>
          </w:tcPr>
          <w:p>
            <w:pPr/>
          </w:p>
        </w:tc>
        <w:tc>
          <w:tcPr>
            <w:tcW w:w="862" w:type="dxa"/>
            <w:vMerge/>
            <w:tcBorders>
              <w:left w:val="single" w:sz="13" w:space="0" w:color="D2D2D2"/>
              <w:right w:val="single" w:sz="9" w:space="0" w:color="D2D2D2"/>
            </w:tcBorders>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4820"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566"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1" w:hRule="exact"/>
        </w:trPr>
        <w:tc>
          <w:tcPr>
            <w:tcW w:w="1112"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13" w:space="0" w:color="D2D2D2"/>
              <w:bottom w:val="single" w:sz="4" w:space="0" w:color="000000"/>
              <w:right w:val="single" w:sz="9" w:space="0" w:color="D2D2D2"/>
            </w:tcBorders>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4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586"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如承诺超期 未履行完毕 的，应当详细 说明未完成 履行的具体 原因及下一 步的工作计 划</w:t>
            </w:r>
          </w:p>
        </w:tc>
        <w:tc>
          <w:tcPr>
            <w:tcW w:w="8659"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59"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3"/>
      <w:bookmarkEnd w:id="63"/>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64"/>
      <w:bookmarkEnd w:id="64"/>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5"/>
      <w:bookmarkEnd w:id="65"/>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66"/>
      <w:bookmarkEnd w:id="66"/>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67"/>
      <w:bookmarkEnd w:id="67"/>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pict>
          <v:group style="position:absolute;margin-left:55.169998pt;margin-top:16.991726pt;width:413.5pt;height:1.5pt;mso-position-horizontal-relative:page;mso-position-vertical-relative:paragraph;z-index:-907000" coordorigin="1103,340" coordsize="8270,30">
            <v:group style="position:absolute;left:1118;top:355;width:4690;height:2" coordorigin="1118,355" coordsize="4690,2">
              <v:shape style="position:absolute;left:1118;top:355;width:4690;height:2" coordorigin="1118,355" coordsize="4690,0" path="m1118,355l5808,355e" filled="false" stroked="true" strokeweight="1.5pt" strokecolor="#000000">
                <v:path arrowok="t"/>
              </v:shape>
            </v:group>
            <v:group style="position:absolute;left:5808;top:355;width:30;height:2" coordorigin="5808,355" coordsize="30,2">
              <v:shape style="position:absolute;left:5808;top:355;width:30;height:2" coordorigin="5808,355" coordsize="30,0" path="m5808,355l5838,355e" filled="false" stroked="true" strokeweight="1.5pt" strokecolor="#000000">
                <v:path arrowok="t"/>
              </v:shape>
            </v:group>
            <v:group style="position:absolute;left:5838;top:355;width:1672;height:2" coordorigin="5838,355" coordsize="1672,2">
              <v:shape style="position:absolute;left:5838;top:355;width:1672;height:2" coordorigin="5838,355" coordsize="1672,0" path="m5838,355l7509,355e" filled="false" stroked="true" strokeweight="1.5pt" strokecolor="#000000">
                <v:path arrowok="t"/>
              </v:shape>
            </v:group>
            <v:group style="position:absolute;left:7509;top:355;width:30;height:2" coordorigin="7509,355" coordsize="30,2">
              <v:shape style="position:absolute;left:7509;top:355;width:30;height:2" coordorigin="7509,355" coordsize="30,0" path="m7509,355l7539,355e" filled="false" stroked="true" strokeweight="1.5pt" strokecolor="#000000">
                <v:path arrowok="t"/>
              </v:shape>
            </v:group>
            <v:group style="position:absolute;left:7539;top:355;width:1819;height:2" coordorigin="7539,355" coordsize="1819,2">
              <v:shape style="position:absolute;left:7539;top:355;width:1819;height:2" coordorigin="7539,355" coordsize="1819,0" path="m7539,355l9358,355e" filled="false" stroked="true" strokeweight="1.5pt" strokecolor="#000000">
                <v:path arrowok="t"/>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8"/>
          <w:szCs w:val="8"/>
        </w:rPr>
      </w:pPr>
    </w:p>
    <w:tbl>
      <w:tblPr>
        <w:tblW w:w="0" w:type="auto"/>
        <w:jc w:val="left"/>
        <w:tblInd w:w="1204" w:type="dxa"/>
        <w:tblLayout w:type="fixed"/>
        <w:tblCellMar>
          <w:top w:w="0" w:type="dxa"/>
          <w:left w:w="0" w:type="dxa"/>
          <w:bottom w:w="0" w:type="dxa"/>
          <w:right w:w="0" w:type="dxa"/>
        </w:tblCellMar>
        <w:tblLook w:val="01E0"/>
      </w:tblPr>
      <w:tblGrid>
        <w:gridCol w:w="3628"/>
        <w:gridCol w:w="1702"/>
        <w:gridCol w:w="1844"/>
      </w:tblGrid>
      <w:tr>
        <w:trPr>
          <w:trHeight w:val="639" w:hRule="exact"/>
        </w:trPr>
        <w:tc>
          <w:tcPr>
            <w:tcW w:w="3628"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86"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844" w:type="dxa"/>
            <w:tcBorders>
              <w:top w:val="nil" w:sz="6" w:space="0" w:color="auto"/>
              <w:left w:val="single" w:sz="4" w:space="0" w:color="000000"/>
              <w:bottom w:val="nil" w:sz="6" w:space="0" w:color="auto"/>
              <w:right w:val="nil" w:sz="6" w:space="0" w:color="auto"/>
            </w:tcBorders>
          </w:tcPr>
          <w:p>
            <w:pPr>
              <w:pStyle w:val="TableParagraph"/>
              <w:spacing w:line="316" w:lineRule="auto" w:before="25"/>
              <w:ind w:left="196" w:right="111" w:hanging="90"/>
              <w:jc w:val="left"/>
              <w:rPr>
                <w:rFonts w:ascii="宋体" w:hAnsi="宋体" w:cs="宋体" w:eastAsia="宋体" w:hint="default"/>
                <w:sz w:val="18"/>
                <w:szCs w:val="18"/>
              </w:rPr>
            </w:pPr>
            <w:r>
              <w:rPr>
                <w:rFonts w:ascii="宋体" w:hAnsi="宋体" w:cs="宋体" w:eastAsia="宋体" w:hint="default"/>
                <w:sz w:val="18"/>
                <w:szCs w:val="18"/>
              </w:rPr>
              <w:t>备注（受影响的合并 报表项目及金额）</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4708"/>
        <w:gridCol w:w="1702"/>
        <w:gridCol w:w="1844"/>
      </w:tblGrid>
      <w:tr>
        <w:trPr>
          <w:trHeight w:val="1580" w:hRule="exact"/>
        </w:trPr>
        <w:tc>
          <w:tcPr>
            <w:tcW w:w="47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日发布了《财政部关于修订</w:t>
            </w:r>
          </w:p>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印发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一般企业财务报表格式的通知</w:t>
            </w:r>
            <w:r>
              <w:rPr>
                <w:rFonts w:ascii="宋体" w:hAnsi="宋体" w:cs="宋体" w:eastAsia="宋体" w:hint="default"/>
                <w:spacing w:val="-90"/>
                <w:sz w:val="18"/>
                <w:szCs w:val="18"/>
              </w:rPr>
              <w:t>》</w:t>
            </w:r>
            <w:r>
              <w:rPr>
                <w:rFonts w:ascii="宋体" w:hAnsi="宋体" w:cs="宋体" w:eastAsia="宋体" w:hint="default"/>
                <w:sz w:val="18"/>
                <w:szCs w:val="18"/>
              </w:rPr>
              <w:t>（财会</w:t>
            </w:r>
          </w:p>
          <w:p>
            <w:pPr>
              <w:pStyle w:val="TableParagraph"/>
              <w:spacing w:line="240" w:lineRule="auto" w:before="63"/>
              <w:ind w:left="1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[2018</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w w:val="99"/>
                <w:sz w:val="18"/>
                <w:szCs w:val="18"/>
              </w:rPr>
              <w:t>15</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号</w:t>
            </w:r>
            <w:r>
              <w:rPr>
                <w:rFonts w:ascii="宋体" w:hAnsi="宋体" w:cs="宋体" w:eastAsia="宋体" w:hint="default"/>
                <w:spacing w:val="-90"/>
                <w:w w:val="99"/>
                <w:sz w:val="18"/>
                <w:szCs w:val="18"/>
              </w:rPr>
              <w:t>）</w:t>
            </w:r>
            <w:r>
              <w:rPr>
                <w:rFonts w:ascii="宋体" w:hAnsi="宋体" w:cs="宋体" w:eastAsia="宋体" w:hint="default"/>
                <w:spacing w:val="1"/>
                <w:w w:val="99"/>
                <w:sz w:val="18"/>
                <w:szCs w:val="18"/>
              </w:rPr>
              <w:t>，</w:t>
            </w:r>
            <w:r>
              <w:rPr>
                <w:rFonts w:ascii="宋体" w:hAnsi="宋体" w:cs="宋体" w:eastAsia="宋体" w:hint="default"/>
                <w:w w:val="99"/>
                <w:sz w:val="18"/>
                <w:szCs w:val="18"/>
              </w:rPr>
              <w:t>执行企业会计准则的企业应按照企业会计</w:t>
            </w:r>
            <w:r>
              <w:rPr>
                <w:rFonts w:ascii="宋体" w:hAnsi="宋体" w:cs="宋体" w:eastAsia="宋体" w:hint="default"/>
                <w:sz w:val="18"/>
                <w:szCs w:val="18"/>
              </w:rPr>
            </w:r>
          </w:p>
          <w:p>
            <w:pPr>
              <w:pStyle w:val="TableParagraph"/>
              <w:spacing w:line="300" w:lineRule="auto" w:before="63"/>
              <w:ind w:left="122" w:right="11"/>
              <w:jc w:val="left"/>
              <w:rPr>
                <w:rFonts w:ascii="宋体" w:hAnsi="宋体" w:cs="宋体" w:eastAsia="宋体" w:hint="default"/>
                <w:sz w:val="18"/>
                <w:szCs w:val="18"/>
              </w:rPr>
            </w:pPr>
            <w:r>
              <w:rPr>
                <w:rFonts w:ascii="宋体" w:hAnsi="宋体" w:cs="宋体" w:eastAsia="宋体" w:hint="default"/>
                <w:sz w:val="18"/>
                <w:szCs w:val="18"/>
              </w:rPr>
              <w:t>准则和该通知要求编制</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年度及以后期间的财务报表， 并对可比期间的财务报表进行追溯调整。</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844"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详见 “其他说明”</w:t>
            </w:r>
          </w:p>
        </w:tc>
      </w:tr>
    </w:tbl>
    <w:p>
      <w:pPr>
        <w:spacing w:line="240" w:lineRule="auto" w:before="13"/>
        <w:rPr>
          <w:rFonts w:ascii="宋体" w:hAnsi="宋体" w:cs="宋体" w:eastAsia="宋体" w:hint="default"/>
          <w:sz w:val="28"/>
          <w:szCs w:val="28"/>
        </w:rPr>
      </w:pPr>
    </w:p>
    <w:p>
      <w:pPr>
        <w:pStyle w:val="BodyText"/>
        <w:spacing w:line="379" w:lineRule="auto" w:before="44"/>
        <w:ind w:left="666" w:right="8440" w:hanging="91"/>
        <w:jc w:val="left"/>
      </w:pPr>
      <w:r>
        <w:rPr/>
        <w:t>其他说明： 会计政策变更的影响：</w:t>
      </w:r>
    </w:p>
    <w:p>
      <w:pPr>
        <w:pStyle w:val="BodyText"/>
        <w:spacing w:line="357" w:lineRule="auto" w:before="32"/>
        <w:ind w:left="574" w:right="1122" w:hanging="58"/>
        <w:jc w:val="left"/>
      </w:pPr>
      <w:r>
        <w:rPr>
          <w:rFonts w:ascii="Times New Roman" w:hAnsi="Times New Roman" w:cs="Times New Roman" w:eastAsia="Times New Roman" w:hint="default"/>
        </w:rPr>
        <w:t>1</w:t>
      </w:r>
      <w:r>
        <w:rPr/>
        <w:t>）对可比期间财务状况的影响 </w:t>
      </w:r>
      <w:r>
        <w:rPr>
          <w:spacing w:val="-1"/>
        </w:rPr>
        <w:t>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日起，公司按照财会【</w:t>
      </w:r>
      <w:r>
        <w:rPr>
          <w:rFonts w:ascii="Times New Roman" w:hAnsi="Times New Roman" w:cs="Times New Roman" w:eastAsia="Times New Roman" w:hint="default"/>
          <w:spacing w:val="-1"/>
        </w:rPr>
        <w:t>2018</w:t>
      </w:r>
      <w:r>
        <w:rPr>
          <w:spacing w:val="-1"/>
        </w:rPr>
        <w:t>】</w:t>
      </w:r>
      <w:r>
        <w:rPr>
          <w:rFonts w:ascii="Times New Roman" w:hAnsi="Times New Roman" w:cs="Times New Roman" w:eastAsia="Times New Roman" w:hint="default"/>
          <w:spacing w:val="-1"/>
        </w:rPr>
        <w:t>15</w:t>
      </w:r>
      <w:r>
        <w:rPr>
          <w:spacing w:val="-1"/>
        </w:rPr>
        <w:t>号文附件</w:t>
      </w:r>
      <w:r>
        <w:rPr>
          <w:rFonts w:ascii="Times New Roman" w:hAnsi="Times New Roman" w:cs="Times New Roman" w:eastAsia="Times New Roman" w:hint="default"/>
          <w:spacing w:val="-1"/>
        </w:rPr>
        <w:t>1</w:t>
      </w:r>
      <w:r>
        <w:rPr>
          <w:spacing w:val="-1"/>
        </w:rPr>
        <w:t>对本期财务报表进行编制，并对</w:t>
      </w:r>
      <w:r>
        <w:rPr>
          <w:rFonts w:ascii="Times New Roman" w:hAnsi="Times New Roman" w:cs="Times New Roman" w:eastAsia="Times New Roman" w:hint="default"/>
          <w:spacing w:val="-1"/>
        </w:rPr>
        <w:t>2017</w:t>
      </w:r>
      <w:r>
        <w:rPr>
          <w:spacing w:val="-1"/>
        </w:rPr>
        <w:t>年度的可比同期报表进行</w:t>
      </w:r>
    </w:p>
    <w:p>
      <w:pPr>
        <w:pStyle w:val="BodyText"/>
        <w:spacing w:line="201" w:lineRule="exact"/>
        <w:ind w:right="0"/>
        <w:jc w:val="left"/>
      </w:pPr>
      <w:r>
        <w:rPr/>
        <w:t>了追溯调整。</w:t>
      </w:r>
    </w:p>
    <w:p>
      <w:pPr>
        <w:pStyle w:val="BodyText"/>
        <w:spacing w:line="240" w:lineRule="auto" w:before="136"/>
        <w:ind w:left="514" w:right="0"/>
        <w:jc w:val="left"/>
      </w:pPr>
      <w:r>
        <w:rPr>
          <w:rFonts w:ascii="Times New Roman" w:hAnsi="Times New Roman" w:cs="Times New Roman" w:eastAsia="Times New Roman" w:hint="default"/>
        </w:rPr>
        <w:t>2</w:t>
      </w:r>
      <w:r>
        <w:rPr/>
        <w:t>）会计政策变更对可比期间财务报表科目的影响</w:t>
      </w:r>
    </w:p>
    <w:p>
      <w:pPr>
        <w:spacing w:line="240" w:lineRule="auto" w:before="13"/>
        <w:rPr>
          <w:rFonts w:ascii="宋体" w:hAnsi="宋体" w:cs="宋体" w:eastAsia="宋体" w:hint="default"/>
          <w:sz w:val="3"/>
          <w:szCs w:val="3"/>
        </w:rPr>
      </w:pPr>
    </w:p>
    <w:tbl>
      <w:tblPr>
        <w:tblW w:w="0" w:type="auto"/>
        <w:jc w:val="left"/>
        <w:tblInd w:w="839" w:type="dxa"/>
        <w:tblLayout w:type="fixed"/>
        <w:tblCellMar>
          <w:top w:w="0" w:type="dxa"/>
          <w:left w:w="0" w:type="dxa"/>
          <w:bottom w:w="0" w:type="dxa"/>
          <w:right w:w="0" w:type="dxa"/>
        </w:tblCellMar>
        <w:tblLook w:val="01E0"/>
      </w:tblPr>
      <w:tblGrid>
        <w:gridCol w:w="2582"/>
        <w:gridCol w:w="1842"/>
        <w:gridCol w:w="2127"/>
        <w:gridCol w:w="1702"/>
      </w:tblGrid>
      <w:tr>
        <w:trPr>
          <w:trHeight w:val="410" w:hRule="exact"/>
        </w:trPr>
        <w:tc>
          <w:tcPr>
            <w:tcW w:w="2582"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46"/>
              <w:ind w:left="20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6"/>
              <w:ind w:left="641" w:right="0"/>
              <w:jc w:val="left"/>
              <w:rPr>
                <w:rFonts w:ascii="宋体" w:hAnsi="宋体" w:cs="宋体" w:eastAsia="宋体" w:hint="default"/>
                <w:sz w:val="18"/>
                <w:szCs w:val="18"/>
              </w:rPr>
            </w:pPr>
            <w:r>
              <w:rPr>
                <w:rFonts w:ascii="宋体" w:hAnsi="宋体" w:cs="宋体" w:eastAsia="宋体" w:hint="default"/>
                <w:sz w:val="18"/>
                <w:szCs w:val="18"/>
              </w:rPr>
              <w:t>变更前</w:t>
            </w:r>
          </w:p>
        </w:tc>
        <w:tc>
          <w:tcPr>
            <w:tcW w:w="212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6"/>
              <w:ind w:left="243" w:right="0"/>
              <w:jc w:val="left"/>
              <w:rPr>
                <w:rFonts w:ascii="宋体" w:hAnsi="宋体" w:cs="宋体" w:eastAsia="宋体" w:hint="default"/>
                <w:sz w:val="18"/>
                <w:szCs w:val="18"/>
              </w:rPr>
            </w:pPr>
            <w:r>
              <w:rPr>
                <w:rFonts w:ascii="宋体" w:hAnsi="宋体" w:cs="宋体" w:eastAsia="宋体" w:hint="default"/>
                <w:sz w:val="18"/>
                <w:szCs w:val="18"/>
              </w:rPr>
              <w:t>会计政策变更的影响</w:t>
            </w:r>
          </w:p>
        </w:tc>
        <w:tc>
          <w:tcPr>
            <w:tcW w:w="170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46"/>
              <w:ind w:right="7"/>
              <w:jc w:val="center"/>
              <w:rPr>
                <w:rFonts w:ascii="宋体" w:hAnsi="宋体" w:cs="宋体" w:eastAsia="宋体" w:hint="default"/>
                <w:sz w:val="18"/>
                <w:szCs w:val="18"/>
              </w:rPr>
            </w:pPr>
            <w:r>
              <w:rPr>
                <w:rFonts w:ascii="宋体" w:hAnsi="宋体" w:cs="宋体" w:eastAsia="宋体" w:hint="default"/>
                <w:sz w:val="18"/>
                <w:szCs w:val="18"/>
              </w:rPr>
              <w:t>变更后</w:t>
            </w:r>
          </w:p>
        </w:tc>
      </w:tr>
      <w:tr>
        <w:trPr>
          <w:trHeight w:val="400" w:hRule="exact"/>
        </w:trPr>
        <w:tc>
          <w:tcPr>
            <w:tcW w:w="2582" w:type="dxa"/>
            <w:tcBorders>
              <w:top w:val="single" w:sz="8" w:space="0" w:color="000000"/>
              <w:left w:val="nil" w:sz="6" w:space="0" w:color="auto"/>
              <w:bottom w:val="nil" w:sz="6" w:space="0" w:color="auto"/>
              <w:right w:val="single" w:sz="8"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842" w:type="dxa"/>
            <w:tcBorders>
              <w:top w:val="single" w:sz="8" w:space="0" w:color="000000"/>
              <w:left w:val="single" w:sz="8" w:space="0" w:color="000000"/>
              <w:bottom w:val="nil" w:sz="6" w:space="0" w:color="auto"/>
              <w:right w:val="single" w:sz="8" w:space="0" w:color="000000"/>
            </w:tcBorders>
          </w:tcPr>
          <w:p>
            <w:pPr/>
          </w:p>
        </w:tc>
        <w:tc>
          <w:tcPr>
            <w:tcW w:w="212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pacing w:val="-1"/>
                <w:sz w:val="18"/>
              </w:rPr>
              <w:t>291,037,482.22</w:t>
            </w:r>
          </w:p>
        </w:tc>
        <w:tc>
          <w:tcPr>
            <w:tcW w:w="1702" w:type="dxa"/>
            <w:tcBorders>
              <w:top w:val="single" w:sz="8" w:space="0" w:color="000000"/>
              <w:left w:val="single" w:sz="8" w:space="0" w:color="000000"/>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291,037,482.22</w:t>
            </w:r>
          </w:p>
        </w:tc>
      </w:tr>
      <w:tr>
        <w:trPr>
          <w:trHeight w:val="386" w:hRule="exact"/>
        </w:trPr>
        <w:tc>
          <w:tcPr>
            <w:tcW w:w="2582" w:type="dxa"/>
            <w:tcBorders>
              <w:top w:val="nil" w:sz="6" w:space="0" w:color="auto"/>
              <w:left w:val="nil" w:sz="6" w:space="0" w:color="auto"/>
              <w:bottom w:val="nil" w:sz="6" w:space="0" w:color="auto"/>
              <w:right w:val="single" w:sz="8"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2"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5"/>
              <w:jc w:val="right"/>
              <w:rPr>
                <w:rFonts w:ascii="Times New Roman" w:hAnsi="Times New Roman" w:cs="Times New Roman" w:eastAsia="Times New Roman" w:hint="default"/>
                <w:sz w:val="18"/>
                <w:szCs w:val="18"/>
              </w:rPr>
            </w:pPr>
            <w:r>
              <w:rPr>
                <w:rFonts w:ascii="Times New Roman"/>
                <w:sz w:val="18"/>
              </w:rPr>
              <w:t>200,000.00</w:t>
            </w:r>
          </w:p>
        </w:tc>
        <w:tc>
          <w:tcPr>
            <w:tcW w:w="2127"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w w:val="95"/>
                <w:sz w:val="18"/>
              </w:rPr>
              <w:t>-200,000.00</w:t>
            </w:r>
            <w:r>
              <w:rPr>
                <w:rFonts w:ascii="Times New Roman"/>
                <w:sz w:val="18"/>
              </w:rPr>
            </w:r>
          </w:p>
        </w:tc>
        <w:tc>
          <w:tcPr>
            <w:tcW w:w="1702" w:type="dxa"/>
            <w:tcBorders>
              <w:top w:val="nil" w:sz="6" w:space="0" w:color="auto"/>
              <w:left w:val="single" w:sz="8" w:space="0" w:color="000000"/>
              <w:bottom w:val="nil" w:sz="6" w:space="0" w:color="auto"/>
              <w:right w:val="nil" w:sz="6" w:space="0" w:color="auto"/>
            </w:tcBorders>
          </w:tcPr>
          <w:p>
            <w:pPr/>
          </w:p>
        </w:tc>
      </w:tr>
      <w:tr>
        <w:trPr>
          <w:trHeight w:val="386" w:hRule="exact"/>
        </w:trPr>
        <w:tc>
          <w:tcPr>
            <w:tcW w:w="2582" w:type="dxa"/>
            <w:tcBorders>
              <w:top w:val="nil" w:sz="6" w:space="0" w:color="auto"/>
              <w:left w:val="nil" w:sz="6" w:space="0" w:color="auto"/>
              <w:bottom w:val="nil" w:sz="6" w:space="0" w:color="auto"/>
              <w:right w:val="single" w:sz="8"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2"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5"/>
              <w:jc w:val="right"/>
              <w:rPr>
                <w:rFonts w:ascii="Times New Roman" w:hAnsi="Times New Roman" w:cs="Times New Roman" w:eastAsia="Times New Roman" w:hint="default"/>
                <w:sz w:val="18"/>
                <w:szCs w:val="18"/>
              </w:rPr>
            </w:pPr>
            <w:r>
              <w:rPr>
                <w:rFonts w:ascii="Times New Roman"/>
                <w:spacing w:val="-1"/>
                <w:sz w:val="18"/>
              </w:rPr>
              <w:t>290,837,482.22</w:t>
            </w:r>
          </w:p>
        </w:tc>
        <w:tc>
          <w:tcPr>
            <w:tcW w:w="2127"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-290,837,482.22</w:t>
            </w:r>
          </w:p>
        </w:tc>
        <w:tc>
          <w:tcPr>
            <w:tcW w:w="1702" w:type="dxa"/>
            <w:tcBorders>
              <w:top w:val="nil" w:sz="6" w:space="0" w:color="auto"/>
              <w:left w:val="single" w:sz="8" w:space="0" w:color="000000"/>
              <w:bottom w:val="nil" w:sz="6" w:space="0" w:color="auto"/>
              <w:right w:val="nil" w:sz="6" w:space="0" w:color="auto"/>
            </w:tcBorders>
          </w:tcPr>
          <w:p>
            <w:pPr/>
          </w:p>
        </w:tc>
      </w:tr>
      <w:tr>
        <w:trPr>
          <w:trHeight w:val="382" w:hRule="exact"/>
        </w:trPr>
        <w:tc>
          <w:tcPr>
            <w:tcW w:w="2582" w:type="dxa"/>
            <w:tcBorders>
              <w:top w:val="nil" w:sz="6" w:space="0" w:color="auto"/>
              <w:left w:val="nil" w:sz="6" w:space="0" w:color="auto"/>
              <w:bottom w:val="nil" w:sz="6" w:space="0" w:color="auto"/>
              <w:right w:val="single" w:sz="8"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2"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5"/>
              <w:jc w:val="right"/>
              <w:rPr>
                <w:rFonts w:ascii="Times New Roman" w:hAnsi="Times New Roman" w:cs="Times New Roman" w:eastAsia="Times New Roman" w:hint="default"/>
                <w:sz w:val="18"/>
                <w:szCs w:val="18"/>
              </w:rPr>
            </w:pPr>
            <w:r>
              <w:rPr>
                <w:rFonts w:ascii="Times New Roman"/>
                <w:spacing w:val="-1"/>
                <w:sz w:val="18"/>
              </w:rPr>
              <w:t>97,403,408.00</w:t>
            </w:r>
          </w:p>
        </w:tc>
        <w:tc>
          <w:tcPr>
            <w:tcW w:w="2127" w:type="dxa"/>
            <w:tcBorders>
              <w:top w:val="nil" w:sz="6" w:space="0" w:color="auto"/>
              <w:left w:val="single" w:sz="8" w:space="0" w:color="000000"/>
              <w:bottom w:val="nil" w:sz="6" w:space="0" w:color="auto"/>
              <w:right w:val="single" w:sz="8" w:space="0" w:color="000000"/>
            </w:tcBorders>
          </w:tcPr>
          <w:p>
            <w:pPr/>
          </w:p>
        </w:tc>
        <w:tc>
          <w:tcPr>
            <w:tcW w:w="1702" w:type="dxa"/>
            <w:tcBorders>
              <w:top w:val="nil" w:sz="6" w:space="0" w:color="auto"/>
              <w:left w:val="single" w:sz="8" w:space="0" w:color="000000"/>
              <w:bottom w:val="nil" w:sz="6" w:space="0" w:color="auto"/>
              <w:right w:val="nil" w:sz="6" w:space="0" w:color="auto"/>
            </w:tcBorders>
          </w:tcPr>
          <w:p>
            <w:pPr>
              <w:pStyle w:val="TableParagraph"/>
              <w:spacing w:line="240" w:lineRule="auto" w:before="83"/>
              <w:ind w:right="105"/>
              <w:jc w:val="right"/>
              <w:rPr>
                <w:rFonts w:ascii="Times New Roman" w:hAnsi="Times New Roman" w:cs="Times New Roman" w:eastAsia="Times New Roman" w:hint="default"/>
                <w:sz w:val="18"/>
                <w:szCs w:val="18"/>
              </w:rPr>
            </w:pPr>
            <w:r>
              <w:rPr>
                <w:rFonts w:ascii="Times New Roman"/>
                <w:spacing w:val="-1"/>
                <w:sz w:val="18"/>
              </w:rPr>
              <w:t>97,403,408.00</w:t>
            </w:r>
          </w:p>
        </w:tc>
      </w:tr>
      <w:tr>
        <w:trPr>
          <w:trHeight w:val="372" w:hRule="exact"/>
        </w:trPr>
        <w:tc>
          <w:tcPr>
            <w:tcW w:w="2582" w:type="dxa"/>
            <w:tcBorders>
              <w:top w:val="nil" w:sz="6" w:space="0" w:color="auto"/>
              <w:left w:val="nil" w:sz="6" w:space="0" w:color="auto"/>
              <w:bottom w:val="nil" w:sz="6" w:space="0" w:color="auto"/>
              <w:right w:val="single" w:sz="8"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42" w:type="dxa"/>
            <w:tcBorders>
              <w:top w:val="nil" w:sz="6" w:space="0" w:color="auto"/>
              <w:left w:val="single" w:sz="8" w:space="0" w:color="000000"/>
              <w:bottom w:val="nil" w:sz="6" w:space="0" w:color="auto"/>
              <w:right w:val="single" w:sz="8" w:space="0" w:color="000000"/>
            </w:tcBorders>
          </w:tcPr>
          <w:p>
            <w:pPr/>
          </w:p>
        </w:tc>
        <w:tc>
          <w:tcPr>
            <w:tcW w:w="2127" w:type="dxa"/>
            <w:tcBorders>
              <w:top w:val="nil" w:sz="6" w:space="0" w:color="auto"/>
              <w:left w:val="single" w:sz="8" w:space="0" w:color="000000"/>
              <w:bottom w:val="nil" w:sz="6" w:space="0" w:color="auto"/>
              <w:right w:val="single" w:sz="8" w:space="0" w:color="000000"/>
            </w:tcBorders>
          </w:tcPr>
          <w:p>
            <w:pPr/>
          </w:p>
        </w:tc>
        <w:tc>
          <w:tcPr>
            <w:tcW w:w="1702" w:type="dxa"/>
            <w:tcBorders>
              <w:top w:val="nil" w:sz="6" w:space="0" w:color="auto"/>
              <w:left w:val="single" w:sz="8" w:space="0" w:color="000000"/>
              <w:bottom w:val="nil" w:sz="6" w:space="0" w:color="auto"/>
              <w:right w:val="nil" w:sz="6" w:space="0" w:color="auto"/>
            </w:tcBorders>
          </w:tcPr>
          <w:p>
            <w:pPr/>
          </w:p>
        </w:tc>
      </w:tr>
      <w:tr>
        <w:trPr>
          <w:trHeight w:val="359" w:hRule="exact"/>
        </w:trPr>
        <w:tc>
          <w:tcPr>
            <w:tcW w:w="2582" w:type="dxa"/>
            <w:tcBorders>
              <w:top w:val="nil" w:sz="6" w:space="0" w:color="auto"/>
              <w:left w:val="nil" w:sz="6" w:space="0" w:color="auto"/>
              <w:bottom w:val="single" w:sz="12" w:space="0" w:color="000000"/>
              <w:right w:val="single" w:sz="8"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42" w:type="dxa"/>
            <w:tcBorders>
              <w:top w:val="nil" w:sz="6" w:space="0" w:color="auto"/>
              <w:left w:val="single" w:sz="8" w:space="0" w:color="000000"/>
              <w:bottom w:val="single" w:sz="12" w:space="0" w:color="000000"/>
              <w:right w:val="single" w:sz="8" w:space="0" w:color="000000"/>
            </w:tcBorders>
          </w:tcPr>
          <w:p>
            <w:pPr/>
          </w:p>
        </w:tc>
        <w:tc>
          <w:tcPr>
            <w:tcW w:w="2127" w:type="dxa"/>
            <w:tcBorders>
              <w:top w:val="nil" w:sz="6" w:space="0" w:color="auto"/>
              <w:left w:val="single" w:sz="8" w:space="0" w:color="000000"/>
              <w:bottom w:val="single" w:sz="12" w:space="0" w:color="000000"/>
              <w:right w:val="single" w:sz="8" w:space="0" w:color="000000"/>
            </w:tcBorders>
          </w:tcPr>
          <w:p>
            <w:pPr/>
          </w:p>
        </w:tc>
        <w:tc>
          <w:tcPr>
            <w:tcW w:w="1702" w:type="dxa"/>
            <w:tcBorders>
              <w:top w:val="nil" w:sz="6" w:space="0" w:color="auto"/>
              <w:left w:val="single" w:sz="8" w:space="0" w:color="000000"/>
              <w:bottom w:val="single" w:sz="12" w:space="0" w:color="000000"/>
              <w:right w:val="nil" w:sz="6" w:space="0" w:color="auto"/>
            </w:tcBorders>
          </w:tcPr>
          <w:p>
            <w:pPr/>
          </w:p>
        </w:tc>
      </w:tr>
      <w:tr>
        <w:trPr>
          <w:trHeight w:val="411" w:hRule="exact"/>
        </w:trPr>
        <w:tc>
          <w:tcPr>
            <w:tcW w:w="2582"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48"/>
              <w:ind w:left="20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8"/>
              <w:ind w:left="641" w:right="0"/>
              <w:jc w:val="left"/>
              <w:rPr>
                <w:rFonts w:ascii="宋体" w:hAnsi="宋体" w:cs="宋体" w:eastAsia="宋体" w:hint="default"/>
                <w:sz w:val="18"/>
                <w:szCs w:val="18"/>
              </w:rPr>
            </w:pPr>
            <w:r>
              <w:rPr>
                <w:rFonts w:ascii="宋体" w:hAnsi="宋体" w:cs="宋体" w:eastAsia="宋体" w:hint="default"/>
                <w:sz w:val="18"/>
                <w:szCs w:val="18"/>
              </w:rPr>
              <w:t>变更前</w:t>
            </w:r>
          </w:p>
        </w:tc>
        <w:tc>
          <w:tcPr>
            <w:tcW w:w="212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8"/>
              <w:ind w:left="243" w:right="0"/>
              <w:jc w:val="left"/>
              <w:rPr>
                <w:rFonts w:ascii="宋体" w:hAnsi="宋体" w:cs="宋体" w:eastAsia="宋体" w:hint="default"/>
                <w:sz w:val="18"/>
                <w:szCs w:val="18"/>
              </w:rPr>
            </w:pPr>
            <w:r>
              <w:rPr>
                <w:rFonts w:ascii="宋体" w:hAnsi="宋体" w:cs="宋体" w:eastAsia="宋体" w:hint="default"/>
                <w:sz w:val="18"/>
                <w:szCs w:val="18"/>
              </w:rPr>
              <w:t>会计政策变更的影响</w:t>
            </w:r>
          </w:p>
        </w:tc>
        <w:tc>
          <w:tcPr>
            <w:tcW w:w="170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48"/>
              <w:ind w:right="7"/>
              <w:jc w:val="center"/>
              <w:rPr>
                <w:rFonts w:ascii="宋体" w:hAnsi="宋体" w:cs="宋体" w:eastAsia="宋体" w:hint="default"/>
                <w:sz w:val="18"/>
                <w:szCs w:val="18"/>
              </w:rPr>
            </w:pPr>
            <w:r>
              <w:rPr>
                <w:rFonts w:ascii="宋体" w:hAnsi="宋体" w:cs="宋体" w:eastAsia="宋体" w:hint="default"/>
                <w:sz w:val="18"/>
                <w:szCs w:val="18"/>
              </w:rPr>
              <w:t>变更后</w:t>
            </w:r>
          </w:p>
        </w:tc>
      </w:tr>
      <w:tr>
        <w:trPr>
          <w:trHeight w:val="400" w:hRule="exact"/>
        </w:trPr>
        <w:tc>
          <w:tcPr>
            <w:tcW w:w="2582" w:type="dxa"/>
            <w:tcBorders>
              <w:top w:val="single" w:sz="8" w:space="0" w:color="000000"/>
              <w:left w:val="nil" w:sz="6" w:space="0" w:color="auto"/>
              <w:bottom w:val="nil" w:sz="6" w:space="0" w:color="auto"/>
              <w:right w:val="single" w:sz="8"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4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87"/>
              <w:ind w:right="95"/>
              <w:jc w:val="right"/>
              <w:rPr>
                <w:rFonts w:ascii="Times New Roman" w:hAnsi="Times New Roman" w:cs="Times New Roman" w:eastAsia="Times New Roman" w:hint="default"/>
                <w:sz w:val="18"/>
                <w:szCs w:val="18"/>
              </w:rPr>
            </w:pPr>
            <w:r>
              <w:rPr>
                <w:rFonts w:ascii="Times New Roman"/>
                <w:spacing w:val="-1"/>
                <w:sz w:val="18"/>
              </w:rPr>
              <w:t>247,286,844.71</w:t>
            </w:r>
          </w:p>
        </w:tc>
        <w:tc>
          <w:tcPr>
            <w:tcW w:w="2127" w:type="dxa"/>
            <w:tcBorders>
              <w:top w:val="single" w:sz="8" w:space="0" w:color="000000"/>
              <w:left w:val="single" w:sz="8" w:space="0" w:color="000000"/>
              <w:bottom w:val="nil" w:sz="6" w:space="0" w:color="auto"/>
              <w:right w:val="single" w:sz="8" w:space="0" w:color="000000"/>
            </w:tcBorders>
          </w:tcPr>
          <w:p>
            <w:pPr/>
          </w:p>
        </w:tc>
        <w:tc>
          <w:tcPr>
            <w:tcW w:w="1702" w:type="dxa"/>
            <w:tcBorders>
              <w:top w:val="single" w:sz="8" w:space="0" w:color="000000"/>
              <w:left w:val="single" w:sz="8" w:space="0" w:color="000000"/>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247,286,844.71</w:t>
            </w:r>
          </w:p>
        </w:tc>
      </w:tr>
      <w:tr>
        <w:trPr>
          <w:trHeight w:val="383" w:hRule="exact"/>
        </w:trPr>
        <w:tc>
          <w:tcPr>
            <w:tcW w:w="2582" w:type="dxa"/>
            <w:tcBorders>
              <w:top w:val="nil" w:sz="6" w:space="0" w:color="auto"/>
              <w:left w:val="nil" w:sz="6" w:space="0" w:color="auto"/>
              <w:bottom w:val="nil" w:sz="6" w:space="0" w:color="auto"/>
              <w:right w:val="single" w:sz="8"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42" w:type="dxa"/>
            <w:tcBorders>
              <w:top w:val="nil" w:sz="6" w:space="0" w:color="auto"/>
              <w:left w:val="single" w:sz="8" w:space="0" w:color="000000"/>
              <w:bottom w:val="nil" w:sz="6" w:space="0" w:color="auto"/>
              <w:right w:val="single" w:sz="8" w:space="0" w:color="000000"/>
            </w:tcBorders>
          </w:tcPr>
          <w:p>
            <w:pPr/>
          </w:p>
        </w:tc>
        <w:tc>
          <w:tcPr>
            <w:tcW w:w="2127" w:type="dxa"/>
            <w:tcBorders>
              <w:top w:val="nil" w:sz="6" w:space="0" w:color="auto"/>
              <w:left w:val="single" w:sz="8" w:space="0" w:color="000000"/>
              <w:bottom w:val="nil" w:sz="6" w:space="0" w:color="auto"/>
              <w:right w:val="single" w:sz="8" w:space="0" w:color="000000"/>
            </w:tcBorders>
          </w:tcPr>
          <w:p>
            <w:pPr/>
          </w:p>
        </w:tc>
        <w:tc>
          <w:tcPr>
            <w:tcW w:w="1702" w:type="dxa"/>
            <w:tcBorders>
              <w:top w:val="nil" w:sz="6" w:space="0" w:color="auto"/>
              <w:left w:val="single" w:sz="8" w:space="0" w:color="000000"/>
              <w:bottom w:val="nil" w:sz="6" w:space="0" w:color="auto"/>
              <w:right w:val="nil" w:sz="6" w:space="0" w:color="auto"/>
            </w:tcBorders>
          </w:tcPr>
          <w:p>
            <w:pPr/>
          </w:p>
        </w:tc>
      </w:tr>
      <w:tr>
        <w:trPr>
          <w:trHeight w:val="390" w:hRule="exact"/>
        </w:trPr>
        <w:tc>
          <w:tcPr>
            <w:tcW w:w="2582" w:type="dxa"/>
            <w:tcBorders>
              <w:top w:val="nil" w:sz="6" w:space="0" w:color="auto"/>
              <w:left w:val="nil" w:sz="6" w:space="0" w:color="auto"/>
              <w:bottom w:val="nil" w:sz="6" w:space="0" w:color="auto"/>
              <w:right w:val="single" w:sz="8"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42" w:type="dxa"/>
            <w:tcBorders>
              <w:top w:val="nil" w:sz="6" w:space="0" w:color="auto"/>
              <w:left w:val="single" w:sz="8" w:space="0" w:color="000000"/>
              <w:bottom w:val="nil" w:sz="6" w:space="0" w:color="auto"/>
              <w:right w:val="single" w:sz="8" w:space="0" w:color="000000"/>
            </w:tcBorders>
          </w:tcPr>
          <w:p>
            <w:pPr>
              <w:pStyle w:val="TableParagraph"/>
              <w:spacing w:line="240" w:lineRule="auto" w:before="87"/>
              <w:ind w:right="95"/>
              <w:jc w:val="right"/>
              <w:rPr>
                <w:rFonts w:ascii="Times New Roman" w:hAnsi="Times New Roman" w:cs="Times New Roman" w:eastAsia="Times New Roman" w:hint="default"/>
                <w:sz w:val="18"/>
                <w:szCs w:val="18"/>
              </w:rPr>
            </w:pPr>
            <w:r>
              <w:rPr>
                <w:rFonts w:ascii="Times New Roman"/>
                <w:spacing w:val="-1"/>
                <w:sz w:val="18"/>
              </w:rPr>
              <w:t>3,722,428.60</w:t>
            </w:r>
          </w:p>
        </w:tc>
        <w:tc>
          <w:tcPr>
            <w:tcW w:w="2127" w:type="dxa"/>
            <w:tcBorders>
              <w:top w:val="nil" w:sz="6" w:space="0" w:color="auto"/>
              <w:left w:val="single" w:sz="8" w:space="0" w:color="000000"/>
              <w:bottom w:val="nil" w:sz="6" w:space="0" w:color="auto"/>
              <w:right w:val="single" w:sz="8" w:space="0" w:color="000000"/>
            </w:tcBorders>
          </w:tcPr>
          <w:p>
            <w:pPr/>
          </w:p>
        </w:tc>
        <w:tc>
          <w:tcPr>
            <w:tcW w:w="1702" w:type="dxa"/>
            <w:tcBorders>
              <w:top w:val="nil" w:sz="6" w:space="0" w:color="auto"/>
              <w:left w:val="single" w:sz="8" w:space="0" w:color="000000"/>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3,722,428.60</w:t>
            </w:r>
          </w:p>
        </w:tc>
      </w:tr>
      <w:tr>
        <w:trPr>
          <w:trHeight w:val="382" w:hRule="exact"/>
        </w:trPr>
        <w:tc>
          <w:tcPr>
            <w:tcW w:w="2582" w:type="dxa"/>
            <w:tcBorders>
              <w:top w:val="nil" w:sz="6" w:space="0" w:color="auto"/>
              <w:left w:val="nil" w:sz="6" w:space="0" w:color="auto"/>
              <w:bottom w:val="nil" w:sz="6" w:space="0" w:color="auto"/>
              <w:right w:val="single" w:sz="8"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42" w:type="dxa"/>
            <w:tcBorders>
              <w:top w:val="nil" w:sz="6" w:space="0" w:color="auto"/>
              <w:left w:val="single" w:sz="8" w:space="0" w:color="000000"/>
              <w:bottom w:val="nil" w:sz="6" w:space="0" w:color="auto"/>
              <w:right w:val="single" w:sz="8" w:space="0" w:color="000000"/>
            </w:tcBorders>
          </w:tcPr>
          <w:p>
            <w:pPr/>
          </w:p>
        </w:tc>
        <w:tc>
          <w:tcPr>
            <w:tcW w:w="2127" w:type="dxa"/>
            <w:tcBorders>
              <w:top w:val="nil" w:sz="6" w:space="0" w:color="auto"/>
              <w:left w:val="single" w:sz="8" w:space="0" w:color="000000"/>
              <w:bottom w:val="nil" w:sz="6" w:space="0" w:color="auto"/>
              <w:right w:val="single" w:sz="8" w:space="0" w:color="000000"/>
            </w:tcBorders>
          </w:tcPr>
          <w:p>
            <w:pPr/>
          </w:p>
        </w:tc>
        <w:tc>
          <w:tcPr>
            <w:tcW w:w="1702" w:type="dxa"/>
            <w:tcBorders>
              <w:top w:val="nil" w:sz="6" w:space="0" w:color="auto"/>
              <w:left w:val="single" w:sz="8" w:space="0" w:color="000000"/>
              <w:bottom w:val="nil" w:sz="6" w:space="0" w:color="auto"/>
              <w:right w:val="nil" w:sz="6" w:space="0" w:color="auto"/>
            </w:tcBorders>
          </w:tcPr>
          <w:p>
            <w:pPr/>
          </w:p>
        </w:tc>
      </w:tr>
      <w:tr>
        <w:trPr>
          <w:trHeight w:val="390" w:hRule="exact"/>
        </w:trPr>
        <w:tc>
          <w:tcPr>
            <w:tcW w:w="2582" w:type="dxa"/>
            <w:tcBorders>
              <w:top w:val="nil" w:sz="6" w:space="0" w:color="auto"/>
              <w:left w:val="nil" w:sz="6" w:space="0" w:color="auto"/>
              <w:bottom w:val="nil" w:sz="6" w:space="0" w:color="auto"/>
              <w:right w:val="single" w:sz="8"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842" w:type="dxa"/>
            <w:tcBorders>
              <w:top w:val="nil" w:sz="6" w:space="0" w:color="auto"/>
              <w:left w:val="single" w:sz="8" w:space="0" w:color="000000"/>
              <w:bottom w:val="nil" w:sz="6" w:space="0" w:color="auto"/>
              <w:right w:val="single" w:sz="8" w:space="0" w:color="000000"/>
            </w:tcBorders>
          </w:tcPr>
          <w:p>
            <w:pPr/>
          </w:p>
        </w:tc>
        <w:tc>
          <w:tcPr>
            <w:tcW w:w="2127" w:type="dxa"/>
            <w:tcBorders>
              <w:top w:val="nil" w:sz="6" w:space="0" w:color="auto"/>
              <w:left w:val="single" w:sz="8" w:space="0" w:color="000000"/>
              <w:bottom w:val="nil" w:sz="6" w:space="0" w:color="auto"/>
              <w:right w:val="single" w:sz="8" w:space="0" w:color="000000"/>
            </w:tcBorders>
          </w:tcPr>
          <w:p>
            <w:pPr>
              <w:pStyle w:val="TableParagraph"/>
              <w:spacing w:line="240" w:lineRule="auto" w:before="87"/>
              <w:ind w:right="96"/>
              <w:jc w:val="right"/>
              <w:rPr>
                <w:rFonts w:ascii="Times New Roman" w:hAnsi="Times New Roman" w:cs="Times New Roman" w:eastAsia="Times New Roman" w:hint="default"/>
                <w:sz w:val="18"/>
                <w:szCs w:val="18"/>
              </w:rPr>
            </w:pPr>
            <w:r>
              <w:rPr>
                <w:rFonts w:ascii="Times New Roman"/>
                <w:spacing w:val="-1"/>
                <w:sz w:val="18"/>
              </w:rPr>
              <w:t>179,190,895.42</w:t>
            </w:r>
          </w:p>
        </w:tc>
        <w:tc>
          <w:tcPr>
            <w:tcW w:w="1702" w:type="dxa"/>
            <w:tcBorders>
              <w:top w:val="nil" w:sz="6" w:space="0" w:color="auto"/>
              <w:left w:val="single" w:sz="8" w:space="0" w:color="000000"/>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179,190,895.42</w:t>
            </w:r>
          </w:p>
        </w:tc>
      </w:tr>
      <w:tr>
        <w:trPr>
          <w:trHeight w:val="386" w:hRule="exact"/>
        </w:trPr>
        <w:tc>
          <w:tcPr>
            <w:tcW w:w="2582" w:type="dxa"/>
            <w:tcBorders>
              <w:top w:val="nil" w:sz="6" w:space="0" w:color="auto"/>
              <w:left w:val="nil" w:sz="6" w:space="0" w:color="auto"/>
              <w:bottom w:val="nil" w:sz="6" w:space="0" w:color="auto"/>
              <w:right w:val="single" w:sz="8"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42"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5"/>
              <w:jc w:val="right"/>
              <w:rPr>
                <w:rFonts w:ascii="Times New Roman" w:hAnsi="Times New Roman" w:cs="Times New Roman" w:eastAsia="Times New Roman" w:hint="default"/>
                <w:sz w:val="18"/>
                <w:szCs w:val="18"/>
              </w:rPr>
            </w:pPr>
            <w:r>
              <w:rPr>
                <w:rFonts w:ascii="Times New Roman"/>
                <w:spacing w:val="-1"/>
                <w:sz w:val="18"/>
              </w:rPr>
              <w:t>36,657,890.79</w:t>
            </w:r>
          </w:p>
        </w:tc>
        <w:tc>
          <w:tcPr>
            <w:tcW w:w="2127"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-36,657,890.79</w:t>
            </w:r>
          </w:p>
        </w:tc>
        <w:tc>
          <w:tcPr>
            <w:tcW w:w="1702" w:type="dxa"/>
            <w:tcBorders>
              <w:top w:val="nil" w:sz="6" w:space="0" w:color="auto"/>
              <w:left w:val="single" w:sz="8" w:space="0" w:color="000000"/>
              <w:bottom w:val="nil" w:sz="6" w:space="0" w:color="auto"/>
              <w:right w:val="nil" w:sz="6" w:space="0" w:color="auto"/>
            </w:tcBorders>
          </w:tcPr>
          <w:p>
            <w:pPr/>
          </w:p>
        </w:tc>
      </w:tr>
      <w:tr>
        <w:trPr>
          <w:trHeight w:val="386" w:hRule="exact"/>
        </w:trPr>
        <w:tc>
          <w:tcPr>
            <w:tcW w:w="2582" w:type="dxa"/>
            <w:tcBorders>
              <w:top w:val="nil" w:sz="6" w:space="0" w:color="auto"/>
              <w:left w:val="nil" w:sz="6" w:space="0" w:color="auto"/>
              <w:bottom w:val="nil" w:sz="6" w:space="0" w:color="auto"/>
              <w:right w:val="single" w:sz="8"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2"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5"/>
              <w:jc w:val="right"/>
              <w:rPr>
                <w:rFonts w:ascii="Times New Roman" w:hAnsi="Times New Roman" w:cs="Times New Roman" w:eastAsia="Times New Roman" w:hint="default"/>
                <w:sz w:val="18"/>
                <w:szCs w:val="18"/>
              </w:rPr>
            </w:pPr>
            <w:r>
              <w:rPr>
                <w:rFonts w:ascii="Times New Roman"/>
                <w:spacing w:val="-1"/>
                <w:sz w:val="18"/>
              </w:rPr>
              <w:t>142,533,004.63</w:t>
            </w:r>
          </w:p>
        </w:tc>
        <w:tc>
          <w:tcPr>
            <w:tcW w:w="2127"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-142,533,004.63</w:t>
            </w:r>
          </w:p>
        </w:tc>
        <w:tc>
          <w:tcPr>
            <w:tcW w:w="1702" w:type="dxa"/>
            <w:tcBorders>
              <w:top w:val="nil" w:sz="6" w:space="0" w:color="auto"/>
              <w:left w:val="single" w:sz="8" w:space="0" w:color="000000"/>
              <w:bottom w:val="nil" w:sz="6" w:space="0" w:color="auto"/>
              <w:right w:val="nil" w:sz="6" w:space="0" w:color="auto"/>
            </w:tcBorders>
          </w:tcPr>
          <w:p>
            <w:pPr/>
          </w:p>
        </w:tc>
      </w:tr>
      <w:tr>
        <w:trPr>
          <w:trHeight w:val="386" w:hRule="exact"/>
        </w:trPr>
        <w:tc>
          <w:tcPr>
            <w:tcW w:w="2582" w:type="dxa"/>
            <w:tcBorders>
              <w:top w:val="nil" w:sz="6" w:space="0" w:color="auto"/>
              <w:left w:val="nil" w:sz="6" w:space="0" w:color="auto"/>
              <w:bottom w:val="nil" w:sz="6" w:space="0" w:color="auto"/>
              <w:right w:val="single" w:sz="8"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2"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5"/>
              <w:jc w:val="right"/>
              <w:rPr>
                <w:rFonts w:ascii="Times New Roman" w:hAnsi="Times New Roman" w:cs="Times New Roman" w:eastAsia="Times New Roman" w:hint="default"/>
                <w:sz w:val="18"/>
                <w:szCs w:val="18"/>
              </w:rPr>
            </w:pPr>
            <w:r>
              <w:rPr>
                <w:rFonts w:ascii="Times New Roman"/>
                <w:spacing w:val="-1"/>
                <w:sz w:val="18"/>
              </w:rPr>
              <w:t>19,081,069.48</w:t>
            </w:r>
          </w:p>
        </w:tc>
        <w:tc>
          <w:tcPr>
            <w:tcW w:w="2127" w:type="dxa"/>
            <w:tcBorders>
              <w:top w:val="nil" w:sz="6" w:space="0" w:color="auto"/>
              <w:left w:val="single" w:sz="8" w:space="0" w:color="000000"/>
              <w:bottom w:val="nil" w:sz="6" w:space="0" w:color="auto"/>
              <w:right w:val="single" w:sz="8" w:space="0" w:color="000000"/>
            </w:tcBorders>
          </w:tcPr>
          <w:p>
            <w:pPr/>
          </w:p>
        </w:tc>
        <w:tc>
          <w:tcPr>
            <w:tcW w:w="1702" w:type="dxa"/>
            <w:tcBorders>
              <w:top w:val="nil" w:sz="6" w:space="0" w:color="auto"/>
              <w:left w:val="single" w:sz="8" w:space="0" w:color="000000"/>
              <w:bottom w:val="nil" w:sz="6" w:space="0" w:color="auto"/>
              <w:right w:val="nil" w:sz="6" w:space="0" w:color="auto"/>
            </w:tcBorders>
          </w:tcPr>
          <w:p>
            <w:pPr>
              <w:pStyle w:val="TableParagraph"/>
              <w:spacing w:line="240" w:lineRule="auto" w:before="83"/>
              <w:ind w:right="105"/>
              <w:jc w:val="right"/>
              <w:rPr>
                <w:rFonts w:ascii="Times New Roman" w:hAnsi="Times New Roman" w:cs="Times New Roman" w:eastAsia="Times New Roman" w:hint="default"/>
                <w:sz w:val="18"/>
                <w:szCs w:val="18"/>
              </w:rPr>
            </w:pPr>
            <w:r>
              <w:rPr>
                <w:rFonts w:ascii="Times New Roman"/>
                <w:spacing w:val="-1"/>
                <w:sz w:val="18"/>
              </w:rPr>
              <w:t>19,081,069.48</w:t>
            </w:r>
          </w:p>
        </w:tc>
      </w:tr>
      <w:tr>
        <w:trPr>
          <w:trHeight w:val="382" w:hRule="exact"/>
        </w:trPr>
        <w:tc>
          <w:tcPr>
            <w:tcW w:w="2582" w:type="dxa"/>
            <w:tcBorders>
              <w:top w:val="nil" w:sz="6" w:space="0" w:color="auto"/>
              <w:left w:val="nil" w:sz="6" w:space="0" w:color="auto"/>
              <w:bottom w:val="nil" w:sz="6" w:space="0" w:color="auto"/>
              <w:right w:val="single" w:sz="8"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42" w:type="dxa"/>
            <w:tcBorders>
              <w:top w:val="nil" w:sz="6" w:space="0" w:color="auto"/>
              <w:left w:val="single" w:sz="8" w:space="0" w:color="000000"/>
              <w:bottom w:val="nil" w:sz="6" w:space="0" w:color="auto"/>
              <w:right w:val="single" w:sz="8" w:space="0" w:color="000000"/>
            </w:tcBorders>
          </w:tcPr>
          <w:p>
            <w:pPr/>
          </w:p>
        </w:tc>
        <w:tc>
          <w:tcPr>
            <w:tcW w:w="2127" w:type="dxa"/>
            <w:tcBorders>
              <w:top w:val="nil" w:sz="6" w:space="0" w:color="auto"/>
              <w:left w:val="single" w:sz="8" w:space="0" w:color="000000"/>
              <w:bottom w:val="nil" w:sz="6" w:space="0" w:color="auto"/>
              <w:right w:val="single" w:sz="8" w:space="0" w:color="000000"/>
            </w:tcBorders>
          </w:tcPr>
          <w:p>
            <w:pPr/>
          </w:p>
        </w:tc>
        <w:tc>
          <w:tcPr>
            <w:tcW w:w="1702" w:type="dxa"/>
            <w:tcBorders>
              <w:top w:val="nil" w:sz="6" w:space="0" w:color="auto"/>
              <w:left w:val="single" w:sz="8" w:space="0" w:color="000000"/>
              <w:bottom w:val="nil" w:sz="6" w:space="0" w:color="auto"/>
              <w:right w:val="nil" w:sz="6" w:space="0" w:color="auto"/>
            </w:tcBorders>
          </w:tcPr>
          <w:p>
            <w:pPr/>
          </w:p>
        </w:tc>
      </w:tr>
      <w:tr>
        <w:trPr>
          <w:trHeight w:val="386" w:hRule="exact"/>
        </w:trPr>
        <w:tc>
          <w:tcPr>
            <w:tcW w:w="2582" w:type="dxa"/>
            <w:tcBorders>
              <w:top w:val="nil" w:sz="6" w:space="0" w:color="auto"/>
              <w:left w:val="nil" w:sz="6" w:space="0" w:color="auto"/>
              <w:bottom w:val="nil" w:sz="6" w:space="0" w:color="auto"/>
              <w:right w:val="single" w:sz="8"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42" w:type="dxa"/>
            <w:tcBorders>
              <w:top w:val="nil" w:sz="6" w:space="0" w:color="auto"/>
              <w:left w:val="single" w:sz="8" w:space="0" w:color="000000"/>
              <w:bottom w:val="nil" w:sz="6" w:space="0" w:color="auto"/>
              <w:right w:val="single" w:sz="8" w:space="0" w:color="000000"/>
            </w:tcBorders>
          </w:tcPr>
          <w:p>
            <w:pPr/>
          </w:p>
        </w:tc>
        <w:tc>
          <w:tcPr>
            <w:tcW w:w="2127" w:type="dxa"/>
            <w:tcBorders>
              <w:top w:val="nil" w:sz="6" w:space="0" w:color="auto"/>
              <w:left w:val="single" w:sz="8" w:space="0" w:color="000000"/>
              <w:bottom w:val="nil" w:sz="6" w:space="0" w:color="auto"/>
              <w:right w:val="single" w:sz="8" w:space="0" w:color="000000"/>
            </w:tcBorders>
          </w:tcPr>
          <w:p>
            <w:pPr/>
          </w:p>
        </w:tc>
        <w:tc>
          <w:tcPr>
            <w:tcW w:w="1702" w:type="dxa"/>
            <w:tcBorders>
              <w:top w:val="nil" w:sz="6" w:space="0" w:color="auto"/>
              <w:left w:val="single" w:sz="8" w:space="0" w:color="000000"/>
              <w:bottom w:val="nil" w:sz="6" w:space="0" w:color="auto"/>
              <w:right w:val="nil" w:sz="6" w:space="0" w:color="auto"/>
            </w:tcBorders>
          </w:tcPr>
          <w:p>
            <w:pPr/>
          </w:p>
        </w:tc>
      </w:tr>
      <w:tr>
        <w:trPr>
          <w:trHeight w:val="390" w:hRule="exact"/>
        </w:trPr>
        <w:tc>
          <w:tcPr>
            <w:tcW w:w="2582" w:type="dxa"/>
            <w:tcBorders>
              <w:top w:val="nil" w:sz="6" w:space="0" w:color="auto"/>
              <w:left w:val="nil" w:sz="6" w:space="0" w:color="auto"/>
              <w:bottom w:val="nil" w:sz="6" w:space="0" w:color="auto"/>
              <w:right w:val="single" w:sz="8"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42" w:type="dxa"/>
            <w:tcBorders>
              <w:top w:val="nil" w:sz="6" w:space="0" w:color="auto"/>
              <w:left w:val="single" w:sz="8" w:space="0" w:color="000000"/>
              <w:bottom w:val="nil" w:sz="6" w:space="0" w:color="auto"/>
              <w:right w:val="single" w:sz="8" w:space="0" w:color="000000"/>
            </w:tcBorders>
          </w:tcPr>
          <w:p>
            <w:pPr>
              <w:pStyle w:val="TableParagraph"/>
              <w:spacing w:line="240" w:lineRule="auto" w:before="87"/>
              <w:ind w:right="95"/>
              <w:jc w:val="right"/>
              <w:rPr>
                <w:rFonts w:ascii="Times New Roman" w:hAnsi="Times New Roman" w:cs="Times New Roman" w:eastAsia="Times New Roman" w:hint="default"/>
                <w:sz w:val="18"/>
                <w:szCs w:val="18"/>
              </w:rPr>
            </w:pPr>
            <w:r>
              <w:rPr>
                <w:rFonts w:ascii="Times New Roman"/>
                <w:spacing w:val="-1"/>
                <w:sz w:val="18"/>
              </w:rPr>
              <w:t>165,026,230.84</w:t>
            </w:r>
          </w:p>
        </w:tc>
        <w:tc>
          <w:tcPr>
            <w:tcW w:w="2127" w:type="dxa"/>
            <w:tcBorders>
              <w:top w:val="nil" w:sz="6" w:space="0" w:color="auto"/>
              <w:left w:val="single" w:sz="8" w:space="0" w:color="000000"/>
              <w:bottom w:val="nil" w:sz="6" w:space="0" w:color="auto"/>
              <w:right w:val="single" w:sz="8" w:space="0" w:color="000000"/>
            </w:tcBorders>
          </w:tcPr>
          <w:p>
            <w:pPr>
              <w:pStyle w:val="TableParagraph"/>
              <w:spacing w:line="240" w:lineRule="auto" w:before="87"/>
              <w:ind w:right="96"/>
              <w:jc w:val="right"/>
              <w:rPr>
                <w:rFonts w:ascii="Times New Roman" w:hAnsi="Times New Roman" w:cs="Times New Roman" w:eastAsia="Times New Roman" w:hint="default"/>
                <w:sz w:val="18"/>
                <w:szCs w:val="18"/>
              </w:rPr>
            </w:pPr>
            <w:r>
              <w:rPr>
                <w:rFonts w:ascii="Times New Roman"/>
                <w:spacing w:val="-1"/>
                <w:sz w:val="18"/>
              </w:rPr>
              <w:t>-48,867,892.00</w:t>
            </w:r>
          </w:p>
        </w:tc>
        <w:tc>
          <w:tcPr>
            <w:tcW w:w="1702" w:type="dxa"/>
            <w:tcBorders>
              <w:top w:val="nil" w:sz="6" w:space="0" w:color="auto"/>
              <w:left w:val="single" w:sz="8" w:space="0" w:color="000000"/>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116,158,338.84</w:t>
            </w:r>
          </w:p>
        </w:tc>
      </w:tr>
      <w:tr>
        <w:trPr>
          <w:trHeight w:val="398" w:hRule="exact"/>
        </w:trPr>
        <w:tc>
          <w:tcPr>
            <w:tcW w:w="2582" w:type="dxa"/>
            <w:tcBorders>
              <w:top w:val="nil" w:sz="6" w:space="0" w:color="auto"/>
              <w:left w:val="nil" w:sz="6" w:space="0" w:color="auto"/>
              <w:bottom w:val="single" w:sz="12" w:space="0" w:color="000000"/>
              <w:right w:val="single" w:sz="8"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842" w:type="dxa"/>
            <w:tcBorders>
              <w:top w:val="nil" w:sz="6" w:space="0" w:color="auto"/>
              <w:left w:val="single" w:sz="8" w:space="0" w:color="000000"/>
              <w:bottom w:val="single" w:sz="12" w:space="0" w:color="000000"/>
              <w:right w:val="single" w:sz="8" w:space="0" w:color="000000"/>
            </w:tcBorders>
          </w:tcPr>
          <w:p>
            <w:pPr/>
          </w:p>
        </w:tc>
        <w:tc>
          <w:tcPr>
            <w:tcW w:w="2127" w:type="dxa"/>
            <w:tcBorders>
              <w:top w:val="nil" w:sz="6" w:space="0" w:color="auto"/>
              <w:left w:val="single" w:sz="8" w:space="0" w:color="000000"/>
              <w:bottom w:val="single" w:sz="12" w:space="0" w:color="000000"/>
              <w:right w:val="single" w:sz="8" w:space="0" w:color="00000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48,867,892.00</w:t>
            </w:r>
          </w:p>
        </w:tc>
        <w:tc>
          <w:tcPr>
            <w:tcW w:w="1702" w:type="dxa"/>
            <w:tcBorders>
              <w:top w:val="nil" w:sz="6" w:space="0" w:color="auto"/>
              <w:left w:val="single" w:sz="8" w:space="0" w:color="000000"/>
              <w:bottom w:val="single" w:sz="12" w:space="0" w:color="000000"/>
              <w:right w:val="nil" w:sz="6" w:space="0" w:color="auto"/>
            </w:tcBorders>
          </w:tcPr>
          <w:p>
            <w:pPr>
              <w:pStyle w:val="TableParagraph"/>
              <w:spacing w:line="240" w:lineRule="auto" w:before="83"/>
              <w:ind w:right="105"/>
              <w:jc w:val="right"/>
              <w:rPr>
                <w:rFonts w:ascii="Times New Roman" w:hAnsi="Times New Roman" w:cs="Times New Roman" w:eastAsia="Times New Roman" w:hint="default"/>
                <w:sz w:val="18"/>
                <w:szCs w:val="18"/>
              </w:rPr>
            </w:pPr>
            <w:r>
              <w:rPr>
                <w:rFonts w:ascii="Times New Roman"/>
                <w:spacing w:val="-1"/>
                <w:sz w:val="18"/>
              </w:rPr>
              <w:t>48,867,892.00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2"/>
        <w:spacing w:line="240" w:lineRule="auto" w:before="26"/>
        <w:ind w:right="0"/>
        <w:jc w:val="left"/>
        <w:rPr>
          <w:b w:val="0"/>
          <w:bCs w:val="0"/>
        </w:rPr>
      </w:pPr>
      <w:bookmarkStart w:name="七、与上年度财务报告相比，合并报表范围发生变化的情况说明" w:id="68"/>
      <w:bookmarkEnd w:id="68"/>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日经公司第三届董事会第五次会议审议通过，公司与河北智旅投资有限公司、河北鹏瑜环保科技有限公</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before="44"/>
        <w:ind w:right="1130"/>
        <w:jc w:val="both"/>
      </w:pPr>
      <w:r>
        <w:rPr/>
        <w:t>司、袁安明共同投资设立河北先河正合环境科技有限公司，设立时注册资本</w:t>
      </w:r>
      <w:r>
        <w:rPr>
          <w:rFonts w:ascii="Times New Roman" w:hAnsi="Times New Roman" w:cs="Times New Roman" w:eastAsia="Times New Roman" w:hint="default"/>
        </w:rPr>
        <w:t>17,000</w:t>
      </w:r>
      <w:r>
        <w:rPr/>
        <w:t>万元，其中公司认缴</w:t>
      </w:r>
      <w:r>
        <w:rPr>
          <w:rFonts w:ascii="Times New Roman" w:hAnsi="Times New Roman" w:cs="Times New Roman" w:eastAsia="Times New Roman" w:hint="default"/>
        </w:rPr>
        <w:t>10,600</w:t>
      </w:r>
      <w:r>
        <w:rPr/>
        <w:t>万元，河北智 </w:t>
      </w:r>
      <w:r>
        <w:rPr>
          <w:spacing w:val="-2"/>
        </w:rPr>
        <w:t>旅投资有限公司认缴</w:t>
      </w:r>
      <w:r>
        <w:rPr>
          <w:rFonts w:ascii="Times New Roman" w:hAnsi="Times New Roman" w:cs="Times New Roman" w:eastAsia="Times New Roman" w:hint="default"/>
          <w:spacing w:val="-2"/>
        </w:rPr>
        <w:t>4,000</w:t>
      </w:r>
      <w:r>
        <w:rPr>
          <w:spacing w:val="-2"/>
        </w:rPr>
        <w:t>万元、河北鹏瑜环保科技有限公司认缴</w:t>
      </w:r>
      <w:r>
        <w:rPr>
          <w:rFonts w:ascii="Times New Roman" w:hAnsi="Times New Roman" w:cs="Times New Roman" w:eastAsia="Times New Roman" w:hint="default"/>
          <w:spacing w:val="-2"/>
        </w:rPr>
        <w:t>1,800</w:t>
      </w:r>
      <w:r>
        <w:rPr>
          <w:spacing w:val="-2"/>
        </w:rPr>
        <w:t>万元、袁安明认缴</w:t>
      </w:r>
      <w:r>
        <w:rPr>
          <w:rFonts w:ascii="Times New Roman" w:hAnsi="Times New Roman" w:cs="Times New Roman" w:eastAsia="Times New Roman" w:hint="default"/>
          <w:spacing w:val="-2"/>
        </w:rPr>
        <w:t>600</w:t>
      </w:r>
      <w:r>
        <w:rPr>
          <w:spacing w:val="-2"/>
        </w:rPr>
        <w:t>万元；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w:t>
      </w:r>
      <w:r>
        <w:rPr>
          <w:spacing w:val="-2"/>
        </w:rPr>
        <w:t>日经公司第三</w:t>
      </w:r>
      <w:r>
        <w:rPr>
          <w:spacing w:val="-49"/>
        </w:rPr>
        <w:t> </w:t>
      </w:r>
      <w:r>
        <w:rPr>
          <w:spacing w:val="-49"/>
        </w:rPr>
      </w:r>
      <w:r>
        <w:rPr>
          <w:spacing w:val="-2"/>
        </w:rPr>
        <w:t>届董事会第六次会议审议通过，河北先河正合环境科技有限公司通过增资扩股的方式引入投资者，其中石家庄荣驰环境治理</w:t>
      </w:r>
      <w:r>
        <w:rPr>
          <w:spacing w:val="-64"/>
        </w:rPr>
        <w:t> </w:t>
      </w:r>
      <w:r>
        <w:rPr>
          <w:spacing w:val="-64"/>
        </w:rPr>
      </w:r>
      <w:r>
        <w:rPr>
          <w:spacing w:val="-1"/>
        </w:rPr>
        <w:t>中心（有限合伙）以货币增资</w:t>
      </w:r>
      <w:r>
        <w:rPr>
          <w:rFonts w:ascii="Times New Roman" w:hAnsi="Times New Roman" w:cs="Times New Roman" w:eastAsia="Times New Roman" w:hint="default"/>
          <w:spacing w:val="-1"/>
        </w:rPr>
        <w:t>1,400</w:t>
      </w:r>
      <w:r>
        <w:rPr>
          <w:spacing w:val="-1"/>
        </w:rPr>
        <w:t>万，重庆全来环保科技发展有限公司以货币增资</w:t>
      </w:r>
      <w:r>
        <w:rPr>
          <w:rFonts w:ascii="Times New Roman" w:hAnsi="Times New Roman" w:cs="Times New Roman" w:eastAsia="Times New Roman" w:hint="default"/>
          <w:spacing w:val="-1"/>
        </w:rPr>
        <w:t>1,600</w:t>
      </w:r>
      <w:r>
        <w:rPr>
          <w:spacing w:val="-1"/>
        </w:rPr>
        <w:t>万</w:t>
      </w:r>
      <w:r>
        <w:rPr>
          <w:rFonts w:ascii="Times New Roman" w:hAnsi="Times New Roman" w:cs="Times New Roman" w:eastAsia="Times New Roman" w:hint="default"/>
          <w:spacing w:val="-1"/>
        </w:rPr>
        <w:t>,</w:t>
      </w:r>
      <w:r>
        <w:rPr>
          <w:spacing w:val="-1"/>
        </w:rPr>
        <w:t>增资完成后，正合环境注册资本</w:t>
      </w:r>
      <w:r>
        <w:rPr>
          <w:spacing w:val="-73"/>
        </w:rPr>
        <w:t> </w:t>
      </w:r>
      <w:r>
        <w:rPr>
          <w:spacing w:val="-73"/>
        </w:rPr>
      </w:r>
      <w:r>
        <w:rPr>
          <w:spacing w:val="-1"/>
        </w:rPr>
        <w:t>变为人民币</w:t>
      </w:r>
      <w:r>
        <w:rPr>
          <w:rFonts w:ascii="Times New Roman" w:hAnsi="Times New Roman" w:cs="Times New Roman" w:eastAsia="Times New Roman" w:hint="default"/>
          <w:spacing w:val="-1"/>
        </w:rPr>
        <w:t>2</w:t>
      </w:r>
      <w:r>
        <w:rPr>
          <w:spacing w:val="-1"/>
        </w:rPr>
        <w:t>亿元，公司出资占其注册资本的</w:t>
      </w:r>
      <w:r>
        <w:rPr>
          <w:rFonts w:ascii="Times New Roman" w:hAnsi="Times New Roman" w:cs="Times New Roman" w:eastAsia="Times New Roman" w:hint="default"/>
          <w:spacing w:val="-1"/>
        </w:rPr>
        <w:t>53%</w:t>
      </w: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日，本公司实际缴纳出资</w:t>
      </w:r>
      <w:r>
        <w:rPr>
          <w:rFonts w:ascii="Times New Roman" w:hAnsi="Times New Roman" w:cs="Times New Roman" w:eastAsia="Times New Roman" w:hint="default"/>
          <w:spacing w:val="-1"/>
        </w:rPr>
        <w:t>4,000</w:t>
      </w:r>
      <w:r>
        <w:rPr>
          <w:spacing w:val="-1"/>
        </w:rPr>
        <w:t>万元，其他股东均未实</w:t>
      </w:r>
      <w:r>
        <w:rPr>
          <w:spacing w:val="-39"/>
        </w:rPr>
        <w:t> </w:t>
      </w:r>
      <w:r>
        <w:rPr>
          <w:spacing w:val="-39"/>
        </w:rPr>
      </w:r>
      <w:r>
        <w:rPr/>
        <w:t>际出资。本公司拥有对其实质控制权，故在</w:t>
      </w:r>
      <w:r>
        <w:rPr>
          <w:rFonts w:ascii="Times New Roman" w:hAnsi="Times New Roman" w:cs="Times New Roman" w:eastAsia="Times New Roman" w:hint="default"/>
        </w:rPr>
        <w:t>2018</w:t>
      </w:r>
      <w:r>
        <w:rPr/>
        <w:t>年度将其纳入合并范围。</w:t>
      </w:r>
    </w:p>
    <w:p>
      <w:pPr>
        <w:pStyle w:val="BodyText"/>
        <w:spacing w:line="240" w:lineRule="auto" w:before="9"/>
        <w:ind w:left="51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日经公司第三届董事会第六次会议审议通过，本公司下属子公司河北先河正合环境科技有限公司以</w:t>
      </w:r>
    </w:p>
    <w:p>
      <w:pPr>
        <w:pStyle w:val="BodyText"/>
        <w:spacing w:line="300" w:lineRule="auto" w:before="63"/>
        <w:ind w:right="0"/>
        <w:jc w:val="left"/>
      </w:pPr>
      <w:r>
        <w:rPr>
          <w:rFonts w:ascii="Times New Roman" w:hAnsi="Times New Roman" w:cs="Times New Roman" w:eastAsia="Times New Roman" w:hint="default"/>
        </w:rPr>
        <w:t>35,000,000.00</w:t>
      </w:r>
      <w:r>
        <w:rPr/>
        <w:t>元收购了重庆全来环保科技发展有限公司持有重庆渝凡实业有限公司</w:t>
      </w:r>
      <w:r>
        <w:rPr>
          <w:rFonts w:ascii="Times New Roman" w:hAnsi="Times New Roman" w:cs="Times New Roman" w:eastAsia="Times New Roman" w:hint="default"/>
        </w:rPr>
        <w:t>100%</w:t>
      </w:r>
      <w:r>
        <w:rPr/>
        <w:t>的股权，形成非同一控制下企业合 </w:t>
      </w:r>
      <w:r>
        <w:rPr>
          <w:spacing w:val="-2"/>
        </w:rPr>
        <w:t>并。双方于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w:t>
      </w:r>
      <w:r>
        <w:rPr>
          <w:spacing w:val="-2"/>
        </w:rPr>
        <w:t>日签订了股权转让协议并于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日办妥股权变更手续，股权转让款于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支付完毕。</w:t>
      </w:r>
      <w:r>
        <w:rPr>
          <w:spacing w:val="-42"/>
        </w:rPr>
        <w:t> </w:t>
      </w:r>
      <w:r>
        <w:rPr>
          <w:rFonts w:ascii="Times New Roman" w:hAnsi="Times New Roman" w:cs="Times New Roman" w:eastAsia="Times New Roman" w:hint="default"/>
        </w:rPr>
        <w:t>2018</w:t>
      </w:r>
      <w:r>
        <w:rPr/>
        <w:t>年度将其纳入合并范围。</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八、聘任、解聘会计师事务所情况" w:id="69"/>
      <w:bookmarkEnd w:id="69"/>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利安达会计师事务所（特殊普通合伙）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邱淦泳、许海丽</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0"/>
        <w:jc w:val="left"/>
      </w:pPr>
      <w:r>
        <w:rPr/>
        <w:t>是否改聘会计师事务所</w:t>
      </w:r>
    </w:p>
    <w:p>
      <w:pPr>
        <w:pStyle w:val="BodyText"/>
        <w:spacing w:line="340" w:lineRule="auto" w:before="116"/>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年度报告披露后面临暂停上市和终止上市情况" w:id="70"/>
      <w:bookmarkEnd w:id="70"/>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1"/>
      <w:bookmarkEnd w:id="71"/>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2"/>
      <w:bookmarkEnd w:id="72"/>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3"/>
      <w:bookmarkEnd w:id="73"/>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三、公司及其控股股东、实际控制人的诚信状况" w:id="74"/>
      <w:bookmarkEnd w:id="74"/>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四、公司股权激励计划、员工持股计划或其他员工激励措施的实施情况" w:id="75"/>
      <w:bookmarkEnd w:id="75"/>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五、重大关联交易" w:id="76"/>
      <w:bookmarkEnd w:id="76"/>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77"/>
      <w:bookmarkEnd w:id="7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78"/>
      <w:bookmarkEnd w:id="78"/>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79"/>
      <w:bookmarkEnd w:id="79"/>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4、关联债权债务往来" w:id="80"/>
      <w:bookmarkEnd w:id="8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1"/>
      <w:bookmarkEnd w:id="8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2"/>
      <w:bookmarkEnd w:id="82"/>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3"/>
      <w:bookmarkEnd w:id="8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4"/>
      <w:bookmarkEnd w:id="8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承包情况" w:id="85"/>
      <w:bookmarkEnd w:id="8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租赁情况" w:id="86"/>
      <w:bookmarkEnd w:id="8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重大担保" w:id="87"/>
      <w:bookmarkEnd w:id="87"/>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88"/>
      <w:bookmarkEnd w:id="88"/>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89"/>
      <w:bookmarkEnd w:id="89"/>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11"/>
          <w:pgSz w:w="11910" w:h="16840"/>
          <w:pgMar w:footer="979" w:header="747" w:top="1060" w:bottom="1160" w:left="980" w:right="0"/>
          <w:pgNumType w:start="4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单项金额重大或安全性较低、流动性较差、不保本的高风险委托理财具体情况</w:t>
      </w:r>
    </w:p>
    <w:p>
      <w:pPr>
        <w:pStyle w:val="BodyText"/>
        <w:spacing w:line="340" w:lineRule="auto" w:before="116"/>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0"/>
      <w:bookmarkEnd w:id="90"/>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1"/>
      <w:bookmarkEnd w:id="91"/>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5"/>
      </w:tblGrid>
      <w:tr>
        <w:trPr>
          <w:trHeight w:val="1338"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2"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45" w:right="42"/>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44" w:right="42"/>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 w:right="4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2"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9"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986"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3"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2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河北先 河环保 科技股 份有限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河北省 环境监 测中心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both"/>
              <w:rPr>
                <w:rFonts w:ascii="Times New Roman" w:hAnsi="Times New Roman" w:cs="Times New Roman" w:eastAsia="Times New Roman" w:hint="default"/>
                <w:sz w:val="18"/>
                <w:szCs w:val="18"/>
              </w:rPr>
            </w:pPr>
            <w:r>
              <w:rPr>
                <w:rFonts w:ascii="Times New Roman"/>
                <w:sz w:val="18"/>
              </w:rPr>
              <w:t>"1+18"</w:t>
            </w:r>
          </w:p>
          <w:p>
            <w:pPr>
              <w:pStyle w:val="TableParagraph"/>
              <w:spacing w:line="314" w:lineRule="auto" w:before="64"/>
              <w:ind w:left="22" w:right="65"/>
              <w:jc w:val="both"/>
              <w:rPr>
                <w:rFonts w:ascii="宋体" w:hAnsi="宋体" w:cs="宋体" w:eastAsia="宋体" w:hint="default"/>
                <w:sz w:val="18"/>
                <w:szCs w:val="18"/>
              </w:rPr>
            </w:pPr>
            <w:r>
              <w:rPr>
                <w:rFonts w:ascii="宋体" w:hAnsi="宋体" w:cs="宋体" w:eastAsia="宋体" w:hint="default"/>
                <w:sz w:val="18"/>
                <w:szCs w:val="18"/>
              </w:rPr>
              <w:t>大气监 测专项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包省 控自动 站建设</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招投标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无关联 关系</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执行完 毕</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巨潮资 讯</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七、社会责任情况" w:id="92"/>
      <w:bookmarkEnd w:id="92"/>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3"/>
      <w:bookmarkEnd w:id="93"/>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公司作为上市公司，始终以建立现代企业制度，打造公开、透明、规范的上市公司为目标，在追求经济效益和股东利益</w:t>
      </w:r>
      <w:r>
        <w:rPr/>
        <w:t> 最大化的同时，注重承担社会责任，维护职工的合法权益，诚信对待供应商、客户等利益相关群体。</w:t>
      </w:r>
    </w:p>
    <w:p>
      <w:pPr>
        <w:pStyle w:val="BodyText"/>
        <w:spacing w:line="316" w:lineRule="auto" w:before="19"/>
        <w:ind w:right="1132" w:firstLine="360"/>
        <w:jc w:val="both"/>
      </w:pPr>
      <w:r>
        <w:rPr>
          <w:spacing w:val="-2"/>
        </w:rPr>
        <w:t>公司严格按照《公司法》、《深圳证券交易所创业板股票上市规则》等规定和要求，建立健全公司内控制度，促进公司</w:t>
      </w:r>
      <w:r>
        <w:rPr/>
        <w:t> </w:t>
      </w:r>
      <w:r>
        <w:rPr>
          <w:spacing w:val="-2"/>
        </w:rPr>
        <w:t>规范运作；秉持公平、公正、公开的原则对待全体投资者，及时、准确、真实、完整地进行信息披露，通过投资者电话、电</w:t>
      </w:r>
      <w:r>
        <w:rPr>
          <w:spacing w:val="-69"/>
        </w:rPr>
        <w:t> </w:t>
      </w:r>
      <w:r>
        <w:rPr>
          <w:spacing w:val="-69"/>
        </w:rPr>
      </w:r>
      <w:r>
        <w:rPr>
          <w:spacing w:val="-2"/>
        </w:rPr>
        <w:t>子邮箱和投资者关系互动平台等多种方式与投资者进行沟通交流，重视对投资者的合理回报，制定了相对稳定的利润分配政</w:t>
      </w:r>
      <w:r>
        <w:rPr>
          <w:spacing w:val="-64"/>
        </w:rPr>
        <w:t> </w:t>
      </w:r>
      <w:r>
        <w:rPr>
          <w:spacing w:val="-64"/>
        </w:rPr>
      </w:r>
      <w:r>
        <w:rPr/>
        <w:t>策和分红方案以回报股东，维护广大投资者的利益。</w:t>
      </w:r>
    </w:p>
    <w:p>
      <w:pPr>
        <w:pStyle w:val="BodyText"/>
        <w:spacing w:line="319" w:lineRule="auto" w:before="19"/>
        <w:ind w:right="1032" w:firstLine="360"/>
        <w:jc w:val="left"/>
      </w:pPr>
      <w:r>
        <w:rPr/>
        <w:t>员工是公司宝贵的资源，公司的发展离不开员工的辛勤付出。公司坚持以人为本的人才理念，严格贯彻执行《劳动法》 </w:t>
      </w:r>
      <w:r>
        <w:rPr>
          <w:spacing w:val="-2"/>
        </w:rPr>
        <w:t>等各项法律法规，尊重和保护员工权益，不断完善具有吸引力和竞争性的福利体系，提升员工的认同感；通过员工培训等方</w:t>
      </w:r>
      <w:r>
        <w:rPr>
          <w:spacing w:val="-66"/>
        </w:rPr>
        <w:t> </w:t>
      </w:r>
      <w:r>
        <w:rPr>
          <w:spacing w:val="-66"/>
        </w:rPr>
      </w:r>
      <w:r>
        <w:rPr>
          <w:spacing w:val="-2"/>
        </w:rPr>
        <w:t>式，加强人才培养，实现员工与企业的共同成长；进一步建立、健全激励约束机制，充分调动公司管理层及核心员工的积极</w:t>
      </w:r>
      <w:r>
        <w:rPr>
          <w:spacing w:val="-66"/>
        </w:rPr>
        <w:t> </w:t>
      </w:r>
      <w:r>
        <w:rPr>
          <w:spacing w:val="-66"/>
        </w:rPr>
      </w:r>
      <w:r>
        <w:rPr/>
        <w:t>性和责任感。</w:t>
      </w:r>
    </w:p>
    <w:p>
      <w:pPr>
        <w:pStyle w:val="BodyText"/>
        <w:spacing w:line="316" w:lineRule="auto" w:before="17"/>
        <w:ind w:right="0" w:firstLine="360"/>
        <w:jc w:val="left"/>
      </w:pPr>
      <w:r>
        <w:rPr>
          <w:spacing w:val="-4"/>
        </w:rPr>
        <w:t>公司将诚实守信作为企业发展之基，与供应商和客户建立合作共赢的战略合作伙伴关系，与之保持长期良好的合作关系，</w:t>
      </w:r>
      <w:r>
        <w:rPr/>
        <w:t> 充分尊重并保护供应商、客户的合法权益。</w:t>
      </w:r>
    </w:p>
    <w:p>
      <w:pPr>
        <w:pStyle w:val="BodyText"/>
        <w:spacing w:line="316" w:lineRule="auto" w:before="19"/>
        <w:ind w:right="1118" w:firstLine="360"/>
        <w:jc w:val="left"/>
      </w:pPr>
      <w:r>
        <w:rPr>
          <w:spacing w:val="-2"/>
        </w:rPr>
        <w:t>公司积极投身社会公益事业，报告期内通过给贫困地区提供扶贫款、助学金、提供就业机会等形式为我国的扶贫事业贡</w:t>
      </w:r>
      <w:r>
        <w:rPr/>
        <w:t> 献力量。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履行精准扶贫社会责任情况" w:id="94"/>
      <w:bookmarkEnd w:id="94"/>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精准扶贫规划" w:id="95"/>
      <w:bookmarkEnd w:id="95"/>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公司报告期内暂无精准扶贫规划。</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年度精准扶贫概要" w:id="96"/>
      <w:bookmarkEnd w:id="96"/>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jc w:val="left"/>
      </w:pPr>
      <w:r>
        <w:rPr>
          <w:spacing w:val="-2"/>
        </w:rPr>
        <w:t>报告期内，公司为石家庄市赞皇县西会村村民提供春节慰问金，对贫困学生提供助学金，向西会村配备了文化广场的硬件设</w:t>
      </w:r>
      <w:r>
        <w:rPr>
          <w:spacing w:val="-66"/>
        </w:rPr>
        <w:t> </w:t>
      </w:r>
      <w:r>
        <w:rPr>
          <w:spacing w:val="-66"/>
        </w:rPr>
      </w:r>
      <w:r>
        <w:rPr/>
        <w:t>施。</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精准扶贫成效" w:id="97"/>
      <w:bookmarkEnd w:id="97"/>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3613"/>
        <w:gridCol w:w="1542"/>
        <w:gridCol w:w="4403"/>
      </w:tblGrid>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物资折款</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资助贫困学生投入金额</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资助贫困学生人数</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定点扶贫工作投入金额</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4）后续精准扶贫计划" w:id="98"/>
      <w:bookmarkEnd w:id="98"/>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00"/>
        <w:jc w:val="both"/>
      </w:pPr>
      <w:r>
        <w:rPr>
          <w:spacing w:val="-1"/>
        </w:rPr>
        <w:t>①持续教育扶贫：公司确定为西会村贫困儿童提供助学资金，在孩子顺利升入初中、高中乃至全日制大学，都将长期帮</w:t>
      </w:r>
      <w:r>
        <w:rPr/>
        <w:t> 扶直至毕业。</w:t>
      </w:r>
    </w:p>
    <w:p>
      <w:pPr>
        <w:pStyle w:val="BodyText"/>
        <w:spacing w:line="316" w:lineRule="auto" w:before="19"/>
        <w:ind w:right="1133" w:firstLine="300"/>
        <w:jc w:val="both"/>
      </w:pPr>
      <w:r>
        <w:rPr>
          <w:spacing w:val="-1"/>
        </w:rPr>
        <w:t>②扩大就业扶贫：帮扶的贫困儿童如果毕业后有意愿到公司工作，公司将优先录用；广大西会村村民，满足招聘条件的</w:t>
      </w:r>
      <w:r>
        <w:rPr/>
        <w:t> 可以优先到公司工作。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3、环境保护相关的情况" w:id="99"/>
      <w:bookmarkEnd w:id="99"/>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5712"/>
        <w:jc w:val="left"/>
      </w:pPr>
      <w:r>
        <w:rPr/>
        <w:t>上市公司及其子公司是否属于环境保护部门公布的重点排污单位 否</w:t>
      </w:r>
    </w:p>
    <w:p>
      <w:pPr>
        <w:pStyle w:val="BodyText"/>
        <w:spacing w:line="316" w:lineRule="auto" w:before="25"/>
        <w:ind w:left="514" w:right="1117" w:hanging="360"/>
        <w:jc w:val="left"/>
      </w:pPr>
      <w:r>
        <w:rPr/>
        <w:t>经公司核查，公司及控股子公司不属于重点排污单位。 </w:t>
      </w:r>
      <w:r>
        <w:rPr>
          <w:spacing w:val="-5"/>
        </w:rPr>
        <w:t>公司及控股子公司在日常生产经营中认真执行《中华人民共和国环境保护法》、《中华人民共和国水污染防治法》、《中</w:t>
      </w:r>
    </w:p>
    <w:p>
      <w:pPr>
        <w:pStyle w:val="BodyText"/>
        <w:spacing w:line="316" w:lineRule="auto" w:before="19"/>
        <w:ind w:right="0"/>
        <w:jc w:val="left"/>
      </w:pPr>
      <w:r>
        <w:rPr>
          <w:spacing w:val="-2"/>
        </w:rPr>
        <w:t>华人民共和国大气污染防治法》、《中华人民共和国环境噪声污染防治法》、《中华人民共和国固体废物污染防治法》等环</w:t>
      </w:r>
      <w:r>
        <w:rPr>
          <w:spacing w:val="-67"/>
        </w:rPr>
        <w:t> </w:t>
      </w:r>
      <w:r>
        <w:rPr>
          <w:spacing w:val="-67"/>
        </w:rPr>
      </w:r>
      <w:r>
        <w:rPr/>
        <w:t>保方面的法律法规，报告期内未出现因违法违规而受到处罚的情况。</w:t>
      </w:r>
    </w:p>
    <w:p>
      <w:pPr>
        <w:pStyle w:val="BodyText"/>
        <w:spacing w:line="307" w:lineRule="auto" w:before="19"/>
        <w:ind w:right="1129" w:firstLine="360"/>
        <w:jc w:val="both"/>
      </w:pPr>
      <w:r>
        <w:rPr>
          <w:rFonts w:ascii="Times New Roman" w:hAnsi="Times New Roman" w:cs="Times New Roman" w:eastAsia="Times New Roman" w:hint="default"/>
          <w:spacing w:val="-2"/>
        </w:rPr>
        <w:t>“</w:t>
      </w:r>
      <w:r>
        <w:rPr>
          <w:spacing w:val="-2"/>
        </w:rPr>
        <w:t>临汾环境监测数据造假案件</w:t>
      </w:r>
      <w:r>
        <w:rPr>
          <w:rFonts w:ascii="Times New Roman" w:hAnsi="Times New Roman" w:cs="Times New Roman" w:eastAsia="Times New Roman" w:hint="default"/>
          <w:spacing w:val="-2"/>
        </w:rPr>
        <w:t>”</w:t>
      </w:r>
      <w:r>
        <w:rPr>
          <w:spacing w:val="-2"/>
        </w:rPr>
        <w:t>中，原公司两名一线运维人员为张</w:t>
      </w:r>
      <w:r>
        <w:rPr>
          <w:rFonts w:ascii="Times New Roman" w:hAnsi="Times New Roman" w:cs="Times New Roman" w:eastAsia="Times New Roman" w:hint="default"/>
          <w:spacing w:val="-2"/>
        </w:rPr>
        <w:t>xx</w:t>
      </w:r>
      <w:r>
        <w:rPr>
          <w:spacing w:val="-2"/>
        </w:rPr>
        <w:t>等人提供便利、通风报信，并分别收受微信红包</w:t>
      </w:r>
      <w:r>
        <w:rPr>
          <w:rFonts w:ascii="Times New Roman" w:hAnsi="Times New Roman" w:cs="Times New Roman" w:eastAsia="Times New Roman" w:hint="default"/>
          <w:spacing w:val="-2"/>
        </w:rPr>
        <w:t>1000</w:t>
      </w:r>
      <w:r>
        <w:rPr>
          <w:rFonts w:ascii="Times New Roman" w:hAnsi="Times New Roman" w:cs="Times New Roman" w:eastAsia="Times New Roman" w:hint="default"/>
        </w:rPr>
        <w:t> </w:t>
      </w:r>
      <w:r>
        <w:rPr>
          <w:spacing w:val="-2"/>
        </w:rPr>
        <w:t>元、</w:t>
      </w:r>
      <w:r>
        <w:rPr>
          <w:rFonts w:ascii="Times New Roman" w:hAnsi="Times New Roman" w:cs="Times New Roman" w:eastAsia="Times New Roman" w:hint="default"/>
          <w:spacing w:val="-2"/>
        </w:rPr>
        <w:t>2000</w:t>
      </w:r>
      <w:r>
        <w:rPr>
          <w:spacing w:val="-2"/>
        </w:rPr>
        <w:t>元，作为从犯分别被判处有期徒刑</w:t>
      </w:r>
      <w:r>
        <w:rPr>
          <w:rFonts w:ascii="Times New Roman" w:hAnsi="Times New Roman" w:cs="Times New Roman" w:eastAsia="Times New Roman" w:hint="default"/>
          <w:spacing w:val="-2"/>
        </w:rPr>
        <w:t>8</w:t>
      </w:r>
      <w:r>
        <w:rPr>
          <w:spacing w:val="-2"/>
        </w:rPr>
        <w:t>个月和</w:t>
      </w:r>
      <w:r>
        <w:rPr>
          <w:rFonts w:ascii="Times New Roman" w:hAnsi="Times New Roman" w:cs="Times New Roman" w:eastAsia="Times New Roman" w:hint="default"/>
          <w:spacing w:val="-2"/>
        </w:rPr>
        <w:t>6</w:t>
      </w:r>
      <w:r>
        <w:rPr>
          <w:spacing w:val="-2"/>
        </w:rPr>
        <w:t>个月。公司没有参与数据造假，没有受到任何行政或刑事处罚。但该事</w:t>
      </w:r>
      <w:r>
        <w:rPr>
          <w:spacing w:val="-60"/>
        </w:rPr>
        <w:t> </w:t>
      </w:r>
      <w:r>
        <w:rPr>
          <w:spacing w:val="-60"/>
        </w:rPr>
      </w:r>
      <w:r>
        <w:rPr>
          <w:spacing w:val="-2"/>
        </w:rPr>
        <w:t>件暴露了公司在现场管理细节及运维人员管理和考核上需要进一步加强。公司已经以此为鉴，接受教训，并采取了一系列整</w:t>
      </w:r>
      <w:r>
        <w:rPr>
          <w:spacing w:val="-66"/>
        </w:rPr>
        <w:t> </w:t>
      </w:r>
      <w:r>
        <w:rPr>
          <w:spacing w:val="-66"/>
        </w:rPr>
      </w:r>
      <w:r>
        <w:rPr/>
        <w:t>改措施。</w:t>
      </w:r>
    </w:p>
    <w:p>
      <w:pPr>
        <w:spacing w:after="0" w:line="307"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2"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日，中国环境监测总站就临汾环境监测数据造假案件对公司主要负责人进行了约谈，并根据《国家环境空 气监测网城市环境空气自动监测站运行维护项目委托合同》，对公司进行了合同违约处理。</w:t>
      </w:r>
    </w:p>
    <w:p>
      <w:pPr>
        <w:pStyle w:val="BodyText"/>
        <w:spacing w:line="240" w:lineRule="auto" w:before="31"/>
        <w:ind w:left="514" w:right="0"/>
        <w:jc w:val="left"/>
      </w:pPr>
      <w:r>
        <w:rPr/>
        <w:t>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日披露于中国证监会指定创业板信息披露网站巨潮资讯网的相关公告。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7"/>
        <w:ind w:right="0"/>
        <w:jc w:val="left"/>
        <w:rPr>
          <w:b w:val="0"/>
          <w:bCs w:val="0"/>
        </w:rPr>
      </w:pPr>
      <w:bookmarkStart w:name="十八、其他重大事项的说明" w:id="100"/>
      <w:bookmarkEnd w:id="100"/>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568"/>
        <w:gridCol w:w="992"/>
        <w:gridCol w:w="5671"/>
        <w:gridCol w:w="992"/>
        <w:gridCol w:w="991"/>
      </w:tblGrid>
      <w:tr>
        <w:trPr>
          <w:trHeight w:val="34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披露内容</w:t>
            </w:r>
            <w:r>
              <w:rPr>
                <w:rFonts w:ascii="宋体" w:hAnsi="宋体" w:cs="宋体" w:eastAsia="宋体" w:hint="default"/>
                <w:sz w:val="18"/>
                <w:szCs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7" w:right="0"/>
              <w:jc w:val="left"/>
              <w:rPr>
                <w:rFonts w:ascii="宋体" w:hAnsi="宋体" w:cs="宋体" w:eastAsia="宋体" w:hint="default"/>
                <w:sz w:val="18"/>
                <w:szCs w:val="18"/>
              </w:rPr>
            </w:pPr>
            <w:r>
              <w:rPr>
                <w:rFonts w:ascii="宋体" w:hAnsi="宋体" w:cs="宋体" w:eastAsia="宋体" w:hint="default"/>
                <w:b/>
                <w:bCs/>
                <w:sz w:val="18"/>
                <w:szCs w:val="18"/>
              </w:rPr>
              <w:t>公告编号</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披露媒体</w:t>
            </w:r>
            <w:r>
              <w:rPr>
                <w:rFonts w:ascii="宋体" w:hAnsi="宋体" w:cs="宋体" w:eastAsia="宋体" w:hint="default"/>
                <w:sz w:val="18"/>
                <w:szCs w:val="18"/>
              </w:rPr>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2018.01.02</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公司及子公司关于收到政府补助的公告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12" w:right="0"/>
              <w:jc w:val="left"/>
              <w:rPr>
                <w:rFonts w:ascii="Times New Roman" w:hAnsi="Times New Roman" w:cs="Times New Roman" w:eastAsia="Times New Roman" w:hint="default"/>
                <w:sz w:val="18"/>
                <w:szCs w:val="18"/>
              </w:rPr>
            </w:pPr>
            <w:r>
              <w:rPr>
                <w:rFonts w:ascii="Times New Roman"/>
                <w:sz w:val="18"/>
              </w:rPr>
              <w:t>2018--001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2018.01.05</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年度业绩预告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2018-002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2018.01.10</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关于美国控股孙公司合并成立新公司的公告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2018-003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before="61"/>
              <w:ind w:left="182" w:right="0"/>
              <w:jc w:val="left"/>
              <w:rPr>
                <w:rFonts w:ascii="Times New Roman" w:hAnsi="Times New Roman" w:cs="Times New Roman" w:eastAsia="Times New Roman" w:hint="default"/>
                <w:sz w:val="18"/>
                <w:szCs w:val="18"/>
              </w:rPr>
            </w:pPr>
            <w:r>
              <w:rPr>
                <w:rFonts w:ascii="Times New Roman"/>
                <w:sz w:val="18"/>
              </w:rPr>
              <w:t>4</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61"/>
              <w:ind w:left="92" w:right="0"/>
              <w:jc w:val="left"/>
              <w:rPr>
                <w:rFonts w:ascii="Times New Roman" w:hAnsi="Times New Roman" w:cs="Times New Roman" w:eastAsia="Times New Roman" w:hint="default"/>
                <w:sz w:val="18"/>
                <w:szCs w:val="18"/>
              </w:rPr>
            </w:pPr>
            <w:r>
              <w:rPr>
                <w:rFonts w:ascii="Times New Roman"/>
                <w:sz w:val="18"/>
              </w:rPr>
              <w:t>2018.01.24</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第三届董事会第四次会议决议公告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2018-004</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关于使用闲置自有资金购买银行理财产品的公告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2018-005</w:t>
            </w:r>
          </w:p>
        </w:tc>
        <w:tc>
          <w:tcPr>
            <w:tcW w:w="991" w:type="dxa"/>
            <w:vMerge/>
            <w:tcBorders>
              <w:left w:val="single" w:sz="6" w:space="0" w:color="000000"/>
              <w:right w:val="single" w:sz="6" w:space="0" w:color="000000"/>
            </w:tcBorders>
          </w:tcPr>
          <w:p>
            <w:pPr/>
          </w:p>
        </w:tc>
      </w:tr>
      <w:tr>
        <w:trPr>
          <w:trHeight w:val="348"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关于独立董事去世的公告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2018-006</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独立董事关于相关事项的独立意见</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r>
      <w:tr>
        <w:trPr>
          <w:trHeight w:val="347"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61"/>
              <w:ind w:left="84" w:right="0"/>
              <w:jc w:val="left"/>
              <w:rPr>
                <w:rFonts w:ascii="Times New Roman" w:hAnsi="Times New Roman" w:cs="Times New Roman" w:eastAsia="Times New Roman" w:hint="default"/>
                <w:sz w:val="18"/>
                <w:szCs w:val="18"/>
              </w:rPr>
            </w:pPr>
            <w:r>
              <w:rPr>
                <w:rFonts w:ascii="Times New Roman"/>
                <w:sz w:val="18"/>
              </w:rPr>
              <w:t>2018.02.09</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关于控股股东、部分董事提前终止减持计划的公告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2018-007</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21"/>
              <w:ind w:left="38"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关于股东追加限售承诺的公告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2018-008</w:t>
            </w:r>
          </w:p>
        </w:tc>
        <w:tc>
          <w:tcPr>
            <w:tcW w:w="991" w:type="dxa"/>
            <w:vMerge/>
            <w:tcBorders>
              <w:left w:val="single" w:sz="6" w:space="0" w:color="000000"/>
              <w:bottom w:val="single" w:sz="6" w:space="0" w:color="000000"/>
              <w:right w:val="single" w:sz="6" w:space="0" w:color="000000"/>
            </w:tcBorders>
          </w:tcPr>
          <w:p>
            <w:pPr/>
          </w:p>
        </w:tc>
      </w:tr>
      <w:tr>
        <w:trPr>
          <w:trHeight w:val="347"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61"/>
              <w:ind w:left="84" w:right="0"/>
              <w:jc w:val="left"/>
              <w:rPr>
                <w:rFonts w:ascii="Times New Roman" w:hAnsi="Times New Roman" w:cs="Times New Roman" w:eastAsia="Times New Roman" w:hint="default"/>
                <w:sz w:val="18"/>
                <w:szCs w:val="18"/>
              </w:rPr>
            </w:pPr>
            <w:r>
              <w:rPr>
                <w:rFonts w:ascii="Times New Roman"/>
                <w:sz w:val="18"/>
              </w:rPr>
              <w:t>2018.02.26</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第三届董事会第五次会议决议公告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2018-009</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21"/>
              <w:ind w:left="38"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关于投资设立控股子公司的公告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2018-010</w:t>
            </w:r>
          </w:p>
        </w:tc>
        <w:tc>
          <w:tcPr>
            <w:tcW w:w="991" w:type="dxa"/>
            <w:vMerge/>
            <w:tcBorders>
              <w:left w:val="single" w:sz="6" w:space="0" w:color="000000"/>
              <w:right w:val="single" w:sz="6" w:space="0" w:color="000000"/>
            </w:tcBorders>
          </w:tcPr>
          <w:p>
            <w:pPr/>
          </w:p>
        </w:tc>
      </w:tr>
      <w:tr>
        <w:trPr>
          <w:trHeight w:val="348"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第三届监事会第四次会议决议公告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2018-011</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关于与建行河北省分行营业部签署战略合作协议的公告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2" w:right="0"/>
              <w:jc w:val="left"/>
              <w:rPr>
                <w:rFonts w:ascii="Times New Roman" w:hAnsi="Times New Roman" w:cs="Times New Roman" w:eastAsia="Times New Roman" w:hint="default"/>
                <w:sz w:val="18"/>
                <w:szCs w:val="18"/>
              </w:rPr>
            </w:pPr>
            <w:r>
              <w:rPr>
                <w:rFonts w:ascii="Times New Roman"/>
                <w:sz w:val="18"/>
              </w:rPr>
              <w:t>2018-012</w:t>
            </w:r>
          </w:p>
        </w:tc>
        <w:tc>
          <w:tcPr>
            <w:tcW w:w="991" w:type="dxa"/>
            <w:vMerge/>
            <w:tcBorders>
              <w:left w:val="single" w:sz="6" w:space="0" w:color="000000"/>
              <w:bottom w:val="single" w:sz="6" w:space="0" w:color="000000"/>
              <w:right w:val="single" w:sz="6" w:space="0" w:color="000000"/>
            </w:tcBorders>
          </w:tcPr>
          <w:p>
            <w:pP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2018.02.27</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年度业绩快报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2018-013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2018.03.03</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关于副总经理辞职的公告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2018-014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2018.03.12</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关于控股子公司完成工商注册登记的公告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2018-015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61"/>
              <w:ind w:left="84" w:right="0"/>
              <w:jc w:val="left"/>
              <w:rPr>
                <w:rFonts w:ascii="Times New Roman" w:hAnsi="Times New Roman" w:cs="Times New Roman" w:eastAsia="Times New Roman" w:hint="default"/>
                <w:sz w:val="18"/>
                <w:szCs w:val="18"/>
              </w:rPr>
            </w:pPr>
            <w:r>
              <w:rPr>
                <w:rFonts w:ascii="Times New Roman"/>
                <w:sz w:val="18"/>
              </w:rPr>
              <w:t>2018.04.02</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第三届董事会第六次会议决议公告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2018-016</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21"/>
              <w:ind w:left="38"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关于控股子公司增资扩股的公告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2018-017</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关于控股子公司收购股权的公告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2" w:right="0"/>
              <w:jc w:val="left"/>
              <w:rPr>
                <w:rFonts w:ascii="Times New Roman" w:hAnsi="Times New Roman" w:cs="Times New Roman" w:eastAsia="Times New Roman" w:hint="default"/>
                <w:sz w:val="18"/>
                <w:szCs w:val="18"/>
              </w:rPr>
            </w:pPr>
            <w:r>
              <w:rPr>
                <w:rFonts w:ascii="Times New Roman"/>
                <w:sz w:val="18"/>
              </w:rPr>
              <w:t>2018-018</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第三届监事会第五次会议决议公告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2018-019</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独立董事关于相关事项的独立意见</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2018.04.09</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年第一季度业绩预告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2018-020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2018.04.11</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关于控股股东部分股份质押及解质押的公告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2018-021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2018.04.16</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关于控股股东部分股份质押的公告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2018-022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2018.04.18</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关于控股股东部分股份解除质押的公告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2" w:right="0"/>
              <w:jc w:val="left"/>
              <w:rPr>
                <w:rFonts w:ascii="Times New Roman" w:hAnsi="Times New Roman" w:cs="Times New Roman" w:eastAsia="Times New Roman" w:hint="default"/>
                <w:sz w:val="18"/>
                <w:szCs w:val="18"/>
              </w:rPr>
            </w:pPr>
            <w:r>
              <w:rPr>
                <w:rFonts w:ascii="Times New Roman"/>
                <w:sz w:val="18"/>
              </w:rPr>
              <w:t>2018-023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61"/>
              <w:ind w:left="84" w:right="0"/>
              <w:jc w:val="left"/>
              <w:rPr>
                <w:rFonts w:ascii="Times New Roman" w:hAnsi="Times New Roman" w:cs="Times New Roman" w:eastAsia="Times New Roman" w:hint="default"/>
                <w:sz w:val="18"/>
                <w:szCs w:val="18"/>
              </w:rPr>
            </w:pPr>
            <w:r>
              <w:rPr>
                <w:rFonts w:ascii="Times New Roman"/>
                <w:sz w:val="18"/>
              </w:rPr>
              <w:t>2018.04.24</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第三届董事会第七次会议决议公告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2018-024</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21"/>
              <w:ind w:left="38"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第三届监事会第六次会议决议公告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2018-025</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年年度报告摘要</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2018-026</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年度报告披露的提示性公告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2018-027</w:t>
            </w:r>
          </w:p>
        </w:tc>
        <w:tc>
          <w:tcPr>
            <w:tcW w:w="991" w:type="dxa"/>
            <w:vMerge/>
            <w:tcBorders>
              <w:left w:val="single" w:sz="6" w:space="0" w:color="000000"/>
              <w:right w:val="single" w:sz="6" w:space="0" w:color="000000"/>
            </w:tcBorders>
          </w:tcPr>
          <w:p>
            <w:pPr/>
          </w:p>
        </w:tc>
      </w:tr>
      <w:tr>
        <w:trPr>
          <w:trHeight w:val="348"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年年度报告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审计报告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68"/>
        <w:gridCol w:w="992"/>
        <w:gridCol w:w="5671"/>
        <w:gridCol w:w="992"/>
        <w:gridCol w:w="991"/>
      </w:tblGrid>
      <w:tr>
        <w:trPr>
          <w:trHeight w:val="347" w:hRule="exact"/>
        </w:trPr>
        <w:tc>
          <w:tcPr>
            <w:tcW w:w="568" w:type="dxa"/>
            <w:vMerge w:val="restart"/>
            <w:tcBorders>
              <w:top w:val="single" w:sz="6" w:space="0" w:color="000000"/>
              <w:left w:val="single" w:sz="6" w:space="0" w:color="000000"/>
              <w:right w:val="single" w:sz="6" w:space="0" w:color="000000"/>
            </w:tcBorders>
          </w:tcPr>
          <w:p>
            <w:pPr/>
          </w:p>
        </w:tc>
        <w:tc>
          <w:tcPr>
            <w:tcW w:w="992" w:type="dxa"/>
            <w:vMerge w:val="restart"/>
            <w:tcBorders>
              <w:top w:val="single" w:sz="6" w:space="0" w:color="000000"/>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年第一季度报告披露的提示性公告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2018-028</w:t>
            </w:r>
          </w:p>
        </w:tc>
        <w:tc>
          <w:tcPr>
            <w:tcW w:w="991" w:type="dxa"/>
            <w:vMerge w:val="restart"/>
            <w:tcBorders>
              <w:top w:val="single" w:sz="6" w:space="0" w:color="000000"/>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年度财务决算报告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8"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年度监事会工作报告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年度募集资金存放与实际使用情况的专项报告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年度内部控制自我评价报告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年度述职报告（赵立三）</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年度述职报告（赵明）</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独立董事关于三届七次董事会相关事项的独立意见</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8"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关于公司控股股东及其他关联方资金占用情况汇总表的专项审核报告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关于公司募集资金年度存放与实际使用情况的鉴证报告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兴业证券股份有限公司关于公司募集资金年度使用情况的专项核查意见</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关于会计政策变更公告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2018-029</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公司章程修订对照表</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年度股东大会的通知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2018-030</w:t>
            </w:r>
          </w:p>
        </w:tc>
        <w:tc>
          <w:tcPr>
            <w:tcW w:w="991" w:type="dxa"/>
            <w:vMerge/>
            <w:tcBorders>
              <w:left w:val="single" w:sz="6" w:space="0" w:color="000000"/>
              <w:right w:val="single" w:sz="6" w:space="0" w:color="000000"/>
            </w:tcBorders>
          </w:tcPr>
          <w:p>
            <w:pPr/>
          </w:p>
        </w:tc>
      </w:tr>
      <w:tr>
        <w:trPr>
          <w:trHeight w:val="348"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年度及</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年第一季度业绩网上说明会的公告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2018-031</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年第一季度报告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16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2018.05.09</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关于参加河北辖区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年度投资者网上集体接待日活动的</w:t>
            </w:r>
            <w:r>
              <w:rPr>
                <w:rFonts w:ascii="宋体" w:hAnsi="宋体" w:cs="宋体" w:eastAsia="宋体" w:hint="default"/>
                <w:spacing w:val="-54"/>
                <w:sz w:val="18"/>
                <w:szCs w:val="18"/>
              </w:rPr>
              <w:t> </w:t>
            </w:r>
            <w:r>
              <w:rPr>
                <w:rFonts w:ascii="宋体" w:hAnsi="宋体" w:cs="宋体" w:eastAsia="宋体" w:hint="default"/>
                <w:sz w:val="18"/>
                <w:szCs w:val="18"/>
              </w:rPr>
              <w:t>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2018-032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before="61"/>
              <w:ind w:left="182" w:right="0"/>
              <w:jc w:val="left"/>
              <w:rPr>
                <w:rFonts w:ascii="Times New Roman" w:hAnsi="Times New Roman" w:cs="Times New Roman" w:eastAsia="Times New Roman" w:hint="default"/>
                <w:sz w:val="18"/>
                <w:szCs w:val="18"/>
              </w:rPr>
            </w:pPr>
            <w:r>
              <w:rPr>
                <w:rFonts w:ascii="Times New Roman"/>
                <w:sz w:val="18"/>
              </w:rPr>
              <w:t>17</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2018.05.22</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年度股东大会决议公告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2018-033</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年年度股东大会的法律意见书</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18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2018.06.13</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关于副总经理辞职的公告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2018-034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19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2018.07.09</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年半年度业绩预告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2018-035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9"/>
              <w:jc w:val="right"/>
              <w:rPr>
                <w:rFonts w:ascii="Times New Roman" w:hAnsi="Times New Roman" w:cs="Times New Roman" w:eastAsia="Times New Roman" w:hint="default"/>
                <w:sz w:val="18"/>
                <w:szCs w:val="18"/>
              </w:rPr>
            </w:pPr>
            <w:r>
              <w:rPr>
                <w:rFonts w:ascii="Times New Roman"/>
                <w:sz w:val="18"/>
              </w:rPr>
              <w:t>20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2018.07.10</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年年度权益分派实施公告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2" w:right="0"/>
              <w:jc w:val="left"/>
              <w:rPr>
                <w:rFonts w:ascii="Times New Roman" w:hAnsi="Times New Roman" w:cs="Times New Roman" w:eastAsia="Times New Roman" w:hint="default"/>
                <w:sz w:val="18"/>
                <w:szCs w:val="18"/>
              </w:rPr>
            </w:pPr>
            <w:r>
              <w:rPr>
                <w:rFonts w:ascii="Times New Roman"/>
                <w:sz w:val="18"/>
              </w:rPr>
              <w:t>2018-036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before="61"/>
              <w:ind w:left="182" w:right="0"/>
              <w:jc w:val="left"/>
              <w:rPr>
                <w:rFonts w:ascii="Times New Roman" w:hAnsi="Times New Roman" w:cs="Times New Roman" w:eastAsia="Times New Roman" w:hint="default"/>
                <w:sz w:val="18"/>
                <w:szCs w:val="18"/>
              </w:rPr>
            </w:pPr>
            <w:r>
              <w:rPr>
                <w:rFonts w:ascii="Times New Roman"/>
                <w:sz w:val="18"/>
              </w:rPr>
              <w:t>21</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2018.07.12</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第三届董事会第八次会议决议公告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2018-037</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第三届监事会第七次会议决议公告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2018-038</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关于转让全资子公司部分股权的公告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2018-039</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独立董事关于相关事项的独立意见</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r>
      <w:tr>
        <w:trPr>
          <w:trHeight w:val="34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22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2018.07.13</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关于取得发明专利证书的公告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2018-040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9"/>
              <w:jc w:val="right"/>
              <w:rPr>
                <w:rFonts w:ascii="Times New Roman" w:hAnsi="Times New Roman" w:cs="Times New Roman" w:eastAsia="Times New Roman" w:hint="default"/>
                <w:sz w:val="18"/>
                <w:szCs w:val="18"/>
              </w:rPr>
            </w:pPr>
            <w:r>
              <w:rPr>
                <w:rFonts w:ascii="Times New Roman"/>
                <w:sz w:val="18"/>
              </w:rPr>
              <w:t>23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2018.08.06</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关于完成工商变更登记的公告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2" w:right="0"/>
              <w:jc w:val="left"/>
              <w:rPr>
                <w:rFonts w:ascii="Times New Roman" w:hAnsi="Times New Roman" w:cs="Times New Roman" w:eastAsia="Times New Roman" w:hint="default"/>
                <w:sz w:val="18"/>
                <w:szCs w:val="18"/>
              </w:rPr>
            </w:pPr>
            <w:r>
              <w:rPr>
                <w:rFonts w:ascii="Times New Roman"/>
                <w:sz w:val="18"/>
              </w:rPr>
              <w:t>2018-041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24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2018.08.14</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限售股上市流通提示性公告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2018-042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25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2018.08.16</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2018-043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before="61"/>
              <w:ind w:left="182" w:right="0"/>
              <w:jc w:val="left"/>
              <w:rPr>
                <w:rFonts w:ascii="Times New Roman" w:hAnsi="Times New Roman" w:cs="Times New Roman" w:eastAsia="Times New Roman" w:hint="default"/>
                <w:sz w:val="18"/>
                <w:szCs w:val="18"/>
              </w:rPr>
            </w:pPr>
            <w:r>
              <w:rPr>
                <w:rFonts w:ascii="Times New Roman"/>
                <w:sz w:val="18"/>
              </w:rPr>
              <w:t>26</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2018.08.17</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第三届董事会第九次会议决议公告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2018-044</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关于回购公司股份的预案</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2018-045</w:t>
            </w:r>
          </w:p>
        </w:tc>
        <w:tc>
          <w:tcPr>
            <w:tcW w:w="991" w:type="dxa"/>
            <w:vMerge/>
            <w:tcBorders>
              <w:left w:val="single" w:sz="6" w:space="0" w:color="000000"/>
              <w:right w:val="single" w:sz="6" w:space="0" w:color="000000"/>
            </w:tcBorders>
          </w:tcPr>
          <w:p>
            <w:pPr/>
          </w:p>
        </w:tc>
      </w:tr>
      <w:tr>
        <w:trPr>
          <w:trHeight w:val="348"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关于补选公司独立董事的公告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2018-046</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关于召开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年第一次临时股东大会的通知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2" w:right="0"/>
              <w:jc w:val="left"/>
              <w:rPr>
                <w:rFonts w:ascii="Times New Roman" w:hAnsi="Times New Roman" w:cs="Times New Roman" w:eastAsia="Times New Roman" w:hint="default"/>
                <w:sz w:val="18"/>
                <w:szCs w:val="18"/>
              </w:rPr>
            </w:pPr>
            <w:r>
              <w:rPr>
                <w:rFonts w:ascii="Times New Roman"/>
                <w:sz w:val="18"/>
              </w:rPr>
              <w:t>2018-047</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第三届监事会第八次会议决议公告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2018-048</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独立董事提名人声明</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独立董事关于相关事项的独立意见</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独立董事候选人声明</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r>
      <w:tr>
        <w:trPr>
          <w:trHeight w:val="34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27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2018.08.20</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2018-049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9"/>
              <w:jc w:val="right"/>
              <w:rPr>
                <w:rFonts w:ascii="Times New Roman" w:hAnsi="Times New Roman" w:cs="Times New Roman" w:eastAsia="Times New Roman" w:hint="default"/>
                <w:sz w:val="18"/>
                <w:szCs w:val="18"/>
              </w:rPr>
            </w:pPr>
            <w:r>
              <w:rPr>
                <w:rFonts w:ascii="Times New Roman"/>
                <w:sz w:val="18"/>
              </w:rPr>
              <w:t>28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2018.08.21</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关于深圳证券交易所关注函回复的公告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2" w:right="0"/>
              <w:jc w:val="left"/>
              <w:rPr>
                <w:rFonts w:ascii="Times New Roman" w:hAnsi="Times New Roman" w:cs="Times New Roman" w:eastAsia="Times New Roman" w:hint="default"/>
                <w:sz w:val="18"/>
                <w:szCs w:val="18"/>
              </w:rPr>
            </w:pPr>
            <w:r>
              <w:rPr>
                <w:rFonts w:ascii="Times New Roman"/>
                <w:sz w:val="18"/>
              </w:rPr>
              <w:t>2018-050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68"/>
        <w:gridCol w:w="992"/>
        <w:gridCol w:w="5671"/>
        <w:gridCol w:w="992"/>
        <w:gridCol w:w="991"/>
      </w:tblGrid>
      <w:tr>
        <w:trPr>
          <w:trHeight w:val="347"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before="61"/>
              <w:ind w:left="182" w:right="0"/>
              <w:jc w:val="left"/>
              <w:rPr>
                <w:rFonts w:ascii="Times New Roman" w:hAnsi="Times New Roman" w:cs="Times New Roman" w:eastAsia="Times New Roman" w:hint="default"/>
                <w:sz w:val="18"/>
                <w:szCs w:val="18"/>
              </w:rPr>
            </w:pPr>
            <w:r>
              <w:rPr>
                <w:rFonts w:ascii="Times New Roman"/>
                <w:sz w:val="18"/>
              </w:rPr>
              <w:t>29</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2018.08.30</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年半年度报告披露的提示性公告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2018-051</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年半年度报告摘要</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2018-052</w:t>
            </w:r>
          </w:p>
        </w:tc>
        <w:tc>
          <w:tcPr>
            <w:tcW w:w="991" w:type="dxa"/>
            <w:vMerge/>
            <w:tcBorders>
              <w:left w:val="single" w:sz="6" w:space="0" w:color="000000"/>
              <w:right w:val="single" w:sz="6" w:space="0" w:color="000000"/>
            </w:tcBorders>
          </w:tcPr>
          <w:p>
            <w:pPr/>
          </w:p>
        </w:tc>
      </w:tr>
      <w:tr>
        <w:trPr>
          <w:trHeight w:val="348"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关于回购股份事项前十名股东持股信息的公告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2018-053</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年半年度报告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独立董事关于相关事项的独立意见</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r>
      <w:tr>
        <w:trPr>
          <w:trHeight w:val="347"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before="61"/>
              <w:ind w:left="182" w:right="0"/>
              <w:jc w:val="left"/>
              <w:rPr>
                <w:rFonts w:ascii="Times New Roman" w:hAnsi="Times New Roman" w:cs="Times New Roman" w:eastAsia="Times New Roman" w:hint="default"/>
                <w:sz w:val="18"/>
                <w:szCs w:val="18"/>
              </w:rPr>
            </w:pPr>
            <w:r>
              <w:rPr>
                <w:rFonts w:ascii="Times New Roman"/>
                <w:sz w:val="18"/>
              </w:rPr>
              <w:t>30</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2018.09.04</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年第一次临时股东大会决议公告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2018-054</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关于回购股份的债权人通知公告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2018-055</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年第一次临时股东大会的法律意见书</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r>
      <w:tr>
        <w:trPr>
          <w:trHeight w:val="66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31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2018.09.11</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3"/>
              <w:jc w:val="left"/>
              <w:rPr>
                <w:rFonts w:ascii="宋体" w:hAnsi="宋体" w:cs="宋体" w:eastAsia="宋体" w:hint="default"/>
                <w:sz w:val="18"/>
                <w:szCs w:val="18"/>
              </w:rPr>
            </w:pPr>
            <w:r>
              <w:rPr>
                <w:rFonts w:ascii="宋体" w:hAnsi="宋体" w:cs="宋体" w:eastAsia="宋体" w:hint="default"/>
                <w:sz w:val="18"/>
                <w:szCs w:val="18"/>
              </w:rPr>
              <w:t>关于下属公司预中标安顺市西秀区鸡场乡、新场乡、岩腊乡、宁谷镇农 村生活污水治理项目的提示性公告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2018-056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9"/>
              <w:jc w:val="right"/>
              <w:rPr>
                <w:rFonts w:ascii="Times New Roman" w:hAnsi="Times New Roman" w:cs="Times New Roman" w:eastAsia="Times New Roman" w:hint="default"/>
                <w:sz w:val="18"/>
                <w:szCs w:val="18"/>
              </w:rPr>
            </w:pPr>
            <w:r>
              <w:rPr>
                <w:rFonts w:ascii="Times New Roman"/>
                <w:sz w:val="18"/>
              </w:rPr>
              <w:t>32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2018.09.14</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3"/>
              <w:jc w:val="left"/>
              <w:rPr>
                <w:rFonts w:ascii="宋体" w:hAnsi="宋体" w:cs="宋体" w:eastAsia="宋体" w:hint="default"/>
                <w:sz w:val="18"/>
                <w:szCs w:val="18"/>
              </w:rPr>
            </w:pPr>
            <w:r>
              <w:rPr>
                <w:rFonts w:ascii="宋体" w:hAnsi="宋体" w:cs="宋体" w:eastAsia="宋体" w:hint="default"/>
                <w:sz w:val="18"/>
                <w:szCs w:val="18"/>
              </w:rPr>
              <w:t>关于下属公司收到安顺市西秀区鸡场乡、新场乡、岩腊乡、宁谷镇农村 生活污水治理项目中标通知书的公告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2" w:right="0"/>
              <w:jc w:val="left"/>
              <w:rPr>
                <w:rFonts w:ascii="Times New Roman" w:hAnsi="Times New Roman" w:cs="Times New Roman" w:eastAsia="Times New Roman" w:hint="default"/>
                <w:sz w:val="18"/>
                <w:szCs w:val="18"/>
              </w:rPr>
            </w:pPr>
            <w:r>
              <w:rPr>
                <w:rFonts w:ascii="Times New Roman"/>
                <w:sz w:val="18"/>
              </w:rPr>
              <w:t>2018-057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before="61"/>
              <w:ind w:left="182" w:right="0"/>
              <w:jc w:val="left"/>
              <w:rPr>
                <w:rFonts w:ascii="Times New Roman" w:hAnsi="Times New Roman" w:cs="Times New Roman" w:eastAsia="Times New Roman" w:hint="default"/>
                <w:sz w:val="18"/>
                <w:szCs w:val="18"/>
              </w:rPr>
            </w:pPr>
            <w:r>
              <w:rPr>
                <w:rFonts w:ascii="Times New Roman"/>
                <w:sz w:val="18"/>
              </w:rPr>
              <w:t>33</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2018.10.08</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3"/>
              <w:jc w:val="left"/>
              <w:rPr>
                <w:rFonts w:ascii="宋体" w:hAnsi="宋体" w:cs="宋体" w:eastAsia="宋体" w:hint="default"/>
                <w:sz w:val="18"/>
                <w:szCs w:val="18"/>
              </w:rPr>
            </w:pPr>
            <w:r>
              <w:rPr>
                <w:rFonts w:ascii="宋体" w:hAnsi="宋体" w:cs="宋体" w:eastAsia="宋体" w:hint="default"/>
                <w:sz w:val="18"/>
                <w:szCs w:val="18"/>
              </w:rPr>
              <w:t>北京市时代九和律师事务所关于河北先河环保科技股份有限公司回购公 司股份的法律意见书</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回购股份报告书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2018-058</w:t>
            </w:r>
          </w:p>
        </w:tc>
        <w:tc>
          <w:tcPr>
            <w:tcW w:w="991" w:type="dxa"/>
            <w:vMerge/>
            <w:tcBorders>
              <w:left w:val="single" w:sz="6" w:space="0" w:color="000000"/>
              <w:bottom w:val="single" w:sz="6" w:space="0" w:color="000000"/>
              <w:right w:val="single" w:sz="6" w:space="0" w:color="000000"/>
            </w:tcBorders>
          </w:tcPr>
          <w:p>
            <w:pP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34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2018.10.09</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年前三季度业绩预告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2018-059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35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2018.10.13</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关于首次回购公司股份的公告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2018-060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before="61"/>
              <w:ind w:left="182" w:right="0"/>
              <w:jc w:val="left"/>
              <w:rPr>
                <w:rFonts w:ascii="Times New Roman" w:hAnsi="Times New Roman" w:cs="Times New Roman" w:eastAsia="Times New Roman" w:hint="default"/>
                <w:sz w:val="18"/>
                <w:szCs w:val="18"/>
              </w:rPr>
            </w:pPr>
            <w:r>
              <w:rPr>
                <w:rFonts w:ascii="Times New Roman"/>
                <w:sz w:val="18"/>
              </w:rPr>
              <w:t>36</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2018.10.30</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第三届董事会第十一次会议决议公告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2018-061</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年第三季度报告披露的提示性公告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2" w:right="0"/>
              <w:jc w:val="left"/>
              <w:rPr>
                <w:rFonts w:ascii="Times New Roman" w:hAnsi="Times New Roman" w:cs="Times New Roman" w:eastAsia="Times New Roman" w:hint="default"/>
                <w:sz w:val="18"/>
                <w:szCs w:val="18"/>
              </w:rPr>
            </w:pPr>
            <w:r>
              <w:rPr>
                <w:rFonts w:ascii="Times New Roman"/>
                <w:sz w:val="18"/>
              </w:rPr>
              <w:t>2018-062</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关于公司会计政策变更公告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2018-063</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第三届监事会第十次会议决议公告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2018-064</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年第三季度报告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独立董事关于相关事项的独立意见</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r>
      <w:tr>
        <w:trPr>
          <w:trHeight w:val="34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37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2018.10.31</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关于收到软件产品增值税退税的公告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2018-065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9"/>
              <w:jc w:val="right"/>
              <w:rPr>
                <w:rFonts w:ascii="Times New Roman" w:hAnsi="Times New Roman" w:cs="Times New Roman" w:eastAsia="Times New Roman" w:hint="default"/>
                <w:sz w:val="18"/>
                <w:szCs w:val="18"/>
              </w:rPr>
            </w:pPr>
            <w:r>
              <w:rPr>
                <w:rFonts w:ascii="Times New Roman"/>
                <w:sz w:val="18"/>
              </w:rPr>
              <w:t>38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2018.11.02</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关于回购公司股份的进展公告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2" w:right="0"/>
              <w:jc w:val="left"/>
              <w:rPr>
                <w:rFonts w:ascii="Times New Roman" w:hAnsi="Times New Roman" w:cs="Times New Roman" w:eastAsia="Times New Roman" w:hint="default"/>
                <w:sz w:val="18"/>
                <w:szCs w:val="18"/>
              </w:rPr>
            </w:pPr>
            <w:r>
              <w:rPr>
                <w:rFonts w:ascii="Times New Roman"/>
                <w:sz w:val="18"/>
              </w:rPr>
              <w:t>2018-066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39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2018.12.03</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关于回购公司股份的进展公告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2018-067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7"/>
          <w:szCs w:val="27"/>
        </w:rPr>
      </w:pPr>
    </w:p>
    <w:p>
      <w:pPr>
        <w:pStyle w:val="Heading2"/>
        <w:spacing w:line="240" w:lineRule="auto" w:before="26"/>
        <w:ind w:right="0"/>
        <w:jc w:val="left"/>
        <w:rPr>
          <w:b w:val="0"/>
          <w:bCs w:val="0"/>
        </w:rPr>
      </w:pPr>
      <w:bookmarkStart w:name="十九、公司子公司重大事项" w:id="101"/>
      <w:bookmarkEnd w:id="101"/>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435" w:right="1126"/>
        <w:jc w:val="center"/>
      </w:pPr>
      <w:r>
        <w:rPr/>
        <w:t>经公司第三届董事会第六次会议审议通过，公司控股子公司河北先河正合环境科技有限公司以现金 </w:t>
      </w:r>
      <w:r>
        <w:rPr>
          <w:rFonts w:ascii="Times New Roman" w:hAnsi="Times New Roman" w:cs="Times New Roman" w:eastAsia="Times New Roman" w:hint="default"/>
        </w:rPr>
        <w:t>3500</w:t>
      </w:r>
      <w:r>
        <w:rPr>
          <w:rFonts w:ascii="Times New Roman" w:hAnsi="Times New Roman" w:cs="Times New Roman" w:eastAsia="Times New Roman" w:hint="default"/>
          <w:spacing w:val="9"/>
        </w:rPr>
        <w:t> </w:t>
      </w:r>
      <w:r>
        <w:rPr/>
        <w:t>万元收购重庆</w:t>
      </w:r>
    </w:p>
    <w:p>
      <w:pPr>
        <w:pStyle w:val="BodyText"/>
        <w:spacing w:line="300" w:lineRule="auto" w:before="63"/>
        <w:ind w:right="1031"/>
        <w:jc w:val="left"/>
      </w:pPr>
      <w:r>
        <w:rPr/>
        <w:t>全来环保科技发展有限公司持有的重庆渝凡实业有限公司</w:t>
      </w:r>
      <w:r>
        <w:rPr>
          <w:rFonts w:ascii="Times New Roman" w:hAnsi="Times New Roman" w:cs="Times New Roman" w:eastAsia="Times New Roman" w:hint="default"/>
        </w:rPr>
        <w:t>100%</w:t>
      </w:r>
      <w:r>
        <w:rPr/>
        <w:t>股权，以现金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万元收购公司控股子公司重庆冀华环保科 </w:t>
      </w:r>
      <w:r>
        <w:rPr>
          <w:spacing w:val="-1"/>
        </w:rPr>
        <w:t>技发展有限公司持有的四川广迈富宇建设工程有限公司</w:t>
      </w:r>
      <w:r>
        <w:rPr>
          <w:rFonts w:ascii="Times New Roman" w:hAnsi="Times New Roman" w:cs="Times New Roman" w:eastAsia="Times New Roman" w:hint="default"/>
          <w:spacing w:val="-1"/>
        </w:rPr>
        <w:t>100%</w:t>
      </w:r>
      <w:r>
        <w:rPr>
          <w:spacing w:val="-1"/>
        </w:rPr>
        <w:t>股权。详见公司于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w:t>
      </w:r>
      <w:r>
        <w:rPr>
          <w:spacing w:val="-1"/>
        </w:rPr>
        <w:t>日披露于巨潮资讯网的相关公告。</w:t>
      </w:r>
    </w:p>
    <w:p>
      <w:pPr>
        <w:pStyle w:val="BodyText"/>
        <w:spacing w:line="300" w:lineRule="auto" w:before="13"/>
        <w:ind w:right="1130" w:firstLine="434"/>
        <w:jc w:val="both"/>
      </w:pPr>
      <w:r>
        <w:rPr/>
        <w:t>经公司第三届董事会第八次会议、第三届监事会第七次会议审议通过。公司以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3"/>
        </w:rPr>
        <w:t> </w:t>
      </w:r>
      <w:r>
        <w:rPr/>
        <w:t>日为基准日，以四川 先河的每股净资产为基础，将持有的四川先河 </w:t>
      </w:r>
      <w:r>
        <w:rPr>
          <w:rFonts w:ascii="Times New Roman" w:hAnsi="Times New Roman" w:cs="Times New Roman" w:eastAsia="Times New Roman" w:hint="default"/>
        </w:rPr>
        <w:t>10%</w:t>
      </w:r>
      <w:r>
        <w:rPr/>
        <w:t>股权以 </w:t>
      </w:r>
      <w:r>
        <w:rPr>
          <w:rFonts w:ascii="Times New Roman" w:hAnsi="Times New Roman" w:cs="Times New Roman" w:eastAsia="Times New Roman" w:hint="default"/>
        </w:rPr>
        <w:t>5,173,446.20</w:t>
      </w:r>
      <w:r>
        <w:rPr>
          <w:rFonts w:ascii="Times New Roman" w:hAnsi="Times New Roman" w:cs="Times New Roman" w:eastAsia="Times New Roman" w:hint="default"/>
          <w:spacing w:val="-12"/>
        </w:rPr>
        <w:t> </w:t>
      </w:r>
      <w:r>
        <w:rPr/>
        <w:t>元的价格转让给江寒女士；转让完成后，公司持有 四川先河</w:t>
      </w:r>
      <w:r>
        <w:rPr>
          <w:spacing w:val="-55"/>
        </w:rPr>
        <w:t> </w:t>
      </w:r>
      <w:r>
        <w:rPr>
          <w:rFonts w:ascii="Times New Roman" w:hAnsi="Times New Roman" w:cs="Times New Roman" w:eastAsia="Times New Roman" w:hint="default"/>
        </w:rPr>
        <w:t>90%</w:t>
      </w:r>
      <w:r>
        <w:rPr/>
        <w:t>股权，江寒持有四川先河</w:t>
      </w:r>
      <w:r>
        <w:rPr>
          <w:spacing w:val="-55"/>
        </w:rPr>
        <w:t> </w:t>
      </w:r>
      <w:r>
        <w:rPr>
          <w:rFonts w:ascii="Times New Roman" w:hAnsi="Times New Roman" w:cs="Times New Roman" w:eastAsia="Times New Roman" w:hint="default"/>
        </w:rPr>
        <w:t>10%</w:t>
      </w:r>
      <w:r>
        <w:rPr/>
        <w:t>股权，四川先河变为公司控股子公司。详见公司于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日披露于巨潮资 讯网的相关公告。</w:t>
      </w:r>
    </w:p>
    <w:p>
      <w:pPr>
        <w:spacing w:after="0" w:line="30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六节 股份变动及股东情况" w:id="102"/>
      <w:bookmarkEnd w:id="102"/>
      <w:r>
        <w:rPr>
          <w:b w:val="0"/>
          <w:bCs w:val="0"/>
        </w:rPr>
      </w:r>
      <w:bookmarkStart w:name="_bookmark5" w:id="103"/>
      <w:bookmarkEnd w:id="103"/>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4"/>
      <w:bookmarkEnd w:id="104"/>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48,174,36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13.99%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28,904,61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2,923,386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31,828,00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80,002,37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14.52%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48,174,36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13.99%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28,904,61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2,923,386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31,828,00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80,002,37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14.52%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48,174,36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13.99%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28,904,61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2,923,386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31,828,00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80,002,37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14.52%</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296,220,9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86.01%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177,732,5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-2,923,38</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174,809,2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471,030,1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85.48%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296,220,9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86.01%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177,732,5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-2,923,38</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174,809,2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471,030,1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85.48%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344,395,3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206,637,2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206,637,2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551,032,5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032" w:firstLine="360"/>
        <w:jc w:val="left"/>
      </w:pPr>
      <w:r>
        <w:rPr>
          <w:rFonts w:ascii="Times New Roman" w:hAnsi="Times New Roman" w:cs="Times New Roman" w:eastAsia="Times New Roman" w:hint="default"/>
          <w:spacing w:val="-1"/>
        </w:rPr>
        <w:t>1</w:t>
      </w: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日召开的</w:t>
      </w:r>
      <w:r>
        <w:rPr>
          <w:rFonts w:ascii="Times New Roman" w:hAnsi="Times New Roman" w:cs="Times New Roman" w:eastAsia="Times New Roman" w:hint="default"/>
          <w:spacing w:val="-1"/>
        </w:rPr>
        <w:t>2017</w:t>
      </w:r>
      <w:r>
        <w:rPr>
          <w:spacing w:val="-1"/>
        </w:rPr>
        <w:t>年度股东大会审议通过</w:t>
      </w:r>
      <w:r>
        <w:rPr>
          <w:rFonts w:ascii="Times New Roman" w:hAnsi="Times New Roman" w:cs="Times New Roman" w:eastAsia="Times New Roman" w:hint="default"/>
          <w:spacing w:val="-1"/>
        </w:rPr>
        <w:t>2017</w:t>
      </w:r>
      <w:r>
        <w:rPr>
          <w:spacing w:val="-1"/>
        </w:rPr>
        <w:t>年年度权益分派方案</w:t>
      </w:r>
      <w:r>
        <w:rPr>
          <w:rFonts w:ascii="Times New Roman" w:hAnsi="Times New Roman" w:cs="Times New Roman" w:eastAsia="Times New Roman" w:hint="default"/>
          <w:spacing w:val="-1"/>
        </w:rPr>
        <w:t>,</w:t>
      </w:r>
      <w:r>
        <w:rPr>
          <w:spacing w:val="-1"/>
        </w:rPr>
        <w:t>以公司总股本</w:t>
      </w:r>
      <w:r>
        <w:rPr>
          <w:rFonts w:ascii="Times New Roman" w:hAnsi="Times New Roman" w:cs="Times New Roman" w:eastAsia="Times New Roman" w:hint="default"/>
          <w:spacing w:val="-1"/>
        </w:rPr>
        <w:t>344,395,344</w:t>
      </w:r>
      <w:r>
        <w:rPr>
          <w:spacing w:val="-1"/>
        </w:rPr>
        <w:t>为基数，</w:t>
      </w:r>
      <w:r>
        <w:rPr/>
        <w:t> 向全体股东每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0.5</w:t>
      </w:r>
      <w:r>
        <w:rPr>
          <w:rFonts w:ascii="Times New Roman" w:hAnsi="Times New Roman" w:cs="Times New Roman" w:eastAsia="Times New Roman" w:hint="default"/>
          <w:spacing w:val="26"/>
        </w:rPr>
        <w:t> </w:t>
      </w:r>
      <w:r>
        <w:rPr/>
        <w:t>元（含税），合计派发现金红利</w:t>
      </w:r>
      <w:r>
        <w:rPr>
          <w:rFonts w:ascii="Times New Roman" w:hAnsi="Times New Roman" w:cs="Times New Roman" w:eastAsia="Times New Roman" w:hint="default"/>
        </w:rPr>
        <w:t>17,219,767.20</w:t>
      </w:r>
      <w:r>
        <w:rPr/>
        <w:t>元（含税）；同时以资本公积金转 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股，共计转增</w:t>
      </w:r>
      <w:r>
        <w:rPr>
          <w:rFonts w:ascii="Times New Roman" w:hAnsi="Times New Roman" w:cs="Times New Roman" w:eastAsia="Times New Roman" w:hint="default"/>
        </w:rPr>
        <w:t>206,637,206</w:t>
      </w:r>
      <w:r>
        <w:rPr/>
        <w:t>股。本方案已于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日实施完毕，公司总股本变更为</w:t>
      </w:r>
      <w:r>
        <w:rPr>
          <w:rFonts w:ascii="Times New Roman" w:hAnsi="Times New Roman" w:cs="Times New Roman" w:eastAsia="Times New Roman" w:hint="default"/>
        </w:rPr>
        <w:t>551,032,550</w:t>
      </w:r>
      <w:r>
        <w:rPr/>
        <w:t>股；</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40" w:lineRule="auto" w:before="44"/>
        <w:ind w:right="2742" w:firstLine="360"/>
        <w:jc w:val="left"/>
      </w:pPr>
      <w:r>
        <w:rPr>
          <w:rFonts w:ascii="Times New Roman" w:hAnsi="Times New Roman" w:cs="Times New Roman" w:eastAsia="Times New Roman" w:hint="default"/>
        </w:rPr>
        <w:t>2</w:t>
      </w:r>
      <w:r>
        <w:rPr/>
        <w:t>、报告期内，公司董事、监事、高级管理人员及离职高级管理人员所持股份按照相关规定解锁。 股份变动的批准情况</w:t>
      </w:r>
    </w:p>
    <w:p>
      <w:pPr>
        <w:pStyle w:val="BodyText"/>
        <w:spacing w:line="338" w:lineRule="auto" w:before="41"/>
        <w:ind w:right="41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日召开的</w:t>
      </w:r>
      <w:r>
        <w:rPr>
          <w:rFonts w:ascii="Times New Roman" w:hAnsi="Times New Roman" w:cs="Times New Roman" w:eastAsia="Times New Roman" w:hint="default"/>
        </w:rPr>
        <w:t>2017</w:t>
      </w:r>
      <w:r>
        <w:rPr/>
        <w:t>年度股东大会审议通过</w:t>
      </w:r>
      <w:r>
        <w:rPr>
          <w:rFonts w:ascii="Times New Roman" w:hAnsi="Times New Roman" w:cs="Times New Roman" w:eastAsia="Times New Roman" w:hint="default"/>
        </w:rPr>
        <w:t>2017</w:t>
      </w:r>
      <w:r>
        <w:rPr/>
        <w:t>年年度权益分派方案。 股份变动的过户情况</w:t>
      </w:r>
    </w:p>
    <w:p>
      <w:pPr>
        <w:pStyle w:val="BodyText"/>
        <w:spacing w:line="338" w:lineRule="auto" w:before="43"/>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16" w:firstLine="434"/>
        <w:jc w:val="left"/>
      </w:pP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16</w:t>
      </w:r>
      <w:r>
        <w:rPr>
          <w:spacing w:val="-2"/>
        </w:rPr>
        <w:t>日召开第三届董事会第九次会议、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w:t>
      </w:r>
      <w:r>
        <w:rPr>
          <w:spacing w:val="-2"/>
        </w:rPr>
        <w:t>日召开</w:t>
      </w:r>
      <w:r>
        <w:rPr>
          <w:rFonts w:ascii="Times New Roman" w:hAnsi="Times New Roman" w:cs="Times New Roman" w:eastAsia="Times New Roman" w:hint="default"/>
          <w:spacing w:val="-2"/>
        </w:rPr>
        <w:t>2018</w:t>
      </w:r>
      <w:r>
        <w:rPr>
          <w:spacing w:val="-2"/>
        </w:rPr>
        <w:t>年第一次临时股东大会审议通过了《关于</w:t>
      </w:r>
      <w:r>
        <w:rPr/>
        <w:t> </w:t>
      </w:r>
      <w:r>
        <w:rPr>
          <w:spacing w:val="-4"/>
        </w:rPr>
        <w:t>回购公司股份的议案》，公司决定使用自筹资金以集中竞价交易方式回购公司股份，回购总金额不超过人民币 </w:t>
      </w:r>
      <w:r>
        <w:rPr>
          <w:rFonts w:ascii="Times New Roman" w:hAnsi="Times New Roman" w:cs="Times New Roman" w:eastAsia="Times New Roman" w:hint="default"/>
        </w:rPr>
        <w:t>5000</w:t>
      </w:r>
      <w:r>
        <w:rPr>
          <w:rFonts w:ascii="Times New Roman" w:hAnsi="Times New Roman" w:cs="Times New Roman" w:eastAsia="Times New Roman" w:hint="default"/>
          <w:spacing w:val="37"/>
        </w:rPr>
        <w:t> </w:t>
      </w:r>
      <w:r>
        <w:rPr>
          <w:spacing w:val="-15"/>
        </w:rPr>
        <w:t>万元（含</w:t>
      </w:r>
    </w:p>
    <w:p>
      <w:pPr>
        <w:pStyle w:val="BodyText"/>
        <w:spacing w:line="300" w:lineRule="auto" w:before="13"/>
        <w:ind w:right="1176"/>
        <w:jc w:val="left"/>
      </w:pPr>
      <w:r>
        <w:rPr>
          <w:rFonts w:ascii="Times New Roman" w:hAnsi="Times New Roman" w:cs="Times New Roman" w:eastAsia="Times New Roman" w:hint="default"/>
        </w:rPr>
        <w:t>5000 </w:t>
      </w:r>
      <w:r>
        <w:rPr/>
        <w:t>万元）且不低于人民币 </w:t>
      </w:r>
      <w:r>
        <w:rPr>
          <w:rFonts w:ascii="Times New Roman" w:hAnsi="Times New Roman" w:cs="Times New Roman" w:eastAsia="Times New Roman" w:hint="default"/>
        </w:rPr>
        <w:t>3000 </w:t>
      </w:r>
      <w:r>
        <w:rPr/>
        <w:t>万元（含 </w:t>
      </w:r>
      <w:r>
        <w:rPr>
          <w:rFonts w:ascii="Times New Roman" w:hAnsi="Times New Roman" w:cs="Times New Roman" w:eastAsia="Times New Roman" w:hint="default"/>
        </w:rPr>
        <w:t>3000</w:t>
      </w:r>
      <w:r>
        <w:rPr>
          <w:rFonts w:ascii="Times New Roman" w:hAnsi="Times New Roman" w:cs="Times New Roman" w:eastAsia="Times New Roman" w:hint="default"/>
          <w:spacing w:val="41"/>
        </w:rPr>
        <w:t> </w:t>
      </w:r>
      <w:r>
        <w:rPr/>
        <w:t>万元），回购股份价格不高于人民币</w:t>
      </w:r>
      <w:r>
        <w:rPr>
          <w:rFonts w:ascii="Times New Roman" w:hAnsi="Times New Roman" w:cs="Times New Roman" w:eastAsia="Times New Roman" w:hint="default"/>
        </w:rPr>
        <w:t>12</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w:t>
      </w:r>
      <w:r>
        <w:rPr/>
        <w:t>含</w:t>
      </w:r>
      <w:r>
        <w:rPr>
          <w:rFonts w:ascii="Times New Roman" w:hAnsi="Times New Roman" w:cs="Times New Roman" w:eastAsia="Times New Roman" w:hint="default"/>
        </w:rPr>
        <w:t>12</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w:t>
      </w:r>
      <w:r>
        <w:rPr/>
        <w:t>，回购股份期限 自股东大会审议方案通过之日起不超过</w:t>
      </w:r>
      <w:r>
        <w:rPr>
          <w:rFonts w:ascii="Times New Roman" w:hAnsi="Times New Roman" w:cs="Times New Roman" w:eastAsia="Times New Roman" w:hint="default"/>
        </w:rPr>
        <w:t>6</w:t>
      </w:r>
      <w:r>
        <w:rPr/>
        <w:t>个月。</w:t>
      </w:r>
    </w:p>
    <w:p>
      <w:pPr>
        <w:pStyle w:val="BodyText"/>
        <w:spacing w:line="300" w:lineRule="auto" w:before="13"/>
        <w:ind w:right="1141" w:firstLine="362"/>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月末，公司累计通过股票回购专用证券账户以集中竞价交易方式回购股份数量为</w:t>
      </w:r>
      <w:r>
        <w:rPr>
          <w:rFonts w:ascii="Times New Roman" w:hAnsi="Times New Roman" w:cs="Times New Roman" w:eastAsia="Times New Roman" w:hint="default"/>
        </w:rPr>
        <w:t>4,613,200</w:t>
      </w:r>
      <w:r>
        <w:rPr>
          <w:rFonts w:ascii="Times New Roman" w:hAnsi="Times New Roman" w:cs="Times New Roman" w:eastAsia="Times New Roman" w:hint="default"/>
          <w:spacing w:val="23"/>
        </w:rPr>
        <w:t> </w:t>
      </w:r>
      <w:r>
        <w:rPr/>
        <w:t>股，占公司目 前总股本的 </w:t>
      </w:r>
      <w:r>
        <w:rPr>
          <w:rFonts w:ascii="Times New Roman" w:hAnsi="Times New Roman" w:cs="Times New Roman" w:eastAsia="Times New Roman" w:hint="default"/>
        </w:rPr>
        <w:t>0.84%</w:t>
      </w:r>
      <w:r>
        <w:rPr/>
        <w:t>，最高成交价为</w:t>
      </w:r>
      <w:r>
        <w:rPr>
          <w:rFonts w:ascii="Times New Roman" w:hAnsi="Times New Roman" w:cs="Times New Roman" w:eastAsia="Times New Roman" w:hint="default"/>
        </w:rPr>
        <w:t>8.74</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6.99</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支付的总金额为</w:t>
      </w:r>
      <w:r>
        <w:rPr>
          <w:rFonts w:ascii="Times New Roman" w:hAnsi="Times New Roman" w:cs="Times New Roman" w:eastAsia="Times New Roman" w:hint="default"/>
        </w:rPr>
        <w:t>36,901,998.60</w:t>
      </w:r>
      <w:r>
        <w:rPr/>
        <w:t>元（不含交易费用）。</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采用集中竞价方式减持回购股份的实施进展情况</w:t>
      </w:r>
    </w:p>
    <w:p>
      <w:pPr>
        <w:pStyle w:val="BodyText"/>
        <w:spacing w:line="340" w:lineRule="auto" w:before="116"/>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left="514" w:right="103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w:t>
      </w:r>
      <w:r>
        <w:rPr>
          <w:rFonts w:ascii="Times New Roman" w:hAnsi="Times New Roman" w:cs="Times New Roman" w:eastAsia="Times New Roman" w:hint="default"/>
          <w:spacing w:val="-2"/>
        </w:rPr>
        <w:t>2017</w:t>
      </w:r>
      <w:r>
        <w:rPr>
          <w:spacing w:val="-2"/>
        </w:rPr>
        <w:t>年年度权益分派方案于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17</w:t>
      </w:r>
      <w:r>
        <w:rPr>
          <w:spacing w:val="-2"/>
        </w:rPr>
        <w:t>日实施完毕，公司总股本由</w:t>
      </w:r>
      <w:r>
        <w:rPr>
          <w:rFonts w:ascii="Times New Roman" w:hAnsi="Times New Roman" w:cs="Times New Roman" w:eastAsia="Times New Roman" w:hint="default"/>
          <w:spacing w:val="-2"/>
        </w:rPr>
        <w:t>344,395,344</w:t>
      </w:r>
      <w:r>
        <w:rPr>
          <w:spacing w:val="-2"/>
        </w:rPr>
        <w:t>股变更为</w:t>
      </w:r>
      <w:r>
        <w:rPr>
          <w:rFonts w:ascii="Times New Roman" w:hAnsi="Times New Roman" w:cs="Times New Roman" w:eastAsia="Times New Roman" w:hint="default"/>
          <w:spacing w:val="-2"/>
        </w:rPr>
        <w:t>551,032,550</w:t>
      </w:r>
      <w:r>
        <w:rPr>
          <w:spacing w:val="-2"/>
        </w:rPr>
        <w:t>股。</w:t>
      </w:r>
    </w:p>
    <w:p>
      <w:pPr>
        <w:pStyle w:val="BodyText"/>
        <w:spacing w:line="217" w:lineRule="exact"/>
        <w:ind w:right="0"/>
        <w:jc w:val="left"/>
      </w:pPr>
      <w:r>
        <w:rPr/>
        <w:t>本次股份变动对公司最近一年和最近一期基本每股收益和稀释每股收益</w:t>
      </w:r>
      <w:r>
        <w:rPr>
          <w:spacing w:val="-82"/>
        </w:rPr>
        <w:t>、</w:t>
      </w:r>
      <w:r>
        <w:rPr/>
        <w:t>归属于公司普通股股东的每股净资产等财务指标的</w:t>
      </w:r>
    </w:p>
    <w:p>
      <w:pPr>
        <w:pStyle w:val="BodyText"/>
        <w:spacing w:line="240" w:lineRule="auto" w:before="76"/>
        <w:ind w:right="0"/>
        <w:jc w:val="left"/>
      </w:pPr>
      <w:r>
        <w:rPr/>
        <w:t>影响如下：</w:t>
      </w:r>
    </w:p>
    <w:p>
      <w:pPr>
        <w:spacing w:line="240" w:lineRule="auto" w:before="0"/>
        <w:rPr>
          <w:rFonts w:ascii="宋体" w:hAnsi="宋体" w:cs="宋体" w:eastAsia="宋体" w:hint="default"/>
          <w:sz w:val="5"/>
          <w:szCs w:val="5"/>
        </w:rPr>
      </w:pPr>
    </w:p>
    <w:tbl>
      <w:tblPr>
        <w:tblW w:w="0" w:type="auto"/>
        <w:jc w:val="left"/>
        <w:tblInd w:w="870" w:type="dxa"/>
        <w:tblLayout w:type="fixed"/>
        <w:tblCellMar>
          <w:top w:w="0" w:type="dxa"/>
          <w:left w:w="0" w:type="dxa"/>
          <w:bottom w:w="0" w:type="dxa"/>
          <w:right w:w="0" w:type="dxa"/>
        </w:tblCellMar>
        <w:tblLook w:val="01E0"/>
      </w:tblPr>
      <w:tblGrid>
        <w:gridCol w:w="3654"/>
        <w:gridCol w:w="1669"/>
        <w:gridCol w:w="1449"/>
        <w:gridCol w:w="1418"/>
      </w:tblGrid>
      <w:tr>
        <w:trPr>
          <w:trHeight w:val="427" w:hRule="exact"/>
        </w:trPr>
        <w:tc>
          <w:tcPr>
            <w:tcW w:w="365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6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286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r>
      <w:tr>
        <w:trPr>
          <w:trHeight w:val="427" w:hRule="exact"/>
        </w:trPr>
        <w:tc>
          <w:tcPr>
            <w:tcW w:w="3654" w:type="dxa"/>
            <w:vMerge/>
            <w:tcBorders>
              <w:left w:val="single" w:sz="6" w:space="0" w:color="000000"/>
              <w:bottom w:val="single" w:sz="6" w:space="0" w:color="000000"/>
              <w:right w:val="single" w:sz="6" w:space="0" w:color="000000"/>
            </w:tcBorders>
            <w:shd w:val="clear" w:color="auto" w:fill="D2D2D2"/>
          </w:tcPr>
          <w:p>
            <w:pPr/>
          </w:p>
        </w:tc>
        <w:tc>
          <w:tcPr>
            <w:tcW w:w="16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196" w:right="0"/>
              <w:jc w:val="left"/>
              <w:rPr>
                <w:rFonts w:ascii="宋体" w:hAnsi="宋体" w:cs="宋体" w:eastAsia="宋体" w:hint="default"/>
                <w:sz w:val="18"/>
                <w:szCs w:val="18"/>
              </w:rPr>
            </w:pPr>
            <w:r>
              <w:rPr>
                <w:rFonts w:ascii="宋体" w:hAnsi="宋体" w:cs="宋体" w:eastAsia="宋体" w:hint="default"/>
                <w:sz w:val="18"/>
                <w:szCs w:val="18"/>
              </w:rPr>
              <w:t>按最新股本计算</w:t>
            </w:r>
          </w:p>
        </w:tc>
        <w:tc>
          <w:tcPr>
            <w:tcW w:w="14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177" w:right="0"/>
              <w:jc w:val="left"/>
              <w:rPr>
                <w:rFonts w:ascii="宋体" w:hAnsi="宋体" w:cs="宋体" w:eastAsia="宋体" w:hint="default"/>
                <w:sz w:val="18"/>
                <w:szCs w:val="18"/>
              </w:rPr>
            </w:pPr>
            <w:r>
              <w:rPr>
                <w:rFonts w:ascii="宋体" w:hAnsi="宋体" w:cs="宋体" w:eastAsia="宋体" w:hint="default"/>
                <w:sz w:val="18"/>
                <w:szCs w:val="18"/>
              </w:rPr>
              <w:t>按原股本计算</w:t>
            </w:r>
          </w:p>
        </w:tc>
        <w:tc>
          <w:tcPr>
            <w:tcW w:w="1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71"/>
              <w:jc w:val="right"/>
              <w:rPr>
                <w:rFonts w:ascii="宋体" w:hAnsi="宋体" w:cs="宋体" w:eastAsia="宋体" w:hint="default"/>
                <w:sz w:val="18"/>
                <w:szCs w:val="18"/>
              </w:rPr>
            </w:pPr>
            <w:r>
              <w:rPr>
                <w:rFonts w:ascii="宋体" w:hAnsi="宋体" w:cs="宋体" w:eastAsia="宋体" w:hint="default"/>
                <w:sz w:val="18"/>
                <w:szCs w:val="18"/>
              </w:rPr>
              <w:t>按最新股本计算</w:t>
            </w:r>
          </w:p>
        </w:tc>
      </w:tr>
      <w:tr>
        <w:trPr>
          <w:trHeight w:val="427"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0.47</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0.55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0.34</w:t>
            </w:r>
          </w:p>
        </w:tc>
      </w:tr>
      <w:tr>
        <w:trPr>
          <w:trHeight w:val="427"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0.47</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0.55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0.34</w:t>
            </w:r>
          </w:p>
        </w:tc>
      </w:tr>
      <w:tr>
        <w:trPr>
          <w:trHeight w:val="426" w:hRule="exact"/>
        </w:trPr>
        <w:tc>
          <w:tcPr>
            <w:tcW w:w="3654" w:type="dxa"/>
            <w:vMerge w:val="restart"/>
            <w:tcBorders>
              <w:top w:val="single" w:sz="6" w:space="0" w:color="000000"/>
              <w:left w:val="single" w:sz="6" w:space="0" w:color="000000"/>
              <w:right w:val="single" w:sz="6" w:space="0" w:color="000000"/>
            </w:tcBorders>
            <w:shd w:val="clear" w:color="auto" w:fill="D2D2D2"/>
          </w:tcPr>
          <w:p>
            <w:pPr/>
          </w:p>
        </w:tc>
        <w:tc>
          <w:tcPr>
            <w:tcW w:w="16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年末</w:t>
            </w:r>
          </w:p>
        </w:tc>
        <w:tc>
          <w:tcPr>
            <w:tcW w:w="286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年末</w:t>
            </w:r>
          </w:p>
        </w:tc>
      </w:tr>
      <w:tr>
        <w:trPr>
          <w:trHeight w:val="427" w:hRule="exact"/>
        </w:trPr>
        <w:tc>
          <w:tcPr>
            <w:tcW w:w="3654" w:type="dxa"/>
            <w:vMerge/>
            <w:tcBorders>
              <w:left w:val="single" w:sz="6" w:space="0" w:color="000000"/>
              <w:bottom w:val="single" w:sz="6" w:space="0" w:color="000000"/>
              <w:right w:val="single" w:sz="6" w:space="0" w:color="000000"/>
            </w:tcBorders>
            <w:shd w:val="clear" w:color="auto" w:fill="D2D2D2"/>
          </w:tcPr>
          <w:p>
            <w:pPr/>
          </w:p>
        </w:tc>
        <w:tc>
          <w:tcPr>
            <w:tcW w:w="16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196" w:right="0"/>
              <w:jc w:val="left"/>
              <w:rPr>
                <w:rFonts w:ascii="宋体" w:hAnsi="宋体" w:cs="宋体" w:eastAsia="宋体" w:hint="default"/>
                <w:sz w:val="18"/>
                <w:szCs w:val="18"/>
              </w:rPr>
            </w:pPr>
            <w:r>
              <w:rPr>
                <w:rFonts w:ascii="宋体" w:hAnsi="宋体" w:cs="宋体" w:eastAsia="宋体" w:hint="default"/>
                <w:sz w:val="18"/>
                <w:szCs w:val="18"/>
              </w:rPr>
              <w:t>按最新股本计算</w:t>
            </w:r>
          </w:p>
        </w:tc>
        <w:tc>
          <w:tcPr>
            <w:tcW w:w="14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177" w:right="0"/>
              <w:jc w:val="left"/>
              <w:rPr>
                <w:rFonts w:ascii="宋体" w:hAnsi="宋体" w:cs="宋体" w:eastAsia="宋体" w:hint="default"/>
                <w:sz w:val="18"/>
                <w:szCs w:val="18"/>
              </w:rPr>
            </w:pPr>
            <w:r>
              <w:rPr>
                <w:rFonts w:ascii="宋体" w:hAnsi="宋体" w:cs="宋体" w:eastAsia="宋体" w:hint="default"/>
                <w:sz w:val="18"/>
                <w:szCs w:val="18"/>
              </w:rPr>
              <w:t>按原股本计算</w:t>
            </w:r>
          </w:p>
        </w:tc>
        <w:tc>
          <w:tcPr>
            <w:tcW w:w="1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71"/>
              <w:jc w:val="right"/>
              <w:rPr>
                <w:rFonts w:ascii="宋体" w:hAnsi="宋体" w:cs="宋体" w:eastAsia="宋体" w:hint="default"/>
                <w:sz w:val="18"/>
                <w:szCs w:val="18"/>
              </w:rPr>
            </w:pPr>
            <w:r>
              <w:rPr>
                <w:rFonts w:ascii="宋体" w:hAnsi="宋体" w:cs="宋体" w:eastAsia="宋体" w:hint="default"/>
                <w:sz w:val="18"/>
                <w:szCs w:val="18"/>
              </w:rPr>
              <w:t>按最新股本计算</w:t>
            </w:r>
          </w:p>
        </w:tc>
      </w:tr>
      <w:tr>
        <w:trPr>
          <w:trHeight w:val="740"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3.28</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4.65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2.91</w:t>
            </w:r>
          </w:p>
        </w:tc>
      </w:tr>
    </w:tbl>
    <w:p>
      <w:pPr>
        <w:spacing w:line="240" w:lineRule="auto" w:before="5"/>
        <w:rPr>
          <w:rFonts w:ascii="宋体" w:hAnsi="宋体" w:cs="宋体" w:eastAsia="宋体" w:hint="default"/>
          <w:sz w:val="24"/>
          <w:szCs w:val="24"/>
        </w:rPr>
      </w:pPr>
    </w:p>
    <w:p>
      <w:pPr>
        <w:pStyle w:val="BodyText"/>
        <w:spacing w:line="240" w:lineRule="auto" w:before="44"/>
        <w:ind w:right="0"/>
        <w:jc w:val="left"/>
      </w:pPr>
      <w:r>
        <w:rPr/>
        <w:t>公司认为必要或证券监管机构要求披露的其他内容</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51"/>
      </w:tblGrid>
      <w:tr>
        <w:trPr>
          <w:trHeight w:val="39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9" w:right="0"/>
              <w:jc w:val="left"/>
              <w:rPr>
                <w:rFonts w:ascii="宋体" w:hAnsi="宋体" w:cs="宋体" w:eastAsia="宋体" w:hint="default"/>
                <w:sz w:val="18"/>
                <w:szCs w:val="18"/>
              </w:rPr>
            </w:pPr>
            <w:r>
              <w:rPr>
                <w:rFonts w:ascii="宋体" w:hAnsi="宋体" w:cs="宋体" w:eastAsia="宋体" w:hint="default"/>
                <w:sz w:val="18"/>
                <w:szCs w:val="18"/>
              </w:rPr>
              <w:t>本期解除限售股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9" w:right="0"/>
              <w:jc w:val="left"/>
              <w:rPr>
                <w:rFonts w:ascii="宋体" w:hAnsi="宋体" w:cs="宋体" w:eastAsia="宋体" w:hint="default"/>
                <w:sz w:val="18"/>
                <w:szCs w:val="18"/>
              </w:rPr>
            </w:pPr>
            <w:r>
              <w:rPr>
                <w:rFonts w:ascii="宋体" w:hAnsi="宋体" w:cs="宋体" w:eastAsia="宋体" w:hint="default"/>
                <w:sz w:val="18"/>
                <w:szCs w:val="18"/>
              </w:rPr>
              <w:t>本期增加限售股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35,799,670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26,903,596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62,703,266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 日解锁其拥有公 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4,092,565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2,455,539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6,548,104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 日解锁其拥有公 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4,319,375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2,591,625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6,911,000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 日解锁其拥有公 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258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梁常清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3,190,255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649,745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316" w:lineRule="auto" w:before="61"/>
              <w:ind w:left="22"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日梁常清先生辞 去高管职务，原 定任期至 </w:t>
            </w:r>
            <w:r>
              <w:rPr>
                <w:rFonts w:ascii="Times New Roman" w:hAnsi="Times New Roman" w:cs="Times New Roman" w:eastAsia="Times New Roman" w:hint="default"/>
                <w:sz w:val="18"/>
                <w:szCs w:val="18"/>
              </w:rPr>
              <w:t>2020</w:t>
            </w:r>
          </w:p>
          <w:p>
            <w:pPr>
              <w:pStyle w:val="TableParagraph"/>
              <w:spacing w:line="312" w:lineRule="auto"/>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离任后其所持股 票按相关规定锁 定</w:t>
            </w:r>
            <w:r>
              <w:rPr>
                <w:rFonts w:ascii="Times New Roman" w:hAnsi="Times New Roman" w:cs="Times New Roman" w:eastAsia="Times New Roman" w:hint="default"/>
                <w:sz w:val="18"/>
                <w:szCs w:val="18"/>
              </w:rPr>
              <w:t>.</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47,401,865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32,600,505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80,002,370</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日召开的</w:t>
      </w:r>
      <w:r>
        <w:rPr>
          <w:rFonts w:ascii="Times New Roman" w:hAnsi="Times New Roman" w:cs="Times New Roman" w:eastAsia="Times New Roman" w:hint="default"/>
          <w:spacing w:val="-1"/>
        </w:rPr>
        <w:t>2017</w:t>
      </w:r>
      <w:r>
        <w:rPr>
          <w:spacing w:val="-1"/>
        </w:rPr>
        <w:t>年度股东大会审议通过</w:t>
      </w:r>
      <w:r>
        <w:rPr>
          <w:rFonts w:ascii="Times New Roman" w:hAnsi="Times New Roman" w:cs="Times New Roman" w:eastAsia="Times New Roman" w:hint="default"/>
          <w:spacing w:val="-1"/>
        </w:rPr>
        <w:t>2017</w:t>
      </w:r>
      <w:r>
        <w:rPr>
          <w:spacing w:val="-1"/>
        </w:rPr>
        <w:t>年年度权益分派方案</w:t>
      </w:r>
      <w:r>
        <w:rPr>
          <w:rFonts w:ascii="Times New Roman" w:hAnsi="Times New Roman" w:cs="Times New Roman" w:eastAsia="Times New Roman" w:hint="default"/>
          <w:spacing w:val="-1"/>
        </w:rPr>
        <w:t>,</w:t>
      </w:r>
      <w:r>
        <w:rPr>
          <w:spacing w:val="-1"/>
        </w:rPr>
        <w:t>以公司总股本</w:t>
      </w:r>
      <w:r>
        <w:rPr>
          <w:rFonts w:ascii="Times New Roman" w:hAnsi="Times New Roman" w:cs="Times New Roman" w:eastAsia="Times New Roman" w:hint="default"/>
          <w:spacing w:val="-1"/>
        </w:rPr>
        <w:t>344,395,344</w:t>
      </w:r>
      <w:r>
        <w:rPr>
          <w:spacing w:val="-1"/>
        </w:rPr>
        <w:t>为基数，向</w:t>
      </w:r>
    </w:p>
    <w:p>
      <w:pPr>
        <w:pStyle w:val="BodyText"/>
        <w:spacing w:line="230" w:lineRule="exact"/>
        <w:ind w:right="0"/>
        <w:jc w:val="left"/>
      </w:pPr>
      <w:r>
        <w:rPr/>
        <w:t>全体股东每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0.5</w:t>
      </w:r>
      <w:r>
        <w:rPr>
          <w:rFonts w:ascii="Times New Roman" w:hAnsi="Times New Roman" w:cs="Times New Roman" w:eastAsia="Times New Roman" w:hint="default"/>
          <w:spacing w:val="23"/>
        </w:rPr>
        <w:t> </w:t>
      </w:r>
      <w:r>
        <w:rPr/>
        <w:t>元（含税），合计派发现金红利</w:t>
      </w:r>
      <w:r>
        <w:rPr>
          <w:rFonts w:ascii="Times New Roman" w:hAnsi="Times New Roman" w:cs="Times New Roman" w:eastAsia="Times New Roman" w:hint="default"/>
        </w:rPr>
        <w:t>17,219,767.20</w:t>
      </w:r>
      <w:r>
        <w:rPr/>
        <w:t>元（含税）；同时以资本公积金转增</w:t>
      </w:r>
    </w:p>
    <w:p>
      <w:pPr>
        <w:pStyle w:val="BodyText"/>
        <w:spacing w:line="240" w:lineRule="auto" w:before="63"/>
        <w:ind w:right="0"/>
        <w:jc w:val="left"/>
      </w:pPr>
      <w:r>
        <w:rPr/>
        <w:t>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股，共计转增</w:t>
      </w:r>
      <w:r>
        <w:rPr>
          <w:rFonts w:ascii="Times New Roman" w:hAnsi="Times New Roman" w:cs="Times New Roman" w:eastAsia="Times New Roman" w:hint="default"/>
        </w:rPr>
        <w:t>206,637,206</w:t>
      </w:r>
      <w:r>
        <w:rPr/>
        <w:t>股。本方案已于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日实施完毕，公司总股本变更为</w:t>
      </w:r>
      <w:r>
        <w:rPr>
          <w:rFonts w:ascii="Times New Roman" w:hAnsi="Times New Roman" w:cs="Times New Roman" w:eastAsia="Times New Roman" w:hint="default"/>
        </w:rPr>
        <w:t>551,032,550</w:t>
      </w:r>
      <w:r>
        <w:rPr/>
        <w:t>股。</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49.277008pt;margin-top:123.29998pt;width:85.6pt;height:31.25pt;mso-position-horizontal-relative:page;mso-position-vertical-relative:page;z-index:-906976"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2.399994pt;margin-top:123.29998pt;width:52.45pt;height:31.25pt;mso-position-horizontal-relative:page;mso-position-vertical-relative:page;z-index:-906952" coordorigin="9648,2466" coordsize="1049,625">
            <v:shape style="position:absolute;left:9648;top:2466;width:1049;height:625" coordorigin="9648,2466" coordsize="1049,625" path="m9648,3090l10697,3090,10697,2466,9648,2466,9648,309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35"/>
        <w:gridCol w:w="509"/>
        <w:gridCol w:w="298"/>
        <w:gridCol w:w="739"/>
        <w:gridCol w:w="744"/>
        <w:gridCol w:w="1054"/>
        <w:gridCol w:w="121"/>
        <w:gridCol w:w="872"/>
        <w:gridCol w:w="434"/>
        <w:gridCol w:w="559"/>
        <w:gridCol w:w="528"/>
        <w:gridCol w:w="180"/>
        <w:gridCol w:w="1125"/>
        <w:gridCol w:w="151"/>
        <w:gridCol w:w="920"/>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63,221</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58,377</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51" w:type="dxa"/>
            <w:tcBorders>
              <w:top w:val="single" w:sz="4" w:space="0" w:color="000000"/>
              <w:left w:val="single" w:sz="13" w:space="0" w:color="D2D2D2"/>
              <w:bottom w:val="nil" w:sz="6" w:space="0" w:color="auto"/>
              <w:right w:val="nil" w:sz="6" w:space="0" w:color="auto"/>
            </w:tcBorders>
          </w:tcPr>
          <w:p>
            <w:pPr/>
          </w:p>
        </w:tc>
        <w:tc>
          <w:tcPr>
            <w:tcW w:w="920"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51" w:type="dxa"/>
            <w:vMerge w:val="restart"/>
            <w:tcBorders>
              <w:top w:val="nil" w:sz="6" w:space="0" w:color="auto"/>
              <w:left w:val="single" w:sz="13" w:space="0" w:color="D2D2D2"/>
              <w:right w:val="nil" w:sz="6" w:space="0" w:color="auto"/>
            </w:tcBorders>
          </w:tcPr>
          <w:p>
            <w:pPr/>
          </w:p>
        </w:tc>
        <w:tc>
          <w:tcPr>
            <w:tcW w:w="920"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51" w:type="dxa"/>
            <w:vMerge/>
            <w:tcBorders>
              <w:left w:val="single" w:sz="13" w:space="0" w:color="D2D2D2"/>
              <w:right w:val="nil" w:sz="6" w:space="0" w:color="auto"/>
            </w:tcBorders>
          </w:tcPr>
          <w:p>
            <w:pPr/>
          </w:p>
        </w:tc>
        <w:tc>
          <w:tcPr>
            <w:tcW w:w="920"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51" w:type="dxa"/>
            <w:vMerge/>
            <w:tcBorders>
              <w:left w:val="single" w:sz="13" w:space="0" w:color="D2D2D2"/>
              <w:right w:val="nil" w:sz="6" w:space="0" w:color="auto"/>
            </w:tcBorders>
          </w:tcPr>
          <w:p>
            <w:pPr/>
          </w:p>
        </w:tc>
        <w:tc>
          <w:tcPr>
            <w:tcW w:w="920"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51" w:type="dxa"/>
            <w:vMerge/>
            <w:tcBorders>
              <w:left w:val="single" w:sz="13" w:space="0" w:color="D2D2D2"/>
              <w:right w:val="nil" w:sz="6" w:space="0" w:color="auto"/>
            </w:tcBorders>
          </w:tcPr>
          <w:p>
            <w:pPr/>
          </w:p>
        </w:tc>
        <w:tc>
          <w:tcPr>
            <w:tcW w:w="920"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51" w:type="dxa"/>
            <w:vMerge/>
            <w:tcBorders>
              <w:left w:val="single" w:sz="13" w:space="0" w:color="D2D2D2"/>
              <w:right w:val="nil" w:sz="6" w:space="0" w:color="auto"/>
            </w:tcBorders>
          </w:tcPr>
          <w:p>
            <w:pPr/>
          </w:p>
        </w:tc>
        <w:tc>
          <w:tcPr>
            <w:tcW w:w="920"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151" w:type="dxa"/>
            <w:vMerge/>
            <w:tcBorders>
              <w:left w:val="single" w:sz="13" w:space="0" w:color="D2D2D2"/>
              <w:bottom w:val="single" w:sz="4" w:space="0" w:color="000000"/>
              <w:right w:val="nil" w:sz="6" w:space="0" w:color="auto"/>
            </w:tcBorders>
          </w:tcPr>
          <w:p>
            <w:pPr/>
          </w:p>
        </w:tc>
        <w:tc>
          <w:tcPr>
            <w:tcW w:w="920"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844" w:type="dxa"/>
            <w:gridSpan w:val="2"/>
            <w:vMerge w:val="restart"/>
            <w:tcBorders>
              <w:top w:val="single" w:sz="4" w:space="0" w:color="000000"/>
              <w:left w:val="single" w:sz="4" w:space="0" w:color="000000"/>
              <w:right w:val="single" w:sz="4" w:space="0" w:color="000000"/>
            </w:tcBorders>
            <w:shd w:val="clear" w:color="auto" w:fill="D2D2D2"/>
          </w:tcPr>
          <w:p>
            <w:pPr/>
          </w:p>
        </w:tc>
        <w:tc>
          <w:tcPr>
            <w:tcW w:w="1037"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1054" w:type="dxa"/>
            <w:vMerge w:val="restart"/>
            <w:tcBorders>
              <w:top w:val="single" w:sz="4" w:space="0" w:color="000000"/>
              <w:left w:val="single" w:sz="4" w:space="0" w:color="000000"/>
              <w:right w:val="single" w:sz="4" w:space="0" w:color="000000"/>
            </w:tcBorders>
            <w:shd w:val="clear" w:color="auto" w:fill="D2D2D2"/>
          </w:tcPr>
          <w:p>
            <w:pP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
        </w:tc>
        <w:tc>
          <w:tcPr>
            <w:tcW w:w="9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77" w:right="78"/>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1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6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9" w:hRule="exact"/>
        </w:trPr>
        <w:tc>
          <w:tcPr>
            <w:tcW w:w="1844" w:type="dxa"/>
            <w:gridSpan w:val="2"/>
            <w:vMerge/>
            <w:tcBorders>
              <w:left w:val="single" w:sz="4" w:space="0" w:color="000000"/>
              <w:right w:val="single" w:sz="4" w:space="0" w:color="000000"/>
            </w:tcBorders>
            <w:shd w:val="clear" w:color="auto" w:fill="D2D2D2"/>
          </w:tcPr>
          <w:p>
            <w:pPr/>
          </w:p>
        </w:tc>
        <w:tc>
          <w:tcPr>
            <w:tcW w:w="1037" w:type="dxa"/>
            <w:gridSpan w:val="2"/>
            <w:vMerge/>
            <w:tcBorders>
              <w:left w:val="single" w:sz="4" w:space="0" w:color="000000"/>
              <w:right w:val="single" w:sz="4" w:space="0" w:color="000000"/>
            </w:tcBorders>
            <w:shd w:val="clear" w:color="auto" w:fill="D2D2D2"/>
          </w:tcPr>
          <w:p>
            <w:pPr/>
          </w:p>
        </w:tc>
        <w:tc>
          <w:tcPr>
            <w:tcW w:w="744" w:type="dxa"/>
            <w:vMerge/>
            <w:tcBorders>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708" w:type="dxa"/>
            <w:gridSpan w:val="2"/>
            <w:vMerge/>
            <w:tcBorders>
              <w:left w:val="single" w:sz="4" w:space="0" w:color="000000"/>
              <w:right w:val="single" w:sz="4" w:space="0" w:color="000000"/>
            </w:tcBorders>
            <w:shd w:val="clear" w:color="auto" w:fill="D2D2D2"/>
          </w:tcPr>
          <w:p>
            <w:pPr/>
          </w:p>
        </w:tc>
        <w:tc>
          <w:tcPr>
            <w:tcW w:w="2196" w:type="dxa"/>
            <w:gridSpan w:val="3"/>
            <w:vMerge/>
            <w:tcBorders>
              <w:left w:val="single" w:sz="4" w:space="0" w:color="000000"/>
              <w:bottom w:val="single" w:sz="4" w:space="0" w:color="000000"/>
              <w:right w:val="single" w:sz="4" w:space="0" w:color="000000"/>
            </w:tcBorders>
            <w:shd w:val="clear" w:color="auto" w:fill="D2D2D2"/>
          </w:tcPr>
          <w:p>
            <w:pPr/>
          </w:p>
        </w:tc>
      </w:tr>
      <w:tr>
        <w:trPr>
          <w:trHeight w:val="113" w:hRule="exact"/>
        </w:trPr>
        <w:tc>
          <w:tcPr>
            <w:tcW w:w="1844" w:type="dxa"/>
            <w:gridSpan w:val="2"/>
            <w:vMerge/>
            <w:tcBorders>
              <w:left w:val="single" w:sz="4" w:space="0" w:color="000000"/>
              <w:bottom w:val="nil" w:sz="6" w:space="0" w:color="auto"/>
              <w:right w:val="single" w:sz="4" w:space="0" w:color="000000"/>
            </w:tcBorders>
            <w:shd w:val="clear" w:color="auto" w:fill="D2D2D2"/>
          </w:tcPr>
          <w:p>
            <w:pPr/>
          </w:p>
        </w:tc>
        <w:tc>
          <w:tcPr>
            <w:tcW w:w="1037"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8"/>
              <w:ind w:left="273" w:right="48"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8"/>
              <w:ind w:left="42"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4" w:type="dxa"/>
            <w:gridSpan w:val="2"/>
            <w:vMerge/>
            <w:tcBorders>
              <w:left w:val="single" w:sz="4" w:space="0" w:color="000000"/>
              <w:right w:val="single" w:sz="4" w:space="0" w:color="000000"/>
            </w:tcBorders>
            <w:shd w:val="clear" w:color="auto" w:fill="D2D2D2"/>
          </w:tcPr>
          <w:p>
            <w:pPr/>
          </w:p>
        </w:tc>
        <w:tc>
          <w:tcPr>
            <w:tcW w:w="708" w:type="dxa"/>
            <w:gridSpan w:val="2"/>
            <w:vMerge/>
            <w:tcBorders>
              <w:left w:val="single" w:sz="4" w:space="0" w:color="000000"/>
              <w:right w:val="single" w:sz="4" w:space="0" w:color="000000"/>
            </w:tcBorders>
            <w:shd w:val="clear" w:color="auto" w:fill="D2D2D2"/>
          </w:tcPr>
          <w:p>
            <w:pPr/>
          </w:p>
        </w:tc>
        <w:tc>
          <w:tcPr>
            <w:tcW w:w="1276" w:type="dxa"/>
            <w:gridSpan w:val="2"/>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
        </w:tc>
      </w:tr>
      <w:tr>
        <w:trPr>
          <w:trHeight w:val="202" w:hRule="exact"/>
        </w:trPr>
        <w:tc>
          <w:tcPr>
            <w:tcW w:w="184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3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4"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708" w:type="dxa"/>
            <w:gridSpan w:val="2"/>
            <w:vMerge/>
            <w:tcBorders>
              <w:left w:val="single" w:sz="4" w:space="0" w:color="000000"/>
              <w:right w:val="single" w:sz="4" w:space="0" w:color="000000"/>
            </w:tcBorders>
            <w:shd w:val="clear" w:color="auto" w:fill="D2D2D2"/>
          </w:tcPr>
          <w:p>
            <w:pPr/>
          </w:p>
        </w:tc>
        <w:tc>
          <w:tcPr>
            <w:tcW w:w="1276" w:type="dxa"/>
            <w:gridSpan w:val="2"/>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bottom w:val="nil" w:sz="6" w:space="0" w:color="auto"/>
              <w:right w:val="single" w:sz="4" w:space="0" w:color="000000"/>
            </w:tcBorders>
            <w:shd w:val="clear" w:color="auto" w:fill="D2D2D2"/>
          </w:tcPr>
          <w:p>
            <w:pPr/>
          </w:p>
        </w:tc>
      </w:tr>
      <w:tr>
        <w:trPr>
          <w:trHeight w:val="191" w:hRule="exact"/>
        </w:trPr>
        <w:tc>
          <w:tcPr>
            <w:tcW w:w="1844" w:type="dxa"/>
            <w:gridSpan w:val="2"/>
            <w:vMerge/>
            <w:tcBorders>
              <w:left w:val="single" w:sz="4" w:space="0" w:color="000000"/>
              <w:bottom w:val="nil" w:sz="6" w:space="0" w:color="auto"/>
              <w:right w:val="single" w:sz="4" w:space="0" w:color="000000"/>
            </w:tcBorders>
            <w:shd w:val="clear" w:color="auto" w:fill="D2D2D2"/>
          </w:tcPr>
          <w:p>
            <w:pPr/>
          </w:p>
        </w:tc>
        <w:tc>
          <w:tcPr>
            <w:tcW w:w="1037"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708" w:type="dxa"/>
            <w:gridSpan w:val="2"/>
            <w:vMerge/>
            <w:tcBorders>
              <w:left w:val="single" w:sz="4" w:space="0" w:color="000000"/>
              <w:right w:val="single" w:sz="4" w:space="0" w:color="000000"/>
            </w:tcBorders>
            <w:shd w:val="clear" w:color="auto" w:fill="D2D2D2"/>
          </w:tcPr>
          <w:p>
            <w:pPr/>
          </w:p>
        </w:tc>
        <w:tc>
          <w:tcPr>
            <w:tcW w:w="127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78" w:hRule="exact"/>
        </w:trPr>
        <w:tc>
          <w:tcPr>
            <w:tcW w:w="1844" w:type="dxa"/>
            <w:gridSpan w:val="2"/>
            <w:vMerge w:val="restart"/>
            <w:tcBorders>
              <w:top w:val="nil" w:sz="6" w:space="0" w:color="auto"/>
              <w:left w:val="single" w:sz="4" w:space="0" w:color="000000"/>
              <w:right w:val="single" w:sz="4" w:space="0" w:color="000000"/>
            </w:tcBorders>
            <w:shd w:val="clear" w:color="auto" w:fill="D2D2D2"/>
          </w:tcPr>
          <w:p>
            <w:pPr/>
          </w:p>
        </w:tc>
        <w:tc>
          <w:tcPr>
            <w:tcW w:w="1037"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708" w:type="dxa"/>
            <w:gridSpan w:val="2"/>
            <w:vMerge/>
            <w:tcBorders>
              <w:left w:val="single" w:sz="4" w:space="0" w:color="000000"/>
              <w:right w:val="single" w:sz="4" w:space="0" w:color="000000"/>
            </w:tcBorders>
            <w:shd w:val="clear" w:color="auto" w:fill="D2D2D2"/>
          </w:tcPr>
          <w:p>
            <w:pPr/>
          </w:p>
        </w:tc>
        <w:tc>
          <w:tcPr>
            <w:tcW w:w="1276" w:type="dxa"/>
            <w:gridSpan w:val="2"/>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bottom w:val="nil" w:sz="6" w:space="0" w:color="auto"/>
              <w:right w:val="single" w:sz="4" w:space="0" w:color="000000"/>
            </w:tcBorders>
            <w:shd w:val="clear" w:color="auto" w:fill="D2D2D2"/>
          </w:tcPr>
          <w:p>
            <w:pPr/>
          </w:p>
        </w:tc>
      </w:tr>
      <w:tr>
        <w:trPr>
          <w:trHeight w:val="134" w:hRule="exact"/>
        </w:trPr>
        <w:tc>
          <w:tcPr>
            <w:tcW w:w="1844" w:type="dxa"/>
            <w:gridSpan w:val="2"/>
            <w:vMerge/>
            <w:tcBorders>
              <w:left w:val="single" w:sz="4" w:space="0" w:color="000000"/>
              <w:right w:val="single" w:sz="4" w:space="0" w:color="000000"/>
            </w:tcBorders>
            <w:shd w:val="clear" w:color="auto" w:fill="D2D2D2"/>
          </w:tcPr>
          <w:p>
            <w:pPr/>
          </w:p>
        </w:tc>
        <w:tc>
          <w:tcPr>
            <w:tcW w:w="1037" w:type="dxa"/>
            <w:gridSpan w:val="2"/>
            <w:vMerge/>
            <w:tcBorders>
              <w:left w:val="single" w:sz="4" w:space="0" w:color="000000"/>
              <w:right w:val="single" w:sz="4" w:space="0" w:color="000000"/>
            </w:tcBorders>
            <w:shd w:val="clear" w:color="auto" w:fill="D2D2D2"/>
          </w:tcPr>
          <w:p>
            <w:pPr/>
          </w:p>
        </w:tc>
        <w:tc>
          <w:tcPr>
            <w:tcW w:w="744" w:type="dxa"/>
            <w:vMerge/>
            <w:tcBorders>
              <w:left w:val="single" w:sz="4" w:space="0" w:color="000000"/>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
        </w:tc>
        <w:tc>
          <w:tcPr>
            <w:tcW w:w="992" w:type="dxa"/>
            <w:gridSpan w:val="2"/>
            <w:vMerge w:val="restart"/>
            <w:tcBorders>
              <w:top w:val="nil" w:sz="6" w:space="0" w:color="auto"/>
              <w:left w:val="single" w:sz="4" w:space="0" w:color="000000"/>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708" w:type="dxa"/>
            <w:gridSpan w:val="2"/>
            <w:vMerge/>
            <w:tcBorders>
              <w:left w:val="single" w:sz="4" w:space="0" w:color="000000"/>
              <w:right w:val="single" w:sz="4" w:space="0" w:color="000000"/>
            </w:tcBorders>
            <w:shd w:val="clear" w:color="auto" w:fill="D2D2D2"/>
          </w:tcPr>
          <w:p>
            <w:pPr/>
          </w:p>
        </w:tc>
        <w:tc>
          <w:tcPr>
            <w:tcW w:w="1276" w:type="dxa"/>
            <w:gridSpan w:val="2"/>
            <w:vMerge w:val="restart"/>
            <w:tcBorders>
              <w:top w:val="nil" w:sz="6" w:space="0" w:color="auto"/>
              <w:left w:val="single" w:sz="4" w:space="0" w:color="000000"/>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037"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1054" w:type="dxa"/>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9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gridSpan w:val="2"/>
            <w:vMerge/>
            <w:tcBorders>
              <w:left w:val="single" w:sz="4" w:space="0" w:color="000000"/>
              <w:bottom w:val="single" w:sz="4" w:space="0" w:color="000000"/>
              <w:right w:val="single" w:sz="4" w:space="0" w:color="000000"/>
            </w:tcBorders>
            <w:shd w:val="clear" w:color="auto" w:fill="D2D2D2"/>
          </w:tcPr>
          <w:p>
            <w:pPr/>
          </w:p>
        </w:tc>
        <w:tc>
          <w:tcPr>
            <w:tcW w:w="1276" w:type="dxa"/>
            <w:gridSpan w:val="2"/>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14.86%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81,898,409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34,165,516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62,703,266</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19,195,1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43</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45,599,999</w:t>
            </w:r>
          </w:p>
        </w:tc>
      </w:tr>
      <w:tr>
        <w:trPr>
          <w:trHeight w:val="714"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9,214,667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3,455,500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6,911,000</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2,303,66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w:t>
            </w: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8,730,806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3,274,052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6,548,104</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2,182,70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1,649,278</w:t>
            </w:r>
          </w:p>
        </w:tc>
      </w:tr>
      <w:tr>
        <w:trPr>
          <w:trHeight w:val="402"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段桂山</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7,480,688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3,937,008</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梁常清</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2,320,000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3,840,000</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both"/>
              <w:rPr>
                <w:rFonts w:ascii="宋体" w:hAnsi="宋体" w:cs="宋体" w:eastAsia="宋体" w:hint="default"/>
                <w:sz w:val="18"/>
                <w:szCs w:val="18"/>
              </w:rPr>
            </w:pPr>
            <w:r>
              <w:rPr>
                <w:rFonts w:ascii="宋体" w:hAnsi="宋体" w:cs="宋体" w:eastAsia="宋体" w:hint="default"/>
                <w:sz w:val="18"/>
                <w:szCs w:val="18"/>
              </w:rPr>
              <w:t>中国工商银行－嘉实 策略增长混合型证券 投资基金</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0.87%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4,800,000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8"/>
              <w:jc w:val="left"/>
              <w:rPr>
                <w:rFonts w:ascii="宋体" w:hAnsi="宋体" w:cs="宋体" w:eastAsia="宋体" w:hint="default"/>
                <w:sz w:val="18"/>
                <w:szCs w:val="18"/>
              </w:rPr>
            </w:pPr>
            <w:r>
              <w:rPr>
                <w:rFonts w:ascii="宋体" w:hAnsi="宋体" w:cs="宋体" w:eastAsia="宋体" w:hint="default"/>
                <w:sz w:val="18"/>
                <w:szCs w:val="18"/>
              </w:rPr>
              <w:t>红塔创新投资股份有 限公司</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0.66%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3,616,000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1,356,000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both"/>
              <w:rPr>
                <w:rFonts w:ascii="宋体" w:hAnsi="宋体" w:cs="宋体" w:eastAsia="宋体" w:hint="default"/>
                <w:sz w:val="18"/>
                <w:szCs w:val="18"/>
              </w:rPr>
            </w:pPr>
            <w:r>
              <w:rPr>
                <w:rFonts w:ascii="宋体" w:hAnsi="宋体" w:cs="宋体" w:eastAsia="宋体" w:hint="default"/>
                <w:sz w:val="18"/>
                <w:szCs w:val="18"/>
              </w:rPr>
              <w:t>中国银行股份有限公 司－华泰柏瑞量化先 行混合型证券投资基 金</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0.63%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3,470,691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3,470,691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王拴红</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2,914,240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646,040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both"/>
              <w:rPr>
                <w:rFonts w:ascii="宋体" w:hAnsi="宋体" w:cs="宋体" w:eastAsia="宋体" w:hint="default"/>
                <w:sz w:val="18"/>
                <w:szCs w:val="18"/>
              </w:rPr>
            </w:pPr>
            <w:r>
              <w:rPr>
                <w:rFonts w:ascii="宋体" w:hAnsi="宋体" w:cs="宋体" w:eastAsia="宋体" w:hint="default"/>
                <w:sz w:val="18"/>
                <w:szCs w:val="18"/>
              </w:rPr>
              <w:t>中国工商银行股份有 限公司－嘉实企业变 革股票型证券投资基 金</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0.50%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2,773,220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2,773,220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公司未知前十名股东之间是否存在关联关系，也未知是否属于一致行动人。</w:t>
            </w:r>
          </w:p>
        </w:tc>
      </w:tr>
      <w:tr>
        <w:trPr>
          <w:trHeight w:val="397"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7"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49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9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9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4492"/>
        <w:gridCol w:w="1276"/>
        <w:gridCol w:w="920"/>
      </w:tblGrid>
      <w:tr>
        <w:trPr>
          <w:trHeight w:val="402"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4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4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19,195,143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19,195,143</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段桂山</w:t>
            </w:r>
          </w:p>
        </w:tc>
        <w:tc>
          <w:tcPr>
            <w:tcW w:w="4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7,480,688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7,480,688</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中国工商银行－嘉实策略增长混合 型证券投资基金</w:t>
            </w:r>
          </w:p>
        </w:tc>
        <w:tc>
          <w:tcPr>
            <w:tcW w:w="4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4,800,000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红塔创新投资股份有限公司</w:t>
            </w:r>
          </w:p>
        </w:tc>
        <w:tc>
          <w:tcPr>
            <w:tcW w:w="4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3,616,000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3,616,000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中国银行股份有限公司－华泰柏瑞 量化先行混合型证券投资基金</w:t>
            </w:r>
          </w:p>
        </w:tc>
        <w:tc>
          <w:tcPr>
            <w:tcW w:w="4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3,470,691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3,470,691</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王拴红</w:t>
            </w:r>
          </w:p>
        </w:tc>
        <w:tc>
          <w:tcPr>
            <w:tcW w:w="4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2,914,240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2,914,240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中国工商银行股份有限公司－嘉实 企业变革股票型证券投资基金</w:t>
            </w:r>
          </w:p>
        </w:tc>
        <w:tc>
          <w:tcPr>
            <w:tcW w:w="4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2,773,220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2,773,220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4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2,303,667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2,303,667</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4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2,182,702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2,182,702</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梁洪飞</w:t>
            </w:r>
          </w:p>
        </w:tc>
        <w:tc>
          <w:tcPr>
            <w:tcW w:w="4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2,161,477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2,161,477</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75"/>
              <w:jc w:val="left"/>
              <w:rPr>
                <w:rFonts w:ascii="宋体" w:hAnsi="宋体" w:cs="宋体" w:eastAsia="宋体" w:hint="default"/>
                <w:sz w:val="18"/>
                <w:szCs w:val="18"/>
              </w:rPr>
            </w:pPr>
            <w:r>
              <w:rPr>
                <w:rFonts w:ascii="宋体" w:hAnsi="宋体" w:cs="宋体" w:eastAsia="宋体" w:hint="default"/>
                <w:sz w:val="18"/>
                <w:szCs w:val="18"/>
              </w:rPr>
              <w:t>公司未知前十名无限售股东之间以及前十名无限售流通股股东和前十名股东之间是 否存在关联关系，也未知是否属于一致行动人。</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公司股东段桂山通过普通账户持有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1,475,068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股，通过华安证券股份有限公司客户信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用交易担保证券账户持有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6,005,620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股，实际合计持有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7,480,688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股；公司股东梁常清</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通过普通账户持有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股，通过广发证券股份有限公司客户信用交易担保证券</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2"/>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控股股东报告期内变更</w:t>
      </w:r>
    </w:p>
    <w:p>
      <w:pPr>
        <w:pStyle w:val="BodyText"/>
        <w:spacing w:line="338" w:lineRule="auto" w:before="117"/>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公司实际控制人及其一致行动人" w:id="114"/>
      <w:bookmarkEnd w:id="114"/>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0"/>
        <w:rPr>
          <w:rFonts w:ascii="宋体" w:hAnsi="宋体" w:cs="宋体" w:eastAsia="宋体" w:hint="default"/>
          <w:sz w:val="23"/>
          <w:szCs w:val="23"/>
        </w:rPr>
      </w:pPr>
    </w:p>
    <w:p>
      <w:pPr>
        <w:spacing w:line="2865" w:lineRule="exact"/>
        <w:ind w:left="1356"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4591987" cy="181927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2" cstate="print"/>
                    <a:stretch>
                      <a:fillRect/>
                    </a:stretch>
                  </pic:blipFill>
                  <pic:spPr>
                    <a:xfrm>
                      <a:off x="0" y="0"/>
                      <a:ext cx="4591987" cy="1819275"/>
                    </a:xfrm>
                    <a:prstGeom prst="rect">
                      <a:avLst/>
                    </a:prstGeom>
                  </pic:spPr>
                </pic:pic>
              </a:graphicData>
            </a:graphic>
          </wp:inline>
        </w:drawing>
      </w:r>
      <w:r>
        <w:rPr>
          <w:rFonts w:ascii="宋体" w:hAnsi="宋体" w:cs="宋体" w:eastAsia="宋体" w:hint="default"/>
          <w:position w:val="-56"/>
          <w:sz w:val="20"/>
          <w:szCs w:val="20"/>
        </w:rPr>
      </w:r>
    </w:p>
    <w:p>
      <w:pPr>
        <w:spacing w:line="240" w:lineRule="auto" w:before="2"/>
        <w:rPr>
          <w:rFonts w:ascii="宋体" w:hAnsi="宋体" w:cs="宋体" w:eastAsia="宋体" w:hint="default"/>
          <w:sz w:val="22"/>
          <w:szCs w:val="22"/>
        </w:rPr>
      </w:pPr>
    </w:p>
    <w:p>
      <w:pPr>
        <w:spacing w:before="0"/>
        <w:ind w:left="154"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7"/>
      <w:bookmarkEnd w:id="117"/>
      <w:r>
        <w:rPr>
          <w:b w:val="0"/>
          <w:bCs w:val="0"/>
        </w:rPr>
      </w:r>
      <w:bookmarkStart w:name="_bookmark6" w:id="118"/>
      <w:bookmarkEnd w:id="118"/>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19"/>
      <w:bookmarkEnd w:id="119"/>
      <w:r>
        <w:rPr>
          <w:b w:val="0"/>
          <w:bCs w:val="0"/>
        </w:rPr>
      </w:r>
      <w:bookmarkStart w:name="_bookmark7" w:id="120"/>
      <w:bookmarkEnd w:id="120"/>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47,732,89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5,525,780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28,639,73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81,898,40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5,456,754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3,274,052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8,730,806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5,759,167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3,455,500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9,214,667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李国壁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闫成德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赵立三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王意勤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王少军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梁常清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5,520,000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付国印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62,149,01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5,925,780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37,289,40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105,364,2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梁常清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付国印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辞职</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3"/>
      <w:bookmarkEnd w:id="123"/>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4" w:lineRule="auto" w:before="89"/>
        <w:ind w:right="1032"/>
        <w:jc w:val="left"/>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、董事</w:t>
      </w:r>
      <w:r>
        <w:rPr>
          <w:rFonts w:ascii="宋体" w:hAnsi="宋体" w:cs="宋体" w:eastAsia="宋体" w:hint="default"/>
          <w:b/>
          <w:bCs/>
          <w:spacing w:val="1"/>
          <w:w w:val="99"/>
          <w:sz w:val="21"/>
          <w:szCs w:val="21"/>
        </w:rPr>
        <w:t> </w:t>
      </w:r>
      <w:r>
        <w:rPr>
          <w:rFonts w:ascii="宋体" w:hAnsi="宋体" w:cs="宋体" w:eastAsia="宋体" w:hint="default"/>
          <w:b/>
          <w:bCs/>
          <w:spacing w:val="-2"/>
        </w:rPr>
        <w:t>李玉国：</w:t>
      </w:r>
      <w:r>
        <w:rPr>
          <w:spacing w:val="-2"/>
        </w:rPr>
        <w:t>男，中国国籍，</w:t>
      </w:r>
      <w:r>
        <w:rPr>
          <w:rFonts w:ascii="Times New Roman" w:hAnsi="Times New Roman" w:cs="Times New Roman" w:eastAsia="Times New Roman" w:hint="default"/>
          <w:spacing w:val="-2"/>
        </w:rPr>
        <w:t>1961</w:t>
      </w:r>
      <w:r>
        <w:rPr>
          <w:spacing w:val="-2"/>
        </w:rPr>
        <w:t>年生，本科学历，教授级高级工程师，河北省政协委员。公司创始人，从业</w:t>
      </w:r>
      <w:r>
        <w:rPr>
          <w:rFonts w:ascii="Times New Roman" w:hAnsi="Times New Roman" w:cs="Times New Roman" w:eastAsia="Times New Roman" w:hint="default"/>
          <w:spacing w:val="-2"/>
        </w:rPr>
        <w:t>20</w:t>
      </w:r>
      <w:r>
        <w:rPr>
          <w:spacing w:val="-2"/>
        </w:rPr>
        <w:t>余年。先后担任</w:t>
      </w:r>
      <w:r>
        <w:rPr>
          <w:spacing w:val="-65"/>
        </w:rPr>
        <w:t> </w:t>
      </w:r>
      <w:r>
        <w:rPr>
          <w:spacing w:val="-65"/>
        </w:rPr>
      </w:r>
      <w:r>
        <w:rPr>
          <w:spacing w:val="-2"/>
        </w:rPr>
        <w:t>河北省计量测试研究所副所长、河北省环境计量技术研究中心主任。</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7</w:t>
      </w:r>
      <w:r>
        <w:rPr>
          <w:spacing w:val="-2"/>
        </w:rPr>
        <w:t>月创立河北先河科技发展有限公司，任董事长、</w:t>
      </w:r>
      <w:r>
        <w:rPr>
          <w:spacing w:val="-59"/>
        </w:rPr>
        <w:t> </w:t>
      </w:r>
      <w:r>
        <w:rPr>
          <w:spacing w:val="-59"/>
        </w:rPr>
      </w:r>
      <w:r>
        <w:rPr>
          <w:spacing w:val="-2"/>
        </w:rPr>
        <w:t>总经理，公司整体发展战略的规划者，曾主持</w:t>
      </w:r>
      <w:r>
        <w:rPr>
          <w:rFonts w:ascii="Times New Roman" w:hAnsi="Times New Roman" w:cs="Times New Roman" w:eastAsia="Times New Roman" w:hint="default"/>
          <w:spacing w:val="-2"/>
        </w:rPr>
        <w:t>“</w:t>
      </w:r>
      <w:r>
        <w:rPr>
          <w:spacing w:val="-2"/>
        </w:rPr>
        <w:t>粉尘测量仪检定装置</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粮食水分测量仪标准装置</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系列粉尘采样器</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全</w:t>
      </w:r>
      <w:r>
        <w:rPr>
          <w:spacing w:val="-82"/>
        </w:rPr>
        <w:t> </w:t>
      </w:r>
      <w:r>
        <w:rPr>
          <w:spacing w:val="-2"/>
        </w:rPr>
        <w:t>自动烟尘测试仪</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智能</w:t>
      </w:r>
      <w:r>
        <w:rPr>
          <w:rFonts w:ascii="Times New Roman" w:hAnsi="Times New Roman" w:cs="Times New Roman" w:eastAsia="Times New Roman" w:hint="default"/>
          <w:spacing w:val="-2"/>
        </w:rPr>
        <w:t>TSP</w:t>
      </w:r>
      <w:r>
        <w:rPr>
          <w:spacing w:val="-2"/>
        </w:rPr>
        <w:t>采样器</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污水</w:t>
      </w:r>
      <w:r>
        <w:rPr>
          <w:rFonts w:ascii="Times New Roman" w:hAnsi="Times New Roman" w:cs="Times New Roman" w:eastAsia="Times New Roman" w:hint="default"/>
          <w:spacing w:val="-2"/>
        </w:rPr>
        <w:t>COD</w:t>
      </w:r>
      <w:r>
        <w:rPr>
          <w:spacing w:val="-2"/>
        </w:rPr>
        <w:t>在线自动监测系统</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城市空气质量连续自动监测系统</w:t>
      </w:r>
      <w:r>
        <w:rPr>
          <w:rFonts w:ascii="Times New Roman" w:hAnsi="Times New Roman" w:cs="Times New Roman" w:eastAsia="Times New Roman" w:hint="default"/>
          <w:spacing w:val="-2"/>
        </w:rPr>
        <w:t>”</w:t>
      </w:r>
      <w:r>
        <w:rPr>
          <w:spacing w:val="-2"/>
        </w:rPr>
        <w:t>等多项国家级科研</w:t>
      </w:r>
      <w:r>
        <w:rPr>
          <w:spacing w:val="-45"/>
        </w:rPr>
        <w:t> </w:t>
      </w:r>
      <w:r>
        <w:rPr/>
        <w:t>项目；河北省有突出贡献中青年专家；</w:t>
      </w:r>
      <w:r>
        <w:rPr>
          <w:rFonts w:ascii="Times New Roman" w:hAnsi="Times New Roman" w:cs="Times New Roman" w:eastAsia="Times New Roman" w:hint="default"/>
        </w:rPr>
        <w:t>“</w:t>
      </w:r>
      <w:r>
        <w:rPr/>
        <w:t>八五国家技术创新优秀项目奖</w:t>
      </w:r>
      <w:r>
        <w:rPr>
          <w:rFonts w:ascii="Times New Roman" w:hAnsi="Times New Roman" w:cs="Times New Roman" w:eastAsia="Times New Roman" w:hint="default"/>
        </w:rPr>
        <w:t>”</w:t>
      </w:r>
      <w:r>
        <w:rPr/>
        <w:t>获得者；</w:t>
      </w:r>
      <w:r>
        <w:rPr>
          <w:rFonts w:ascii="Times New Roman" w:hAnsi="Times New Roman" w:cs="Times New Roman" w:eastAsia="Times New Roman" w:hint="default"/>
        </w:rPr>
        <w:t>“</w:t>
      </w:r>
      <w:r>
        <w:rPr/>
        <w:t>河北省青年科技奖</w:t>
      </w:r>
      <w:r>
        <w:rPr>
          <w:rFonts w:ascii="Times New Roman" w:hAnsi="Times New Roman" w:cs="Times New Roman" w:eastAsia="Times New Roman" w:hint="default"/>
        </w:rPr>
        <w:t>”</w:t>
      </w:r>
      <w:r>
        <w:rPr/>
        <w:t>获得者；九五国家科技 攻关先进个人；中国环保产业突出贡献奖获得者；河北省首届环保十大杰出人物；河北省</w:t>
      </w:r>
      <w:r>
        <w:rPr>
          <w:rFonts w:ascii="Times New Roman" w:hAnsi="Times New Roman" w:cs="Times New Roman" w:eastAsia="Times New Roman" w:hint="default"/>
        </w:rPr>
        <w:t>“</w:t>
      </w:r>
      <w:r>
        <w:rPr/>
        <w:t>巨人计划</w:t>
      </w:r>
      <w:r>
        <w:rPr>
          <w:rFonts w:ascii="Times New Roman" w:hAnsi="Times New Roman" w:cs="Times New Roman" w:eastAsia="Times New Roman" w:hint="default"/>
        </w:rPr>
        <w:t>”</w:t>
      </w:r>
      <w:r>
        <w:rPr/>
        <w:t>首批创新创业团队领军 </w:t>
      </w:r>
      <w:r>
        <w:rPr>
          <w:spacing w:val="-2"/>
        </w:rPr>
        <w:t>人才；</w:t>
      </w:r>
      <w:r>
        <w:rPr>
          <w:rFonts w:ascii="Times New Roman" w:hAnsi="Times New Roman" w:cs="Times New Roman" w:eastAsia="Times New Roman" w:hint="default"/>
          <w:spacing w:val="-2"/>
        </w:rPr>
        <w:t>2012</w:t>
      </w:r>
      <w:r>
        <w:rPr>
          <w:spacing w:val="-2"/>
        </w:rPr>
        <w:t>年度河北十大经济风云人物。中国环保产业协会副会长，中国仪器仪表协会监测仪器专业委员会副主任，河北省</w:t>
      </w:r>
      <w:r>
        <w:rPr>
          <w:spacing w:val="-61"/>
        </w:rPr>
        <w:t> </w:t>
      </w:r>
      <w:r>
        <w:rPr>
          <w:spacing w:val="-61"/>
        </w:rPr>
      </w:r>
      <w:r>
        <w:rPr>
          <w:spacing w:val="-2"/>
        </w:rPr>
        <w:t>环保产业协会副会长，河北省环保联合会副会长，河北高新技术企业协会副理事长，石家庄市工商联副主席。河北省百名科</w:t>
      </w:r>
      <w:r>
        <w:rPr>
          <w:spacing w:val="-66"/>
        </w:rPr>
        <w:t> </w:t>
      </w:r>
      <w:r>
        <w:rPr>
          <w:spacing w:val="-66"/>
        </w:rPr>
      </w:r>
      <w:r>
        <w:rPr/>
        <w:t>技型民营企业家。现任公司董事长。</w:t>
      </w:r>
    </w:p>
    <w:p>
      <w:pPr>
        <w:pStyle w:val="BodyText"/>
        <w:spacing w:line="302" w:lineRule="auto" w:before="67"/>
        <w:ind w:right="0"/>
        <w:jc w:val="left"/>
      </w:pPr>
      <w:r>
        <w:rPr>
          <w:rFonts w:ascii="宋体" w:hAnsi="宋体" w:cs="宋体" w:eastAsia="宋体" w:hint="default"/>
          <w:b/>
          <w:bCs/>
          <w:spacing w:val="-2"/>
        </w:rPr>
        <w:t>陈荣强：</w:t>
      </w:r>
      <w:r>
        <w:rPr>
          <w:spacing w:val="-2"/>
        </w:rPr>
        <w:t>男，中国国籍，</w:t>
      </w:r>
      <w:r>
        <w:rPr>
          <w:rFonts w:ascii="Times New Roman" w:hAnsi="Times New Roman" w:cs="Times New Roman" w:eastAsia="Times New Roman" w:hint="default"/>
          <w:spacing w:val="-2"/>
        </w:rPr>
        <w:t>1968</w:t>
      </w:r>
      <w:r>
        <w:rPr>
          <w:spacing w:val="-2"/>
        </w:rPr>
        <w:t>年生，本科双学士，经济师。曾任石家庄物资贸易总公司北京期货部经理，河北华正公路投资</w:t>
      </w:r>
      <w:r>
        <w:rPr>
          <w:spacing w:val="-69"/>
        </w:rPr>
        <w:t> </w:t>
      </w:r>
      <w:r>
        <w:rPr>
          <w:spacing w:val="-69"/>
        </w:rPr>
      </w:r>
      <w:r>
        <w:rPr/>
        <w:t>股份有限公司董事兼副总经理。近五年主要负责公司产品营销、市场开拓工作，现任公司董事、总经理。</w:t>
      </w:r>
    </w:p>
    <w:p>
      <w:pPr>
        <w:spacing w:after="0" w:line="30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0"/>
        <w:jc w:val="both"/>
      </w:pPr>
      <w:r>
        <w:rPr>
          <w:rFonts w:ascii="宋体" w:hAnsi="宋体" w:cs="宋体" w:eastAsia="宋体" w:hint="default"/>
          <w:b/>
          <w:bCs/>
        </w:rPr>
        <w:t>范朝：</w:t>
      </w:r>
      <w:r>
        <w:rPr/>
        <w:t>男，中国国籍，</w:t>
      </w:r>
      <w:r>
        <w:rPr>
          <w:rFonts w:ascii="Times New Roman" w:hAnsi="Times New Roman" w:cs="Times New Roman" w:eastAsia="Times New Roman" w:hint="default"/>
        </w:rPr>
        <w:t>1968</w:t>
      </w:r>
      <w:r>
        <w:rPr/>
        <w:t>年生，哈尔滨工业大学毕业，教授级高级工程师。参与科研项目</w:t>
      </w:r>
      <w:r>
        <w:rPr>
          <w:rFonts w:ascii="Times New Roman" w:hAnsi="Times New Roman" w:cs="Times New Roman" w:eastAsia="Times New Roman" w:hint="default"/>
        </w:rPr>
        <w:t>9</w:t>
      </w:r>
      <w:r>
        <w:rPr/>
        <w:t>项，其中国家级项目</w:t>
      </w:r>
      <w:r>
        <w:rPr>
          <w:rFonts w:ascii="Times New Roman" w:hAnsi="Times New Roman" w:cs="Times New Roman" w:eastAsia="Times New Roman" w:hint="default"/>
        </w:rPr>
        <w:t>3</w:t>
      </w:r>
      <w:r>
        <w:rPr/>
        <w:t>项，</w:t>
      </w:r>
      <w:r>
        <w:rPr>
          <w:spacing w:val="-2"/>
        </w:rPr>
        <w:t> </w:t>
      </w:r>
      <w:r>
        <w:rPr/>
        <w:t>省</w:t>
      </w:r>
      <w:r>
        <w:rPr>
          <w:spacing w:val="-88"/>
        </w:rPr>
        <w:t> </w:t>
      </w:r>
      <w:r>
        <w:rPr>
          <w:spacing w:val="-88"/>
        </w:rPr>
      </w:r>
      <w:r>
        <w:rPr>
          <w:spacing w:val="-1"/>
        </w:rPr>
        <w:t>部级项目</w:t>
      </w:r>
      <w:r>
        <w:rPr>
          <w:rFonts w:ascii="Times New Roman" w:hAnsi="Times New Roman" w:cs="Times New Roman" w:eastAsia="Times New Roman" w:hint="default"/>
          <w:spacing w:val="-1"/>
        </w:rPr>
        <w:t>5</w:t>
      </w:r>
      <w:r>
        <w:rPr>
          <w:spacing w:val="-1"/>
        </w:rPr>
        <w:t>项，其中获各级科技进步奖</w:t>
      </w:r>
      <w:r>
        <w:rPr>
          <w:rFonts w:ascii="Times New Roman" w:hAnsi="Times New Roman" w:cs="Times New Roman" w:eastAsia="Times New Roman" w:hint="default"/>
          <w:spacing w:val="-1"/>
        </w:rPr>
        <w:t>6</w:t>
      </w:r>
      <w:r>
        <w:rPr>
          <w:spacing w:val="-1"/>
        </w:rPr>
        <w:t>项</w:t>
      </w:r>
      <w:r>
        <w:rPr>
          <w:rFonts w:ascii="Times New Roman" w:hAnsi="Times New Roman" w:cs="Times New Roman" w:eastAsia="Times New Roman" w:hint="default"/>
          <w:spacing w:val="-1"/>
        </w:rPr>
        <w:t>,</w:t>
      </w:r>
      <w:r>
        <w:rPr>
          <w:spacing w:val="-1"/>
        </w:rPr>
        <w:t>八五优秀技术创新项目奖</w:t>
      </w:r>
      <w:r>
        <w:rPr>
          <w:rFonts w:ascii="Times New Roman" w:hAnsi="Times New Roman" w:cs="Times New Roman" w:eastAsia="Times New Roman" w:hint="default"/>
          <w:spacing w:val="-1"/>
        </w:rPr>
        <w:t>1</w:t>
      </w:r>
      <w:r>
        <w:rPr>
          <w:spacing w:val="-1"/>
        </w:rPr>
        <w:t>项，九五国家科技攻关优秀成果奖</w:t>
      </w:r>
      <w:r>
        <w:rPr>
          <w:rFonts w:ascii="Times New Roman" w:hAnsi="Times New Roman" w:cs="Times New Roman" w:eastAsia="Times New Roman" w:hint="default"/>
          <w:spacing w:val="-1"/>
        </w:rPr>
        <w:t>2</w:t>
      </w:r>
      <w:r>
        <w:rPr>
          <w:spacing w:val="-1"/>
        </w:rPr>
        <w:t>项；国家级新产品</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9"/>
        </w:rPr>
        <w:t> </w:t>
      </w:r>
      <w:r>
        <w:rPr/>
        <w:t>项，起草企业标准</w:t>
      </w:r>
      <w:r>
        <w:rPr>
          <w:rFonts w:ascii="Times New Roman" w:hAnsi="Times New Roman" w:cs="Times New Roman" w:eastAsia="Times New Roman" w:hint="default"/>
        </w:rPr>
        <w:t>7</w:t>
      </w:r>
      <w:r>
        <w:rPr/>
        <w:t>项；河北省有突出贡献中青年专家。近五年主要负责公司产品研发、技术服务工作。现任公司董事、副</w:t>
      </w:r>
      <w:r>
        <w:rPr>
          <w:spacing w:val="-83"/>
        </w:rPr>
        <w:t> </w:t>
      </w:r>
      <w:r>
        <w:rPr>
          <w:spacing w:val="-83"/>
        </w:rPr>
      </w:r>
      <w:r>
        <w:rPr/>
        <w:t>总经理。</w:t>
      </w:r>
    </w:p>
    <w:p>
      <w:pPr>
        <w:pStyle w:val="BodyText"/>
        <w:spacing w:line="302" w:lineRule="auto" w:before="70"/>
        <w:ind w:right="0"/>
        <w:jc w:val="left"/>
      </w:pPr>
      <w:r>
        <w:rPr>
          <w:rFonts w:ascii="宋体" w:hAnsi="宋体" w:cs="宋体" w:eastAsia="宋体" w:hint="default"/>
          <w:b/>
          <w:bCs/>
          <w:spacing w:val="-1"/>
        </w:rPr>
        <w:t>董岩：</w:t>
      </w:r>
      <w:r>
        <w:rPr>
          <w:spacing w:val="-1"/>
        </w:rPr>
        <w:t>男，中国国籍，</w:t>
      </w:r>
      <w:r>
        <w:rPr>
          <w:rFonts w:ascii="Times New Roman" w:hAnsi="Times New Roman" w:cs="Times New Roman" w:eastAsia="Times New Roman" w:hint="default"/>
          <w:spacing w:val="-1"/>
        </w:rPr>
        <w:t>1975</w:t>
      </w:r>
      <w:r>
        <w:rPr>
          <w:spacing w:val="-1"/>
        </w:rPr>
        <w:t>年出生，本科，</w:t>
      </w:r>
      <w:r>
        <w:rPr>
          <w:rFonts w:ascii="Times New Roman" w:hAnsi="Times New Roman" w:cs="Times New Roman" w:eastAsia="Times New Roman" w:hint="default"/>
          <w:spacing w:val="-1"/>
        </w:rPr>
        <w:t>1997-1999</w:t>
      </w:r>
      <w:r>
        <w:rPr>
          <w:spacing w:val="-1"/>
        </w:rPr>
        <w:t>任中国国际经济咨询公司项目经理，</w:t>
      </w:r>
      <w:r>
        <w:rPr>
          <w:rFonts w:ascii="Times New Roman" w:hAnsi="Times New Roman" w:cs="Times New Roman" w:eastAsia="Times New Roman" w:hint="default"/>
          <w:spacing w:val="-1"/>
        </w:rPr>
        <w:t>1999-2001</w:t>
      </w:r>
      <w:r>
        <w:rPr>
          <w:spacing w:val="-1"/>
        </w:rPr>
        <w:t>任清华同方股份有限公</w:t>
      </w:r>
      <w:r>
        <w:rPr>
          <w:spacing w:val="-51"/>
        </w:rPr>
        <w:t> </w:t>
      </w:r>
      <w:r>
        <w:rPr/>
        <w:t>司审计部经理，</w:t>
      </w:r>
      <w:r>
        <w:rPr>
          <w:rFonts w:ascii="Times New Roman" w:hAnsi="Times New Roman" w:cs="Times New Roman" w:eastAsia="Times New Roman" w:hint="default"/>
        </w:rPr>
        <w:t>2001</w:t>
      </w:r>
      <w:r>
        <w:rPr/>
        <w:t>至今任红塔创新投资股份有限公司高级经理、投资部副总经理。现任公司董事。</w:t>
      </w:r>
    </w:p>
    <w:p>
      <w:pPr>
        <w:pStyle w:val="BodyText"/>
        <w:spacing w:line="307" w:lineRule="auto" w:before="50"/>
        <w:ind w:right="1043"/>
        <w:jc w:val="left"/>
      </w:pPr>
      <w:r>
        <w:rPr>
          <w:rFonts w:ascii="宋体" w:hAnsi="宋体" w:cs="宋体" w:eastAsia="宋体" w:hint="default"/>
          <w:b/>
          <w:bCs/>
          <w:spacing w:val="-2"/>
        </w:rPr>
        <w:t>闫成德：</w:t>
      </w:r>
      <w:r>
        <w:rPr>
          <w:spacing w:val="-2"/>
        </w:rPr>
        <w:t>男，中国国籍，</w:t>
      </w:r>
      <w:r>
        <w:rPr>
          <w:rFonts w:ascii="Times New Roman" w:hAnsi="Times New Roman" w:cs="Times New Roman" w:eastAsia="Times New Roman" w:hint="default"/>
          <w:spacing w:val="-2"/>
        </w:rPr>
        <w:t>1938</w:t>
      </w:r>
      <w:r>
        <w:rPr>
          <w:spacing w:val="-2"/>
        </w:rPr>
        <w:t>年生，本科，研究员，曾任中科院计划财务局副局长、中科院机电进口办主任、世行贷款设备</w:t>
      </w:r>
      <w:r>
        <w:rPr>
          <w:spacing w:val="-66"/>
        </w:rPr>
        <w:t> </w:t>
      </w:r>
      <w:r>
        <w:rPr>
          <w:spacing w:val="-66"/>
        </w:rPr>
      </w:r>
      <w:r>
        <w:rPr/>
        <w:t>负责人。获得</w:t>
      </w:r>
      <w:r>
        <w:rPr>
          <w:rFonts w:ascii="Times New Roman" w:hAnsi="Times New Roman" w:cs="Times New Roman" w:eastAsia="Times New Roman" w:hint="default"/>
        </w:rPr>
        <w:t>“</w:t>
      </w:r>
      <w:r>
        <w:rPr/>
        <w:t>国家正负电子对撞机</w:t>
      </w:r>
      <w:r>
        <w:rPr>
          <w:rFonts w:ascii="Times New Roman" w:hAnsi="Times New Roman" w:cs="Times New Roman" w:eastAsia="Times New Roman" w:hint="default"/>
        </w:rPr>
        <w:t>”</w:t>
      </w:r>
      <w:r>
        <w:rPr/>
        <w:t>先进个人、全国机电设备先进工作者，</w:t>
      </w:r>
      <w:r>
        <w:rPr>
          <w:rFonts w:ascii="Times New Roman" w:hAnsi="Times New Roman" w:cs="Times New Roman" w:eastAsia="Times New Roman" w:hint="default"/>
        </w:rPr>
        <w:t>1998-2002</w:t>
      </w:r>
      <w:r>
        <w:rPr/>
        <w:t>任国家科学仪器攻关办负责人，原任</w:t>
      </w:r>
      <w:r>
        <w:rPr>
          <w:spacing w:val="-40"/>
        </w:rPr>
        <w:t> </w:t>
      </w:r>
      <w:r>
        <w:rPr>
          <w:spacing w:val="-4"/>
        </w:rPr>
        <w:t>科技部科学仪器专家，中国分析测试协会理事，《现代科学仪器》副主编，中国仪器仪表学会、科学仪器工作委员会副主任，</w:t>
      </w:r>
      <w:r>
        <w:rPr>
          <w:spacing w:val="-44"/>
        </w:rPr>
        <w:t> </w:t>
      </w:r>
      <w:r>
        <w:rPr>
          <w:spacing w:val="-44"/>
        </w:rPr>
      </w:r>
      <w:r>
        <w:rPr/>
        <w:t>中国分析仪器分会名誉理事长，创新方法研究会科学工具委员会顾问。曾任公司独立董事，现任公司董事。</w:t>
      </w:r>
    </w:p>
    <w:p>
      <w:pPr>
        <w:pStyle w:val="BodyText"/>
        <w:spacing w:line="300" w:lineRule="auto" w:before="64"/>
        <w:ind w:right="1130"/>
        <w:jc w:val="both"/>
      </w:pPr>
      <w:r>
        <w:rPr>
          <w:rFonts w:ascii="宋体" w:hAnsi="宋体" w:cs="宋体" w:eastAsia="宋体" w:hint="default"/>
          <w:b/>
          <w:bCs/>
          <w:spacing w:val="-5"/>
        </w:rPr>
        <w:t>李国壁：</w:t>
      </w:r>
      <w:r>
        <w:rPr>
          <w:spacing w:val="-5"/>
        </w:rPr>
        <w:t>男，中国国籍，</w:t>
      </w:r>
      <w:r>
        <w:rPr>
          <w:rFonts w:ascii="Times New Roman" w:hAnsi="Times New Roman" w:cs="Times New Roman" w:eastAsia="Times New Roman" w:hint="default"/>
          <w:spacing w:val="-5"/>
        </w:rPr>
        <w:t>1982 </w:t>
      </w:r>
      <w:r>
        <w:rPr>
          <w:spacing w:val="-4"/>
        </w:rPr>
        <w:t>年出生，大学本科学历，中级会计师。</w:t>
      </w:r>
      <w:r>
        <w:rPr>
          <w:rFonts w:ascii="Times New Roman" w:hAnsi="Times New Roman" w:cs="Times New Roman" w:eastAsia="Times New Roman" w:hint="default"/>
          <w:spacing w:val="-4"/>
        </w:rPr>
        <w:t>2004 </w:t>
      </w:r>
      <w:r>
        <w:rPr/>
        <w:t>年 </w:t>
      </w:r>
      <w:r>
        <w:rPr>
          <w:rFonts w:ascii="Times New Roman" w:hAnsi="Times New Roman" w:cs="Times New Roman" w:eastAsia="Times New Roman" w:hint="default"/>
        </w:rPr>
        <w:t>6 </w:t>
      </w:r>
      <w:r>
        <w:rPr>
          <w:spacing w:val="-3"/>
        </w:rPr>
        <w:t>月本科毕业，</w:t>
      </w:r>
      <w:r>
        <w:rPr>
          <w:rFonts w:ascii="Times New Roman" w:hAnsi="Times New Roman" w:cs="Times New Roman" w:eastAsia="Times New Roman" w:hint="default"/>
          <w:spacing w:val="-3"/>
        </w:rPr>
        <w:t>2004 </w:t>
      </w:r>
      <w:r>
        <w:rPr/>
        <w:t>年 </w:t>
      </w:r>
      <w:r>
        <w:rPr>
          <w:rFonts w:ascii="Times New Roman" w:hAnsi="Times New Roman" w:cs="Times New Roman" w:eastAsia="Times New Roman" w:hint="default"/>
        </w:rPr>
        <w:t>6 </w:t>
      </w:r>
      <w:r>
        <w:rPr/>
        <w:t>月至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34"/>
        </w:rPr>
        <w:t> </w:t>
      </w:r>
      <w:r>
        <w:rPr/>
        <w:t>月 </w:t>
      </w:r>
      <w:r>
        <w:rPr>
          <w:spacing w:val="-2"/>
        </w:rPr>
        <w:t>任冀凯集团财务部科员；</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月富世华金刚石财务部科员、科长；</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11</w:t>
      </w:r>
      <w:r>
        <w:rPr>
          <w:spacing w:val="-2"/>
        </w:rPr>
        <w:t>月任冀凯集团财务</w:t>
      </w:r>
      <w:r>
        <w:rPr>
          <w:spacing w:val="-44"/>
        </w:rPr>
        <w:t> </w:t>
      </w:r>
      <w:r>
        <w:rPr>
          <w:spacing w:val="-2"/>
        </w:rPr>
        <w:t>部副经理；</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月任石家庄中煤装备制造股份有限公司财务负责人；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月进入先河环保工作。现任公</w:t>
      </w:r>
      <w:r>
        <w:rPr>
          <w:spacing w:val="-50"/>
        </w:rPr>
        <w:t> </w:t>
      </w:r>
      <w:r>
        <w:rPr>
          <w:spacing w:val="-50"/>
        </w:rPr>
      </w:r>
      <w:r>
        <w:rPr/>
        <w:t>司董事、财务总监。</w:t>
      </w:r>
    </w:p>
    <w:p>
      <w:pPr>
        <w:pStyle w:val="BodyText"/>
        <w:spacing w:line="302" w:lineRule="auto" w:before="70"/>
        <w:ind w:right="0"/>
        <w:jc w:val="left"/>
      </w:pPr>
      <w:r>
        <w:rPr>
          <w:rFonts w:ascii="宋体" w:hAnsi="宋体" w:cs="宋体" w:eastAsia="宋体" w:hint="default"/>
          <w:b/>
          <w:bCs/>
          <w:spacing w:val="-2"/>
        </w:rPr>
        <w:t>赵立三：</w:t>
      </w:r>
      <w:r>
        <w:rPr>
          <w:spacing w:val="-2"/>
        </w:rPr>
        <w:t>男，中国国籍，</w:t>
      </w:r>
      <w:r>
        <w:rPr>
          <w:rFonts w:ascii="Times New Roman" w:hAnsi="Times New Roman" w:cs="Times New Roman" w:eastAsia="Times New Roman" w:hint="default"/>
          <w:spacing w:val="-2"/>
        </w:rPr>
        <w:t>1962</w:t>
      </w:r>
      <w:r>
        <w:rPr>
          <w:spacing w:val="-2"/>
        </w:rPr>
        <w:t>年出生，河北大学管理学院教授、博士生导师，中国注册会计师，河北大学会计学专业学科带</w:t>
      </w:r>
      <w:r>
        <w:rPr>
          <w:spacing w:val="-69"/>
        </w:rPr>
        <w:t> </w:t>
      </w:r>
      <w:r>
        <w:rPr>
          <w:spacing w:val="-69"/>
        </w:rPr>
      </w:r>
      <w:r>
        <w:rPr/>
        <w:t>头人。河北四通新型金属材料股份有限公司独立董事、公司独立董事。</w:t>
      </w:r>
    </w:p>
    <w:p>
      <w:pPr>
        <w:pStyle w:val="BodyText"/>
        <w:spacing w:line="300" w:lineRule="auto" w:before="69"/>
        <w:ind w:right="1128"/>
        <w:jc w:val="both"/>
      </w:pPr>
      <w:r>
        <w:rPr>
          <w:rFonts w:ascii="宋体" w:hAnsi="宋体" w:cs="宋体" w:eastAsia="宋体" w:hint="default"/>
          <w:b/>
          <w:bCs/>
        </w:rPr>
        <w:t>赵明：</w:t>
      </w:r>
      <w:r>
        <w:rPr/>
        <w:t>男，中国国籍，</w:t>
      </w:r>
      <w:r>
        <w:rPr>
          <w:rFonts w:ascii="Times New Roman" w:hAnsi="Times New Roman" w:cs="Times New Roman" w:eastAsia="Times New Roman" w:hint="default"/>
        </w:rPr>
        <w:t>1975</w:t>
      </w:r>
      <w:r>
        <w:rPr/>
        <w:t>年生，毕业于北京大学，经济学学士。中国社会科学院研究生学历，中级职称。</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-2009</w:t>
      </w:r>
      <w:r>
        <w:rPr/>
        <w:t>年</w:t>
      </w:r>
      <w:r>
        <w:rPr>
          <w:spacing w:val="-57"/>
        </w:rPr>
        <w:t> </w:t>
      </w:r>
      <w:r>
        <w:rPr/>
        <w:t>任中国经济时报记者编辑，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-2012</w:t>
      </w:r>
      <w:r>
        <w:rPr/>
        <w:t>年任优酷公司总监，</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月任</w:t>
      </w:r>
      <w:r>
        <w:rPr>
          <w:rFonts w:ascii="Times New Roman" w:hAnsi="Times New Roman" w:cs="Times New Roman" w:eastAsia="Times New Roman" w:hint="default"/>
        </w:rPr>
        <w:t>360</w:t>
      </w:r>
      <w:r>
        <w:rPr/>
        <w:t>公司助理总裁，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月起任深</w:t>
      </w:r>
      <w:r>
        <w:rPr>
          <w:spacing w:val="-31"/>
        </w:rPr>
        <w:t> </w:t>
      </w:r>
      <w:r>
        <w:rPr/>
        <w:t>圳乐信控股有限公司副总裁。现任公司独立董事。</w:t>
      </w:r>
    </w:p>
    <w:p>
      <w:pPr>
        <w:pStyle w:val="BodyText"/>
        <w:spacing w:line="302" w:lineRule="auto" w:before="70"/>
        <w:ind w:right="0"/>
        <w:jc w:val="left"/>
      </w:pPr>
      <w:r>
        <w:rPr>
          <w:rFonts w:ascii="宋体" w:hAnsi="宋体" w:cs="宋体" w:eastAsia="宋体" w:hint="default"/>
          <w:b/>
          <w:bCs/>
          <w:spacing w:val="-2"/>
        </w:rPr>
        <w:t>陈爱珍：</w:t>
      </w:r>
      <w:r>
        <w:rPr>
          <w:spacing w:val="-2"/>
        </w:rPr>
        <w:t>女，中国国籍，</w:t>
      </w:r>
      <w:r>
        <w:rPr>
          <w:rFonts w:ascii="Times New Roman" w:hAnsi="Times New Roman" w:cs="Times New Roman" w:eastAsia="Times New Roman" w:hint="default"/>
          <w:spacing w:val="-2"/>
        </w:rPr>
        <w:t>1957</w:t>
      </w:r>
      <w:r>
        <w:rPr>
          <w:spacing w:val="-2"/>
        </w:rPr>
        <w:t>年生，研究生学历，律师。北京市众天律师事务所合伙人，东旭蓝天新能源股份有限公司、深</w:t>
      </w:r>
      <w:r>
        <w:rPr>
          <w:spacing w:val="-66"/>
        </w:rPr>
        <w:t> </w:t>
      </w:r>
      <w:r>
        <w:rPr>
          <w:spacing w:val="-66"/>
        </w:rPr>
      </w:r>
      <w:r>
        <w:rPr/>
        <w:t>圳汇洁集团股份有限公司独立董事。公司独立董事。</w:t>
      </w:r>
    </w:p>
    <w:p>
      <w:pPr>
        <w:pStyle w:val="BodyText"/>
        <w:spacing w:line="302" w:lineRule="auto" w:before="68"/>
        <w:ind w:right="1120"/>
        <w:jc w:val="left"/>
      </w:pPr>
      <w:r>
        <w:rPr>
          <w:rFonts w:ascii="宋体" w:hAnsi="宋体" w:cs="宋体" w:eastAsia="宋体" w:hint="default"/>
          <w:b/>
          <w:bCs/>
        </w:rPr>
        <w:t>高峰：</w:t>
      </w:r>
      <w:r>
        <w:rPr/>
        <w:t>男，中国国籍， </w:t>
      </w:r>
      <w:r>
        <w:rPr>
          <w:rFonts w:ascii="Times New Roman" w:hAnsi="Times New Roman" w:cs="Times New Roman" w:eastAsia="Times New Roman" w:hint="default"/>
        </w:rPr>
        <w:t>1975</w:t>
      </w:r>
      <w:r>
        <w:rPr/>
        <w:t>年生，大专学历， </w:t>
      </w:r>
      <w:r>
        <w:rPr>
          <w:rFonts w:ascii="Times New Roman" w:hAnsi="Times New Roman" w:cs="Times New Roman" w:eastAsia="Times New Roman" w:hint="default"/>
        </w:rPr>
        <w:t>2001</w:t>
      </w:r>
      <w:r>
        <w:rPr/>
        <w:t>年入职公司，先后负责库管、营销管理、计划经营工作； 现任河北先</w:t>
      </w:r>
      <w:r>
        <w:rPr>
          <w:spacing w:val="-89"/>
        </w:rPr>
        <w:t> </w:t>
      </w:r>
      <w:r>
        <w:rPr>
          <w:spacing w:val="-89"/>
        </w:rPr>
      </w:r>
      <w:r>
        <w:rPr/>
        <w:t>河正阳环保设备销售有限公司副总经理。</w:t>
      </w:r>
    </w:p>
    <w:p>
      <w:pPr>
        <w:pStyle w:val="BodyText"/>
        <w:spacing w:line="319" w:lineRule="auto" w:before="70"/>
        <w:ind w:right="0"/>
        <w:jc w:val="left"/>
      </w:pPr>
      <w:r>
        <w:rPr>
          <w:rFonts w:ascii="宋体" w:hAnsi="宋体" w:cs="宋体" w:eastAsia="宋体" w:hint="default"/>
          <w:b/>
          <w:bCs/>
        </w:rPr>
        <w:t>王意勤：</w:t>
      </w:r>
      <w:r>
        <w:rPr/>
        <w:t>女，中国国籍，</w:t>
      </w:r>
      <w:r>
        <w:rPr>
          <w:rFonts w:ascii="Times New Roman" w:hAnsi="Times New Roman" w:cs="Times New Roman" w:eastAsia="Times New Roman" w:hint="default"/>
        </w:rPr>
        <w:t>1979</w:t>
      </w:r>
      <w:r>
        <w:rPr/>
        <w:t>年生，大专学历，</w:t>
      </w:r>
      <w:r>
        <w:rPr>
          <w:rFonts w:ascii="Times New Roman" w:hAnsi="Times New Roman" w:cs="Times New Roman" w:eastAsia="Times New Roman" w:hint="default"/>
        </w:rPr>
        <w:t>2009</w:t>
      </w:r>
      <w:r>
        <w:rPr/>
        <w:t>年入职公司，先后负责生产计划、采购工作；现负责计划经营工作。 </w:t>
      </w:r>
      <w:r>
        <w:rPr>
          <w:rFonts w:ascii="宋体" w:hAnsi="宋体" w:cs="宋体" w:eastAsia="宋体" w:hint="default"/>
          <w:b/>
          <w:bCs/>
        </w:rPr>
        <w:t>王强：</w:t>
      </w:r>
      <w:r>
        <w:rPr/>
        <w:t>男，中国国籍，</w:t>
      </w:r>
      <w:r>
        <w:rPr>
          <w:rFonts w:ascii="Times New Roman" w:hAnsi="Times New Roman" w:cs="Times New Roman" w:eastAsia="Times New Roman" w:hint="default"/>
        </w:rPr>
        <w:t>1978</w:t>
      </w:r>
      <w:r>
        <w:rPr/>
        <w:t>年生，大学学历，</w:t>
      </w:r>
      <w:r>
        <w:rPr>
          <w:rFonts w:ascii="Times New Roman" w:hAnsi="Times New Roman" w:cs="Times New Roman" w:eastAsia="Times New Roman" w:hint="default"/>
        </w:rPr>
        <w:t>2001</w:t>
      </w:r>
      <w:r>
        <w:rPr/>
        <w:t>年入职公司，先后在技术服务、生产中心、技术与开发中心工作；</w:t>
      </w:r>
      <w:r>
        <w:rPr>
          <w:rFonts w:ascii="Times New Roman" w:hAnsi="Times New Roman" w:cs="Times New Roman" w:eastAsia="Times New Roman" w:hint="default"/>
        </w:rPr>
        <w:t>2009</w:t>
      </w:r>
      <w:r>
        <w:rPr>
          <w:rFonts w:ascii="Times New Roman" w:hAnsi="Times New Roman" w:cs="Times New Roman" w:eastAsia="Times New Roman" w:hint="default"/>
          <w:spacing w:val="44"/>
        </w:rPr>
        <w:t> </w:t>
      </w:r>
      <w:r>
        <w:rPr/>
        <w:t>年至</w:t>
      </w:r>
      <w:r>
        <w:rPr>
          <w:rFonts w:ascii="Times New Roman" w:hAnsi="Times New Roman" w:cs="Times New Roman" w:eastAsia="Times New Roman" w:hint="default"/>
        </w:rPr>
        <w:t>2013</w:t>
      </w:r>
      <w:r>
        <w:rPr/>
        <w:t>年担任大气产品经理，现任技术与开发中心大气产品总监。</w:t>
      </w:r>
    </w:p>
    <w:p>
      <w:pPr>
        <w:spacing w:line="304" w:lineRule="auto" w:before="11"/>
        <w:ind w:left="154" w:right="7349"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、高级管理人员</w:t>
      </w:r>
      <w:r>
        <w:rPr>
          <w:rFonts w:ascii="宋体" w:hAnsi="宋体" w:cs="宋体" w:eastAsia="宋体" w:hint="default"/>
          <w:b/>
          <w:bCs/>
          <w:w w:val="99"/>
          <w:sz w:val="21"/>
          <w:szCs w:val="21"/>
        </w:rPr>
        <w:t> </w:t>
      </w:r>
      <w:r>
        <w:rPr>
          <w:rFonts w:ascii="宋体" w:hAnsi="宋体" w:cs="宋体" w:eastAsia="宋体" w:hint="default"/>
          <w:b/>
          <w:bCs/>
          <w:sz w:val="18"/>
          <w:szCs w:val="18"/>
        </w:rPr>
        <w:t>陈荣强：</w:t>
      </w:r>
      <w:r>
        <w:rPr>
          <w:rFonts w:ascii="宋体" w:hAnsi="宋体" w:cs="宋体" w:eastAsia="宋体" w:hint="default"/>
          <w:sz w:val="18"/>
          <w:szCs w:val="18"/>
        </w:rPr>
        <w:t>总经理，简历详见本节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b/>
          <w:bCs/>
          <w:sz w:val="18"/>
          <w:szCs w:val="18"/>
        </w:rPr>
        <w:t>范朝：</w:t>
      </w:r>
      <w:r>
        <w:rPr>
          <w:rFonts w:ascii="宋体" w:hAnsi="宋体" w:cs="宋体" w:eastAsia="宋体" w:hint="default"/>
          <w:sz w:val="18"/>
          <w:szCs w:val="18"/>
        </w:rPr>
        <w:t>副总经理，简历详见本节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b/>
          <w:bCs/>
          <w:sz w:val="18"/>
          <w:szCs w:val="18"/>
        </w:rPr>
        <w:t>李国壁：</w:t>
      </w:r>
      <w:r>
        <w:rPr>
          <w:rFonts w:ascii="宋体" w:hAnsi="宋体" w:cs="宋体" w:eastAsia="宋体" w:hint="default"/>
          <w:sz w:val="18"/>
          <w:szCs w:val="18"/>
        </w:rPr>
        <w:t>财务总监，简历详见本节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BodyText"/>
        <w:spacing w:line="240" w:lineRule="auto" w:before="9"/>
        <w:ind w:right="0"/>
        <w:jc w:val="left"/>
      </w:pPr>
      <w:r>
        <w:rPr>
          <w:rFonts w:ascii="宋体" w:hAnsi="宋体" w:cs="宋体" w:eastAsia="宋体" w:hint="default"/>
          <w:b/>
          <w:bCs/>
        </w:rPr>
        <w:t>王少军：</w:t>
      </w:r>
      <w:r>
        <w:rPr/>
        <w:t>董事会秘书，男，中国国籍，</w:t>
      </w:r>
      <w:r>
        <w:rPr>
          <w:rFonts w:ascii="Times New Roman" w:hAnsi="Times New Roman" w:cs="Times New Roman" w:eastAsia="Times New Roman" w:hint="default"/>
        </w:rPr>
        <w:t>1979</w:t>
      </w:r>
      <w:r>
        <w:rPr/>
        <w:t>年出生，管理学硕士。近五年一直任职于公司，主要负责公司证券及投资工作。</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0"/>
        <w:jc w:val="left"/>
      </w:pPr>
      <w:r>
        <w:rPr/>
        <w:t>在股东单位任职情况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董岩</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红塔创新投资股份有限公司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高级经理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赵立三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河北四通新型金属材料股份有限公司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赵立三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河北大学管理学院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教授、博士生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导师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深圳乐信控股有限公司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北京市众天律师事务所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东旭蓝天新能源股份有限公司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深圳汇洁集团股份有限公司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1032" w:hanging="360"/>
        <w:jc w:val="left"/>
      </w:pPr>
      <w:r>
        <w:rPr/>
        <w:t>董事、监事、高级管理人员报酬的决策程序、确定依据、实际支付情况 董事、监事、高级管理人员报酬的决策程序：公司董事、监事报酬由股东大会决定，高级管理人员报酬由董事会决定。 董事、监事、高级管理人员报酬确定依据：</w:t>
      </w:r>
    </w:p>
    <w:p>
      <w:pPr>
        <w:pStyle w:val="BodyText"/>
        <w:spacing w:line="240" w:lineRule="auto" w:before="2"/>
        <w:ind w:left="514" w:right="0"/>
        <w:jc w:val="left"/>
      </w:pPr>
      <w:r>
        <w:rPr/>
        <w:t>（</w:t>
      </w:r>
      <w:r>
        <w:rPr>
          <w:rFonts w:ascii="Times New Roman" w:hAnsi="Times New Roman" w:cs="Times New Roman" w:eastAsia="Times New Roman" w:hint="default"/>
        </w:rPr>
        <w:t>1</w:t>
      </w:r>
      <w:r>
        <w:rPr/>
        <w:t>）内部董事、监事根据其在公司所担任的具体职务、按照公司整体薪酬及考核制度确定报酬。</w:t>
      </w:r>
    </w:p>
    <w:p>
      <w:pPr>
        <w:pStyle w:val="BodyText"/>
        <w:spacing w:line="300" w:lineRule="auto" w:before="63"/>
        <w:ind w:right="1141" w:firstLine="360"/>
        <w:jc w:val="both"/>
      </w:pPr>
      <w:r>
        <w:rPr/>
        <w:t>（</w:t>
      </w:r>
      <w:r>
        <w:rPr>
          <w:rFonts w:ascii="Times New Roman" w:hAnsi="Times New Roman" w:cs="Times New Roman" w:eastAsia="Times New Roman" w:hint="default"/>
        </w:rPr>
        <w:t>2</w:t>
      </w:r>
      <w:r>
        <w:rPr/>
        <w:t>）在股东单位任职并领取薪酬的外部董事不在公司领取薪酬；未在股东单位任职并领取薪酬的外部董事薪酬参照独 立董事薪酬标准执行。</w:t>
      </w:r>
    </w:p>
    <w:p>
      <w:pPr>
        <w:pStyle w:val="BodyText"/>
        <w:spacing w:line="240" w:lineRule="auto" w:before="31"/>
        <w:ind w:left="514" w:right="0"/>
        <w:jc w:val="left"/>
      </w:pPr>
      <w:r>
        <w:rPr/>
        <w:t>（</w:t>
      </w:r>
      <w:r>
        <w:rPr>
          <w:rFonts w:ascii="Times New Roman" w:hAnsi="Times New Roman" w:cs="Times New Roman" w:eastAsia="Times New Roman" w:hint="default"/>
        </w:rPr>
        <w:t>3</w:t>
      </w:r>
      <w:r>
        <w:rPr/>
        <w:t>）在公司只担任高管职务的，按公司整体薪酬及考核制度领取薪酬。</w:t>
      </w:r>
    </w:p>
    <w:p>
      <w:pPr>
        <w:pStyle w:val="BodyText"/>
        <w:spacing w:line="309" w:lineRule="auto" w:before="63"/>
        <w:ind w:right="1131" w:firstLine="360"/>
        <w:jc w:val="both"/>
      </w:pPr>
      <w:r>
        <w:rPr/>
        <w:t>（</w:t>
      </w:r>
      <w:r>
        <w:rPr>
          <w:rFonts w:ascii="Times New Roman" w:hAnsi="Times New Roman" w:cs="Times New Roman" w:eastAsia="Times New Roman" w:hint="default"/>
        </w:rPr>
        <w:t>4</w:t>
      </w:r>
      <w:r>
        <w:rPr/>
        <w:t>）公司内部董事、监事、高级管理人员薪酬分为基本薪酬和绩效协议薪酬，基本薪酬按月发放，绩效协议薪酬在会 </w:t>
      </w:r>
      <w:r>
        <w:rPr>
          <w:spacing w:val="-2"/>
        </w:rPr>
        <w:t>计年度结束后，结合每人的绩效考核、履职情况和公司当年生产经营情况综合确定，一次性发放；未在股东单位任职并领取</w:t>
      </w:r>
      <w:r>
        <w:rPr>
          <w:spacing w:val="-66"/>
        </w:rPr>
        <w:t> </w:t>
      </w:r>
      <w:r>
        <w:rPr>
          <w:spacing w:val="-66"/>
        </w:rPr>
      </w:r>
      <w:r>
        <w:rPr/>
        <w:t>薪酬的外部董事、独立董事津贴按年度发放。上述薪酬涉及的个人所得税由公司统一代扣代缴。</w:t>
      </w:r>
    </w:p>
    <w:p>
      <w:pPr>
        <w:pStyle w:val="BodyText"/>
        <w:spacing w:line="240" w:lineRule="auto" w:before="65"/>
        <w:ind w:left="516" w:right="0"/>
        <w:jc w:val="left"/>
      </w:pPr>
      <w:r>
        <w:rPr/>
        <w:t>董事、监事和高级管理人员报酬的实际支付情况：报告期内，公司已向董事、监事及管理人员全额支付薪酬。</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闫成德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赵立三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王意勤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王少军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梁常清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付国印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233.67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5"/>
      <w:bookmarkEnd w:id="125"/>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6"/>
      <w:bookmarkEnd w:id="12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1,767</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1,767</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27"/>
      <w:bookmarkEnd w:id="12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薪酬制定原则：</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4" w:right="0"/>
        <w:jc w:val="left"/>
      </w:pPr>
      <w:r>
        <w:rPr>
          <w:rFonts w:ascii="Times New Roman" w:hAnsi="Times New Roman" w:cs="Times New Roman" w:eastAsia="Times New Roman" w:hint="default"/>
        </w:rPr>
        <w:t>1</w:t>
      </w:r>
      <w:r>
        <w:rPr/>
        <w:t>、效率优先，兼顾公平的原则；</w:t>
      </w:r>
    </w:p>
    <w:p>
      <w:pPr>
        <w:pStyle w:val="BodyText"/>
        <w:spacing w:line="240" w:lineRule="auto" w:before="63"/>
        <w:ind w:left="514" w:right="0"/>
        <w:jc w:val="left"/>
      </w:pPr>
      <w:r>
        <w:rPr>
          <w:rFonts w:ascii="Times New Roman" w:hAnsi="Times New Roman" w:cs="Times New Roman" w:eastAsia="Times New Roman" w:hint="default"/>
        </w:rPr>
        <w:t>2</w:t>
      </w:r>
      <w:r>
        <w:rPr/>
        <w:t>、团队绩效及个人绩效与薪酬分配紧密结合的原则；</w:t>
      </w:r>
    </w:p>
    <w:p>
      <w:pPr>
        <w:pStyle w:val="BodyText"/>
        <w:spacing w:line="240" w:lineRule="auto" w:before="63"/>
        <w:ind w:left="514" w:right="0"/>
        <w:jc w:val="left"/>
      </w:pPr>
      <w:r>
        <w:rPr>
          <w:rFonts w:ascii="Times New Roman" w:hAnsi="Times New Roman" w:cs="Times New Roman" w:eastAsia="Times New Roman" w:hint="default"/>
        </w:rPr>
        <w:t>3</w:t>
      </w:r>
      <w:r>
        <w:rPr/>
        <w:t>、员工工资增长与公司经营发展和效益提高相适应的原则；</w:t>
      </w:r>
    </w:p>
    <w:p>
      <w:pPr>
        <w:pStyle w:val="BodyText"/>
        <w:spacing w:line="240" w:lineRule="auto" w:before="63"/>
        <w:ind w:left="514" w:right="0"/>
        <w:jc w:val="left"/>
      </w:pPr>
      <w:r>
        <w:rPr>
          <w:rFonts w:ascii="Times New Roman" w:hAnsi="Times New Roman" w:cs="Times New Roman" w:eastAsia="Times New Roman" w:hint="default"/>
        </w:rPr>
        <w:t>4</w:t>
      </w:r>
      <w:r>
        <w:rPr/>
        <w:t>、保持外部竞争力的原则。</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bookmarkStart w:name="3、培训计划" w:id="128"/>
      <w:bookmarkEnd w:id="12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公司致力于加强人才队伍建设，加大培训投入，提高员工素质。通过不断完善培训管理制度，建立了多种培训渠道，公</w:t>
      </w:r>
      <w:r>
        <w:rPr/>
        <w:t> </w:t>
      </w:r>
      <w:r>
        <w:rPr>
          <w:spacing w:val="-2"/>
        </w:rPr>
        <w:t>司不定期举办培训活动，请公司内训讲师、外部讲师讲授课程，拓展了员工职业发展渠道，满足员工个人能力和职业发展的</w:t>
      </w:r>
      <w:r>
        <w:rPr>
          <w:spacing w:val="-66"/>
        </w:rPr>
        <w:t> </w:t>
      </w:r>
      <w:r>
        <w:rPr>
          <w:spacing w:val="-66"/>
        </w:rPr>
      </w:r>
      <w:r>
        <w:rPr/>
        <w:t>需求，实现企业和员工的双赢。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4、劳务外包情况" w:id="129"/>
      <w:bookmarkEnd w:id="12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26"/>
        <w:jc w:val="center"/>
        <w:rPr>
          <w:b w:val="0"/>
          <w:bCs w:val="0"/>
        </w:rPr>
      </w:pPr>
      <w:bookmarkStart w:name="第九节 公司治理" w:id="130"/>
      <w:bookmarkEnd w:id="130"/>
      <w:r>
        <w:rPr>
          <w:b w:val="0"/>
          <w:bCs w:val="0"/>
        </w:rPr>
      </w:r>
      <w:bookmarkStart w:name="_bookmark8" w:id="131"/>
      <w:bookmarkEnd w:id="131"/>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60"/>
        <w:jc w:val="both"/>
      </w:pPr>
      <w:r>
        <w:rPr>
          <w:spacing w:val="-2"/>
        </w:rPr>
        <w:t>报告期内，公司严格按照《公司法》、《证券法》、中国证监会《上市公司治理准则》、《深圳证券交易所创业板股票</w:t>
      </w:r>
      <w:r>
        <w:rPr/>
        <w:t> 上市规则》、《深圳证券交易所创业板上市公司规范运作指引》等有关法律法规、规范性文件的要求，</w:t>
      </w:r>
      <w:r>
        <w:rPr>
          <w:spacing w:val="-18"/>
        </w:rPr>
        <w:t> </w:t>
      </w:r>
      <w:r>
        <w:rPr/>
        <w:t>不断完善由股东大</w:t>
      </w:r>
      <w:r>
        <w:rPr/>
        <w:t> </w:t>
      </w:r>
      <w:r>
        <w:rPr>
          <w:spacing w:val="-2"/>
        </w:rPr>
        <w:t>会、董事会、监事会和经营管理层组成的公司治理结构，加强公司内部管理和控制制度，促进了公司规范运作，进一步提高</w:t>
      </w:r>
      <w:r>
        <w:rPr>
          <w:spacing w:val="-66"/>
        </w:rPr>
        <w:t> </w:t>
      </w:r>
      <w:r>
        <w:rPr>
          <w:spacing w:val="-66"/>
        </w:rPr>
      </w:r>
      <w:r>
        <w:rPr>
          <w:spacing w:val="-2"/>
        </w:rPr>
        <w:t>了公司治理水平。截至本报告期末，公司治理的实际状况基本符合中国证监会《上市公司治理准则》和《深圳证券交易所创</w:t>
      </w:r>
      <w:r>
        <w:rPr>
          <w:spacing w:val="-66"/>
        </w:rPr>
        <w:t> </w:t>
      </w:r>
      <w:r>
        <w:rPr>
          <w:spacing w:val="-66"/>
        </w:rPr>
      </w:r>
      <w:r>
        <w:rPr/>
        <w:t>业板上市公司规范运作指引》的要求。</w:t>
      </w:r>
    </w:p>
    <w:p>
      <w:pPr>
        <w:pStyle w:val="BodyText"/>
        <w:spacing w:line="300" w:lineRule="auto" w:before="19"/>
        <w:ind w:left="514" w:right="0"/>
        <w:jc w:val="left"/>
      </w:pPr>
      <w:r>
        <w:rPr>
          <w:rFonts w:ascii="Times New Roman" w:hAnsi="Times New Roman" w:cs="Times New Roman" w:eastAsia="Times New Roman" w:hint="default"/>
        </w:rPr>
        <w:t>1</w:t>
      </w:r>
      <w:r>
        <w:rPr/>
        <w:t>、关于股东与股东大会 </w:t>
      </w:r>
      <w:r>
        <w:rPr>
          <w:spacing w:val="-2"/>
        </w:rPr>
        <w:t>公司严格按照《公司法》、《上市公司股东大会规则》以及《公司章程》、《股东大会议事规则》和深圳证券交易所创</w:t>
      </w:r>
    </w:p>
    <w:p>
      <w:pPr>
        <w:pStyle w:val="BodyText"/>
        <w:spacing w:line="316" w:lineRule="auto" w:before="31"/>
        <w:ind w:right="1131"/>
        <w:jc w:val="both"/>
      </w:pPr>
      <w:r>
        <w:rPr>
          <w:spacing w:val="-2"/>
        </w:rPr>
        <w:t>业板的相关规定和要求，规范股东大会的召集、召开和表决程序，并聘请律师对股东大会的合法性出具法律意见书，平等对</w:t>
      </w:r>
      <w:r>
        <w:rPr>
          <w:spacing w:val="-66"/>
        </w:rPr>
        <w:t> </w:t>
      </w:r>
      <w:r>
        <w:rPr>
          <w:spacing w:val="-66"/>
        </w:rPr>
      </w:r>
      <w:r>
        <w:rPr>
          <w:spacing w:val="-2"/>
        </w:rPr>
        <w:t>待所有股东，并尽可能为股东参加股东大会提供便利，开通网络投票，确保股东的合法权益，特别是中小股东能充分行使股</w:t>
      </w:r>
      <w:r>
        <w:rPr>
          <w:spacing w:val="-66"/>
        </w:rPr>
        <w:t> </w:t>
      </w:r>
      <w:r>
        <w:rPr>
          <w:spacing w:val="-66"/>
        </w:rPr>
      </w:r>
      <w:r>
        <w:rPr/>
        <w:t>东权利。</w:t>
      </w:r>
    </w:p>
    <w:p>
      <w:pPr>
        <w:pStyle w:val="BodyText"/>
        <w:spacing w:line="300" w:lineRule="auto" w:before="19"/>
        <w:ind w:left="514" w:right="0"/>
        <w:jc w:val="left"/>
      </w:pPr>
      <w:r>
        <w:rPr>
          <w:rFonts w:ascii="Times New Roman" w:hAnsi="Times New Roman" w:cs="Times New Roman" w:eastAsia="Times New Roman" w:hint="default"/>
        </w:rPr>
        <w:t>2</w:t>
      </w:r>
      <w:r>
        <w:rPr/>
        <w:t>、关于公司与控股股东、实际控制人 </w:t>
      </w:r>
      <w:r>
        <w:rPr>
          <w:spacing w:val="-2"/>
        </w:rPr>
        <w:t>公司拥有独立完整的主营业务和自主经营能力，在人员、资产、业务、管理机构、财务核算体系上独立于控股股东和实</w:t>
      </w:r>
    </w:p>
    <w:p>
      <w:pPr>
        <w:pStyle w:val="BodyText"/>
        <w:spacing w:line="316" w:lineRule="auto" w:before="31"/>
        <w:ind w:right="1130"/>
        <w:jc w:val="both"/>
      </w:pPr>
      <w:r>
        <w:rPr>
          <w:spacing w:val="-2"/>
        </w:rPr>
        <w:t>际控制人，能够独立运作、独立经营、独立承担责任和风险。公司控股股东、实际控制人行为规范，依法行使其权力并承担</w:t>
      </w:r>
      <w:r>
        <w:rPr>
          <w:spacing w:val="-68"/>
        </w:rPr>
        <w:t> </w:t>
      </w:r>
      <w:r>
        <w:rPr>
          <w:spacing w:val="-68"/>
        </w:rPr>
      </w:r>
      <w:r>
        <w:rPr/>
        <w:t>相应义务，没有超越股东大会、董事会直接或间接干预公</w:t>
      </w:r>
      <w:r>
        <w:rPr>
          <w:spacing w:val="-18"/>
        </w:rPr>
        <w:t> </w:t>
      </w:r>
      <w:r>
        <w:rPr/>
        <w:t>司的决策和经营活动。报告期内，不存在控股股东、实际控制人</w:t>
      </w:r>
      <w:r>
        <w:rPr/>
        <w:t> 占用公司资金的现象，公司亦不存在为控股股东、实际控制人提供担保的情形。</w:t>
      </w:r>
    </w:p>
    <w:p>
      <w:pPr>
        <w:pStyle w:val="BodyText"/>
        <w:spacing w:line="300" w:lineRule="auto" w:before="19"/>
        <w:ind w:left="514" w:right="1032"/>
        <w:jc w:val="left"/>
      </w:pPr>
      <w:r>
        <w:rPr>
          <w:rFonts w:ascii="Times New Roman" w:hAnsi="Times New Roman" w:cs="Times New Roman" w:eastAsia="Times New Roman" w:hint="default"/>
        </w:rPr>
        <w:t>3</w:t>
      </w:r>
      <w:r>
        <w:rPr/>
        <w:t>、关于董事和董事会 公司董事会成员任免均严格履行董事会、股东大会批准程序，不存在与相关法律、法规，《公司章程》相抵触的情形。</w:t>
      </w:r>
    </w:p>
    <w:p>
      <w:pPr>
        <w:pStyle w:val="BodyText"/>
        <w:spacing w:line="316" w:lineRule="auto" w:before="31"/>
        <w:ind w:right="1132"/>
        <w:jc w:val="both"/>
      </w:pPr>
      <w:r>
        <w:rPr>
          <w:spacing w:val="-2"/>
        </w:rPr>
        <w:t>各位董事能够依据《董事会议事规则》、《独立董事工作制度》、《深圳证券交易所创业板上市公司规范运作指引》等开展</w:t>
      </w:r>
      <w:r>
        <w:rPr>
          <w:spacing w:val="-67"/>
        </w:rPr>
        <w:t> </w:t>
      </w:r>
      <w:r>
        <w:rPr>
          <w:spacing w:val="-67"/>
        </w:rPr>
      </w:r>
      <w:r>
        <w:rPr>
          <w:spacing w:val="-2"/>
        </w:rPr>
        <w:t>工作，出席董事会、董事会专门委员会和股东大会，勤勉尽责地履行职责和义务，同时积极参加相关培训，熟悉相关法律法</w:t>
      </w:r>
      <w:r>
        <w:rPr>
          <w:spacing w:val="-66"/>
        </w:rPr>
        <w:t> </w:t>
      </w:r>
      <w:r>
        <w:rPr>
          <w:spacing w:val="-66"/>
        </w:rPr>
      </w:r>
      <w:r>
        <w:rPr/>
        <w:t>规。</w:t>
      </w:r>
    </w:p>
    <w:p>
      <w:pPr>
        <w:pStyle w:val="BodyText"/>
        <w:spacing w:line="316" w:lineRule="auto" w:before="19"/>
        <w:ind w:right="1130" w:firstLine="360"/>
        <w:jc w:val="both"/>
      </w:pPr>
      <w:r>
        <w:rPr>
          <w:spacing w:val="-2"/>
        </w:rPr>
        <w:t>公司董事会会议的召集、召开等程序均符合相关规定的要求；董事会会议记录内容真实、准确、完整，保存安全；会议</w:t>
      </w:r>
      <w:r>
        <w:rPr/>
        <w:t> </w:t>
      </w:r>
      <w:r>
        <w:rPr>
          <w:spacing w:val="-2"/>
        </w:rPr>
        <w:t>决议做到充分准确且及时披露。公司按照《深圳证券交易所创业板上市公司规范运作指引》的要求，下设有战略委员会、薪</w:t>
      </w:r>
      <w:r>
        <w:rPr>
          <w:spacing w:val="-65"/>
        </w:rPr>
        <w:t> </w:t>
      </w:r>
      <w:r>
        <w:rPr>
          <w:spacing w:val="-65"/>
        </w:rPr>
      </w:r>
      <w:r>
        <w:rPr>
          <w:spacing w:val="-2"/>
        </w:rPr>
        <w:t>酬与考核委员会、审计委员会和提名委员会四个专门委员会。各委员会依据《公司章程》和各委员会议事规则的规定履行职</w:t>
      </w:r>
      <w:r>
        <w:rPr>
          <w:spacing w:val="-66"/>
        </w:rPr>
        <w:t> </w:t>
      </w:r>
      <w:r>
        <w:rPr>
          <w:spacing w:val="-66"/>
        </w:rPr>
      </w:r>
      <w:r>
        <w:rPr/>
        <w:t>权，不受公司任何其他部门和个人的干预。</w:t>
      </w:r>
    </w:p>
    <w:p>
      <w:pPr>
        <w:pStyle w:val="BodyText"/>
        <w:spacing w:line="300" w:lineRule="auto" w:before="19"/>
        <w:ind w:left="587" w:right="1139" w:hanging="74"/>
        <w:jc w:val="left"/>
      </w:pPr>
      <w:r>
        <w:rPr>
          <w:rFonts w:ascii="Times New Roman" w:hAnsi="Times New Roman" w:cs="Times New Roman" w:eastAsia="Times New Roman" w:hint="default"/>
        </w:rPr>
        <w:t>4</w:t>
      </w:r>
      <w:r>
        <w:rPr/>
        <w:t>、关于监事和监事会 公司监事会设监事</w:t>
      </w:r>
      <w:r>
        <w:rPr>
          <w:rFonts w:ascii="Times New Roman" w:hAnsi="Times New Roman" w:cs="Times New Roman" w:eastAsia="Times New Roman" w:hint="default"/>
        </w:rPr>
        <w:t>3</w:t>
      </w:r>
      <w:r>
        <w:rPr/>
        <w:t>名，其中职工代表监事</w:t>
      </w:r>
      <w:r>
        <w:rPr>
          <w:rFonts w:ascii="Times New Roman" w:hAnsi="Times New Roman" w:cs="Times New Roman" w:eastAsia="Times New Roman" w:hint="default"/>
        </w:rPr>
        <w:t>1</w:t>
      </w:r>
      <w:r>
        <w:rPr/>
        <w:t>名，其任职资格符合相关法律、法规及《公司章程》的相关要求。各位监</w:t>
      </w:r>
    </w:p>
    <w:p>
      <w:pPr>
        <w:pStyle w:val="BodyText"/>
        <w:spacing w:line="316" w:lineRule="auto" w:before="13"/>
        <w:ind w:right="1130"/>
        <w:jc w:val="both"/>
      </w:pPr>
      <w:r>
        <w:rPr>
          <w:spacing w:val="-2"/>
        </w:rPr>
        <w:t>事能够按照《监事会议事规则》的要求，认真履行自身的职责。公司监事会本着对公司和全体股东负责的精神，依法、独立</w:t>
      </w:r>
      <w:r>
        <w:rPr>
          <w:spacing w:val="-67"/>
        </w:rPr>
        <w:t> </w:t>
      </w:r>
      <w:r>
        <w:rPr>
          <w:spacing w:val="-67"/>
        </w:rPr>
      </w:r>
      <w:r>
        <w:rPr>
          <w:spacing w:val="-2"/>
        </w:rPr>
        <w:t>地对公司财务状况、重大交易、公司董事、总经理和其他高级管理人员履行职责的合法性、合规性进行监督，维护公司和股</w:t>
      </w:r>
      <w:r>
        <w:rPr>
          <w:spacing w:val="-66"/>
        </w:rPr>
        <w:t> </w:t>
      </w:r>
      <w:r>
        <w:rPr>
          <w:spacing w:val="-66"/>
        </w:rPr>
      </w:r>
      <w:r>
        <w:rPr/>
        <w:t>东的合法权益。</w:t>
      </w:r>
    </w:p>
    <w:p>
      <w:pPr>
        <w:pStyle w:val="BodyText"/>
        <w:spacing w:line="300" w:lineRule="auto" w:before="19"/>
        <w:ind w:left="514" w:right="0"/>
        <w:jc w:val="left"/>
      </w:pPr>
      <w:r>
        <w:rPr>
          <w:rFonts w:ascii="Times New Roman" w:hAnsi="Times New Roman" w:cs="Times New Roman" w:eastAsia="Times New Roman" w:hint="default"/>
        </w:rPr>
        <w:t>5</w:t>
      </w:r>
      <w:r>
        <w:rPr/>
        <w:t>、关于绩效评价与激励约束机制 </w:t>
      </w:r>
      <w:r>
        <w:rPr>
          <w:spacing w:val="-2"/>
        </w:rPr>
        <w:t>公司已建立和完善了公正、透明的高级管理人员的绩效考核标准和激励约束机制。高级管理人员的聘任公开、透明，符</w:t>
      </w:r>
    </w:p>
    <w:p>
      <w:pPr>
        <w:pStyle w:val="BodyText"/>
        <w:spacing w:line="316" w:lineRule="auto" w:before="31"/>
        <w:ind w:right="1133"/>
        <w:jc w:val="both"/>
      </w:pPr>
      <w:r>
        <w:rPr>
          <w:spacing w:val="-2"/>
        </w:rPr>
        <w:t>合法律、法规的规定。公司董事会下设的薪酬与考核委员会负责对公司的董事、监事、高级管理人员进行绩效考核，公司现</w:t>
      </w:r>
      <w:r>
        <w:rPr>
          <w:spacing w:val="-66"/>
        </w:rPr>
        <w:t> </w:t>
      </w:r>
      <w:r>
        <w:rPr>
          <w:spacing w:val="-66"/>
        </w:rPr>
      </w:r>
      <w:r>
        <w:rPr/>
        <w:t>有的考核及激励约束机制符合公司的发展现状。</w:t>
      </w:r>
    </w:p>
    <w:p>
      <w:pPr>
        <w:pStyle w:val="BodyText"/>
        <w:spacing w:line="300" w:lineRule="auto" w:before="19"/>
        <w:ind w:left="514" w:right="0"/>
        <w:jc w:val="left"/>
      </w:pPr>
      <w:r>
        <w:rPr>
          <w:rFonts w:ascii="Times New Roman" w:hAnsi="Times New Roman" w:cs="Times New Roman" w:eastAsia="Times New Roman" w:hint="default"/>
        </w:rPr>
        <w:t>6</w:t>
      </w:r>
      <w:r>
        <w:rPr/>
        <w:t>、关于信息披露与透明度 </w:t>
      </w:r>
      <w:r>
        <w:rPr>
          <w:spacing w:val="-4"/>
        </w:rPr>
        <w:t>报告期内，公司严格按照有关法律法规及规范性文件等监管规定要求，真实、准确、及时、公平、完整地披露有关信息；</w:t>
      </w:r>
    </w:p>
    <w:p>
      <w:pPr>
        <w:pStyle w:val="BodyText"/>
        <w:spacing w:line="300" w:lineRule="auto" w:before="31"/>
        <w:ind w:right="1204"/>
        <w:jc w:val="both"/>
      </w:pPr>
      <w:r>
        <w:rPr/>
        <w:t>通过中国证监会指定媒体《中国证券报》、《证券时报》和巨潮资讯网（</w:t>
      </w:r>
      <w:hyperlink r:id="rId10">
        <w:r>
          <w:rPr>
            <w:rFonts w:ascii="Times New Roman" w:hAnsi="Times New Roman" w:cs="Times New Roman" w:eastAsia="Times New Roman" w:hint="default"/>
          </w:rPr>
          <w:t>www.cninfo.com.cn</w:t>
        </w:r>
      </w:hyperlink>
      <w:r>
        <w:rPr/>
        <w:t>）为公司信息披露的指定报纸</w:t>
      </w:r>
      <w:r>
        <w:rPr>
          <w:w w:val="99"/>
        </w:rPr>
        <w:t> </w:t>
      </w:r>
      <w:r>
        <w:rPr/>
        <w:t>和网站，确保公司所有股东能够以平等的机会获得信息。</w:t>
      </w:r>
    </w:p>
    <w:p>
      <w:pPr>
        <w:pStyle w:val="BodyText"/>
        <w:spacing w:line="240" w:lineRule="auto" w:before="31"/>
        <w:ind w:left="514" w:right="0"/>
        <w:jc w:val="left"/>
      </w:pPr>
      <w:r>
        <w:rPr>
          <w:rFonts w:ascii="Times New Roman" w:hAnsi="Times New Roman" w:cs="Times New Roman" w:eastAsia="Times New Roman" w:hint="default"/>
        </w:rPr>
        <w:t>7</w:t>
      </w:r>
      <w:r>
        <w:rPr/>
        <w:t>、关于相关利益者</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16" w:lineRule="auto" w:before="44"/>
        <w:ind w:right="1118" w:firstLine="362"/>
        <w:jc w:val="left"/>
      </w:pPr>
      <w:r>
        <w:rPr>
          <w:spacing w:val="-2"/>
        </w:rPr>
        <w:t>公司充分尊重和维护相关利益者的合法权益，实现股东、员工、社会等各方利益的协调平衡，共同推动公司持续、健康</w:t>
      </w:r>
      <w:r>
        <w:rPr/>
        <w:t> 的发展。</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0"/>
        <w:jc w:val="left"/>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290"/>
        <w:jc w:val="left"/>
      </w:pPr>
      <w:r>
        <w:rPr>
          <w:spacing w:val="-1"/>
        </w:rPr>
        <w:t>公司产权明晰、权责明确、运作规范，在业务、人员、资产、机构和财务等方面遵循了上市公司规范运作的要求，与公</w:t>
      </w:r>
      <w:r>
        <w:rPr/>
        <w:t> 司控股股东严格分开，具有独立法人地位和独立完整的业务体系和自主经营能力。</w:t>
      </w:r>
    </w:p>
    <w:p>
      <w:pPr>
        <w:pStyle w:val="BodyText"/>
        <w:spacing w:line="316" w:lineRule="auto" w:before="19"/>
        <w:ind w:right="0" w:firstLine="360"/>
        <w:jc w:val="left"/>
      </w:pPr>
      <w:r>
        <w:rPr>
          <w:spacing w:val="-2"/>
        </w:rPr>
        <w:t>业务分开方面：公司拥有完整的生产、采购和销售体系，能够独立开展生产经营活动；公司在业务经营上与控股股东及</w:t>
      </w:r>
      <w:r>
        <w:rPr/>
        <w:t> 其关联方不存在同业竞争或显失公平的关联交易。</w:t>
      </w:r>
    </w:p>
    <w:p>
      <w:pPr>
        <w:pStyle w:val="BodyText"/>
        <w:spacing w:line="316" w:lineRule="auto" w:before="19"/>
        <w:ind w:right="1032" w:firstLine="360"/>
        <w:jc w:val="left"/>
      </w:pPr>
      <w:r>
        <w:rPr/>
        <w:t>人员分开方面：公司总经理、副总经理、财务总监、董事会秘书等高级管理人员均在公司领取报酬；公司董事、监事、 总经理及其他高级管理人员均依合法程序选举或聘任，不存在控股股东超越公司董事会和股东大会做出人事任免决定的情 况；公司员工独立于控股股东并独立执行劳动、人事及工资管理制。</w:t>
      </w:r>
    </w:p>
    <w:p>
      <w:pPr>
        <w:pStyle w:val="BodyText"/>
        <w:spacing w:line="316" w:lineRule="auto" w:before="19"/>
        <w:ind w:right="0" w:firstLine="360"/>
        <w:jc w:val="left"/>
      </w:pPr>
      <w:r>
        <w:rPr>
          <w:spacing w:val="-2"/>
        </w:rPr>
        <w:t>资产分开方面：公司合法拥有与经营有关的土地、厂房、机器设备、商标、专利等资产，公司控股股东不存在占用公司</w:t>
      </w:r>
      <w:r>
        <w:rPr/>
        <w:t> 的资金、资产和其他资源的情况。</w:t>
      </w:r>
    </w:p>
    <w:p>
      <w:pPr>
        <w:pStyle w:val="BodyText"/>
        <w:spacing w:line="316" w:lineRule="auto" w:before="19"/>
        <w:ind w:right="0" w:firstLine="360"/>
        <w:jc w:val="left"/>
      </w:pPr>
      <w:r>
        <w:rPr>
          <w:spacing w:val="-2"/>
        </w:rPr>
        <w:t>机构分开方面：公司已建立了适应自身发展需要和市场竞争需要的职能机构，内部经营管理机构健全，各职能机构在人</w:t>
      </w:r>
      <w:r>
        <w:rPr/>
        <w:t> 员、办公场所和管理制度等各方面均完全独立于控股股东。</w:t>
      </w:r>
    </w:p>
    <w:p>
      <w:pPr>
        <w:pStyle w:val="BodyText"/>
        <w:spacing w:line="319" w:lineRule="auto" w:before="59"/>
        <w:ind w:right="0" w:firstLine="290"/>
        <w:jc w:val="left"/>
      </w:pPr>
      <w:r>
        <w:rPr>
          <w:spacing w:val="-1"/>
        </w:rPr>
        <w:t>财务分开方面：公司设有独立的财务部门，并建立了独立的会计核算体系和规范的财务管理制度，独立纳税，独立进行</w:t>
      </w:r>
      <w:r>
        <w:rPr/>
        <w:t> 财务决策；公司独立在银行开户，不存在与控股股东共用银行账户的情形。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right="0"/>
        <w:jc w:val="left"/>
        <w:rPr>
          <w:b w:val="0"/>
          <w:bCs w:val="0"/>
        </w:rPr>
      </w:pPr>
      <w:bookmarkStart w:name="三、同业竞争情况" w:id="134"/>
      <w:bookmarkEnd w:id="134"/>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6"/>
      <w:bookmarkEnd w:id="13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37"/>
      <w:bookmarkEnd w:id="13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9"/>
      <w:bookmarkEnd w:id="13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赵立三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51"/>
        <w:ind w:right="8052"/>
        <w:jc w:val="left"/>
      </w:pPr>
      <w:r>
        <w:rPr/>
        <w:t>连续两次未亲自出席董事会的说明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独立董事对公司有关事项提出异议的情况" w:id="140"/>
      <w:bookmarkEnd w:id="14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7"/>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41"/>
      <w:bookmarkEnd w:id="14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39"/>
        <w:ind w:right="1131" w:firstLine="360"/>
        <w:jc w:val="both"/>
      </w:pPr>
      <w:r>
        <w:rPr>
          <w:spacing w:val="-2"/>
        </w:rPr>
        <w:t>报告期内，公司独立董事勤勉尽责地认真履行职责，利用自己的专业优势，对公司的经营管理、规范运作提出了合理的</w:t>
      </w:r>
      <w:r>
        <w:rPr/>
        <w:t> </w:t>
      </w:r>
      <w:r>
        <w:rPr>
          <w:spacing w:val="-2"/>
        </w:rPr>
        <w:t>专业性的建议，均被采纳。独立董事坚持谨慎、独立、公正的原则对公司相关事项发表了独立意见，切实维护公司的整体利</w:t>
      </w:r>
      <w:r>
        <w:rPr>
          <w:spacing w:val="-65"/>
        </w:rPr>
        <w:t> </w:t>
      </w:r>
      <w:r>
        <w:rPr>
          <w:spacing w:val="-65"/>
        </w:rPr>
      </w:r>
      <w:r>
        <w:rPr/>
        <w:t>益，尤其是中小股东的合法权益。</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0" w:firstLine="360"/>
        <w:jc w:val="left"/>
      </w:pPr>
      <w:r>
        <w:rPr>
          <w:spacing w:val="-2"/>
        </w:rPr>
        <w:t>公司董事会下设战略委员会、薪酬与考核委员会、审计委员会及提名委员会。</w:t>
      </w:r>
      <w:r>
        <w:rPr>
          <w:rFonts w:ascii="Times New Roman" w:hAnsi="Times New Roman" w:cs="Times New Roman" w:eastAsia="Times New Roman" w:hint="default"/>
          <w:spacing w:val="-2"/>
        </w:rPr>
        <w:t>2018</w:t>
      </w:r>
      <w:r>
        <w:rPr>
          <w:spacing w:val="-2"/>
        </w:rPr>
        <w:t>年度，各专门委员会根据工作细则等</w:t>
      </w:r>
      <w:r>
        <w:rPr/>
        <w:t> </w:t>
      </w:r>
      <w:r>
        <w:rPr>
          <w:spacing w:val="-2"/>
        </w:rPr>
        <w:t>相关制度的规定，忠实履行职责，充分发挥各自的专业作用：在公司对外投资、独立董事的补选上发挥积极的作用，审查公</w:t>
      </w:r>
      <w:r>
        <w:rPr>
          <w:spacing w:val="-66"/>
        </w:rPr>
        <w:t> </w:t>
      </w:r>
      <w:r>
        <w:rPr>
          <w:spacing w:val="-66"/>
        </w:rPr>
      </w:r>
      <w:r>
        <w:rPr>
          <w:spacing w:val="-4"/>
        </w:rPr>
        <w:t>司董事及高级管理人员的履行职责情况并对其进行绩效考评，进行公司审计的沟通、监督和核查工作，未有违反《公司章程》</w:t>
      </w:r>
      <w:r>
        <w:rPr>
          <w:spacing w:val="-46"/>
        </w:rPr>
        <w:t> </w:t>
      </w:r>
      <w:r>
        <w:rPr>
          <w:spacing w:val="-46"/>
        </w:rPr>
      </w:r>
      <w:r>
        <w:rPr/>
        <w:t>等相关规定事宜。公司充分尊重并采纳了各专门委员会的建议，切实履行了相关的责任和义务。</w:t>
      </w:r>
    </w:p>
    <w:p>
      <w:pPr>
        <w:spacing w:line="240" w:lineRule="auto" w:before="0"/>
        <w:rPr>
          <w:rFonts w:ascii="宋体" w:hAnsi="宋体" w:cs="宋体" w:eastAsia="宋体" w:hint="default"/>
          <w:sz w:val="21"/>
          <w:szCs w:val="21"/>
        </w:rPr>
      </w:pPr>
    </w:p>
    <w:p>
      <w:pPr>
        <w:pStyle w:val="Heading2"/>
        <w:spacing w:line="240" w:lineRule="auto"/>
        <w:ind w:right="0"/>
        <w:jc w:val="left"/>
        <w:rPr>
          <w:b w:val="0"/>
          <w:bCs w:val="0"/>
        </w:rPr>
      </w:pPr>
      <w:bookmarkStart w:name="七、监事会工作情况" w:id="143"/>
      <w:bookmarkEnd w:id="143"/>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3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公司已建立了绩效评价激励体系，管理者的收入与公司经营业绩挂钩，高级管理人员的聘任公开、透明，符合法律、法</w:t>
      </w:r>
      <w:r>
        <w:rPr/>
        <w:t> </w:t>
      </w:r>
      <w:r>
        <w:rPr>
          <w:spacing w:val="-2"/>
        </w:rPr>
        <w:t>规的规定。公司董事会设立了薪酬与考核委员会，负责公司薪酬政策或薪酬方案的审定。报告期内，本公司高级管理人员经</w:t>
      </w:r>
      <w:r>
        <w:rPr>
          <w:spacing w:val="-66"/>
        </w:rPr>
        <w:t> </w:t>
      </w:r>
      <w:r>
        <w:rPr>
          <w:spacing w:val="-66"/>
        </w:rPr>
      </w:r>
      <w:r>
        <w:rPr/>
        <w:t>考核，均认真履行了工作职责，工作业绩良好。</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5"/>
      <w:bookmarkEnd w:id="145"/>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6"/>
      <w:bookmarkEnd w:id="14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7"/>
      <w:bookmarkEnd w:id="14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pStyle w:val="BodyText"/>
        <w:spacing w:line="240" w:lineRule="auto" w:before="44"/>
        <w:ind w:left="0" w:right="1142"/>
        <w:jc w:val="right"/>
      </w:pPr>
      <w:r>
        <w:rPr/>
        <w:pict>
          <v:shape style="position:absolute;margin-left:57.029999pt;margin-top:-21.008276pt;width:478.6pt;height:273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1"/>
                    <w:gridCol w:w="3335"/>
                    <w:gridCol w:w="3051"/>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年度内部控制自我评价报告》详见巨潮资讯网（</w:t>
                        </w:r>
                        <w:hyperlink r:id="rId10">
                          <w:r>
                            <w:rPr>
                              <w:rFonts w:ascii="Times New Roman" w:hAnsi="Times New Roman" w:cs="Times New Roman" w:eastAsia="Times New Roman" w:hint="default"/>
                              <w:sz w:val="18"/>
                              <w:szCs w:val="18"/>
                            </w:rPr>
                            <w:t>www.cninfo.com.cn</w:t>
                          </w:r>
                        </w:hyperlink>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2"/>
        <w:spacing w:line="240" w:lineRule="auto" w:before="26"/>
        <w:ind w:right="0"/>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49"/>
      <w:bookmarkEnd w:id="149"/>
      <w:r>
        <w:rPr>
          <w:b w:val="0"/>
          <w:bCs w:val="0"/>
        </w:rPr>
      </w:r>
      <w:bookmarkStart w:name="_bookmark9" w:id="150"/>
      <w:bookmarkEnd w:id="150"/>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第十一节 财务报告" w:id="151"/>
      <w:bookmarkEnd w:id="151"/>
      <w:r>
        <w:rPr>
          <w:b w:val="0"/>
          <w:bCs w:val="0"/>
        </w:rPr>
      </w:r>
      <w:bookmarkStart w:name="_bookmark10" w:id="152"/>
      <w:bookmarkEnd w:id="152"/>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3"/>
      <w:bookmarkEnd w:id="15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利安达会计师事务所（特殊普通合伙）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利安达审字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邱淦泳、许海丽</w:t>
            </w:r>
          </w:p>
        </w:tc>
      </w:tr>
    </w:tbl>
    <w:p>
      <w:pPr>
        <w:pStyle w:val="BodyText"/>
        <w:spacing w:line="240" w:lineRule="auto" w:before="51"/>
        <w:ind w:left="150" w:right="1126"/>
        <w:jc w:val="center"/>
      </w:pPr>
      <w:r>
        <w:rPr/>
        <w:t>审计报告正文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spacing w:before="0"/>
        <w:ind w:left="148" w:right="1126" w:firstLine="0"/>
        <w:jc w:val="center"/>
        <w:rPr>
          <w:rFonts w:ascii="宋体" w:hAnsi="宋体" w:cs="宋体" w:eastAsia="宋体" w:hint="default"/>
          <w:sz w:val="44"/>
          <w:szCs w:val="44"/>
        </w:rPr>
      </w:pPr>
      <w:r>
        <w:rPr>
          <w:rFonts w:ascii="宋体" w:hAnsi="宋体" w:cs="宋体" w:eastAsia="宋体" w:hint="default"/>
          <w:b/>
          <w:bCs/>
          <w:sz w:val="44"/>
          <w:szCs w:val="44"/>
        </w:rPr>
        <w:t>审 计 报</w:t>
      </w:r>
      <w:r>
        <w:rPr>
          <w:rFonts w:ascii="宋体" w:hAnsi="宋体" w:cs="宋体" w:eastAsia="宋体" w:hint="default"/>
          <w:b/>
          <w:bCs/>
          <w:spacing w:val="-105"/>
          <w:sz w:val="44"/>
          <w:szCs w:val="44"/>
        </w:rPr>
        <w:t> </w:t>
      </w:r>
      <w:r>
        <w:rPr>
          <w:rFonts w:ascii="宋体" w:hAnsi="宋体" w:cs="宋体" w:eastAsia="宋体" w:hint="default"/>
          <w:b/>
          <w:bCs/>
          <w:sz w:val="44"/>
          <w:szCs w:val="44"/>
        </w:rPr>
        <w:t>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70"/>
        <w:ind w:left="7222" w:right="0" w:firstLine="0"/>
        <w:jc w:val="left"/>
        <w:rPr>
          <w:rFonts w:ascii="宋体" w:hAnsi="宋体" w:cs="宋体" w:eastAsia="宋体" w:hint="default"/>
          <w:sz w:val="22"/>
          <w:szCs w:val="22"/>
        </w:rPr>
      </w:pPr>
      <w:r>
        <w:rPr>
          <w:rFonts w:ascii="宋体" w:hAnsi="宋体" w:cs="宋体" w:eastAsia="宋体" w:hint="default"/>
          <w:b/>
          <w:bCs/>
          <w:sz w:val="22"/>
          <w:szCs w:val="22"/>
        </w:rPr>
        <w:t>利安达审字</w:t>
      </w:r>
      <w:r>
        <w:rPr>
          <w:rFonts w:ascii="Times New Roman" w:hAnsi="Times New Roman" w:cs="Times New Roman" w:eastAsia="Times New Roman" w:hint="default"/>
          <w:b/>
          <w:bCs/>
          <w:sz w:val="22"/>
          <w:szCs w:val="22"/>
        </w:rPr>
        <w:t>[2019]</w:t>
      </w:r>
      <w:r>
        <w:rPr>
          <w:rFonts w:ascii="宋体" w:hAnsi="宋体" w:cs="宋体" w:eastAsia="宋体" w:hint="default"/>
          <w:b/>
          <w:bCs/>
          <w:sz w:val="22"/>
          <w:szCs w:val="22"/>
        </w:rPr>
        <w:t>第</w:t>
      </w:r>
      <w:r>
        <w:rPr>
          <w:rFonts w:ascii="Times New Roman" w:hAnsi="Times New Roman" w:cs="Times New Roman" w:eastAsia="Times New Roman" w:hint="default"/>
          <w:b/>
          <w:bCs/>
          <w:sz w:val="22"/>
          <w:szCs w:val="22"/>
        </w:rPr>
        <w:t>2259</w:t>
      </w:r>
      <w:r>
        <w:rPr>
          <w:rFonts w:ascii="宋体" w:hAnsi="宋体" w:cs="宋体" w:eastAsia="宋体" w:hint="default"/>
          <w:b/>
          <w:bCs/>
          <w:sz w:val="22"/>
          <w:szCs w:val="22"/>
        </w:rPr>
        <w:t>号</w:t>
      </w:r>
      <w:r>
        <w:rPr>
          <w:rFonts w:ascii="宋体" w:hAnsi="宋体" w:cs="宋体" w:eastAsia="宋体" w:hint="default"/>
          <w:sz w:val="22"/>
          <w:szCs w:val="22"/>
        </w:rPr>
      </w:r>
    </w:p>
    <w:p>
      <w:pPr>
        <w:spacing w:line="240" w:lineRule="auto" w:before="0"/>
        <w:rPr>
          <w:rFonts w:ascii="宋体" w:hAnsi="宋体" w:cs="宋体" w:eastAsia="宋体" w:hint="default"/>
          <w:b/>
          <w:bCs/>
          <w:sz w:val="20"/>
          <w:szCs w:val="20"/>
        </w:rPr>
      </w:pPr>
    </w:p>
    <w:p>
      <w:pPr>
        <w:spacing w:before="150"/>
        <w:ind w:left="154" w:right="0" w:firstLine="0"/>
        <w:jc w:val="left"/>
        <w:rPr>
          <w:rFonts w:ascii="宋体" w:hAnsi="宋体" w:cs="宋体" w:eastAsia="宋体" w:hint="default"/>
          <w:sz w:val="30"/>
          <w:szCs w:val="30"/>
        </w:rPr>
      </w:pPr>
      <w:r>
        <w:rPr>
          <w:rFonts w:ascii="宋体" w:hAnsi="宋体" w:cs="宋体" w:eastAsia="宋体" w:hint="default"/>
          <w:b/>
          <w:bCs/>
          <w:sz w:val="28"/>
          <w:szCs w:val="28"/>
        </w:rPr>
        <w:t>河北先河环保科技股份有限公司</w:t>
      </w:r>
      <w:r>
        <w:rPr>
          <w:rFonts w:ascii="宋体" w:hAnsi="宋体" w:cs="宋体" w:eastAsia="宋体" w:hint="default"/>
          <w:b/>
          <w:bCs/>
          <w:sz w:val="30"/>
          <w:szCs w:val="30"/>
        </w:rPr>
        <w:t>全体股东：</w:t>
      </w:r>
      <w:r>
        <w:rPr>
          <w:rFonts w:ascii="宋体" w:hAnsi="宋体" w:cs="宋体" w:eastAsia="宋体" w:hint="default"/>
          <w:sz w:val="30"/>
          <w:szCs w:val="30"/>
        </w:rPr>
      </w:r>
    </w:p>
    <w:p>
      <w:pPr>
        <w:pStyle w:val="Heading5"/>
        <w:spacing w:line="240" w:lineRule="auto" w:before="172"/>
        <w:ind w:right="0"/>
        <w:jc w:val="left"/>
        <w:rPr>
          <w:b w:val="0"/>
          <w:bCs w:val="0"/>
        </w:rPr>
      </w:pPr>
      <w:r>
        <w:rPr/>
        <w:t>一、审计意见</w:t>
      </w:r>
      <w:r>
        <w:rPr>
          <w:b w:val="0"/>
          <w:bCs w:val="0"/>
        </w:rPr>
      </w:r>
    </w:p>
    <w:p>
      <w:pPr>
        <w:pStyle w:val="BodyText"/>
        <w:spacing w:line="300" w:lineRule="auto" w:before="76"/>
        <w:ind w:right="1131" w:firstLine="360"/>
        <w:jc w:val="both"/>
      </w:pPr>
      <w:r>
        <w:rPr/>
        <w:t>我们审计了河</w:t>
      </w:r>
      <w:r>
        <w:rPr>
          <w:spacing w:val="-52"/>
        </w:rPr>
        <w:t> </w:t>
      </w:r>
      <w:r>
        <w:rPr/>
        <w:t>北</w:t>
      </w:r>
      <w:r>
        <w:rPr>
          <w:spacing w:val="-51"/>
        </w:rPr>
        <w:t> </w:t>
      </w:r>
      <w:r>
        <w:rPr/>
        <w:t>先</w:t>
      </w:r>
      <w:r>
        <w:rPr>
          <w:spacing w:val="-52"/>
        </w:rPr>
        <w:t> </w:t>
      </w:r>
      <w:r>
        <w:rPr/>
        <w:t>河</w:t>
      </w:r>
      <w:r>
        <w:rPr>
          <w:spacing w:val="-52"/>
        </w:rPr>
        <w:t> </w:t>
      </w:r>
      <w:r>
        <w:rPr/>
        <w:t>环</w:t>
      </w:r>
      <w:r>
        <w:rPr>
          <w:spacing w:val="-51"/>
        </w:rPr>
        <w:t> </w:t>
      </w:r>
      <w:r>
        <w:rPr/>
        <w:t>保</w:t>
      </w:r>
      <w:r>
        <w:rPr>
          <w:spacing w:val="-52"/>
        </w:rPr>
        <w:t> </w:t>
      </w:r>
      <w:r>
        <w:rPr/>
        <w:t>科</w:t>
      </w:r>
      <w:r>
        <w:rPr>
          <w:spacing w:val="-51"/>
        </w:rPr>
        <w:t> </w:t>
      </w:r>
      <w:r>
        <w:rPr/>
        <w:t>技</w:t>
      </w:r>
      <w:r>
        <w:rPr>
          <w:spacing w:val="-52"/>
        </w:rPr>
        <w:t> </w:t>
      </w:r>
      <w:r>
        <w:rPr/>
        <w:t>股</w:t>
      </w:r>
      <w:r>
        <w:rPr>
          <w:spacing w:val="-52"/>
        </w:rPr>
        <w:t> </w:t>
      </w:r>
      <w:r>
        <w:rPr/>
        <w:t>份</w:t>
      </w:r>
      <w:r>
        <w:rPr>
          <w:spacing w:val="-51"/>
        </w:rPr>
        <w:t> </w:t>
      </w:r>
      <w:r>
        <w:rPr/>
        <w:t>有</w:t>
      </w:r>
      <w:r>
        <w:rPr>
          <w:spacing w:val="-52"/>
        </w:rPr>
        <w:t> </w:t>
      </w:r>
      <w:r>
        <w:rPr/>
        <w:t>限</w:t>
      </w:r>
      <w:r>
        <w:rPr>
          <w:spacing w:val="-51"/>
        </w:rPr>
        <w:t> </w:t>
      </w:r>
      <w:r>
        <w:rPr/>
        <w:t>公</w:t>
      </w:r>
      <w:r>
        <w:rPr>
          <w:spacing w:val="-52"/>
        </w:rPr>
        <w:t> </w:t>
      </w:r>
      <w:r>
        <w:rPr/>
        <w:t>司</w:t>
      </w:r>
      <w:r>
        <w:rPr>
          <w:spacing w:val="-54"/>
        </w:rPr>
        <w:t> </w:t>
      </w:r>
      <w:r>
        <w:rPr/>
        <w:t>（以下简称“先</w:t>
      </w:r>
      <w:r>
        <w:rPr>
          <w:spacing w:val="-51"/>
        </w:rPr>
        <w:t> </w:t>
      </w:r>
      <w:r>
        <w:rPr/>
        <w:t>河</w:t>
      </w:r>
      <w:r>
        <w:rPr>
          <w:spacing w:val="-52"/>
        </w:rPr>
        <w:t> </w:t>
      </w:r>
      <w:r>
        <w:rPr/>
        <w:t>环</w:t>
      </w:r>
      <w:r>
        <w:rPr>
          <w:spacing w:val="-52"/>
        </w:rPr>
        <w:t> </w:t>
      </w:r>
      <w:r>
        <w:rPr/>
        <w:t>保</w:t>
      </w:r>
      <w:r>
        <w:rPr>
          <w:spacing w:val="-51"/>
        </w:rPr>
        <w:t> </w:t>
      </w:r>
      <w:r>
        <w:rPr/>
        <w:t>公</w:t>
      </w:r>
      <w:r>
        <w:rPr>
          <w:spacing w:val="-52"/>
        </w:rPr>
        <w:t> </w:t>
      </w:r>
      <w:r>
        <w:rPr/>
        <w:t>司</w:t>
      </w:r>
      <w:r>
        <w:rPr>
          <w:spacing w:val="-50"/>
        </w:rPr>
        <w:t> </w:t>
      </w:r>
      <w:r>
        <w:rPr/>
        <w:t>”）财务报表，包括</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 </w:t>
      </w:r>
      <w:r>
        <w:rPr/>
        <w:t>日的合并及母公司资产负债表，</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年度的合并及母公司利润表、合并及母公司现金流量表、合并及母公司股东权益变动 表以及相关财务报表附注。</w:t>
      </w:r>
    </w:p>
    <w:p>
      <w:pPr>
        <w:pStyle w:val="BodyText"/>
        <w:spacing w:line="240" w:lineRule="auto" w:before="31"/>
        <w:ind w:left="514" w:right="0"/>
        <w:jc w:val="left"/>
      </w:pPr>
      <w:r>
        <w:rPr/>
        <w:t>我们认为，后附的财务报表在所有重大方面按照企业会计准则的规定编制，公允反映了先</w:t>
      </w:r>
      <w:r>
        <w:rPr>
          <w:spacing w:val="-50"/>
        </w:rPr>
        <w:t> </w:t>
      </w:r>
      <w:r>
        <w:rPr/>
        <w:t>河</w:t>
      </w:r>
      <w:r>
        <w:rPr>
          <w:spacing w:val="-51"/>
        </w:rPr>
        <w:t> </w:t>
      </w:r>
      <w:r>
        <w:rPr/>
        <w:t>环</w:t>
      </w:r>
      <w:r>
        <w:rPr>
          <w:spacing w:val="-51"/>
        </w:rPr>
        <w:t> </w:t>
      </w:r>
      <w:r>
        <w:rPr/>
        <w:t>保</w:t>
      </w:r>
      <w:r>
        <w:rPr>
          <w:spacing w:val="-50"/>
        </w:rPr>
        <w:t> </w:t>
      </w:r>
      <w:r>
        <w:rPr/>
        <w:t>公</w:t>
      </w:r>
      <w:r>
        <w:rPr>
          <w:spacing w:val="-51"/>
        </w:rPr>
        <w:t> </w:t>
      </w:r>
      <w:r>
        <w:rPr/>
        <w:t>司</w:t>
      </w:r>
      <w:r>
        <w:rPr>
          <w:spacing w:val="2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p>
    <w:p>
      <w:pPr>
        <w:spacing w:line="300" w:lineRule="auto" w:before="63"/>
        <w:ind w:left="515" w:right="4141" w:hanging="362"/>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日合并及母公司的财务状况以及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年度合并及母公司的经营成果和现金流量。 </w:t>
      </w:r>
      <w:r>
        <w:rPr>
          <w:rFonts w:ascii="宋体" w:hAnsi="宋体" w:cs="宋体" w:eastAsia="宋体" w:hint="default"/>
          <w:b/>
          <w:bCs/>
          <w:sz w:val="18"/>
          <w:szCs w:val="18"/>
        </w:rPr>
        <w:t>二、形成审计意见的基础</w:t>
      </w:r>
      <w:r>
        <w:rPr>
          <w:rFonts w:ascii="宋体" w:hAnsi="宋体" w:cs="宋体" w:eastAsia="宋体" w:hint="default"/>
          <w:sz w:val="18"/>
          <w:szCs w:val="18"/>
        </w:rPr>
      </w:r>
    </w:p>
    <w:p>
      <w:pPr>
        <w:pStyle w:val="BodyText"/>
        <w:spacing w:line="316" w:lineRule="auto" w:before="31"/>
        <w:ind w:right="1130" w:firstLine="360"/>
        <w:jc w:val="both"/>
      </w:pPr>
      <w:r>
        <w:rPr>
          <w:spacing w:val="-2"/>
        </w:rPr>
        <w:t>我们按照中国注册会计师审计准则的规定执行了审计工作。审计报告的“注册会计师对财务报表审计的责任”部分进一</w:t>
      </w:r>
      <w:r>
        <w:rPr/>
        <w:t> 步阐述了我们在这些准则下的责任。按照中国注册会计师职业道德守则，我们独立于先</w:t>
      </w:r>
      <w:r>
        <w:rPr>
          <w:spacing w:val="-45"/>
        </w:rPr>
        <w:t> </w:t>
      </w:r>
      <w:r>
        <w:rPr/>
        <w:t>河</w:t>
      </w:r>
      <w:r>
        <w:rPr>
          <w:spacing w:val="-45"/>
        </w:rPr>
        <w:t> </w:t>
      </w:r>
      <w:r>
        <w:rPr/>
        <w:t>环</w:t>
      </w:r>
      <w:r>
        <w:rPr>
          <w:spacing w:val="-45"/>
        </w:rPr>
        <w:t> </w:t>
      </w:r>
      <w:r>
        <w:rPr/>
        <w:t>保</w:t>
      </w:r>
      <w:r>
        <w:rPr>
          <w:spacing w:val="-47"/>
        </w:rPr>
        <w:t> </w:t>
      </w:r>
      <w:r>
        <w:rPr/>
        <w:t>公</w:t>
      </w:r>
      <w:r>
        <w:rPr>
          <w:spacing w:val="-45"/>
        </w:rPr>
        <w:t> </w:t>
      </w:r>
      <w:r>
        <w:rPr/>
        <w:t>司</w:t>
      </w:r>
      <w:r>
        <w:rPr>
          <w:spacing w:val="-42"/>
        </w:rPr>
        <w:t> </w:t>
      </w:r>
      <w:r>
        <w:rPr/>
        <w:t>，并履行了职业道德</w:t>
      </w:r>
      <w:r>
        <w:rPr/>
        <w:t> 方面的其他责任。我们相信，我们获取的审计证据是充分、适当的，为发表审计意见提供了基础。</w:t>
      </w:r>
    </w:p>
    <w:p>
      <w:pPr>
        <w:pStyle w:val="BodyText"/>
        <w:spacing w:line="316" w:lineRule="auto" w:before="19"/>
        <w:ind w:left="514" w:right="0" w:hanging="6"/>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9"/>
        <w:ind w:right="0"/>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pStyle w:val="Heading5"/>
        <w:spacing w:line="240" w:lineRule="auto" w:before="76"/>
        <w:ind w:right="0"/>
        <w:jc w:val="left"/>
        <w:rPr>
          <w:b w:val="0"/>
          <w:bCs w:val="0"/>
        </w:rPr>
      </w:pPr>
      <w:r>
        <w:rPr/>
        <w:t>（一）商誉减值测试</w:t>
      </w:r>
      <w:r>
        <w:rPr>
          <w:b w:val="0"/>
          <w:bCs w:val="0"/>
        </w:rPr>
      </w:r>
    </w:p>
    <w:p>
      <w:pPr>
        <w:pStyle w:val="Heading5"/>
        <w:spacing w:line="240" w:lineRule="auto" w:before="76"/>
        <w:ind w:right="0"/>
        <w:jc w:val="left"/>
        <w:rPr>
          <w:b w:val="0"/>
          <w:bCs w:val="0"/>
        </w:rPr>
      </w:pPr>
      <w:r>
        <w:rPr>
          <w:rFonts w:ascii="Times New Roman" w:hAnsi="Times New Roman" w:cs="Times New Roman" w:eastAsia="Times New Roman" w:hint="default"/>
        </w:rPr>
        <w:t>1</w:t>
      </w:r>
      <w:r>
        <w:rPr/>
        <w:t>、事项描述</w:t>
      </w:r>
      <w:r>
        <w:rPr>
          <w:b w:val="0"/>
          <w:bCs w:val="0"/>
        </w:rPr>
      </w:r>
    </w:p>
    <w:p>
      <w:pPr>
        <w:pStyle w:val="BodyText"/>
        <w:spacing w:line="314" w:lineRule="auto" w:before="63"/>
        <w:ind w:right="1131" w:firstLine="360"/>
        <w:jc w:val="both"/>
      </w:pPr>
      <w:r>
        <w:rPr/>
        <w:t>截止</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日，先河环保公司合并财务报表中商誉账面价值为</w:t>
      </w:r>
      <w:r>
        <w:rPr>
          <w:spacing w:val="-46"/>
        </w:rPr>
        <w:t> </w:t>
      </w:r>
      <w:r>
        <w:rPr>
          <w:rFonts w:ascii="Times New Roman" w:hAnsi="Times New Roman" w:cs="Times New Roman" w:eastAsia="Times New Roman" w:hint="default"/>
        </w:rPr>
        <w:t>310,650,771.51 </w:t>
      </w:r>
      <w:r>
        <w:rPr/>
        <w:t>元，先河环保公司管理层（以 </w:t>
      </w:r>
      <w:r>
        <w:rPr>
          <w:spacing w:val="-2"/>
        </w:rPr>
        <w:t>下简称“管理层”）在每年年度终了对商誉进行减值测试，并依据减值测试的结果调整商誉的账面价值。商誉减值测试的结</w:t>
      </w:r>
      <w:r>
        <w:rPr>
          <w:spacing w:val="-66"/>
        </w:rPr>
        <w:t> </w:t>
      </w:r>
      <w:r>
        <w:rPr>
          <w:spacing w:val="-66"/>
        </w:rPr>
      </w:r>
      <w:r>
        <w:rPr>
          <w:spacing w:val="-2"/>
        </w:rPr>
        <w:t>果很大程度上依赖于管理层所做的估计和采用的假设，包括对资产组预计未来可产生现金流量和折现率等的估计。该等估计</w:t>
      </w:r>
      <w:r>
        <w:rPr>
          <w:spacing w:val="-64"/>
        </w:rPr>
        <w:t> </w:t>
      </w:r>
      <w:r>
        <w:rPr>
          <w:spacing w:val="-64"/>
        </w:rPr>
      </w:r>
      <w:r>
        <w:rPr>
          <w:spacing w:val="-2"/>
        </w:rPr>
        <w:t>受到管理层对未来市场以及对经济环境判断的影响，采用不同的估计和假设会对评估的商誉之可收回价值有很大的影响。由</w:t>
      </w:r>
      <w:r>
        <w:rPr>
          <w:spacing w:val="-64"/>
        </w:rPr>
        <w:t> </w:t>
      </w:r>
      <w:r>
        <w:rPr>
          <w:spacing w:val="-64"/>
        </w:rPr>
      </w:r>
      <w:r>
        <w:rPr/>
        <w:t>于减值测试过程较为复杂，同时涉及重大判断，因此我们确定商誉减值测试为关键审计事项。</w:t>
      </w:r>
    </w:p>
    <w:p>
      <w:pPr>
        <w:spacing w:after="0" w:line="314"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4" w:right="0"/>
        <w:jc w:val="left"/>
      </w:pPr>
      <w:r>
        <w:rPr/>
        <w:t>关于商誉减值测试的会计政策见财务报表附注四（</w:t>
      </w:r>
      <w:r>
        <w:rPr>
          <w:rFonts w:ascii="Times New Roman" w:hAnsi="Times New Roman" w:cs="Times New Roman" w:eastAsia="Times New Roman" w:hint="default"/>
        </w:rPr>
        <w:t>19</w:t>
      </w:r>
      <w:r>
        <w:rPr/>
        <w:t>）</w:t>
      </w:r>
    </w:p>
    <w:p>
      <w:pPr>
        <w:pStyle w:val="Heading5"/>
        <w:spacing w:line="240" w:lineRule="auto"/>
        <w:ind w:right="0"/>
        <w:jc w:val="left"/>
        <w:rPr>
          <w:b w:val="0"/>
          <w:bCs w:val="0"/>
        </w:rPr>
      </w:pPr>
      <w:r>
        <w:rPr>
          <w:rFonts w:ascii="Times New Roman" w:hAnsi="Times New Roman" w:cs="Times New Roman" w:eastAsia="Times New Roman" w:hint="default"/>
        </w:rPr>
        <w:t>2</w:t>
      </w:r>
      <w:r>
        <w:rPr/>
        <w:t>、审计应对</w:t>
      </w:r>
      <w:r>
        <w:rPr>
          <w:b w:val="0"/>
          <w:bCs w:val="0"/>
        </w:rPr>
      </w:r>
    </w:p>
    <w:p>
      <w:pPr>
        <w:pStyle w:val="BodyText"/>
        <w:tabs>
          <w:tab w:pos="1288" w:val="left" w:leader="none"/>
        </w:tabs>
        <w:spacing w:line="240" w:lineRule="auto" w:before="63"/>
        <w:ind w:left="594" w:right="0"/>
        <w:jc w:val="left"/>
      </w:pPr>
      <w:r>
        <w:rPr/>
        <w:t>（</w:t>
      </w:r>
      <w:r>
        <w:rPr>
          <w:rFonts w:ascii="Times New Roman" w:hAnsi="Times New Roman" w:cs="Times New Roman" w:eastAsia="Times New Roman" w:hint="default"/>
        </w:rPr>
        <w:t>1</w:t>
      </w:r>
      <w:r>
        <w:rPr/>
        <w:t>）</w:t>
        <w:tab/>
        <w:t>我们对先河环保公司商誉减值执行的主要审计程序包括：</w:t>
      </w:r>
    </w:p>
    <w:p>
      <w:pPr>
        <w:pStyle w:val="BodyText"/>
        <w:tabs>
          <w:tab w:pos="1288" w:val="left" w:leader="none"/>
        </w:tabs>
        <w:spacing w:line="240" w:lineRule="auto" w:before="63"/>
        <w:ind w:left="594" w:right="0"/>
        <w:jc w:val="left"/>
      </w:pPr>
      <w:r>
        <w:rPr/>
        <w:t>（</w:t>
      </w:r>
      <w:r>
        <w:rPr>
          <w:rFonts w:ascii="Times New Roman" w:hAnsi="Times New Roman" w:cs="Times New Roman" w:eastAsia="Times New Roman" w:hint="default"/>
        </w:rPr>
        <w:t>2</w:t>
      </w:r>
      <w:r>
        <w:rPr/>
        <w:t>）</w:t>
        <w:tab/>
        <w:t>了解各资产组的历史业绩情况及发展规划，以及行业的发展趋势；</w:t>
      </w:r>
    </w:p>
    <w:p>
      <w:pPr>
        <w:pStyle w:val="BodyText"/>
        <w:tabs>
          <w:tab w:pos="1288" w:val="left" w:leader="none"/>
        </w:tabs>
        <w:spacing w:line="300" w:lineRule="auto" w:before="63"/>
        <w:ind w:left="1014" w:right="1177" w:hanging="421"/>
        <w:jc w:val="left"/>
      </w:pPr>
      <w:r>
        <w:rPr/>
        <w:t>（</w:t>
      </w:r>
      <w:r>
        <w:rPr>
          <w:rFonts w:ascii="Times New Roman" w:hAnsi="Times New Roman" w:cs="Times New Roman" w:eastAsia="Times New Roman" w:hint="default"/>
        </w:rPr>
        <w:t>3</w:t>
      </w:r>
      <w:r>
        <w:rPr/>
        <w:t>）</w:t>
        <w:tab/>
        <w:t>评估管理层对公司商誉所属资产组的认定和进行商誉减值测试时采用的关键假设和方法，检查相关的假设和 方法的合理性；</w:t>
      </w:r>
    </w:p>
    <w:p>
      <w:pPr>
        <w:pStyle w:val="BodyText"/>
        <w:tabs>
          <w:tab w:pos="1288" w:val="left" w:leader="none"/>
        </w:tabs>
        <w:spacing w:line="240" w:lineRule="auto" w:before="31"/>
        <w:ind w:left="594" w:right="0"/>
        <w:jc w:val="left"/>
      </w:pPr>
      <w:r>
        <w:rPr/>
        <w:t>（</w:t>
      </w:r>
      <w:r>
        <w:rPr>
          <w:rFonts w:ascii="Times New Roman" w:hAnsi="Times New Roman" w:cs="Times New Roman" w:eastAsia="Times New Roman" w:hint="default"/>
        </w:rPr>
        <w:t>4</w:t>
      </w:r>
      <w:r>
        <w:rPr/>
        <w:t>）</w:t>
        <w:tab/>
        <w:t>复核外部估值专家对资产组的估值方法及出具的评估报告；</w:t>
      </w:r>
    </w:p>
    <w:p>
      <w:pPr>
        <w:pStyle w:val="BodyText"/>
        <w:tabs>
          <w:tab w:pos="1288" w:val="left" w:leader="none"/>
        </w:tabs>
        <w:spacing w:line="240" w:lineRule="auto" w:before="63"/>
        <w:ind w:left="594" w:right="0"/>
        <w:jc w:val="left"/>
      </w:pPr>
      <w:r>
        <w:rPr/>
        <w:t>（</w:t>
      </w:r>
      <w:r>
        <w:rPr>
          <w:rFonts w:ascii="Times New Roman" w:hAnsi="Times New Roman" w:cs="Times New Roman" w:eastAsia="Times New Roman" w:hint="default"/>
        </w:rPr>
        <w:t>5</w:t>
      </w:r>
      <w:r>
        <w:rPr/>
        <w:t>）</w:t>
        <w:tab/>
        <w:t>复核现金流量预测水平和所采用折现率的合理性，并与相关资产组的历史数据及行业水平进行比较分析；</w:t>
      </w:r>
    </w:p>
    <w:p>
      <w:pPr>
        <w:pStyle w:val="BodyText"/>
        <w:tabs>
          <w:tab w:pos="1288" w:val="left" w:leader="none"/>
        </w:tabs>
        <w:spacing w:line="240" w:lineRule="auto" w:before="63"/>
        <w:ind w:left="594" w:right="0"/>
        <w:jc w:val="left"/>
      </w:pPr>
      <w:r>
        <w:rPr/>
        <w:t>（</w:t>
      </w:r>
      <w:r>
        <w:rPr>
          <w:rFonts w:ascii="Times New Roman" w:hAnsi="Times New Roman" w:cs="Times New Roman" w:eastAsia="Times New Roman" w:hint="default"/>
        </w:rPr>
        <w:t>6</w:t>
      </w:r>
      <w:r>
        <w:rPr/>
        <w:t>）</w:t>
        <w:tab/>
        <w:t>复核管理层编制的商誉所属资产组可收回金额的计算表；</w:t>
      </w:r>
    </w:p>
    <w:p>
      <w:pPr>
        <w:pStyle w:val="BodyText"/>
        <w:tabs>
          <w:tab w:pos="1288" w:val="left" w:leader="none"/>
        </w:tabs>
        <w:spacing w:line="240" w:lineRule="auto" w:before="63"/>
        <w:ind w:left="594" w:right="0"/>
        <w:jc w:val="left"/>
      </w:pPr>
      <w:r>
        <w:rPr/>
        <w:t>（</w:t>
      </w:r>
      <w:r>
        <w:rPr>
          <w:rFonts w:ascii="Times New Roman" w:hAnsi="Times New Roman" w:cs="Times New Roman" w:eastAsia="Times New Roman" w:hint="default"/>
        </w:rPr>
        <w:t>7</w:t>
      </w:r>
      <w:r>
        <w:rPr/>
        <w:t>）</w:t>
        <w:tab/>
        <w:t>比较商誉所属资产组的账面价值与其可收回金额的差异，确认是否存在商誉减值情况。</w:t>
      </w:r>
    </w:p>
    <w:p>
      <w:pPr>
        <w:pStyle w:val="Heading5"/>
        <w:spacing w:line="240" w:lineRule="auto"/>
        <w:ind w:right="0"/>
        <w:jc w:val="left"/>
        <w:rPr>
          <w:b w:val="0"/>
          <w:bCs w:val="0"/>
        </w:rPr>
      </w:pPr>
      <w:r>
        <w:rPr/>
        <w:t>（二）应收账款的减值</w:t>
      </w:r>
      <w:r>
        <w:rPr>
          <w:b w:val="0"/>
          <w:bCs w:val="0"/>
        </w:rPr>
      </w:r>
    </w:p>
    <w:p>
      <w:pPr>
        <w:pStyle w:val="Heading5"/>
        <w:spacing w:line="240" w:lineRule="auto" w:before="76"/>
        <w:ind w:right="0"/>
        <w:jc w:val="left"/>
        <w:rPr>
          <w:b w:val="0"/>
          <w:bCs w:val="0"/>
        </w:rPr>
      </w:pPr>
      <w:r>
        <w:rPr>
          <w:rFonts w:ascii="Times New Roman" w:hAnsi="Times New Roman" w:cs="Times New Roman" w:eastAsia="Times New Roman" w:hint="default"/>
        </w:rPr>
        <w:t>1</w:t>
      </w:r>
      <w:r>
        <w:rPr/>
        <w:t>、事项描述</w:t>
      </w:r>
      <w:r>
        <w:rPr>
          <w:b w:val="0"/>
          <w:bCs w:val="0"/>
        </w:rPr>
      </w:r>
    </w:p>
    <w:p>
      <w:pPr>
        <w:pStyle w:val="BodyText"/>
        <w:spacing w:line="240" w:lineRule="auto" w:before="63"/>
        <w:ind w:left="514" w:right="0"/>
        <w:jc w:val="left"/>
        <w:rPr>
          <w:rFonts w:ascii="Times New Roman" w:hAnsi="Times New Roman" w:cs="Times New Roman" w:eastAsia="Times New Roman" w:hint="default"/>
        </w:rPr>
      </w:pPr>
      <w:r>
        <w:rPr/>
        <w:t>截止</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日，如先河环保公司财务报表附注六、</w:t>
      </w:r>
      <w:r>
        <w:rPr>
          <w:rFonts w:ascii="Times New Roman" w:hAnsi="Times New Roman" w:cs="Times New Roman" w:eastAsia="Times New Roman" w:hint="default"/>
        </w:rPr>
        <w:t>2</w:t>
      </w:r>
      <w:r>
        <w:rPr/>
        <w:t>（</w:t>
      </w:r>
      <w:r>
        <w:rPr>
          <w:rFonts w:ascii="Times New Roman" w:hAnsi="Times New Roman" w:cs="Times New Roman" w:eastAsia="Times New Roman" w:hint="default"/>
        </w:rPr>
        <w:t>2</w:t>
      </w:r>
      <w:r>
        <w:rPr/>
        <w:t>）所述，先河环保公司应收账款余额</w:t>
      </w:r>
      <w:r>
        <w:rPr>
          <w:spacing w:val="-46"/>
        </w:rPr>
        <w:t> </w:t>
      </w:r>
      <w:r>
        <w:rPr>
          <w:rFonts w:ascii="Times New Roman" w:hAnsi="Times New Roman" w:cs="Times New Roman" w:eastAsia="Times New Roman" w:hint="default"/>
        </w:rPr>
        <w:t>743,343,633.43</w:t>
      </w:r>
    </w:p>
    <w:p>
      <w:pPr>
        <w:pStyle w:val="BodyText"/>
        <w:spacing w:line="312" w:lineRule="auto" w:before="63"/>
        <w:ind w:right="1128"/>
        <w:jc w:val="left"/>
      </w:pPr>
      <w:r>
        <w:rPr/>
        <w:t>元，坏账准备金额</w:t>
      </w:r>
      <w:r>
        <w:rPr>
          <w:spacing w:val="-47"/>
        </w:rPr>
        <w:t> </w:t>
      </w:r>
      <w:r>
        <w:rPr>
          <w:rFonts w:ascii="Times New Roman" w:hAnsi="Times New Roman" w:cs="Times New Roman" w:eastAsia="Times New Roman" w:hint="default"/>
        </w:rPr>
        <w:t>143,457,004.10</w:t>
      </w:r>
      <w:r>
        <w:rPr>
          <w:rFonts w:ascii="Times New Roman" w:hAnsi="Times New Roman" w:cs="Times New Roman" w:eastAsia="Times New Roman" w:hint="default"/>
          <w:spacing w:val="-1"/>
        </w:rPr>
        <w:t> </w:t>
      </w:r>
      <w:r>
        <w:rPr/>
        <w:t>元，净值为</w:t>
      </w:r>
      <w:r>
        <w:rPr>
          <w:spacing w:val="-47"/>
        </w:rPr>
        <w:t> </w:t>
      </w:r>
      <w:r>
        <w:rPr>
          <w:rFonts w:ascii="Times New Roman" w:hAnsi="Times New Roman" w:cs="Times New Roman" w:eastAsia="Times New Roman" w:hint="default"/>
        </w:rPr>
        <w:t>599,886,629.33</w:t>
      </w:r>
      <w:r>
        <w:rPr>
          <w:rFonts w:ascii="Times New Roman" w:hAnsi="Times New Roman" w:cs="Times New Roman" w:eastAsia="Times New Roman" w:hint="default"/>
          <w:spacing w:val="-1"/>
        </w:rPr>
        <w:t> </w:t>
      </w:r>
      <w:r>
        <w:rPr/>
        <w:t>元，应收账款净值账面价值较高。管理层在对应收账款的可回 </w:t>
      </w:r>
      <w:r>
        <w:rPr>
          <w:spacing w:val="-2"/>
        </w:rPr>
        <w:t>收性进行评估时，需要综合考虑应收账款的账龄、债务人的还款记录、债务人的行业现状等因素。由于应收账款余额重大且</w:t>
      </w:r>
      <w:r>
        <w:rPr>
          <w:spacing w:val="-66"/>
        </w:rPr>
        <w:t> </w:t>
      </w:r>
      <w:r>
        <w:rPr>
          <w:spacing w:val="-66"/>
        </w:rPr>
      </w:r>
      <w:r>
        <w:rPr/>
        <w:t>坏账准备的评估涉及运用重要会计估计和判断，且若应收账款不能按期收回或无法收回而发生坏账对财务报表影响较为重 大，因此我们确定应收账款的坏账准备为关键审计事项。</w:t>
      </w:r>
    </w:p>
    <w:p>
      <w:pPr>
        <w:pStyle w:val="BodyText"/>
        <w:spacing w:line="300" w:lineRule="auto" w:before="22"/>
        <w:ind w:left="510" w:right="5176" w:firstLine="3"/>
        <w:jc w:val="left"/>
      </w:pPr>
      <w:r>
        <w:rPr/>
        <w:t>关于应收账款坏账准备的会计政策见财务报表附注四（</w:t>
      </w:r>
      <w:r>
        <w:rPr>
          <w:rFonts w:ascii="Times New Roman" w:hAnsi="Times New Roman" w:cs="Times New Roman" w:eastAsia="Times New Roman" w:hint="default"/>
        </w:rPr>
        <w:t>10</w:t>
      </w:r>
      <w:r>
        <w:rPr/>
        <w:t>） </w:t>
      </w:r>
      <w:r>
        <w:rPr>
          <w:rFonts w:ascii="Times New Roman" w:hAnsi="Times New Roman" w:cs="Times New Roman" w:eastAsia="Times New Roman" w:hint="default"/>
          <w:b/>
          <w:bCs/>
        </w:rPr>
        <w:t>2</w:t>
      </w:r>
      <w:r>
        <w:rPr>
          <w:rFonts w:ascii="宋体" w:hAnsi="宋体" w:cs="宋体" w:eastAsia="宋体" w:hint="default"/>
          <w:b/>
          <w:bCs/>
        </w:rPr>
        <w:t>、审计应对</w:t>
      </w:r>
      <w:r>
        <w:rPr>
          <w:rFonts w:ascii="宋体" w:hAnsi="宋体" w:cs="宋体" w:eastAsia="宋体" w:hint="default"/>
          <w:b/>
          <w:bCs/>
          <w:w w:val="99"/>
        </w:rPr>
        <w:t> </w:t>
      </w:r>
      <w:r>
        <w:rPr/>
        <w:t>我们对先河环保公司应收账款坏账准备执行的主要审计程序包括：</w:t>
      </w:r>
    </w:p>
    <w:p>
      <w:pPr>
        <w:pStyle w:val="BodyText"/>
        <w:tabs>
          <w:tab w:pos="1288" w:val="left" w:leader="none"/>
        </w:tabs>
        <w:spacing w:line="240" w:lineRule="auto" w:before="31"/>
        <w:ind w:left="589" w:right="0"/>
        <w:jc w:val="left"/>
      </w:pPr>
      <w:r>
        <w:rPr/>
        <w:t>（</w:t>
      </w:r>
      <w:r>
        <w:rPr>
          <w:rFonts w:ascii="Times New Roman" w:hAnsi="Times New Roman" w:cs="Times New Roman" w:eastAsia="Times New Roman" w:hint="default"/>
        </w:rPr>
        <w:t>1</w:t>
      </w:r>
      <w:r>
        <w:rPr/>
        <w:t>）</w:t>
        <w:tab/>
        <w:t>评估管理层对应收账款管理相关内部控制的设计和运行有效性；</w:t>
      </w:r>
    </w:p>
    <w:p>
      <w:pPr>
        <w:pStyle w:val="BodyText"/>
        <w:tabs>
          <w:tab w:pos="1288" w:val="left" w:leader="none"/>
        </w:tabs>
        <w:spacing w:line="300" w:lineRule="auto" w:before="63"/>
        <w:ind w:left="1010" w:right="1177" w:hanging="421"/>
        <w:jc w:val="left"/>
      </w:pPr>
      <w:r>
        <w:rPr/>
        <w:t>（</w:t>
      </w:r>
      <w:r>
        <w:rPr>
          <w:rFonts w:ascii="Times New Roman" w:hAnsi="Times New Roman" w:cs="Times New Roman" w:eastAsia="Times New Roman" w:hint="default"/>
        </w:rPr>
        <w:t>2</w:t>
      </w:r>
      <w:r>
        <w:rPr/>
        <w:t>）</w:t>
        <w:tab/>
        <w:t>了解和评价先河环保公司应收账款坏账准备会计估计的合理性，包括确定应收账款组合的依据、金额重大的 判断、单独计提坏账准备的判断等；</w:t>
      </w:r>
    </w:p>
    <w:p>
      <w:pPr>
        <w:pStyle w:val="BodyText"/>
        <w:tabs>
          <w:tab w:pos="1288" w:val="left" w:leader="none"/>
        </w:tabs>
        <w:spacing w:line="240" w:lineRule="auto" w:before="31"/>
        <w:ind w:left="589" w:right="0"/>
        <w:jc w:val="left"/>
      </w:pPr>
      <w:r>
        <w:rPr/>
        <w:t>（</w:t>
      </w:r>
      <w:r>
        <w:rPr>
          <w:rFonts w:ascii="Times New Roman" w:hAnsi="Times New Roman" w:cs="Times New Roman" w:eastAsia="Times New Roman" w:hint="default"/>
        </w:rPr>
        <w:t>3</w:t>
      </w:r>
      <w:r>
        <w:rPr/>
        <w:t>）</w:t>
        <w:tab/>
        <w:t>复核管理层对应收账款可收回性进行评估的相关考虑和客观证据；</w:t>
      </w:r>
    </w:p>
    <w:p>
      <w:pPr>
        <w:pStyle w:val="BodyText"/>
        <w:tabs>
          <w:tab w:pos="1288" w:val="left" w:leader="none"/>
        </w:tabs>
        <w:spacing w:line="300" w:lineRule="auto" w:before="63"/>
        <w:ind w:left="1010" w:right="1177" w:hanging="421"/>
        <w:jc w:val="left"/>
      </w:pPr>
      <w:r>
        <w:rPr/>
        <w:t>（</w:t>
      </w:r>
      <w:r>
        <w:rPr>
          <w:rFonts w:ascii="Times New Roman" w:hAnsi="Times New Roman" w:cs="Times New Roman" w:eastAsia="Times New Roman" w:hint="default"/>
        </w:rPr>
        <w:t>4</w:t>
      </w:r>
      <w:r>
        <w:rPr/>
        <w:t>）</w:t>
        <w:tab/>
        <w:t>复核先河环保公司对应收账款坏账准备的计提过程，包括单项计提的坏账准备以及按账龄分析法进行计提的 坏账准备，检查计提方法是否按照先河环保公司坏账政策执行，重新计算坏账计提金额是否适当；</w:t>
      </w:r>
    </w:p>
    <w:p>
      <w:pPr>
        <w:pStyle w:val="BodyText"/>
        <w:tabs>
          <w:tab w:pos="1288" w:val="left" w:leader="none"/>
        </w:tabs>
        <w:spacing w:line="240" w:lineRule="auto" w:before="31"/>
        <w:ind w:left="589" w:right="0"/>
        <w:jc w:val="left"/>
      </w:pPr>
      <w:r>
        <w:rPr/>
        <w:t>（</w:t>
      </w:r>
      <w:r>
        <w:rPr>
          <w:rFonts w:ascii="Times New Roman" w:hAnsi="Times New Roman" w:cs="Times New Roman" w:eastAsia="Times New Roman" w:hint="default"/>
        </w:rPr>
        <w:t>5</w:t>
      </w:r>
      <w:r>
        <w:rPr/>
        <w:t>）</w:t>
        <w:tab/>
        <w:t>对应收账款期末余额选取样本执行函证程序；</w:t>
      </w:r>
    </w:p>
    <w:p>
      <w:pPr>
        <w:pStyle w:val="BodyText"/>
        <w:tabs>
          <w:tab w:pos="1288" w:val="left" w:leader="none"/>
        </w:tabs>
        <w:spacing w:line="240" w:lineRule="auto" w:before="63"/>
        <w:ind w:left="589" w:right="0"/>
        <w:jc w:val="left"/>
      </w:pPr>
      <w:r>
        <w:rPr/>
        <w:t>（</w:t>
      </w:r>
      <w:r>
        <w:rPr>
          <w:rFonts w:ascii="Times New Roman" w:hAnsi="Times New Roman" w:cs="Times New Roman" w:eastAsia="Times New Roman" w:hint="default"/>
        </w:rPr>
        <w:t>6</w:t>
      </w:r>
      <w:r>
        <w:rPr/>
        <w:t>）</w:t>
        <w:tab/>
        <w:t>结合期后回款情况检查，评价管理层应收账款坏账准备计提的合理性。</w:t>
      </w:r>
    </w:p>
    <w:p>
      <w:pPr>
        <w:pStyle w:val="Heading5"/>
        <w:spacing w:line="240" w:lineRule="auto"/>
        <w:ind w:right="0"/>
        <w:jc w:val="left"/>
        <w:rPr>
          <w:b w:val="0"/>
          <w:bCs w:val="0"/>
        </w:rPr>
      </w:pPr>
      <w:r>
        <w:rPr/>
        <w:t>（三）收入确认</w:t>
      </w:r>
      <w:r>
        <w:rPr>
          <w:b w:val="0"/>
          <w:bCs w:val="0"/>
        </w:rPr>
      </w:r>
    </w:p>
    <w:p>
      <w:pPr>
        <w:pStyle w:val="BodyText"/>
        <w:spacing w:line="300" w:lineRule="auto" w:before="76"/>
        <w:ind w:left="514" w:right="1032" w:firstLine="1"/>
        <w:jc w:val="left"/>
      </w:pPr>
      <w:r>
        <w:rPr>
          <w:rFonts w:ascii="Times New Roman" w:hAnsi="Times New Roman" w:cs="Times New Roman" w:eastAsia="Times New Roman" w:hint="default"/>
          <w:b/>
          <w:bCs/>
        </w:rPr>
        <w:t>1</w:t>
      </w:r>
      <w:r>
        <w:rPr>
          <w:rFonts w:ascii="宋体" w:hAnsi="宋体" w:cs="宋体" w:eastAsia="宋体" w:hint="default"/>
          <w:b/>
          <w:bCs/>
        </w:rPr>
        <w:t>、事项描述</w:t>
      </w:r>
      <w:r>
        <w:rPr>
          <w:rFonts w:ascii="宋体" w:hAnsi="宋体" w:cs="宋体" w:eastAsia="宋体" w:hint="default"/>
          <w:b/>
          <w:bCs/>
          <w:w w:val="99"/>
        </w:rPr>
        <w:t> </w:t>
      </w:r>
      <w:r>
        <w:rPr/>
        <w:t>先河环保公司是集环境监测、治理、服务为一体的集团化公司，业务涵盖生态环境监测装备、运维服务、社会化检测、</w:t>
      </w:r>
    </w:p>
    <w:p>
      <w:pPr>
        <w:pStyle w:val="BodyText"/>
        <w:spacing w:line="300" w:lineRule="auto" w:before="31"/>
        <w:ind w:right="0"/>
        <w:jc w:val="left"/>
      </w:pPr>
      <w:r>
        <w:rPr/>
        <w:t>环境大数据分析及决策支持服务、</w:t>
      </w:r>
      <w:r>
        <w:rPr>
          <w:rFonts w:ascii="Times New Roman" w:hAnsi="Times New Roman" w:cs="Times New Roman" w:eastAsia="Times New Roman" w:hint="default"/>
        </w:rPr>
        <w:t>VOCs </w:t>
      </w:r>
      <w:r>
        <w:rPr/>
        <w:t>治理、农村分散污水治理等领域。如财务报表附注六、</w:t>
      </w:r>
      <w:r>
        <w:rPr>
          <w:rFonts w:ascii="Times New Roman" w:hAnsi="Times New Roman" w:cs="Times New Roman" w:eastAsia="Times New Roman" w:hint="default"/>
        </w:rPr>
        <w:t>28 </w:t>
      </w:r>
      <w:r>
        <w:rPr/>
        <w:t>所述，</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年度，先河 </w:t>
      </w:r>
      <w:r>
        <w:rPr>
          <w:spacing w:val="14"/>
        </w:rPr>
        <w:t>环保公司主营业务收入为</w:t>
      </w:r>
      <w:r>
        <w:rPr>
          <w:spacing w:val="19"/>
        </w:rPr>
        <w:t> </w:t>
      </w:r>
      <w:r>
        <w:rPr>
          <w:rFonts w:ascii="Times New Roman" w:hAnsi="Times New Roman" w:cs="Times New Roman" w:eastAsia="Times New Roman" w:hint="default"/>
        </w:rPr>
        <w:t>1,371,874,112.56 </w:t>
      </w:r>
      <w:r>
        <w:rPr>
          <w:rFonts w:ascii="Times New Roman" w:hAnsi="Times New Roman" w:cs="Times New Roman" w:eastAsia="Times New Roman" w:hint="default"/>
          <w:spacing w:val="17"/>
        </w:rPr>
        <w:t> </w:t>
      </w:r>
      <w:r>
        <w:rPr>
          <w:spacing w:val="8"/>
        </w:rPr>
        <w:t>元，</w:t>
      </w:r>
      <w:r>
        <w:rPr>
          <w:spacing w:val="-74"/>
        </w:rPr>
        <w:t> </w:t>
      </w:r>
      <w:r>
        <w:rPr>
          <w:spacing w:val="10"/>
        </w:rPr>
        <w:t>其中：</w:t>
      </w:r>
      <w:r>
        <w:rPr>
          <w:spacing w:val="-75"/>
        </w:rPr>
        <w:t> </w:t>
      </w:r>
      <w:r>
        <w:rPr>
          <w:spacing w:val="13"/>
        </w:rPr>
        <w:t>环境监测系统收入</w:t>
      </w:r>
      <w:r>
        <w:rPr>
          <w:spacing w:val="19"/>
        </w:rPr>
        <w:t> </w:t>
      </w:r>
      <w:r>
        <w:rPr>
          <w:rFonts w:ascii="Times New Roman" w:hAnsi="Times New Roman" w:cs="Times New Roman" w:eastAsia="Times New Roman" w:hint="default"/>
        </w:rPr>
        <w:t>979,273,744.11 </w:t>
      </w:r>
      <w:r>
        <w:rPr>
          <w:rFonts w:ascii="Times New Roman" w:hAnsi="Times New Roman" w:cs="Times New Roman" w:eastAsia="Times New Roman" w:hint="default"/>
          <w:spacing w:val="18"/>
        </w:rPr>
        <w:t> </w:t>
      </w:r>
      <w:r>
        <w:rPr>
          <w:spacing w:val="8"/>
        </w:rPr>
        <w:t>元、</w:t>
      </w:r>
      <w:r>
        <w:rPr>
          <w:spacing w:val="-75"/>
        </w:rPr>
        <w:t> </w:t>
      </w:r>
      <w:r>
        <w:rPr>
          <w:spacing w:val="14"/>
        </w:rPr>
        <w:t>运营及咨询服务收入</w:t>
      </w:r>
    </w:p>
    <w:p>
      <w:pPr>
        <w:pStyle w:val="BodyText"/>
        <w:spacing w:line="314" w:lineRule="auto" w:before="13"/>
        <w:ind w:right="1130"/>
        <w:jc w:val="both"/>
      </w:pPr>
      <w:r>
        <w:rPr>
          <w:rFonts w:ascii="Times New Roman" w:hAnsi="Times New Roman" w:cs="Times New Roman" w:eastAsia="Times New Roman" w:hint="default"/>
        </w:rPr>
        <w:t>215,821,711.58 </w:t>
      </w:r>
      <w:r>
        <w:rPr/>
        <w:t>元、其他收入 </w:t>
      </w:r>
      <w:r>
        <w:rPr>
          <w:rFonts w:ascii="Times New Roman" w:hAnsi="Times New Roman" w:cs="Times New Roman" w:eastAsia="Times New Roman" w:hint="default"/>
        </w:rPr>
        <w:t>176,778,656.87</w:t>
      </w:r>
      <w:r>
        <w:rPr>
          <w:rFonts w:ascii="Times New Roman" w:hAnsi="Times New Roman" w:cs="Times New Roman" w:eastAsia="Times New Roman" w:hint="default"/>
          <w:spacing w:val="4"/>
        </w:rPr>
        <w:t> </w:t>
      </w:r>
      <w:r>
        <w:rPr/>
        <w:t>元。先河环保公司对于销售产品产生的收入是在商品所有权上的风险和报酬已 </w:t>
      </w:r>
      <w:r>
        <w:rPr>
          <w:spacing w:val="-2"/>
        </w:rPr>
        <w:t>转移至客户时确认的。公司销售商品收入具体判断标准：对于需安装调试且需要客户验收，于客户验收合格后确认收入的实</w:t>
      </w:r>
      <w:r>
        <w:rPr>
          <w:spacing w:val="-66"/>
        </w:rPr>
        <w:t> </w:t>
      </w:r>
      <w:r>
        <w:rPr>
          <w:spacing w:val="-66"/>
        </w:rPr>
      </w:r>
      <w:r>
        <w:rPr>
          <w:spacing w:val="-2"/>
        </w:rPr>
        <w:t>现；对不需要安装的仪器、备件的销售，于商品发出后确认收入的实现；运营维护服务具有长期和重复性的特点，在运营维</w:t>
      </w:r>
      <w:r>
        <w:rPr>
          <w:spacing w:val="-66"/>
        </w:rPr>
        <w:t> </w:t>
      </w:r>
      <w:r>
        <w:rPr>
          <w:spacing w:val="-66"/>
        </w:rPr>
      </w:r>
      <w:r>
        <w:rPr>
          <w:spacing w:val="-2"/>
        </w:rPr>
        <w:t>护期内分期确认收入。由于收入是先河环保公司的关键业绩指标之一，从而存在管理层为了达到特定目标或期望而操纵收入</w:t>
      </w:r>
      <w:r>
        <w:rPr>
          <w:spacing w:val="-64"/>
        </w:rPr>
        <w:t> </w:t>
      </w:r>
      <w:r>
        <w:rPr>
          <w:spacing w:val="-64"/>
        </w:rPr>
      </w:r>
      <w:r>
        <w:rPr/>
        <w:t>确认时点的固有风险，我们将先河环保公司收入确认作为关键审计事项。</w:t>
      </w:r>
    </w:p>
    <w:p>
      <w:pPr>
        <w:spacing w:line="300" w:lineRule="auto" w:before="20"/>
        <w:ind w:left="510" w:right="6256" w:firstLine="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、审计应对</w:t>
      </w:r>
      <w:r>
        <w:rPr>
          <w:rFonts w:ascii="宋体" w:hAnsi="宋体" w:cs="宋体" w:eastAsia="宋体" w:hint="default"/>
          <w:b/>
          <w:bCs/>
          <w:w w:val="99"/>
          <w:sz w:val="18"/>
          <w:szCs w:val="18"/>
        </w:rPr>
        <w:t> </w:t>
      </w:r>
      <w:r>
        <w:rPr>
          <w:rFonts w:ascii="宋体" w:hAnsi="宋体" w:cs="宋体" w:eastAsia="宋体" w:hint="default"/>
          <w:sz w:val="18"/>
          <w:szCs w:val="18"/>
        </w:rPr>
        <w:t>我们对先河环保公司收入确认的主要审计程序包括：</w:t>
      </w:r>
    </w:p>
    <w:p>
      <w:pPr>
        <w:pStyle w:val="BodyText"/>
        <w:tabs>
          <w:tab w:pos="1288" w:val="left" w:leader="none"/>
        </w:tabs>
        <w:spacing w:line="240" w:lineRule="auto" w:before="32"/>
        <w:ind w:left="587" w:right="0"/>
        <w:jc w:val="left"/>
      </w:pPr>
      <w:r>
        <w:rPr/>
        <w:t>（</w:t>
      </w:r>
      <w:r>
        <w:rPr>
          <w:rFonts w:ascii="Times New Roman" w:hAnsi="Times New Roman" w:cs="Times New Roman" w:eastAsia="Times New Roman" w:hint="default"/>
        </w:rPr>
        <w:t>1</w:t>
      </w:r>
      <w:r>
        <w:rPr/>
        <w:t>）</w:t>
        <w:tab/>
        <w:t>了解和评价管理层与收入确认相关内部控制的设计和运行有效性；</w:t>
      </w:r>
    </w:p>
    <w:p>
      <w:pPr>
        <w:pStyle w:val="BodyText"/>
        <w:tabs>
          <w:tab w:pos="1288" w:val="left" w:leader="none"/>
        </w:tabs>
        <w:spacing w:line="300" w:lineRule="auto" w:before="63"/>
        <w:ind w:left="1007" w:right="1177" w:hanging="421"/>
        <w:jc w:val="left"/>
      </w:pPr>
      <w:r>
        <w:rPr/>
        <w:t>（</w:t>
      </w:r>
      <w:r>
        <w:rPr>
          <w:rFonts w:ascii="Times New Roman" w:hAnsi="Times New Roman" w:cs="Times New Roman" w:eastAsia="Times New Roman" w:hint="default"/>
        </w:rPr>
        <w:t>2</w:t>
      </w:r>
      <w:r>
        <w:rPr/>
        <w:t>）</w:t>
        <w:tab/>
        <w:t>选取样本检查销售合同，识别与商品所有权上的风险和报酬转移相关的合同条款与条件，评价收入确认时点 是否符合企业会计准则的要求；</w:t>
      </w:r>
    </w:p>
    <w:p>
      <w:pPr>
        <w:pStyle w:val="BodyText"/>
        <w:tabs>
          <w:tab w:pos="1288" w:val="left" w:leader="none"/>
        </w:tabs>
        <w:spacing w:line="240" w:lineRule="auto" w:before="31"/>
        <w:ind w:left="587" w:right="0"/>
        <w:jc w:val="left"/>
      </w:pPr>
      <w:r>
        <w:rPr/>
        <w:t>（</w:t>
      </w:r>
      <w:r>
        <w:rPr>
          <w:rFonts w:ascii="Times New Roman" w:hAnsi="Times New Roman" w:cs="Times New Roman" w:eastAsia="Times New Roman" w:hint="default"/>
        </w:rPr>
        <w:t>3</w:t>
      </w:r>
      <w:r>
        <w:rPr/>
        <w:t>）</w:t>
        <w:tab/>
        <w:t>对本年记录的销售收入交易选取样本，核对发票、销售合同、安装验收单及出库单，评价相关收入是否符合</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007" w:right="0"/>
        <w:jc w:val="left"/>
      </w:pPr>
      <w:r>
        <w:rPr/>
        <w:t>收入确认的会计政策；</w:t>
      </w:r>
    </w:p>
    <w:p>
      <w:pPr>
        <w:pStyle w:val="BodyText"/>
        <w:tabs>
          <w:tab w:pos="1288" w:val="left" w:leader="none"/>
        </w:tabs>
        <w:spacing w:line="300" w:lineRule="auto" w:before="76"/>
        <w:ind w:left="1007" w:right="1177" w:hanging="421"/>
        <w:jc w:val="left"/>
      </w:pPr>
      <w:r>
        <w:rPr/>
        <w:t>（</w:t>
      </w:r>
      <w:r>
        <w:rPr>
          <w:rFonts w:ascii="Times New Roman" w:hAnsi="Times New Roman" w:cs="Times New Roman" w:eastAsia="Times New Roman" w:hint="default"/>
        </w:rPr>
        <w:t>4</w:t>
      </w:r>
      <w:r>
        <w:rPr/>
        <w:t>）</w:t>
        <w:tab/>
        <w:t>对本年记录的运营收入选取样本，按照提供服务的运营维护期限进行测算，评价相关收入确认是否符合收入 确认的会计政策；</w:t>
      </w:r>
    </w:p>
    <w:p>
      <w:pPr>
        <w:pStyle w:val="BodyText"/>
        <w:tabs>
          <w:tab w:pos="1288" w:val="left" w:leader="none"/>
        </w:tabs>
        <w:spacing w:line="300" w:lineRule="auto" w:before="31"/>
        <w:ind w:left="1007" w:right="1177" w:hanging="421"/>
        <w:jc w:val="left"/>
      </w:pPr>
      <w:r>
        <w:rPr/>
        <w:t>（</w:t>
      </w:r>
      <w:r>
        <w:rPr>
          <w:rFonts w:ascii="Times New Roman" w:hAnsi="Times New Roman" w:cs="Times New Roman" w:eastAsia="Times New Roman" w:hint="default"/>
        </w:rPr>
        <w:t>5</w:t>
      </w:r>
      <w:r>
        <w:rPr/>
        <w:t>）</w:t>
        <w:tab/>
        <w:t>就资产负债表日前后记录的收入交易，选取样本，核对安装验收单、出库单及其他支持性文件，以评价收入 是否被记录于恰当的会计期间；</w:t>
      </w:r>
    </w:p>
    <w:p>
      <w:pPr>
        <w:pStyle w:val="BodyText"/>
        <w:tabs>
          <w:tab w:pos="1288" w:val="left" w:leader="none"/>
        </w:tabs>
        <w:spacing w:line="300" w:lineRule="auto" w:before="31"/>
        <w:ind w:left="1007" w:right="1177" w:hanging="421"/>
        <w:jc w:val="left"/>
      </w:pPr>
      <w:r>
        <w:rPr/>
        <w:t>（</w:t>
      </w:r>
      <w:r>
        <w:rPr>
          <w:rFonts w:ascii="Times New Roman" w:hAnsi="Times New Roman" w:cs="Times New Roman" w:eastAsia="Times New Roman" w:hint="default"/>
        </w:rPr>
        <w:t>6</w:t>
      </w:r>
      <w:r>
        <w:rPr/>
        <w:t>）</w:t>
        <w:tab/>
        <w:t>结合应收账款函证程序，同时函证收入发生额的真实性及准确性，并抽查收入确认的相关单据，检查已确认 的收入的真实性。</w:t>
      </w:r>
    </w:p>
    <w:p>
      <w:pPr>
        <w:pStyle w:val="Heading5"/>
        <w:spacing w:line="240" w:lineRule="auto" w:before="31"/>
        <w:ind w:left="587" w:right="0"/>
        <w:jc w:val="left"/>
        <w:rPr>
          <w:b w:val="0"/>
          <w:bCs w:val="0"/>
        </w:rPr>
      </w:pPr>
      <w:r>
        <w:rPr/>
        <w:t>四、其他信息</w:t>
      </w:r>
      <w:r>
        <w:rPr>
          <w:b w:val="0"/>
          <w:bCs w:val="0"/>
        </w:rPr>
      </w:r>
    </w:p>
    <w:p>
      <w:pPr>
        <w:pStyle w:val="BodyText"/>
        <w:spacing w:line="302" w:lineRule="auto" w:before="76"/>
        <w:ind w:right="1132" w:firstLine="360"/>
        <w:jc w:val="both"/>
      </w:pPr>
      <w:r>
        <w:rPr/>
        <w:t>先河环保公司管理层对其他信息负责。其他信息包括先河环保公司</w:t>
      </w:r>
      <w:r>
        <w:rPr>
          <w:spacing w:val="-61"/>
        </w:rPr>
        <w:t> </w:t>
      </w:r>
      <w:r>
        <w:rPr>
          <w:rFonts w:ascii="Arial" w:hAnsi="Arial" w:cs="Arial" w:eastAsia="Arial" w:hint="default"/>
        </w:rPr>
        <w:t>2018</w:t>
      </w:r>
      <w:r>
        <w:rPr>
          <w:rFonts w:ascii="Arial" w:hAnsi="Arial" w:cs="Arial" w:eastAsia="Arial" w:hint="default"/>
          <w:spacing w:val="-22"/>
        </w:rPr>
        <w:t> </w:t>
      </w:r>
      <w:r>
        <w:rPr/>
        <w:t>年年度报告中涵盖的信息，但不包括财务报表 和我们的审计报告。</w:t>
      </w:r>
    </w:p>
    <w:p>
      <w:pPr>
        <w:pStyle w:val="BodyText"/>
        <w:spacing w:line="316" w:lineRule="auto" w:before="29"/>
        <w:ind w:left="514"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514"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0"/>
        <w:jc w:val="left"/>
      </w:pPr>
      <w:r>
        <w:rPr/>
        <w:t>报告。</w:t>
      </w:r>
    </w:p>
    <w:p>
      <w:pPr>
        <w:spacing w:line="316" w:lineRule="auto" w:before="76"/>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先河环保公司管理层负责按照企业会计准则的规定编制财务报表，使其实现公允反映，并设计、执行和维护必要的内部</w:t>
      </w:r>
    </w:p>
    <w:p>
      <w:pPr>
        <w:pStyle w:val="BodyText"/>
        <w:spacing w:line="316" w:lineRule="auto" w:before="19"/>
        <w:ind w:left="514" w:right="0" w:hanging="360"/>
        <w:jc w:val="left"/>
      </w:pPr>
      <w:r>
        <w:rPr/>
        <w:t>控制，以使财务报表不存在由于舞弊或错误导致的重大错报。 </w:t>
      </w:r>
      <w:r>
        <w:rPr>
          <w:spacing w:val="-2"/>
        </w:rPr>
        <w:t>在编制财务报表时，管理层负责评估先河环保公司的持续经营能力，披露与持续经营相关的事项（如适用），并运用持</w:t>
      </w:r>
    </w:p>
    <w:p>
      <w:pPr>
        <w:spacing w:line="316" w:lineRule="auto" w:before="19"/>
        <w:ind w:left="514" w:right="4092" w:hanging="360"/>
        <w:jc w:val="left"/>
        <w:rPr>
          <w:rFonts w:ascii="宋体" w:hAnsi="宋体" w:cs="宋体" w:eastAsia="宋体" w:hint="default"/>
          <w:sz w:val="18"/>
          <w:szCs w:val="18"/>
        </w:rPr>
      </w:pPr>
      <w:r>
        <w:rPr>
          <w:rFonts w:ascii="宋体" w:hAnsi="宋体" w:cs="宋体" w:eastAsia="宋体" w:hint="default"/>
          <w:sz w:val="18"/>
          <w:szCs w:val="18"/>
        </w:rPr>
        <w:t>续经营假设，除非管理层计划清算先河环保公司、终止运营或别无其他现实的选择。 治理层负责监督先河环保公司的财务报告过程。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19"/>
        <w:ind w:right="113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14" w:right="0"/>
        <w:jc w:val="left"/>
      </w:pPr>
      <w:r>
        <w:rPr/>
        <w:t>在按照审计准则执行审计工作的过程中，我们运用职业判断，并保持职业怀疑。同时，我们也执行以下工作：</w:t>
      </w:r>
    </w:p>
    <w:p>
      <w:pPr>
        <w:pStyle w:val="BodyText"/>
        <w:spacing w:line="316" w:lineRule="auto" w:before="76"/>
        <w:ind w:right="1051"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9"/>
        <w:ind w:left="514" w:right="0"/>
        <w:jc w:val="left"/>
      </w:pPr>
      <w:r>
        <w:rPr/>
        <w:t>（二）了解与审计相关的内部控制，以设计恰当的审计程序，但目的并非对内部控制的有效性发表意见。</w:t>
      </w:r>
    </w:p>
    <w:p>
      <w:pPr>
        <w:pStyle w:val="BodyText"/>
        <w:spacing w:line="240" w:lineRule="auto" w:before="76"/>
        <w:ind w:left="514" w:right="0"/>
        <w:jc w:val="left"/>
      </w:pPr>
      <w:r>
        <w:rPr/>
        <w:t>（三）评价管理层选用会计政策的恰当性和作出会计估计及相关披露的合理性。</w:t>
      </w:r>
    </w:p>
    <w:p>
      <w:pPr>
        <w:pStyle w:val="BodyText"/>
        <w:spacing w:line="316" w:lineRule="auto" w:before="76"/>
        <w:ind w:right="1130" w:firstLine="360"/>
        <w:jc w:val="both"/>
      </w:pPr>
      <w:r>
        <w:rPr>
          <w:spacing w:val="-2"/>
        </w:rPr>
        <w:t>（四）对管理层使用持续经营假设的恰当性得出结论。同时，根据获取的审计证据，就可能导致对先河环保公司持续经</w:t>
      </w:r>
      <w:r>
        <w:rPr/>
        <w:t>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论基于截至审计报告日可获得的信息。然而，未来的事项或情况可能导致先河环保公司不能持续经营。</w:t>
      </w:r>
    </w:p>
    <w:p>
      <w:pPr>
        <w:pStyle w:val="BodyText"/>
        <w:spacing w:line="240" w:lineRule="auto" w:before="19"/>
        <w:ind w:left="514" w:right="0"/>
        <w:jc w:val="left"/>
      </w:pPr>
      <w:r>
        <w:rPr/>
        <w:t>（五）评价财务报表的总体列报、结构和内容（包括披露），并评价财务报表是否公允反映相关交易和事项。</w:t>
      </w:r>
    </w:p>
    <w:p>
      <w:pPr>
        <w:pStyle w:val="BodyText"/>
        <w:spacing w:line="316" w:lineRule="auto" w:before="76"/>
        <w:ind w:right="1131" w:firstLine="360"/>
        <w:jc w:val="both"/>
      </w:pPr>
      <w:r>
        <w:rPr>
          <w:spacing w:val="-2"/>
        </w:rPr>
        <w:t>（六）就先河环保公司中实体或业务活动的财务信息获取充分、适当的审计证据，以对财务报表发表意见。我们负责指</w:t>
      </w:r>
      <w:r>
        <w:rPr/>
        <w:t> 导、监督和执行集团审计。我们对审计意见承担全部责任。</w:t>
      </w:r>
    </w:p>
    <w:p>
      <w:pPr>
        <w:pStyle w:val="BodyText"/>
        <w:spacing w:line="319" w:lineRule="auto" w:before="19"/>
        <w:ind w:right="1131"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7"/>
        <w:ind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240" w:lineRule="auto" w:before="19"/>
        <w:ind w:left="514" w:right="0"/>
        <w:jc w:val="left"/>
      </w:pPr>
      <w:r>
        <w:rPr/>
        <w:t>从与治理层沟通过的事项中，我们确定哪些事项对本期财务报表审计最为重要，因而构成关键审计事项。我们在审计报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4"/>
          <w:szCs w:val="24"/>
        </w:rPr>
      </w:pPr>
    </w:p>
    <w:p>
      <w:pPr>
        <w:pStyle w:val="BodyText"/>
        <w:tabs>
          <w:tab w:pos="5044" w:val="left" w:leader="none"/>
        </w:tabs>
        <w:spacing w:line="240" w:lineRule="auto"/>
        <w:ind w:left="421" w:right="0"/>
        <w:jc w:val="left"/>
      </w:pPr>
      <w:r>
        <w:rPr>
          <w:spacing w:val="-1"/>
        </w:rPr>
        <w:t>利安达会计师事务所（特殊普通合伙）</w:t>
        <w:tab/>
      </w:r>
      <w:r>
        <w:rPr/>
        <w:t>中国注册会计师  邱淦泳</w:t>
      </w:r>
    </w:p>
    <w:p>
      <w:pPr>
        <w:pStyle w:val="BodyText"/>
        <w:spacing w:line="240" w:lineRule="auto" w:before="76"/>
        <w:ind w:left="2389" w:right="1126"/>
        <w:jc w:val="center"/>
      </w:pPr>
      <w:r>
        <w:rPr/>
        <w:t>（项目合伙人）</w:t>
      </w:r>
    </w:p>
    <w:p>
      <w:pPr>
        <w:spacing w:line="240" w:lineRule="auto" w:before="0"/>
        <w:rPr>
          <w:rFonts w:ascii="宋体" w:hAnsi="宋体" w:cs="宋体" w:eastAsia="宋体" w:hint="default"/>
          <w:sz w:val="18"/>
          <w:szCs w:val="18"/>
        </w:rPr>
      </w:pPr>
    </w:p>
    <w:p>
      <w:pPr>
        <w:pStyle w:val="BodyText"/>
        <w:tabs>
          <w:tab w:pos="5054" w:val="left" w:leader="none"/>
        </w:tabs>
        <w:spacing w:line="240" w:lineRule="auto" w:before="153"/>
        <w:ind w:left="5104" w:right="0" w:hanging="3261"/>
        <w:jc w:val="left"/>
      </w:pPr>
      <w:r>
        <w:rPr>
          <w:spacing w:val="-1"/>
        </w:rPr>
        <w:t>中国</w:t>
      </w:r>
      <w:r>
        <w:rPr>
          <w:rFonts w:ascii="Times New Roman" w:hAnsi="Times New Roman" w:cs="Times New Roman" w:eastAsia="Times New Roman" w:hint="default"/>
          <w:spacing w:val="-1"/>
        </w:rPr>
        <w:t>·</w:t>
      </w:r>
      <w:r>
        <w:rPr>
          <w:spacing w:val="-1"/>
        </w:rPr>
        <w:t>北京</w:t>
        <w:tab/>
      </w:r>
      <w:r>
        <w:rPr/>
        <w:t>中国注册会计师  许海丽</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BodyText"/>
        <w:spacing w:line="240" w:lineRule="auto"/>
        <w:ind w:left="2389" w:right="1126"/>
        <w:jc w:val="center"/>
      </w:pPr>
      <w:r>
        <w:rPr/>
        <w:t>二〇一九年四月二十四日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二、财务报表" w:id="154"/>
      <w:bookmarkEnd w:id="154"/>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5"/>
      <w:bookmarkEnd w:id="15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编制单位：河北先河环保科技股份有限公司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3575" w:space="50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572,708,285.99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570,186,613.69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600,803,929.33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291,037,482.22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917,300.00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599,886,629.33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290,837,482.22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103,052,392.47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108,571,568.94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98,802,386.60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97,403,408.00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473,444,069.39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415,526,571.16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2,917,860.11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43,033,723.63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1,851,728,923.89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1,525,759,367.64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246,675,191.87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247,286,844.71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5,266,632.90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3,722,428.60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25,253,048.77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26,554,657.43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310,650,771.51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293,709,487.56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3,144,924.98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4,309,457.76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27,852,383.95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19,654,030.84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618,842,953.98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595,236,906.90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2,470,571,877.87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2,120,996,274.54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195,324,853.69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179,190,895.42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131,253,789.10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156,327,700.35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13,053,569.63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7,976,167.39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96,267,029.83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89,150,070.64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23,675,151.69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19,081,069.48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9,124,564.80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8,766,998.40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602,698,958.74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460,492,901.68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6,388,941.78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6,692,543.04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79,678.36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119,517.54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6,468,620.14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6,812,060.58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609,167,578.88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467,304,962.26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551,032,550.00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344,395,344.00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471,132,852.81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677,770,058.81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36,901,998.60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1,656,668.40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731,372.78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93,330,489.89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63,828,556.20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727,987,313.88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515,637,231.11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1,808,237,876.38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1,602,362,562.90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53,166,422.61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51,328,749.38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1,861,404,298.99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1,653,691,312.28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2,470,571,877.87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2,120,996,274.54</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法定代表人：李玉国</w:t>
        <w:tab/>
        <w:t>主管会计工作负责人：李国壁</w:t>
        <w:tab/>
        <w:t>会计机构负责人：王才宁</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6"/>
      <w:bookmarkEnd w:id="15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420,584,176.26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417,353,506.95</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504,134,384.18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275,549,504.29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504,134,384.18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275,549,504.29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88,469,472.07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70,962,224.59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193,527,072.46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132,148,442.51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344,774,895.14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313,596,744.13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1,551,490,000.11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1,249,610,422.47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512,276,948.90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472,276,948.90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174,632,075.28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173,830,356.30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72,413.79</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11,893,807.10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12,214,602.14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355,980.00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711,960.00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21,443,593.11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18,162,616.59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720,674,818.18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677,196,483.93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2,272,164,818.29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1,926,806,906.40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167,615,468.44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146,020,836.83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52,859,651.72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101,937,788.72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6,313,527.75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2,057,757.85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63,945,611.16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68,150,275.33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8,181,525.68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11,804,177.29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9,124,564.80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8,766,998.40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442,040,349.55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338,737,834.42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3,731,441.78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2,573,616.08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3,731,441.78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2,573,616.08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445,771,791.33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341,311,450.50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551,032,550.00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344,395,344.00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471,132,852.81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677,770,058.81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36,901,998.60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93,330,489.89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63,828,556.20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747,799,132.86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499,501,496.89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1,826,393,026.96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1,585,495,455.90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2,272,164,818.29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1,926,806,906.40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57"/>
      <w:bookmarkEnd w:id="15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1,374,100,144.47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1,042,537,654.56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1,374,100,144.47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1,042,537,654.56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1,111,216,750.66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841,681,206.56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681,997,581.69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506,303,412.13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12,698,120.56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12,180,419.62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157,165,771.10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132,081,488.37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153,559,938.84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116,158,338.84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55,978,066.79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48,867,892.00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-3,195,451.36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-2,144,766.83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1,857,566.40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357,566.40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5,768,104.45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3,567,586.19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53,012,723.04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28,234,422.43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47,274,441.38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31,399,343.75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-15,780.03</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38,723.98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20,786.66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310,196,559.17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232,260,798.38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2,063,469.51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2,123,319.97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884,539.40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677,799.83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311,375,489.28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233,706,318.52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44,154,321.47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34,151,211.22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267,221,167.81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199,555,107.30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267,221,167.81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199,555,107.30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259,434,109.03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188,169,290.74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7,787,058.78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11,385,816.56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1,436,543.74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-1,551,455.97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925,295.62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-982,573.96</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925,295.62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-982,573.96</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925,295.62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-982,573.96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511,248.12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-568,882.01</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268,657,711.55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198,003,651.33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260,359,404.65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187,186,716.78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8,298,306.90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10,816,934.55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r>
    </w:tbl>
    <w:p>
      <w:pPr>
        <w:pStyle w:val="BodyText"/>
        <w:tabs>
          <w:tab w:pos="357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法定代表人：李玉国</w:t>
        <w:tab/>
        <w:t>主管会计工作负责人：李国壁</w:t>
        <w:tab/>
        <w:t>会计机构负责人：王才宁</w:t>
      </w:r>
    </w:p>
    <w:p>
      <w:pPr>
        <w:pStyle w:val="Heading3"/>
        <w:spacing w:line="240" w:lineRule="auto" w:before="63"/>
        <w:ind w:right="0"/>
        <w:jc w:val="left"/>
        <w:rPr>
          <w:b w:val="0"/>
          <w:bCs w:val="0"/>
        </w:rPr>
      </w:pPr>
      <w:bookmarkStart w:name="4、母公司利润表" w:id="158"/>
      <w:bookmarkEnd w:id="158"/>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967,014,017.76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753,982,353.25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462,630,897.76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370,175,805.18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9,157,868.11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9,592,371.67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97,163,550.37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93,847,203.54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78,199,877.50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52,065,450.29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26,886,691.56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28,670,563.00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-2,431,671.40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-2,062,057.21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1,857,566.40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357,566.40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5,134,105.55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3,144,580.69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22,622,876.76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21,615,711.58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42,499,467.43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25,663,131.80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18,939,096.00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17,071,281.72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334,222,490.53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222,811,718.72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744,435.36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775,864.14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113,717.95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334,915,595.89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223,473,864.91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39,896,259.03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27,676,646.94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295,019,336.86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195,797,217.97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295,019,336.86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195,797,217.97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295,019,336.86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195,797,217.97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59"/>
      <w:bookmarkEnd w:id="15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1,107,368,615.64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1,215,815,564.94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40,780,408.03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18,736,865.91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55,970,953.67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39,941,074.73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1,204,119,977.34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1,274,493,505.58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788,679,398.28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675,102,974.90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174,922,615.53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146,563,997.07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146,394,125.41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92,138,651.71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166,387,257.59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169,275,626.35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1,276,383,396.81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1,083,081,250.03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-72,263,419.47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191,412,255.55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507,393.16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507,393.16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7,336,220.56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22,070,617.35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35,559,712.50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4,856,743.75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42,895,933.06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36,927,361.10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-2,895,933.06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-36,419,967.94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22,863,165.44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39,752,826.83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5,643,398.24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5,313,292.43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36,901,998.60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59,765,164.04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39,752,826.83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74,234,835.96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-39,752,826.83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682,788.43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-490,790.77</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-241,728.14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114,748,670.01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556,842,269.19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442,093,599.18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556,600,541.05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556,842,269.19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0"/>
      <w:bookmarkEnd w:id="16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789,824,350.20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844,603,575.84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39,515,793.13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18,202,053.96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19,072,252.09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85,413,240.38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848,412,395.42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948,218,870.18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557,961,474.11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429,962,705.98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105,299,138.78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91,476,141.81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117,880,041.13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65,404,571.64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162,313,188.24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225,033,382.64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943,453,842.26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811,876,802.07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-95,041,446.84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136,342,068.11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18,939,096.00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17,071,281.72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58,939,096.00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17,071,281.72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999,345.48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7,771,206.15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40,999,345.48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17,771,206.15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17,939,750.52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-699,924.43</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17,219,767.20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34,439,534.40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36,901,998.60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54,121,765.80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34,439,534.40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79,878,234.20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-34,439,534.40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2,776,537.88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101,202,609.28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411,756,412.45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310,553,803.17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414,532,950.33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411,756,412.45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7、合并所有者权益变动表" w:id="161"/>
      <w:bookmarkEnd w:id="16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70"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344,39</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5,344.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677,770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,058.81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731,372</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.78</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63,828,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556.20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515,637</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,231.11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51,328,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749.38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91,312.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344,39</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5,344.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677,770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,058.81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731,372</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.78</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63,828,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556.20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515,637</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,231.11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51,328,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749.38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91,312.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206,63</w:t>
            </w:r>
          </w:p>
          <w:p>
            <w:pPr>
              <w:pStyle w:val="TableParagraph"/>
              <w:spacing w:line="240" w:lineRule="auto" w:before="105"/>
              <w:ind w:left="68" w:right="0"/>
              <w:jc w:val="left"/>
              <w:rPr>
                <w:rFonts w:ascii="Times New Roman" w:hAnsi="Times New Roman" w:cs="Times New Roman" w:eastAsia="Times New Roman" w:hint="default"/>
                <w:sz w:val="18"/>
                <w:szCs w:val="18"/>
              </w:rPr>
            </w:pPr>
            <w:r>
              <w:rPr>
                <w:rFonts w:ascii="Times New Roman"/>
                <w:sz w:val="18"/>
              </w:rPr>
              <w:t>7,206.</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7,206.0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36,901,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998.60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925,295</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29,501,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933.69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212,350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,082.77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1,837,6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73.23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207,712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,986.71</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925,295</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259,434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,109.03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8,298,3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06.90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268,657</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,711.55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36,901,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998.60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-36,901,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998.60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36,901,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998.60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-36,901,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998.60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29,501,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933.69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-46,721,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700.89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-6,822,9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59.04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-24,042,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726.24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29,501,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933.69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-29,501,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933.69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-17,219,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767.20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-6,822,9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59.04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-24,042,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726.24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206,63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7,206.</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7,206.0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206,63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7,206.</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7,206.0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-362,32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left"/>
              <w:rPr>
                <w:rFonts w:ascii="Times New Roman" w:hAnsi="Times New Roman" w:cs="Times New Roman" w:eastAsia="Times New Roman" w:hint="default"/>
                <w:sz w:val="18"/>
                <w:szCs w:val="18"/>
              </w:rPr>
            </w:pPr>
            <w:r>
              <w:rPr>
                <w:rFonts w:ascii="Times New Roman"/>
                <w:sz w:val="18"/>
              </w:rPr>
              <w:t>362,325</w:t>
            </w: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6" w:right="0"/>
              <w:jc w:val="left"/>
              <w:rPr>
                <w:rFonts w:ascii="Times New Roman" w:hAnsi="Times New Roman" w:cs="Times New Roman" w:eastAsia="Times New Roman" w:hint="default"/>
                <w:sz w:val="18"/>
                <w:szCs w:val="18"/>
              </w:rPr>
            </w:pPr>
            <w:r>
              <w:rPr>
                <w:rFonts w:ascii="Times New Roman"/>
                <w:sz w:val="18"/>
              </w:rPr>
              <w:t>5.37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6" w:right="0"/>
              <w:jc w:val="left"/>
              <w:rPr>
                <w:rFonts w:ascii="Times New Roman" w:hAnsi="Times New Roman" w:cs="Times New Roman" w:eastAsia="Times New Roman" w:hint="default"/>
                <w:sz w:val="18"/>
                <w:szCs w:val="18"/>
              </w:rPr>
            </w:pPr>
            <w:r>
              <w:rPr>
                <w:rFonts w:ascii="Times New Roman"/>
                <w:sz w:val="18"/>
              </w:rPr>
              <w:t>.37</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551,03</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2,550.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471,132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,852.81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36,901,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998.60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1,656,6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68.40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93,330,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489.89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727,987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,313.88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53,166,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422.61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1,861,4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04,298.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344,39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5,344.</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677,770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,058.81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1,713,9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46.74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44,248,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834.40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381,487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,196.57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46,173,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889.41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89,269.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344,39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5,344.</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677,770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,058.81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1,713,9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46.74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44,248,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834.40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381,487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,196.57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46,173,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889.41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89,269.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-982,57</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19,579,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721.80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134,150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,034.54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5,154,8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59.97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157,902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,042.35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-982,57</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188,169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,290.74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10,816,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934.55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198,003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,651.33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-348,78</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2.15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-348,78</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2.15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-348,78</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2.15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-348,78</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2.15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19,579,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721.80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-54,019,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256.20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-5,313,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292.43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-39,752,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826.83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19,579,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721.80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-19,579,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721.80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-34,439,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534.40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-5,313,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292.43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-39,752,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826.83</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344,39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5,344.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677,770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,058.81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731,372</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63,828,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556.20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515,637</w:t>
            </w:r>
          </w:p>
          <w:p>
            <w:pPr>
              <w:pStyle w:val="TableParagraph"/>
              <w:spacing w:line="240" w:lineRule="auto" w:before="106"/>
              <w:ind w:left="111" w:right="0"/>
              <w:jc w:val="left"/>
              <w:rPr>
                <w:rFonts w:ascii="Times New Roman" w:hAnsi="Times New Roman" w:cs="Times New Roman" w:eastAsia="Times New Roman" w:hint="default"/>
                <w:sz w:val="18"/>
                <w:szCs w:val="18"/>
              </w:rPr>
            </w:pPr>
            <w:r>
              <w:rPr>
                <w:rFonts w:ascii="Times New Roman"/>
                <w:sz w:val="18"/>
              </w:rPr>
              <w:t>,231.11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51,328,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749.38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91,312.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母公司所有者权益变动表" w:id="162"/>
      <w:bookmarkEnd w:id="16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344,395,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677,770,0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58.81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63,828,55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499,501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,496.89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1,585,495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,455.90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344,395,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677,770,0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58.81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63,828,55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499,501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,496.89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1,585,495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,455.90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206,637,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206.00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-206,637,</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206.00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36,901,99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8.60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29,501,93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3.69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248,297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,635.97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240,897,5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71.06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295,019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,336.86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295,019,3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36.86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36,901,99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8.60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-36,901,9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98.60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36,901,99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8.60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-36,901,9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98.60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29,501,93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3.69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-46,721,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700.89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-17,219,7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67.20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29,501,93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3.69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-29,501,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933.69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-17,219,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767.20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-17,219,7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67.20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206,637,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206.00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-206,637,</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206.00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206,637,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206.00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-206,637,</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206.00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551,032,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471,132,8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52.81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36,901,99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8.60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93,330,48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747,799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,132.86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1,826,393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,026.96</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344,395,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344.00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677,770,0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58.81</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44,248,83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4.40</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357,723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,535.12</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sz w:val="18"/>
              </w:rPr>
              <w:t>1,424,137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,772.33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344,395,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344.00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677,770,0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58.81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44,248,83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4.40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357,723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,535.12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1,424,137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,772.33</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19,579,72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141,777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,961.77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161,357,6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83.57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195,797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,217.97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195,797,2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17.97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19,579,72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-54,019,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256.20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-34,439,5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34.40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19,579,72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-19,579,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721.80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-34,439,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534.40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-34,439,5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34.40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344,395,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677,770,0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58.81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63,828,55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499,501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,496.89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1,585,495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,455.90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公司基本情况" w:id="163"/>
      <w:bookmarkEnd w:id="163"/>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74" w:right="0"/>
        <w:jc w:val="left"/>
        <w:rPr>
          <w:b w:val="0"/>
          <w:bCs w:val="0"/>
        </w:rPr>
      </w:pPr>
      <w:r>
        <w:rPr/>
        <w:t>（一）公司概况</w:t>
      </w:r>
      <w:r>
        <w:rPr>
          <w:b w:val="0"/>
          <w:bCs w:val="0"/>
        </w:rPr>
      </w:r>
    </w:p>
    <w:p>
      <w:pPr>
        <w:pStyle w:val="Heading3"/>
        <w:spacing w:line="240" w:lineRule="auto" w:before="97"/>
        <w:ind w:left="574" w:right="0"/>
        <w:jc w:val="left"/>
        <w:rPr>
          <w:b w:val="0"/>
          <w:bCs w:val="0"/>
        </w:rPr>
      </w:pPr>
      <w:r>
        <w:rPr>
          <w:rFonts w:ascii="Times New Roman" w:hAnsi="Times New Roman" w:cs="Times New Roman" w:eastAsia="Times New Roman" w:hint="default"/>
        </w:rPr>
        <w:t>1</w:t>
      </w:r>
      <w:r>
        <w:rPr/>
        <w:t>、历史沿革</w:t>
      </w:r>
      <w:r>
        <w:rPr>
          <w:b w:val="0"/>
          <w:bCs w:val="0"/>
        </w:rPr>
      </w:r>
    </w:p>
    <w:p>
      <w:pPr>
        <w:pStyle w:val="BodyText"/>
        <w:spacing w:line="309" w:lineRule="auto" w:before="106"/>
        <w:ind w:right="1134" w:firstLine="420"/>
        <w:jc w:val="both"/>
      </w:pPr>
      <w:r>
        <w:rPr/>
        <w:t>河北先河环保科技股份有限公司（以下简称</w:t>
      </w:r>
      <w:r>
        <w:rPr>
          <w:rFonts w:ascii="Times New Roman" w:hAnsi="Times New Roman" w:cs="Times New Roman" w:eastAsia="Times New Roman" w:hint="default"/>
        </w:rPr>
        <w:t>“</w:t>
      </w:r>
      <w:r>
        <w:rPr/>
        <w:t>公司或本公司</w:t>
      </w:r>
      <w:r>
        <w:rPr>
          <w:rFonts w:ascii="Times New Roman" w:hAnsi="Times New Roman" w:cs="Times New Roman" w:eastAsia="Times New Roman" w:hint="default"/>
        </w:rPr>
        <w:t>”</w:t>
      </w:r>
      <w:r>
        <w:rPr/>
        <w:t>），</w:t>
      </w:r>
      <w:r>
        <w:rPr>
          <w:spacing w:val="37"/>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日在原河北先河科技发展有限公司的基 </w:t>
      </w:r>
      <w:r>
        <w:rPr>
          <w:spacing w:val="4"/>
        </w:rPr>
        <w:t>础上，经河北省工商行政管理局批准，整体变更为河北先河环保科技股份有限公司，公司营业执照统一社会信用代码为</w:t>
      </w:r>
      <w:r>
        <w:rPr>
          <w:spacing w:val="-64"/>
        </w:rPr>
        <w:t> </w:t>
      </w:r>
      <w:r>
        <w:rPr>
          <w:spacing w:val="-64"/>
        </w:rPr>
      </w:r>
      <w:r>
        <w:rPr>
          <w:rFonts w:ascii="Times New Roman" w:hAnsi="Times New Roman" w:cs="Times New Roman" w:eastAsia="Times New Roman" w:hint="default"/>
        </w:rPr>
        <w:t>91130100104363113U</w:t>
      </w:r>
      <w:r>
        <w:rPr/>
        <w:t>，公司法定代表人为李玉国；注册地：石家庄市湘江道</w:t>
      </w:r>
      <w:r>
        <w:rPr>
          <w:rFonts w:ascii="Times New Roman" w:hAnsi="Times New Roman" w:cs="Times New Roman" w:eastAsia="Times New Roman" w:hint="default"/>
        </w:rPr>
        <w:t>251</w:t>
      </w:r>
      <w:r>
        <w:rPr/>
        <w:t>号。</w:t>
      </w:r>
    </w:p>
    <w:p>
      <w:pPr>
        <w:pStyle w:val="BodyText"/>
        <w:spacing w:line="240" w:lineRule="auto" w:before="65"/>
        <w:ind w:left="574" w:right="0"/>
        <w:jc w:val="left"/>
      </w:pPr>
      <w:r>
        <w:rPr/>
        <w:t>公司前身河北先河科技发展有限公司（以下简称</w:t>
      </w:r>
      <w:r>
        <w:rPr>
          <w:rFonts w:ascii="Times New Roman" w:hAnsi="Times New Roman" w:cs="Times New Roman" w:eastAsia="Times New Roman" w:hint="default"/>
        </w:rPr>
        <w:t>“</w:t>
      </w:r>
      <w:r>
        <w:rPr/>
        <w:t>先河有限</w:t>
      </w:r>
      <w:r>
        <w:rPr>
          <w:rFonts w:ascii="Times New Roman" w:hAnsi="Times New Roman" w:cs="Times New Roman" w:eastAsia="Times New Roman" w:hint="default"/>
        </w:rPr>
        <w:t>”</w:t>
      </w:r>
      <w:r>
        <w:rPr/>
        <w:t>）成立于</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日，注册资本人民币</w:t>
      </w:r>
      <w:r>
        <w:rPr>
          <w:rFonts w:ascii="Times New Roman" w:hAnsi="Times New Roman" w:cs="Times New Roman" w:eastAsia="Times New Roman" w:hint="default"/>
        </w:rPr>
        <w:t>50</w:t>
      </w:r>
      <w:r>
        <w:rPr/>
        <w:t>万元，公司于</w:t>
      </w:r>
    </w:p>
    <w:p>
      <w:pPr>
        <w:pStyle w:val="BodyText"/>
        <w:spacing w:line="240" w:lineRule="auto" w:before="63"/>
        <w:ind w:right="0"/>
        <w:jc w:val="left"/>
      </w:pPr>
      <w:r>
        <w:rPr>
          <w:rFonts w:ascii="Times New Roman" w:hAnsi="Times New Roman" w:cs="Times New Roman" w:eastAsia="Times New Roman" w:hint="default"/>
        </w:rPr>
        <w:t>1999</w:t>
      </w:r>
      <w:r>
        <w:rPr/>
        <w:t>年</w:t>
      </w:r>
      <w:r>
        <w:rPr>
          <w:rFonts w:ascii="Times New Roman" w:hAnsi="Times New Roman" w:cs="Times New Roman" w:eastAsia="Times New Roman" w:hint="default"/>
        </w:rPr>
        <w:t>4</w:t>
      </w:r>
      <w:r>
        <w:rPr/>
        <w:t>月进行了增资，增资后注册资本变更为人民币</w:t>
      </w:r>
      <w:r>
        <w:rPr>
          <w:rFonts w:ascii="Times New Roman" w:hAnsi="Times New Roman" w:cs="Times New Roman" w:eastAsia="Times New Roman" w:hint="default"/>
        </w:rPr>
        <w:t>130</w:t>
      </w:r>
      <w:r>
        <w:rPr/>
        <w:t>万元；公司于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12</w:t>
      </w:r>
      <w:r>
        <w:rPr/>
        <w:t>月进行了增资，增资后注册资本变更为人民</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t>币</w:t>
      </w:r>
      <w:r>
        <w:rPr>
          <w:rFonts w:ascii="Times New Roman" w:hAnsi="Times New Roman" w:cs="Times New Roman" w:eastAsia="Times New Roman" w:hint="default"/>
        </w:rPr>
        <w:t>1,743</w:t>
      </w:r>
      <w:r>
        <w:rPr/>
        <w:t>万元；公司于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月进行了增资，增资后的注册资本为人民币</w:t>
      </w:r>
      <w:r>
        <w:rPr>
          <w:rFonts w:ascii="Times New Roman" w:hAnsi="Times New Roman" w:cs="Times New Roman" w:eastAsia="Times New Roman" w:hint="default"/>
        </w:rPr>
        <w:t>2,218.3636</w:t>
      </w:r>
      <w:r>
        <w:rPr/>
        <w:t>万元；公司于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月进行了增资，</w:t>
      </w:r>
      <w:r>
        <w:rPr>
          <w:spacing w:val="-45"/>
        </w:rPr>
        <w:t> </w:t>
      </w:r>
      <w:r>
        <w:rPr/>
        <w:t>增资后的注册资本为人民币</w:t>
      </w:r>
      <w:r>
        <w:rPr>
          <w:rFonts w:ascii="Times New Roman" w:hAnsi="Times New Roman" w:cs="Times New Roman" w:eastAsia="Times New Roman" w:hint="default"/>
        </w:rPr>
        <w:t>2,838.1982</w:t>
      </w:r>
      <w:r>
        <w:rPr/>
        <w:t>万元。</w:t>
      </w:r>
    </w:p>
    <w:p>
      <w:pPr>
        <w:pStyle w:val="BodyText"/>
        <w:spacing w:line="300" w:lineRule="auto" w:before="73"/>
        <w:ind w:right="1132" w:firstLine="420"/>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5</w:t>
      </w:r>
      <w:r>
        <w:rPr>
          <w:spacing w:val="-1"/>
        </w:rPr>
        <w:t>月，根据公司股东会决议、发起人协议和公司章程的规定，由李玉国、北京科桥投资顾问有限公司、红塔创新</w:t>
      </w:r>
      <w:r>
        <w:rPr/>
        <w:t> </w:t>
      </w:r>
      <w:r>
        <w:rPr>
          <w:spacing w:val="-2"/>
        </w:rPr>
        <w:t>投资股份有限公司、上海兴烨创业投资有限公司、上海正同创业投资有限公司及其他</w:t>
      </w:r>
      <w:r>
        <w:rPr>
          <w:rFonts w:ascii="Times New Roman" w:hAnsi="Times New Roman" w:cs="Times New Roman" w:eastAsia="Times New Roman" w:hint="default"/>
          <w:spacing w:val="-2"/>
        </w:rPr>
        <w:t>41</w:t>
      </w:r>
      <w:r>
        <w:rPr>
          <w:spacing w:val="-2"/>
        </w:rPr>
        <w:t>名自然人股东作为发起人，由公司前</w:t>
      </w:r>
      <w:r>
        <w:rPr>
          <w:spacing w:val="-64"/>
        </w:rPr>
        <w:t> </w:t>
      </w:r>
      <w:r>
        <w:rPr>
          <w:spacing w:val="-64"/>
        </w:rPr>
      </w:r>
      <w:r>
        <w:rPr/>
        <w:t>身先河有限截至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日经审计后的净资产</w:t>
      </w:r>
      <w:r>
        <w:rPr>
          <w:rFonts w:ascii="Times New Roman" w:hAnsi="Times New Roman" w:cs="Times New Roman" w:eastAsia="Times New Roman" w:hint="default"/>
        </w:rPr>
        <w:t>13,000.21</w:t>
      </w:r>
      <w:r>
        <w:rPr/>
        <w:t>万元，按</w:t>
      </w:r>
      <w:r>
        <w:rPr>
          <w:rFonts w:ascii="Times New Roman" w:hAnsi="Times New Roman" w:cs="Times New Roman" w:eastAsia="Times New Roman" w:hint="default"/>
        </w:rPr>
        <w:t>1:0.6923</w:t>
      </w:r>
      <w:r>
        <w:rPr/>
        <w:t>的比例折为股本总额</w:t>
      </w:r>
      <w:r>
        <w:rPr>
          <w:rFonts w:ascii="Times New Roman" w:hAnsi="Times New Roman" w:cs="Times New Roman" w:eastAsia="Times New Roman" w:hint="default"/>
        </w:rPr>
        <w:t>9,000.00</w:t>
      </w:r>
      <w:r>
        <w:rPr/>
        <w:t>万元，整体变更为 股份有限公司。整体变更后公司注册资本变更为</w:t>
      </w:r>
      <w:r>
        <w:rPr>
          <w:rFonts w:ascii="Times New Roman" w:hAnsi="Times New Roman" w:cs="Times New Roman" w:eastAsia="Times New Roman" w:hint="default"/>
        </w:rPr>
        <w:t>9,000.00</w:t>
      </w:r>
      <w:r>
        <w:rPr/>
        <w:t>万元。</w:t>
      </w:r>
    </w:p>
    <w:p>
      <w:pPr>
        <w:pStyle w:val="BodyText"/>
        <w:spacing w:line="304" w:lineRule="auto" w:before="73"/>
        <w:ind w:right="0" w:firstLine="420"/>
        <w:jc w:val="left"/>
      </w:pPr>
      <w:r>
        <w:rPr>
          <w:spacing w:val="-3"/>
        </w:rPr>
        <w:t>经中国证券监督管理委员会《关于核准河北先河环保科技股份有限公司首次公开发行股票并在创业板上市的批复》（证</w:t>
      </w:r>
      <w:r>
        <w:rPr/>
        <w:t> 监许可</w:t>
      </w:r>
      <w:r>
        <w:rPr>
          <w:rFonts w:ascii="Times New Roman" w:hAnsi="Times New Roman" w:cs="Times New Roman" w:eastAsia="Times New Roman" w:hint="default"/>
        </w:rPr>
        <w:t>[2010]1402 </w:t>
      </w:r>
      <w:r>
        <w:rPr/>
        <w:t>号文）的批准，同意核准本公司公开发行不超过</w:t>
      </w:r>
      <w:r>
        <w:rPr>
          <w:rFonts w:ascii="Times New Roman" w:hAnsi="Times New Roman" w:cs="Times New Roman" w:eastAsia="Times New Roman" w:hint="default"/>
        </w:rPr>
        <w:t>3,000</w:t>
      </w:r>
      <w:r>
        <w:rPr/>
        <w:t>万股新股。公司于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日通过深圳证券交</w:t>
      </w:r>
      <w:r>
        <w:rPr>
          <w:spacing w:val="-74"/>
        </w:rPr>
        <w:t> </w:t>
      </w:r>
      <w:r>
        <w:rPr>
          <w:spacing w:val="-74"/>
        </w:rPr>
      </w:r>
      <w:r>
        <w:rPr>
          <w:spacing w:val="-2"/>
        </w:rPr>
        <w:t>易所，采用网下向配售对象询价配售和网上向社会公众投资者定价发行相结合的方式，公开发行人民币普通股（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3,000</w:t>
      </w:r>
      <w:r>
        <w:rPr>
          <w:rFonts w:ascii="Times New Roman" w:hAnsi="Times New Roman" w:cs="Times New Roman" w:eastAsia="Times New Roman" w:hint="default"/>
          <w:spacing w:val="-12"/>
        </w:rPr>
        <w:t> </w:t>
      </w:r>
      <w:r>
        <w:rPr>
          <w:spacing w:val="-2"/>
        </w:rPr>
        <w:t>万股，共募集资金人民币</w:t>
      </w:r>
      <w:r>
        <w:rPr>
          <w:rFonts w:ascii="Times New Roman" w:hAnsi="Times New Roman" w:cs="Times New Roman" w:eastAsia="Times New Roman" w:hint="default"/>
          <w:spacing w:val="-2"/>
        </w:rPr>
        <w:t>62,650.33</w:t>
      </w:r>
      <w:r>
        <w:rPr>
          <w:spacing w:val="-2"/>
        </w:rPr>
        <w:t>万元（已扣除发行费用），其中新增注册资本（股本）</w:t>
      </w:r>
      <w:r>
        <w:rPr>
          <w:rFonts w:ascii="Times New Roman" w:hAnsi="Times New Roman" w:cs="Times New Roman" w:eastAsia="Times New Roman" w:hint="default"/>
          <w:spacing w:val="-2"/>
        </w:rPr>
        <w:t>3,000.00</w:t>
      </w:r>
      <w:r>
        <w:rPr>
          <w:spacing w:val="-2"/>
        </w:rPr>
        <w:t>万元，其余计入资本公积，</w:t>
      </w:r>
      <w:r>
        <w:rPr>
          <w:spacing w:val="-55"/>
        </w:rPr>
        <w:t> </w:t>
      </w:r>
      <w:r>
        <w:rPr>
          <w:spacing w:val="-55"/>
        </w:rPr>
      </w:r>
      <w:r>
        <w:rPr/>
        <w:t>首次公开发行后注册资本变更为</w:t>
      </w:r>
      <w:r>
        <w:rPr>
          <w:rFonts w:ascii="Times New Roman" w:hAnsi="Times New Roman" w:cs="Times New Roman" w:eastAsia="Times New Roman" w:hint="default"/>
        </w:rPr>
        <w:t>12,000.00</w:t>
      </w:r>
      <w:r>
        <w:rPr/>
        <w:t>万元。经深圳证券交易所深证上</w:t>
      </w:r>
      <w:r>
        <w:rPr>
          <w:rFonts w:ascii="Times New Roman" w:hAnsi="Times New Roman" w:cs="Times New Roman" w:eastAsia="Times New Roman" w:hint="default"/>
        </w:rPr>
        <w:t>[2010]353</w:t>
      </w:r>
      <w:r>
        <w:rPr/>
        <w:t>号文批准，公司股票于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日在 深圳证券交易所创业板挂牌交易，股票代码为</w:t>
      </w:r>
      <w:r>
        <w:rPr>
          <w:rFonts w:ascii="Times New Roman" w:hAnsi="Times New Roman" w:cs="Times New Roman" w:eastAsia="Times New Roman" w:hint="default"/>
        </w:rPr>
        <w:t>300137</w:t>
      </w:r>
      <w:r>
        <w:rPr/>
        <w:t>。</w:t>
      </w:r>
    </w:p>
    <w:p>
      <w:pPr>
        <w:pStyle w:val="BodyText"/>
        <w:spacing w:line="300" w:lineRule="auto" w:before="69"/>
        <w:ind w:right="1128" w:firstLine="42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月根据</w:t>
      </w:r>
      <w:r>
        <w:rPr>
          <w:rFonts w:ascii="Times New Roman" w:hAnsi="Times New Roman" w:cs="Times New Roman" w:eastAsia="Times New Roman" w:hint="default"/>
        </w:rPr>
        <w:t>2010</w:t>
      </w:r>
      <w:r>
        <w:rPr/>
        <w:t>年度股东大会决议，公司以总股本</w:t>
      </w:r>
      <w:r>
        <w:rPr>
          <w:rFonts w:ascii="Times New Roman" w:hAnsi="Times New Roman" w:cs="Times New Roman" w:eastAsia="Times New Roman" w:hint="default"/>
        </w:rPr>
        <w:t>12,000</w:t>
      </w:r>
      <w:r>
        <w:rPr/>
        <w:t>万股为基数，以资本公积金向全体股东每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w:t>
      </w:r>
      <w:r>
        <w:rPr>
          <w:spacing w:val="2"/>
        </w:rPr>
        <w:t> </w:t>
      </w:r>
      <w:r>
        <w:rPr/>
        <w:t>注册资本由</w:t>
      </w:r>
      <w:r>
        <w:rPr>
          <w:rFonts w:ascii="Times New Roman" w:hAnsi="Times New Roman" w:cs="Times New Roman" w:eastAsia="Times New Roman" w:hint="default"/>
        </w:rPr>
        <w:t>12,000</w:t>
      </w:r>
      <w:r>
        <w:rPr/>
        <w:t>万元变更为</w:t>
      </w:r>
      <w:r>
        <w:rPr>
          <w:rFonts w:ascii="Times New Roman" w:hAnsi="Times New Roman" w:cs="Times New Roman" w:eastAsia="Times New Roman" w:hint="default"/>
        </w:rPr>
        <w:t>15,600</w:t>
      </w:r>
      <w:r>
        <w:rPr/>
        <w:t>万元。</w:t>
      </w:r>
    </w:p>
    <w:p>
      <w:pPr>
        <w:pStyle w:val="BodyText"/>
        <w:spacing w:line="300" w:lineRule="auto" w:before="73"/>
        <w:ind w:right="1131"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月根据</w:t>
      </w:r>
      <w:r>
        <w:rPr>
          <w:rFonts w:ascii="Times New Roman" w:hAnsi="Times New Roman" w:cs="Times New Roman" w:eastAsia="Times New Roman" w:hint="default"/>
        </w:rPr>
        <w:t>2012</w:t>
      </w:r>
      <w:r>
        <w:rPr/>
        <w:t>年度股东大会决议，公司以总股数</w:t>
      </w:r>
      <w:r>
        <w:rPr>
          <w:rFonts w:ascii="Times New Roman" w:hAnsi="Times New Roman" w:cs="Times New Roman" w:eastAsia="Times New Roman" w:hint="default"/>
        </w:rPr>
        <w:t>15,600</w:t>
      </w:r>
      <w:r>
        <w:rPr/>
        <w:t>万股为基数，以资本公积向全体股东每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股共计 转增</w:t>
      </w:r>
      <w:r>
        <w:rPr>
          <w:rFonts w:ascii="Times New Roman" w:hAnsi="Times New Roman" w:cs="Times New Roman" w:eastAsia="Times New Roman" w:hint="default"/>
        </w:rPr>
        <w:t>46,800,000</w:t>
      </w:r>
      <w:r>
        <w:rPr/>
        <w:t>股，注册资本由</w:t>
      </w:r>
      <w:r>
        <w:rPr>
          <w:rFonts w:ascii="Times New Roman" w:hAnsi="Times New Roman" w:cs="Times New Roman" w:eastAsia="Times New Roman" w:hint="default"/>
        </w:rPr>
        <w:t>15,600</w:t>
      </w:r>
      <w:r>
        <w:rPr/>
        <w:t>万元变更为人民币</w:t>
      </w:r>
      <w:r>
        <w:rPr>
          <w:rFonts w:ascii="Times New Roman" w:hAnsi="Times New Roman" w:cs="Times New Roman" w:eastAsia="Times New Roman" w:hint="default"/>
        </w:rPr>
        <w:t>20,280</w:t>
      </w:r>
      <w:r>
        <w:rPr/>
        <w:t>万元。</w:t>
      </w:r>
    </w:p>
    <w:p>
      <w:pPr>
        <w:pStyle w:val="BodyText"/>
        <w:spacing w:line="300" w:lineRule="auto" w:before="73"/>
        <w:ind w:right="1131" w:firstLine="42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月根据</w:t>
      </w:r>
      <w:r>
        <w:rPr>
          <w:rFonts w:ascii="Times New Roman" w:hAnsi="Times New Roman" w:cs="Times New Roman" w:eastAsia="Times New Roman" w:hint="default"/>
        </w:rPr>
        <w:t>2013</w:t>
      </w:r>
      <w:r>
        <w:rPr/>
        <w:t>年度股东大会决议，公司以总股本</w:t>
      </w:r>
      <w:r>
        <w:rPr>
          <w:rFonts w:ascii="Times New Roman" w:hAnsi="Times New Roman" w:cs="Times New Roman" w:eastAsia="Times New Roman" w:hint="default"/>
        </w:rPr>
        <w:t>20,280</w:t>
      </w:r>
      <w:r>
        <w:rPr/>
        <w:t>万股为基数，以资本公积向全体股东每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 转增</w:t>
      </w:r>
      <w:r>
        <w:rPr>
          <w:rFonts w:ascii="Times New Roman" w:hAnsi="Times New Roman" w:cs="Times New Roman" w:eastAsia="Times New Roman" w:hint="default"/>
        </w:rPr>
        <w:t>121,680,000  </w:t>
      </w:r>
      <w:r>
        <w:rPr/>
        <w:t>股，注册资本由</w:t>
      </w:r>
      <w:r>
        <w:rPr>
          <w:rFonts w:ascii="Times New Roman" w:hAnsi="Times New Roman" w:cs="Times New Roman" w:eastAsia="Times New Roman" w:hint="default"/>
        </w:rPr>
        <w:t>20,280</w:t>
      </w:r>
      <w:r>
        <w:rPr/>
        <w:t>万元变更为人民币</w:t>
      </w:r>
      <w:r>
        <w:rPr>
          <w:rFonts w:ascii="Times New Roman" w:hAnsi="Times New Roman" w:cs="Times New Roman" w:eastAsia="Times New Roman" w:hint="default"/>
        </w:rPr>
        <w:t>32,448</w:t>
      </w:r>
      <w:r>
        <w:rPr>
          <w:rFonts w:ascii="Times New Roman" w:hAnsi="Times New Roman" w:cs="Times New Roman" w:eastAsia="Times New Roman" w:hint="default"/>
          <w:spacing w:val="6"/>
        </w:rPr>
        <w:t> </w:t>
      </w:r>
      <w:r>
        <w:rPr/>
        <w:t>万元。</w:t>
      </w:r>
    </w:p>
    <w:p>
      <w:pPr>
        <w:pStyle w:val="BodyText"/>
        <w:spacing w:line="300" w:lineRule="auto" w:before="73"/>
        <w:ind w:right="1128" w:firstLine="420"/>
        <w:jc w:val="both"/>
      </w:pPr>
      <w:r>
        <w:rPr/>
        <w:t>根据本公司</w:t>
      </w:r>
      <w:r>
        <w:rPr>
          <w:rFonts w:ascii="Times New Roman" w:hAnsi="Times New Roman" w:cs="Times New Roman" w:eastAsia="Times New Roman" w:hint="default"/>
        </w:rPr>
        <w:t>2014</w:t>
      </w:r>
      <w:r>
        <w:rPr/>
        <w:t>年第二次临时股东大会决议并经中国证券监督管理委员会《关于核准河北先河环保科技股份有限公司 </w:t>
      </w:r>
      <w:r>
        <w:rPr>
          <w:spacing w:val="-4"/>
        </w:rPr>
        <w:t>向梁常清等发行股份购买资产并募集配套资金的批复》（证监许可</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5"/>
        </w:rPr>
        <w:t> </w:t>
      </w:r>
      <w:r>
        <w:rPr>
          <w:rFonts w:ascii="Times New Roman" w:hAnsi="Times New Roman" w:cs="Times New Roman" w:eastAsia="Times New Roman" w:hint="default"/>
        </w:rPr>
        <w:t>1396</w:t>
      </w:r>
      <w:r>
        <w:rPr>
          <w:rFonts w:ascii="Times New Roman" w:hAnsi="Times New Roman" w:cs="Times New Roman" w:eastAsia="Times New Roman" w:hint="default"/>
          <w:spacing w:val="7"/>
        </w:rPr>
        <w:t> </w:t>
      </w:r>
      <w:r>
        <w:rPr>
          <w:spacing w:val="-5"/>
        </w:rPr>
        <w:t>号）核准，本公司向梁常清发行股份</w:t>
      </w:r>
      <w:r>
        <w:rPr>
          <w:rFonts w:ascii="Times New Roman" w:hAnsi="Times New Roman" w:cs="Times New Roman" w:eastAsia="Times New Roman" w:hint="default"/>
          <w:spacing w:val="-5"/>
        </w:rPr>
        <w:t>12,761,019</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10"/>
        </w:rPr>
        <w:t>股购买其持有的广东科迪隆科技有限公司</w:t>
      </w:r>
      <w:r>
        <w:rPr>
          <w:rFonts w:ascii="Times New Roman" w:hAnsi="Times New Roman" w:cs="Times New Roman" w:eastAsia="Times New Roman" w:hint="default"/>
          <w:spacing w:val="10"/>
        </w:rPr>
        <w:t>50%</w:t>
      </w:r>
      <w:r>
        <w:rPr>
          <w:spacing w:val="10"/>
        </w:rPr>
        <w:t>的股权和广西先得环保科技有限公司</w:t>
      </w:r>
      <w:r>
        <w:rPr>
          <w:rFonts w:ascii="Times New Roman" w:hAnsi="Times New Roman" w:cs="Times New Roman" w:eastAsia="Times New Roman" w:hint="default"/>
          <w:spacing w:val="10"/>
        </w:rPr>
        <w:t>50%</w:t>
      </w:r>
      <w:r>
        <w:rPr>
          <w:spacing w:val="10"/>
        </w:rPr>
        <w:t>的股权， 向梁宝欣发行股份</w:t>
      </w:r>
      <w:r>
        <w:rPr>
          <w:spacing w:val="-53"/>
        </w:rPr>
        <w:t> </w:t>
      </w:r>
      <w:r>
        <w:rPr>
          <w:spacing w:val="-53"/>
        </w:rPr>
      </w:r>
      <w:r>
        <w:rPr>
          <w:rFonts w:ascii="Times New Roman" w:hAnsi="Times New Roman" w:cs="Times New Roman" w:eastAsia="Times New Roman" w:hint="default"/>
        </w:rPr>
        <w:t>1,531,322</w:t>
      </w:r>
      <w:r>
        <w:rPr/>
        <w:t>股及支付现金</w:t>
      </w:r>
      <w:r>
        <w:rPr>
          <w:rFonts w:ascii="Times New Roman" w:hAnsi="Times New Roman" w:cs="Times New Roman" w:eastAsia="Times New Roman" w:hint="default"/>
        </w:rPr>
        <w:t>7,920</w:t>
      </w:r>
      <w:r>
        <w:rPr/>
        <w:t>万元购买其持有的广东科迪隆科技有限公司</w:t>
      </w:r>
      <w:r>
        <w:rPr>
          <w:rFonts w:ascii="Times New Roman" w:hAnsi="Times New Roman" w:cs="Times New Roman" w:eastAsia="Times New Roman" w:hint="default"/>
        </w:rPr>
        <w:t>30%</w:t>
      </w:r>
      <w:r>
        <w:rPr/>
        <w:t>的股权和广西先得环保科技有限公司</w:t>
      </w:r>
      <w:r>
        <w:rPr>
          <w:rFonts w:ascii="Times New Roman" w:hAnsi="Times New Roman" w:cs="Times New Roman" w:eastAsia="Times New Roman" w:hint="default"/>
        </w:rPr>
        <w:t>30%</w:t>
      </w:r>
      <w:r>
        <w:rPr/>
        <w:t>的股</w:t>
      </w:r>
      <w:r>
        <w:rPr>
          <w:spacing w:val="6"/>
        </w:rPr>
        <w:t> </w:t>
      </w:r>
      <w:r>
        <w:rPr/>
        <w:t>权。本次交易同时向其他不超过 </w:t>
      </w:r>
      <w:r>
        <w:rPr>
          <w:rFonts w:ascii="Times New Roman" w:hAnsi="Times New Roman" w:cs="Times New Roman" w:eastAsia="Times New Roman" w:hint="default"/>
        </w:rPr>
        <w:t>5 </w:t>
      </w:r>
      <w:r>
        <w:rPr/>
        <w:t>名特定投资者发行股份募集配套资金不超过 </w:t>
      </w:r>
      <w:r>
        <w:rPr>
          <w:rFonts w:ascii="Times New Roman" w:hAnsi="Times New Roman" w:cs="Times New Roman" w:eastAsia="Times New Roman" w:hint="default"/>
        </w:rPr>
        <w:t>8,800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日止公司非公开发 行股票</w:t>
      </w:r>
      <w:r>
        <w:rPr>
          <w:rFonts w:ascii="Times New Roman" w:hAnsi="Times New Roman" w:cs="Times New Roman" w:eastAsia="Times New Roman" w:hint="default"/>
        </w:rPr>
        <w:t>5,623,003</w:t>
      </w:r>
      <w:r>
        <w:rPr/>
        <w:t>股新股用于募集本次发行股票购买资产的配套资金，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日增发完成，增发后本公司总股本变更为</w:t>
      </w:r>
      <w:r>
        <w:rPr>
          <w:spacing w:val="-85"/>
        </w:rPr>
        <w:t> </w:t>
      </w:r>
      <w:r>
        <w:rPr>
          <w:spacing w:val="-85"/>
        </w:rPr>
      </w:r>
      <w:r>
        <w:rPr>
          <w:rFonts w:ascii="Times New Roman" w:hAnsi="Times New Roman" w:cs="Times New Roman" w:eastAsia="Times New Roman" w:hint="default"/>
        </w:rPr>
        <w:t>344,395,344</w:t>
      </w:r>
      <w:r>
        <w:rPr>
          <w:rFonts w:ascii="Times New Roman" w:hAnsi="Times New Roman" w:cs="Times New Roman" w:eastAsia="Times New Roman" w:hint="default"/>
          <w:spacing w:val="22"/>
        </w:rPr>
        <w:t> </w:t>
      </w:r>
      <w:r>
        <w:rPr/>
        <w:t>股，注册资本由</w:t>
      </w:r>
      <w:r>
        <w:rPr>
          <w:rFonts w:ascii="Times New Roman" w:hAnsi="Times New Roman" w:cs="Times New Roman" w:eastAsia="Times New Roman" w:hint="default"/>
        </w:rPr>
        <w:t>32,448</w:t>
      </w:r>
      <w:r>
        <w:rPr/>
        <w:t>万元变更为人民币</w:t>
      </w:r>
      <w:r>
        <w:rPr>
          <w:rFonts w:ascii="Times New Roman" w:hAnsi="Times New Roman" w:cs="Times New Roman" w:eastAsia="Times New Roman" w:hint="default"/>
        </w:rPr>
        <w:t>34,439</w:t>
      </w:r>
      <w:r>
        <w:rPr/>
        <w:t>万元。</w:t>
      </w:r>
    </w:p>
    <w:p>
      <w:pPr>
        <w:pStyle w:val="BodyText"/>
        <w:spacing w:line="300" w:lineRule="auto" w:before="73"/>
        <w:ind w:right="1131"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月根据</w:t>
      </w:r>
      <w:r>
        <w:rPr>
          <w:rFonts w:ascii="Times New Roman" w:hAnsi="Times New Roman" w:cs="Times New Roman" w:eastAsia="Times New Roman" w:hint="default"/>
        </w:rPr>
        <w:t>2017</w:t>
      </w:r>
      <w:r>
        <w:rPr/>
        <w:t>年度股东大会决议，公司以总股本</w:t>
      </w:r>
      <w:r>
        <w:rPr>
          <w:rFonts w:ascii="Times New Roman" w:hAnsi="Times New Roman" w:cs="Times New Roman" w:eastAsia="Times New Roman" w:hint="default"/>
        </w:rPr>
        <w:t>34,439</w:t>
      </w:r>
      <w:r>
        <w:rPr/>
        <w:t>万股为基数，以资本公积向全体股东每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 转增</w:t>
      </w:r>
      <w:r>
        <w:rPr>
          <w:rFonts w:ascii="Times New Roman" w:hAnsi="Times New Roman" w:cs="Times New Roman" w:eastAsia="Times New Roman" w:hint="default"/>
        </w:rPr>
        <w:t>206,637,206</w:t>
      </w:r>
      <w:r>
        <w:rPr/>
        <w:t>股，转增完毕后，公司总股本变更为</w:t>
      </w:r>
      <w:r>
        <w:rPr>
          <w:rFonts w:ascii="Times New Roman" w:hAnsi="Times New Roman" w:cs="Times New Roman" w:eastAsia="Times New Roman" w:hint="default"/>
        </w:rPr>
        <w:t>551,032,550</w:t>
      </w:r>
      <w:r>
        <w:rPr/>
        <w:t>股，注册资本由</w:t>
      </w:r>
      <w:r>
        <w:rPr>
          <w:rFonts w:ascii="Times New Roman" w:hAnsi="Times New Roman" w:cs="Times New Roman" w:eastAsia="Times New Roman" w:hint="default"/>
        </w:rPr>
        <w:t>34,439</w:t>
      </w:r>
      <w:r>
        <w:rPr/>
        <w:t>万元变更为</w:t>
      </w:r>
      <w:r>
        <w:rPr>
          <w:rFonts w:ascii="Times New Roman" w:hAnsi="Times New Roman" w:cs="Times New Roman" w:eastAsia="Times New Roman" w:hint="default"/>
        </w:rPr>
        <w:t>55,103.26</w:t>
      </w:r>
      <w:r>
        <w:rPr/>
        <w:t>万元。</w:t>
      </w:r>
    </w:p>
    <w:p>
      <w:pPr>
        <w:pStyle w:val="BodyText"/>
        <w:spacing w:line="300" w:lineRule="auto" w:before="73"/>
        <w:ind w:right="1132" w:firstLine="420"/>
        <w:jc w:val="both"/>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日，李玉国先生持有本公司股份 </w:t>
      </w:r>
      <w:r>
        <w:rPr>
          <w:rFonts w:ascii="Times New Roman" w:hAnsi="Times New Roman" w:cs="Times New Roman" w:eastAsia="Times New Roman" w:hint="default"/>
        </w:rPr>
        <w:t>81,898,409 </w:t>
      </w:r>
      <w:r>
        <w:rPr/>
        <w:t>股，占本公司总股本的</w:t>
      </w:r>
      <w:r>
        <w:rPr>
          <w:spacing w:val="10"/>
        </w:rPr>
        <w:t> </w:t>
      </w:r>
      <w:r>
        <w:rPr>
          <w:rFonts w:ascii="Times New Roman" w:hAnsi="Times New Roman" w:cs="Times New Roman" w:eastAsia="Times New Roman" w:hint="default"/>
        </w:rPr>
        <w:t>14.86%</w:t>
      </w:r>
      <w:r>
        <w:rPr/>
        <w:t>；为第一大股东和实际 控制人。</w:t>
      </w:r>
    </w:p>
    <w:p>
      <w:pPr>
        <w:spacing w:line="340" w:lineRule="auto" w:before="66"/>
        <w:ind w:left="574" w:right="637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、所处行业</w:t>
      </w:r>
      <w:r>
        <w:rPr>
          <w:rFonts w:ascii="宋体" w:hAnsi="宋体" w:cs="宋体" w:eastAsia="宋体" w:hint="default"/>
          <w:b/>
          <w:bCs/>
          <w:w w:val="99"/>
          <w:sz w:val="21"/>
          <w:szCs w:val="21"/>
        </w:rPr>
        <w:t> </w:t>
      </w:r>
      <w:r>
        <w:rPr>
          <w:rFonts w:ascii="宋体" w:hAnsi="宋体" w:cs="宋体" w:eastAsia="宋体" w:hint="default"/>
          <w:sz w:val="18"/>
          <w:szCs w:val="18"/>
        </w:rPr>
        <w:t>公司所属行业为环境监测专用仪器仪表制造行业。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、经营范围</w:t>
      </w:r>
      <w:r>
        <w:rPr>
          <w:rFonts w:ascii="宋体" w:hAnsi="宋体" w:cs="宋体" w:eastAsia="宋体" w:hint="default"/>
          <w:sz w:val="21"/>
          <w:szCs w:val="21"/>
        </w:rPr>
      </w:r>
    </w:p>
    <w:p>
      <w:pPr>
        <w:pStyle w:val="BodyText"/>
        <w:spacing w:line="185" w:lineRule="exact"/>
        <w:ind w:left="589" w:right="0"/>
        <w:jc w:val="left"/>
      </w:pPr>
      <w:r>
        <w:rPr/>
        <w:t>本公司经批准的经营范围：从事仪器、仪表、环境治理设备及相关产品的研制开发、生产、安装、销售、技术推广、</w:t>
      </w:r>
    </w:p>
    <w:p>
      <w:pPr>
        <w:pStyle w:val="BodyText"/>
        <w:spacing w:line="316" w:lineRule="auto" w:before="76"/>
        <w:ind w:right="1032"/>
        <w:jc w:val="left"/>
      </w:pPr>
      <w:r>
        <w:rPr>
          <w:spacing w:val="-4"/>
        </w:rPr>
        <w:t>技术转让、技术咨询、技术服务；机动车尾气遥感检测系统研发；化工产品（化学危险品及易制毒化学品除外）、电子产品、</w:t>
      </w:r>
      <w:r>
        <w:rPr>
          <w:spacing w:val="-46"/>
        </w:rPr>
        <w:t> </w:t>
      </w:r>
      <w:r>
        <w:rPr>
          <w:spacing w:val="-46"/>
        </w:rPr>
      </w:r>
      <w:r>
        <w:rPr/>
        <w:t>五金交电、仪器、仪表、针纺织品、塑料制品、橡胶制品、通讯器材（不含无线电移动电话、地面卫星接收设备）的批发、 </w:t>
      </w:r>
      <w:r>
        <w:rPr>
          <w:spacing w:val="-2"/>
        </w:rPr>
        <w:t>零售；软件产品的开发、生产和销售；环境监测仪器的研制、生产、销售；数字信息技术服务；数据处理、数据服务；计算</w:t>
      </w:r>
      <w:r>
        <w:rPr>
          <w:spacing w:val="-69"/>
        </w:rPr>
        <w:t> </w:t>
      </w:r>
      <w:r>
        <w:rPr>
          <w:spacing w:val="-69"/>
        </w:rPr>
      </w:r>
      <w:r>
        <w:rPr>
          <w:spacing w:val="-4"/>
        </w:rPr>
        <w:t>机信息系统集成服务，环境监测仪器的维修、运营服务；环保工程、环境检测；环境工程设计、施工及技术咨询、技术服务；</w:t>
      </w:r>
      <w:r>
        <w:rPr>
          <w:spacing w:val="-45"/>
        </w:rPr>
        <w:t> </w:t>
      </w:r>
      <w:r>
        <w:rPr>
          <w:spacing w:val="-45"/>
        </w:rPr>
      </w:r>
      <w:r>
        <w:rPr/>
        <w:t>清洁服务；环境监测；节能产品技术、热泵产品技术、中央空调设备技术、压缩机及配件技术的开发、生产、销售及安装； </w:t>
      </w:r>
      <w:r>
        <w:rPr>
          <w:spacing w:val="-2"/>
        </w:rPr>
        <w:t>采暖系统工程的设计、暖通工程施工；房屋租赁；环境监测设备的销售；自营和代理各类商品及技术的进出口业务，国家限</w:t>
      </w:r>
      <w:r>
        <w:rPr>
          <w:spacing w:val="-66"/>
        </w:rPr>
        <w:t> </w:t>
      </w:r>
      <w:r>
        <w:rPr>
          <w:spacing w:val="-66"/>
        </w:rPr>
      </w:r>
      <w:r>
        <w:rPr/>
        <w:t>制和禁止的除外。（依法须经批准的项目，经相关部门批准后方可开展经营活动）</w:t>
      </w:r>
    </w:p>
    <w:p>
      <w:pPr>
        <w:spacing w:line="240" w:lineRule="auto" w:before="0"/>
        <w:rPr>
          <w:rFonts w:ascii="宋体" w:hAnsi="宋体" w:cs="宋体" w:eastAsia="宋体" w:hint="default"/>
          <w:sz w:val="18"/>
          <w:szCs w:val="18"/>
        </w:rPr>
      </w:pPr>
    </w:p>
    <w:p>
      <w:pPr>
        <w:pStyle w:val="Heading3"/>
        <w:spacing w:line="240" w:lineRule="auto" w:before="130"/>
        <w:ind w:left="574" w:right="0"/>
        <w:jc w:val="left"/>
        <w:rPr>
          <w:b w:val="0"/>
          <w:bCs w:val="0"/>
        </w:rPr>
      </w:pPr>
      <w:r>
        <w:rPr>
          <w:rFonts w:ascii="Times New Roman" w:hAnsi="Times New Roman" w:cs="Times New Roman" w:eastAsia="Times New Roman" w:hint="default"/>
        </w:rPr>
        <w:t>4</w:t>
      </w:r>
      <w:r>
        <w:rPr/>
        <w:t>、财务报告批准报出日</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240" w:lineRule="auto" w:before="44"/>
        <w:ind w:right="0"/>
        <w:jc w:val="left"/>
      </w:pPr>
      <w:r>
        <w:rPr/>
        <w:t>本财务报表业经本公司董事会于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  </w:t>
      </w:r>
      <w:r>
        <w:rPr/>
        <w:t>月</w:t>
      </w:r>
      <w:r>
        <w:rPr>
          <w:spacing w:val="-37"/>
        </w:rPr>
        <w:t> </w:t>
      </w:r>
      <w:r>
        <w:rPr>
          <w:rFonts w:ascii="Times New Roman" w:hAnsi="Times New Roman" w:cs="Times New Roman" w:eastAsia="Times New Roman" w:hint="default"/>
        </w:rPr>
        <w:t>24</w:t>
      </w:r>
      <w:r>
        <w:rPr/>
        <w:t>日决议批准报出。</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3"/>
        <w:spacing w:line="240" w:lineRule="auto"/>
        <w:ind w:right="0"/>
        <w:jc w:val="left"/>
        <w:rPr>
          <w:b w:val="0"/>
          <w:bCs w:val="0"/>
        </w:rPr>
      </w:pPr>
      <w:r>
        <w:rPr/>
        <w:t>（二）本年度合并财务报表范围</w:t>
      </w:r>
      <w:r>
        <w:rPr>
          <w:b w:val="0"/>
          <w:bCs w:val="0"/>
        </w:rPr>
      </w:r>
    </w:p>
    <w:p>
      <w:pPr>
        <w:pStyle w:val="BodyText"/>
        <w:spacing w:line="300" w:lineRule="auto" w:before="62"/>
        <w:ind w:right="0" w:firstLine="360"/>
        <w:jc w:val="left"/>
      </w:pPr>
      <w:r>
        <w:rPr>
          <w:spacing w:val="-2"/>
        </w:rPr>
        <w:t>本公司</w:t>
      </w:r>
      <w:r>
        <w:rPr>
          <w:rFonts w:ascii="Times New Roman" w:hAnsi="Times New Roman" w:cs="Times New Roman" w:eastAsia="Times New Roman" w:hint="default"/>
          <w:spacing w:val="-2"/>
        </w:rPr>
        <w:t>2018</w:t>
      </w:r>
      <w:r>
        <w:rPr>
          <w:spacing w:val="-2"/>
        </w:rPr>
        <w:t>年度纳入合并范围内子公司共计</w:t>
      </w:r>
      <w:r>
        <w:rPr>
          <w:rFonts w:ascii="Times New Roman" w:hAnsi="Times New Roman" w:cs="Times New Roman" w:eastAsia="Times New Roman" w:hint="default"/>
          <w:spacing w:val="-2"/>
        </w:rPr>
        <w:t>25</w:t>
      </w:r>
      <w:r>
        <w:rPr>
          <w:spacing w:val="-2"/>
        </w:rPr>
        <w:t>家，详见本</w:t>
      </w:r>
      <w:r>
        <w:rPr>
          <w:rFonts w:ascii="Times New Roman" w:hAnsi="Times New Roman" w:cs="Times New Roman" w:eastAsia="Times New Roman" w:hint="default"/>
          <w:spacing w:val="-2"/>
        </w:rPr>
        <w:t>“</w:t>
      </w:r>
      <w:r>
        <w:rPr>
          <w:spacing w:val="-2"/>
        </w:rPr>
        <w:t>附注九、在其他主体中的权益</w:t>
      </w:r>
      <w:r>
        <w:rPr>
          <w:rFonts w:ascii="Times New Roman" w:hAnsi="Times New Roman" w:cs="Times New Roman" w:eastAsia="Times New Roman" w:hint="default"/>
          <w:spacing w:val="-2"/>
        </w:rPr>
        <w:t>”</w:t>
      </w:r>
      <w:r>
        <w:rPr>
          <w:spacing w:val="-2"/>
        </w:rPr>
        <w:t>。本公司本年度合并范围比上</w:t>
      </w:r>
      <w:r>
        <w:rPr/>
        <w:t> 年度增加</w:t>
      </w:r>
      <w:r>
        <w:rPr>
          <w:rFonts w:ascii="Times New Roman" w:hAnsi="Times New Roman" w:cs="Times New Roman" w:eastAsia="Times New Roman" w:hint="default"/>
        </w:rPr>
        <w:t>2</w:t>
      </w:r>
      <w:r>
        <w:rPr/>
        <w:t>家，详见</w:t>
      </w:r>
      <w:r>
        <w:rPr>
          <w:rFonts w:ascii="Times New Roman" w:hAnsi="Times New Roman" w:cs="Times New Roman" w:eastAsia="Times New Roman" w:hint="default"/>
        </w:rPr>
        <w:t>“</w:t>
      </w:r>
      <w:r>
        <w:rPr/>
        <w:t>本附注八、合并范围的变化</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四、财务报表的编制基础" w:id="164"/>
      <w:bookmarkEnd w:id="164"/>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5"/>
      <w:bookmarkEnd w:id="16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122" w:firstLine="420"/>
        <w:jc w:val="left"/>
      </w:pPr>
      <w:r>
        <w:rPr/>
        <w:t>本公司财务报表以持续经营假设为基础，根据实际发生的交易和事项，按照财政部发布的《企业会计准则</w:t>
      </w:r>
      <w:r>
        <w:rPr>
          <w:rFonts w:ascii="Times New Roman" w:hAnsi="Times New Roman" w:cs="Times New Roman" w:eastAsia="Times New Roman" w:hint="default"/>
        </w:rPr>
        <w:t>——</w:t>
      </w:r>
      <w:r>
        <w:rPr/>
        <w:t>基本准</w:t>
      </w:r>
      <w:r>
        <w:rPr>
          <w:spacing w:val="1"/>
        </w:rPr>
        <w:t> </w:t>
      </w:r>
      <w:r>
        <w:rPr/>
        <w:t>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42</w:t>
      </w:r>
      <w:r>
        <w:rPr/>
        <w:t>项具体会计准则、企业会计</w:t>
      </w:r>
      <w:r>
        <w:rPr>
          <w:spacing w:val="-83"/>
        </w:rPr>
        <w:t> </w:t>
      </w:r>
      <w:r>
        <w:rPr>
          <w:spacing w:val="-83"/>
        </w:rPr>
      </w:r>
      <w:r>
        <w:rPr>
          <w:spacing w:val="-2"/>
        </w:rPr>
        <w:t>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w:t>
      </w:r>
      <w:r>
        <w:rPr>
          <w:spacing w:val="-47"/>
        </w:rPr>
        <w:t> </w:t>
      </w:r>
      <w:r>
        <w:rPr>
          <w:spacing w:val="-47"/>
        </w:rPr>
      </w:r>
      <w:r>
        <w:rPr/>
        <w:t>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 </w:t>
      </w:r>
      <w:r>
        <w:rPr>
          <w:spacing w:val="-2"/>
        </w:rPr>
        <w:t>根据企业会计准则的相关规定，本公司会计核算以权责发生制为基础。本财务报表均以历史成本为计量基础。资产如果发生</w:t>
      </w:r>
      <w:r>
        <w:rPr>
          <w:spacing w:val="-66"/>
        </w:rPr>
        <w:t> </w:t>
      </w:r>
      <w:r>
        <w:rPr>
          <w:spacing w:val="-66"/>
        </w:rPr>
      </w:r>
      <w:r>
        <w:rPr/>
        <w:t>减值，则按照相关规定计提相应的减值准备。</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2、持续经营" w:id="166"/>
      <w:bookmarkEnd w:id="16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本公司管理层对公司自报告期末起至少</w:t>
      </w:r>
      <w:r>
        <w:rPr>
          <w:rFonts w:ascii="宋体" w:hAnsi="宋体" w:cs="宋体" w:eastAsia="宋体" w:hint="default"/>
        </w:rPr>
        <w:t>12</w:t>
      </w:r>
      <w:r>
        <w:rPr/>
        <w:t>个月的持续经营能力评估后认为公司不存在可能导致持续经营产生重大疑虑 的事项或情况，本公司财务报表是按照持续经营假设为基础编制的。</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五、重要会计政策及会计估计" w:id="167"/>
      <w:bookmarkEnd w:id="167"/>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57" w:lineRule="auto" w:before="26"/>
        <w:ind w:left="574" w:right="0" w:hanging="420"/>
        <w:jc w:val="left"/>
      </w:pPr>
      <w:r>
        <w:rPr/>
        <w:t>具体会计政策和会计估计提示： 本公司根据实际生产经营特点，依据相关企业会计准则的规定，对收入确认等交易和事项制定了若干项具体会计政策</w:t>
      </w:r>
    </w:p>
    <w:p>
      <w:pPr>
        <w:pStyle w:val="BodyText"/>
        <w:spacing w:line="224" w:lineRule="exact"/>
        <w:ind w:right="0"/>
        <w:jc w:val="left"/>
      </w:pPr>
      <w:r>
        <w:rPr/>
        <w:t>和会计估计。</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遵循企业会计准则的声明" w:id="168"/>
      <w:bookmarkEnd w:id="16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420"/>
        <w:jc w:val="both"/>
      </w:pPr>
      <w:r>
        <w:rPr/>
        <w:t>本公司编制的财务报表符合企业会计准则的要求，真实、完整地反映了本公司</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日的财务状况及</w:t>
      </w:r>
      <w:r>
        <w:rPr>
          <w:rFonts w:ascii="宋体" w:hAnsi="宋体" w:cs="宋体" w:eastAsia="宋体" w:hint="default"/>
        </w:rPr>
        <w:t>2018</w:t>
      </w:r>
      <w:r>
        <w:rPr/>
        <w:t>年度</w:t>
      </w:r>
      <w:r>
        <w:rPr>
          <w:spacing w:val="1"/>
        </w:rPr>
        <w:t> </w:t>
      </w:r>
      <w:r>
        <w:rPr>
          <w:spacing w:val="-5"/>
        </w:rPr>
        <w:t>的经营成果和现金流量等有关信息。此外，本公司的财务报表在所有重大方面符合中国证券监督管理委员会</w:t>
      </w:r>
      <w:r>
        <w:rPr>
          <w:rFonts w:ascii="宋体" w:hAnsi="宋体" w:cs="宋体" w:eastAsia="宋体" w:hint="default"/>
          <w:spacing w:val="-5"/>
        </w:rPr>
        <w:t>2014</w:t>
      </w:r>
      <w:r>
        <w:rPr>
          <w:spacing w:val="-5"/>
        </w:rPr>
        <w:t>年修订的《公</w:t>
      </w:r>
      <w:r>
        <w:rPr>
          <w:spacing w:val="-68"/>
        </w:rPr>
        <w:t> </w:t>
      </w:r>
      <w:r>
        <w:rPr>
          <w:spacing w:val="-68"/>
        </w:rPr>
      </w:r>
      <w:r>
        <w:rPr/>
        <w:t>开发行证券的公司信息披露编报规则第</w:t>
      </w:r>
      <w:r>
        <w:rPr>
          <w:rFonts w:ascii="宋体" w:hAnsi="宋体" w:cs="宋体" w:eastAsia="宋体" w:hint="default"/>
        </w:rPr>
        <w:t>15</w:t>
      </w:r>
      <w:r>
        <w:rPr/>
        <w:t>号－财务报告的一般规定》有关财务报表及其附注的披露要求。</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会计期间" w:id="169"/>
      <w:bookmarkEnd w:id="16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本公司会计期间分为年度和中期。中期包括半年度、季度和月度。年度、半年度、季度、月度起止日期按公历日期确 定。公司会计年度为每年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营业周期" w:id="170"/>
      <w:bookmarkEnd w:id="17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4" w:right="0"/>
        <w:jc w:val="left"/>
      </w:pPr>
      <w:r>
        <w:rPr/>
        <w:t>本公司以 </w:t>
      </w:r>
      <w:r>
        <w:rPr>
          <w:rFonts w:ascii="宋体" w:hAnsi="宋体" w:cs="宋体" w:eastAsia="宋体" w:hint="default"/>
        </w:rPr>
        <w:t>12 </w:t>
      </w:r>
      <w:r>
        <w:rPr/>
        <w:t>个月作为一个营业周期，并以其作为资产和负债的流动性划分标准。</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记账本位币" w:id="171"/>
      <w:bookmarkEnd w:id="17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本公司以人民币为记账本位币。</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同一控制下和非同一控制下企业合并的会计处理方法" w:id="172"/>
      <w:bookmarkEnd w:id="17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企业合并，是指将两个或两个以上单独的企业合并形成一个报告主体的交易或事项。企业合并分为同一控制下企业合 并和非同一控制下企业合并。</w:t>
      </w:r>
    </w:p>
    <w:p>
      <w:pPr>
        <w:pStyle w:val="BodyText"/>
        <w:spacing w:line="316" w:lineRule="auto" w:before="19"/>
        <w:ind w:left="574" w:right="0"/>
        <w:jc w:val="left"/>
      </w:pPr>
      <w:r>
        <w:rPr/>
        <w:t>（</w:t>
      </w:r>
      <w:r>
        <w:rPr>
          <w:rFonts w:ascii="宋体" w:hAnsi="宋体" w:cs="宋体" w:eastAsia="宋体" w:hint="default"/>
        </w:rPr>
        <w:t>1</w:t>
      </w:r>
      <w:r>
        <w:rPr/>
        <w:t>）同一控制下企业合并 参与合并的企业在合并前后均受同一方或相同的多方最终控制，且该控制并非暂时性的，为同一控制下的企业合并。</w:t>
      </w:r>
    </w:p>
    <w:p>
      <w:pPr>
        <w:pStyle w:val="BodyText"/>
        <w:spacing w:line="316" w:lineRule="auto" w:before="19"/>
        <w:ind w:right="0"/>
        <w:jc w:val="left"/>
      </w:pPr>
      <w:r>
        <w:rPr>
          <w:spacing w:val="-2"/>
        </w:rPr>
        <w:t>同一控制下的企业合并，在合并日取得对其他参与合并企业控制权的一方为合并方，参与合并的其他企业为被合并方。合并</w:t>
      </w:r>
      <w:r>
        <w:rPr>
          <w:spacing w:val="-66"/>
        </w:rPr>
        <w:t> </w:t>
      </w:r>
      <w:r>
        <w:rPr>
          <w:spacing w:val="-66"/>
        </w:rPr>
      </w:r>
      <w:r>
        <w:rPr/>
        <w:t>日，是指合并方实际取得对被合并方控制权的日期。</w:t>
      </w:r>
    </w:p>
    <w:p>
      <w:pPr>
        <w:pStyle w:val="BodyText"/>
        <w:spacing w:line="316" w:lineRule="auto" w:before="19"/>
        <w:ind w:right="1043" w:firstLine="420"/>
        <w:jc w:val="both"/>
      </w:pPr>
      <w:r>
        <w:rPr/>
        <w:t>合并方取得的资产和负债均按合并日在被合并方的账面价值计量。合并方取得的净资产账面价值与支付的合并对价账 </w:t>
      </w:r>
      <w:r>
        <w:rPr>
          <w:spacing w:val="-4"/>
        </w:rPr>
        <w:t>面价值（或发行股份面值总额）的差额，调整资本公积（股本溢价）；资本公积（股本溢价）不足以冲减的，调整留存收益。</w:t>
      </w:r>
    </w:p>
    <w:p>
      <w:pPr>
        <w:pStyle w:val="BodyText"/>
        <w:spacing w:line="240" w:lineRule="auto" w:before="19"/>
        <w:ind w:left="574" w:right="0"/>
        <w:jc w:val="left"/>
      </w:pPr>
      <w:r>
        <w:rPr/>
        <w:t>合并方为进行企业合并发生的各项直接费用，于发生时计入当期损益。</w:t>
      </w:r>
    </w:p>
    <w:p>
      <w:pPr>
        <w:pStyle w:val="BodyText"/>
        <w:spacing w:line="316" w:lineRule="auto" w:before="76"/>
        <w:ind w:left="574" w:right="0"/>
        <w:jc w:val="left"/>
      </w:pPr>
      <w:r>
        <w:rPr/>
        <w:t>（</w:t>
      </w:r>
      <w:r>
        <w:rPr>
          <w:rFonts w:ascii="宋体" w:hAnsi="宋体" w:cs="宋体" w:eastAsia="宋体" w:hint="default"/>
        </w:rPr>
        <w:t>2</w:t>
      </w:r>
      <w:r>
        <w:rPr/>
        <w:t>）非同一控制下企业合并 参与合并的企业在合并前后不受同一方或相同的多方最终控制的，为非同一控制下的企业合并。非同一控制下的企业</w:t>
      </w:r>
    </w:p>
    <w:p>
      <w:pPr>
        <w:pStyle w:val="BodyText"/>
        <w:spacing w:line="316" w:lineRule="auto" w:before="19"/>
        <w:ind w:right="0"/>
        <w:jc w:val="left"/>
      </w:pPr>
      <w:r>
        <w:rPr>
          <w:spacing w:val="-2"/>
        </w:rPr>
        <w:t>合并，在购买日取得对其他参与合并企业控制权的一方为购买方，参与合并的其他企业为被购买方。购买日，是指为购买方</w:t>
      </w:r>
      <w:r>
        <w:rPr>
          <w:spacing w:val="-66"/>
        </w:rPr>
        <w:t> </w:t>
      </w:r>
      <w:r>
        <w:rPr>
          <w:spacing w:val="-66"/>
        </w:rPr>
      </w:r>
      <w:r>
        <w:rPr/>
        <w:t>实际取得对被购买方控制权的日期。</w:t>
      </w:r>
    </w:p>
    <w:p>
      <w:pPr>
        <w:pStyle w:val="BodyText"/>
        <w:spacing w:line="316" w:lineRule="auto" w:before="19"/>
        <w:ind w:right="1130" w:firstLine="420"/>
        <w:jc w:val="both"/>
      </w:pPr>
      <w:r>
        <w:rPr/>
        <w:t>对于非同一控制下的企业合并，合并成本包含购买日购买方为取得对被购买方的控制权而付出的资产、发生或承担的 </w:t>
      </w:r>
      <w:r>
        <w:rPr>
          <w:spacing w:val="-2"/>
        </w:rPr>
        <w:t>负债以及发行的权益性证券的公允价值，为企业合并发生的审计、法律服务、评估咨询等中介费用以及其他管理费用于发生</w:t>
      </w:r>
      <w:r>
        <w:rPr>
          <w:spacing w:val="-66"/>
        </w:rPr>
        <w:t> </w:t>
      </w:r>
      <w:r>
        <w:rPr>
          <w:spacing w:val="-66"/>
        </w:rPr>
      </w:r>
      <w:r>
        <w:rPr>
          <w:spacing w:val="-2"/>
        </w:rPr>
        <w:t>时计入当期损益。购买方作为合并对价发行的权益性证券或债务性证券的交易费用，计入权益性证券或债务性证券的初始确</w:t>
      </w:r>
      <w:r>
        <w:rPr>
          <w:spacing w:val="-63"/>
        </w:rPr>
        <w:t> </w:t>
      </w:r>
      <w:r>
        <w:rPr>
          <w:spacing w:val="-63"/>
        </w:rPr>
      </w:r>
      <w:r>
        <w:rPr>
          <w:spacing w:val="-2"/>
        </w:rPr>
        <w:t>认金额。所涉及的或有对价按其在购买日的公允价值计入合并成本，购买日后</w:t>
      </w:r>
      <w:r>
        <w:rPr>
          <w:rFonts w:ascii="宋体" w:hAnsi="宋体" w:cs="宋体" w:eastAsia="宋体" w:hint="default"/>
          <w:spacing w:val="-2"/>
        </w:rPr>
        <w:t>12</w:t>
      </w:r>
      <w:r>
        <w:rPr>
          <w:spacing w:val="-2"/>
        </w:rPr>
        <w:t>个月内出现对购买日已存在情况的新的或进</w:t>
      </w:r>
      <w:r>
        <w:rPr>
          <w:spacing w:val="-62"/>
        </w:rPr>
        <w:t> </w:t>
      </w:r>
      <w:r>
        <w:rPr>
          <w:spacing w:val="-2"/>
        </w:rPr>
        <w:t>一步证据而需要调整或有对价的，相应调整合并商誉。购买方发生的合并成本及在合并中取得的可辨认净资产按购买日的公</w:t>
      </w:r>
      <w:r>
        <w:rPr>
          <w:spacing w:val="-64"/>
        </w:rPr>
        <w:t> </w:t>
      </w:r>
      <w:r>
        <w:rPr>
          <w:spacing w:val="-64"/>
        </w:rPr>
      </w:r>
      <w:r>
        <w:rPr>
          <w:spacing w:val="-2"/>
        </w:rPr>
        <w:t>允价值计量。合并成本大于合并中取得的被购买方于购买日可辨认净资产公允价值份额的差额，确认为商誉。合并成本小于</w:t>
      </w:r>
      <w:r>
        <w:rPr>
          <w:spacing w:val="-66"/>
        </w:rPr>
        <w:t> </w:t>
      </w:r>
      <w:r>
        <w:rPr>
          <w:spacing w:val="-66"/>
        </w:rPr>
      </w:r>
      <w:r>
        <w:rPr>
          <w:spacing w:val="-2"/>
        </w:rPr>
        <w:t>合并中取得的被购买方可辨认净资产公允价值份额的，首先对取得的被购买方各项可辨认资产、负债及或有负债的公允价值</w:t>
      </w:r>
      <w:r>
        <w:rPr>
          <w:spacing w:val="-64"/>
        </w:rPr>
        <w:t> </w:t>
      </w:r>
      <w:r>
        <w:rPr>
          <w:spacing w:val="-64"/>
        </w:rPr>
      </w:r>
      <w:r>
        <w:rPr>
          <w:spacing w:val="-2"/>
        </w:rPr>
        <w:t>以及合并成本的计量进行复核，复核后合并成本仍小于合并中取得的被购买方可辨认净资产公允价值份额的，其差额计入当</w:t>
      </w:r>
      <w:r>
        <w:rPr>
          <w:spacing w:val="-64"/>
        </w:rPr>
        <w:t> </w:t>
      </w:r>
      <w:r>
        <w:rPr>
          <w:spacing w:val="-64"/>
        </w:rPr>
      </w:r>
      <w:r>
        <w:rPr/>
        <w:t>期损益。</w:t>
      </w:r>
    </w:p>
    <w:p>
      <w:pPr>
        <w:pStyle w:val="BodyText"/>
        <w:spacing w:line="316" w:lineRule="auto" w:before="19"/>
        <w:ind w:right="1128" w:firstLine="420"/>
        <w:jc w:val="both"/>
      </w:pPr>
      <w:r>
        <w:rPr/>
        <w:t>购买方取得被购买方的可抵扣暂时性差异，在购买日因不符合递延所得税资产确认条件而未予确认的，在购买日后</w:t>
      </w:r>
      <w:r>
        <w:rPr>
          <w:rFonts w:ascii="宋体" w:hAnsi="宋体" w:cs="宋体" w:eastAsia="宋体"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16" w:lineRule="auto" w:before="19"/>
        <w:ind w:right="1038" w:firstLine="420"/>
        <w:jc w:val="left"/>
      </w:pPr>
      <w:r>
        <w:rPr>
          <w:spacing w:val="-6"/>
        </w:rPr>
        <w:t>通过多次交易分步实现的非同一控制下企业合并，根据《财政部关于印发企业会计准则解释第</w:t>
      </w:r>
      <w:r>
        <w:rPr>
          <w:rFonts w:ascii="宋体" w:hAnsi="宋体" w:cs="宋体" w:eastAsia="宋体" w:hint="default"/>
          <w:spacing w:val="-6"/>
        </w:rPr>
        <w:t>5</w:t>
      </w:r>
      <w:r>
        <w:rPr>
          <w:spacing w:val="-6"/>
        </w:rPr>
        <w:t>号的通知》（财会〔</w:t>
      </w:r>
      <w:r>
        <w:rPr>
          <w:rFonts w:ascii="宋体" w:hAnsi="宋体" w:cs="宋体" w:eastAsia="宋体" w:hint="default"/>
          <w:spacing w:val="-6"/>
        </w:rPr>
        <w:t>2012</w:t>
      </w:r>
      <w:r>
        <w:rPr>
          <w:spacing w:val="-6"/>
        </w:rPr>
        <w:t>〕</w:t>
      </w:r>
      <w:r>
        <w:rPr/>
        <w:t> </w:t>
      </w:r>
      <w:r>
        <w:rPr>
          <w:rFonts w:ascii="宋体" w:hAnsi="宋体" w:cs="宋体" w:eastAsia="宋体" w:hint="default"/>
          <w:spacing w:val="-4"/>
        </w:rPr>
        <w:t>19</w:t>
      </w:r>
      <w:r>
        <w:rPr>
          <w:spacing w:val="-4"/>
        </w:rPr>
        <w:t>号）和《企业会计准则第</w:t>
      </w:r>
      <w:r>
        <w:rPr>
          <w:rFonts w:ascii="宋体" w:hAnsi="宋体" w:cs="宋体" w:eastAsia="宋体" w:hint="default"/>
          <w:spacing w:val="-4"/>
        </w:rPr>
        <w:t>33</w:t>
      </w:r>
      <w:r>
        <w:rPr>
          <w:spacing w:val="-4"/>
        </w:rPr>
        <w:t>号——合并财务报表》第五十一条关于“一揽子交易”的判断标准（参见本附注五、</w:t>
      </w:r>
      <w:r>
        <w:rPr>
          <w:rFonts w:ascii="宋体" w:hAnsi="宋体" w:cs="宋体" w:eastAsia="宋体" w:hint="default"/>
          <w:spacing w:val="-4"/>
        </w:rPr>
        <w:t>6</w:t>
      </w:r>
      <w:r>
        <w:rPr>
          <w:spacing w:val="-4"/>
        </w:rPr>
        <w:t>（</w:t>
      </w:r>
      <w:r>
        <w:rPr>
          <w:rFonts w:ascii="宋体" w:hAnsi="宋体" w:cs="宋体" w:eastAsia="宋体" w:hint="default"/>
          <w:spacing w:val="-4"/>
        </w:rPr>
        <w:t>2</w:t>
      </w:r>
      <w:r>
        <w:rPr>
          <w:spacing w:val="-4"/>
        </w:rPr>
        <w:t>）），</w:t>
      </w:r>
      <w:r>
        <w:rPr>
          <w:spacing w:val="-47"/>
        </w:rPr>
        <w:t> </w:t>
      </w:r>
      <w:r>
        <w:rPr>
          <w:spacing w:val="-2"/>
        </w:rPr>
        <w:t>判断该多次交易是否属于“一揽子交易”。属于“一揽子交易”的，参考本部分前面各段描述及本附注五、</w:t>
      </w:r>
      <w:r>
        <w:rPr>
          <w:rFonts w:ascii="宋体" w:hAnsi="宋体" w:cs="宋体" w:eastAsia="宋体" w:hint="default"/>
          <w:spacing w:val="-2"/>
        </w:rPr>
        <w:t>14</w:t>
      </w:r>
      <w:r>
        <w:rPr>
          <w:spacing w:val="-2"/>
        </w:rPr>
        <w:t>“长期股权投</w:t>
      </w:r>
      <w:r>
        <w:rPr>
          <w:spacing w:val="-65"/>
        </w:rPr>
        <w:t> </w:t>
      </w:r>
      <w:r>
        <w:rPr>
          <w:spacing w:val="-65"/>
        </w:rPr>
      </w:r>
      <w:r>
        <w:rPr/>
        <w:t>资”进行会计处理；不属于“一揽子交易”的，区分个别财务报表和合并财务报表进行相关会计处理：</w:t>
      </w:r>
    </w:p>
    <w:p>
      <w:pPr>
        <w:pStyle w:val="BodyText"/>
        <w:spacing w:line="316" w:lineRule="auto" w:before="19"/>
        <w:ind w:right="1131" w:firstLine="420"/>
        <w:jc w:val="both"/>
      </w:pPr>
      <w:r>
        <w:rPr/>
        <w:t>在个别财务报表中，以购买日之前所持被购买方的股权投资的账面价值与购买日新增投资成本之和，作为该项投资的 </w:t>
      </w:r>
      <w:r>
        <w:rPr>
          <w:spacing w:val="-2"/>
        </w:rPr>
        <w:t>初始投资成本；购买日之前持有的被购买方的股权涉及其他综合收益的，在处置该项投资时将与其相关的其他综合收益采用</w:t>
      </w:r>
      <w:r>
        <w:rPr>
          <w:spacing w:val="-64"/>
        </w:rPr>
        <w:t> </w:t>
      </w:r>
      <w:r>
        <w:rPr>
          <w:spacing w:val="-64"/>
        </w:rPr>
      </w:r>
      <w:r>
        <w:rPr>
          <w:spacing w:val="-2"/>
        </w:rPr>
        <w:t>与被购买方直接处置相关资产或负债相同的基础进行会计处理（即，除了按照权益法核算的在被购买方重新计量设定受益计</w:t>
      </w:r>
      <w:r>
        <w:rPr>
          <w:spacing w:val="-64"/>
        </w:rPr>
        <w:t> </w:t>
      </w:r>
      <w:r>
        <w:rPr>
          <w:spacing w:val="-64"/>
        </w:rPr>
      </w:r>
      <w:r>
        <w:rPr/>
        <w:t>划净负债或净资产导致的变动中的相应份额以外，其余转入当期投资收益）。</w:t>
      </w:r>
    </w:p>
    <w:p>
      <w:pPr>
        <w:pStyle w:val="BodyText"/>
        <w:spacing w:line="316" w:lineRule="auto" w:before="19"/>
        <w:ind w:right="1131" w:firstLine="420"/>
        <w:jc w:val="both"/>
      </w:pPr>
      <w:r>
        <w:rPr/>
        <w:t>在合并财务报表中，对于购买日之前持有的被购买方的股权，按照该股权在购买日的公允价值进行重新计量，公允价 </w:t>
      </w:r>
      <w:r>
        <w:rPr>
          <w:spacing w:val="-2"/>
        </w:rPr>
        <w:t>值与其账面价值的差额计入当期投资收益；购买日之前持有的被购买方的股权涉及其他综合收益的，与其相关的其他综合收</w:t>
      </w:r>
      <w:r>
        <w:rPr>
          <w:spacing w:val="-64"/>
        </w:rPr>
        <w:t> </w:t>
      </w:r>
      <w:r>
        <w:rPr>
          <w:spacing w:val="-64"/>
        </w:rPr>
      </w:r>
      <w:r>
        <w:rPr>
          <w:spacing w:val="-2"/>
        </w:rPr>
        <w:t>益应当采用与被购买方直接处置相关资产或负债相同的基础进行会计处理（即，除了按照权益法核算的在被购买方重新计量</w:t>
      </w:r>
      <w:r>
        <w:rPr>
          <w:spacing w:val="-63"/>
        </w:rPr>
        <w:t> </w:t>
      </w:r>
      <w:r>
        <w:rPr>
          <w:spacing w:val="-63"/>
        </w:rPr>
      </w:r>
      <w:r>
        <w:rPr/>
        <w:t>设定受益计划净负债或净资产导致的变动中的相应份额以外，其余转为购买日所属当期投资收益）。</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6、合并财务报表的编制方法" w:id="173"/>
      <w:bookmarkEnd w:id="17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4" w:right="0"/>
        <w:jc w:val="left"/>
      </w:pPr>
      <w:r>
        <w:rPr/>
        <w:t>（</w:t>
      </w:r>
      <w:r>
        <w:rPr>
          <w:rFonts w:ascii="宋体" w:hAnsi="宋体" w:cs="宋体" w:eastAsia="宋体" w:hint="default"/>
        </w:rPr>
        <w:t>1</w:t>
      </w:r>
      <w:r>
        <w:rPr/>
        <w:t>）合并财务报表范围的确定原则 合并财务报表的合并范围以控制为基础予以确定。控制是指本公司拥有对被投资方的权力，通过参与被投资方的相关</w:t>
      </w:r>
    </w:p>
    <w:p>
      <w:pPr>
        <w:pStyle w:val="BodyText"/>
        <w:spacing w:line="316" w:lineRule="auto" w:before="19"/>
        <w:ind w:right="1131"/>
        <w:jc w:val="both"/>
      </w:pPr>
      <w:r>
        <w:rPr>
          <w:spacing w:val="-2"/>
        </w:rPr>
        <w:t>活动而享有可变回报，并且有能力运用对被投资方的权力影响该回报金额。合并范围包括本公司及全部子公司。子公司，是</w:t>
      </w:r>
      <w:r>
        <w:rPr>
          <w:spacing w:val="-66"/>
        </w:rPr>
        <w:t> </w:t>
      </w:r>
      <w:r>
        <w:rPr>
          <w:spacing w:val="-66"/>
        </w:rPr>
      </w:r>
      <w:r>
        <w:rPr/>
        <w:t>指被本公司控制的主体。</w:t>
      </w:r>
    </w:p>
    <w:p>
      <w:pPr>
        <w:pStyle w:val="BodyText"/>
        <w:spacing w:line="240" w:lineRule="auto" w:before="19"/>
        <w:ind w:left="574" w:right="0"/>
        <w:jc w:val="left"/>
      </w:pPr>
      <w:r>
        <w:rPr/>
        <w:t>一旦相关事实和情况的变化导致上述控制定义涉及的相关要素发生了变化，本公司将进行重新评估。</w:t>
      </w:r>
    </w:p>
    <w:p>
      <w:pPr>
        <w:pStyle w:val="BodyText"/>
        <w:spacing w:line="316" w:lineRule="auto" w:before="76"/>
        <w:ind w:left="574" w:right="0"/>
        <w:jc w:val="left"/>
      </w:pPr>
      <w:r>
        <w:rPr/>
        <w:t>（</w:t>
      </w:r>
      <w:r>
        <w:rPr>
          <w:rFonts w:ascii="宋体" w:hAnsi="宋体" w:cs="宋体" w:eastAsia="宋体" w:hint="default"/>
        </w:rPr>
        <w:t>2</w:t>
      </w:r>
      <w:r>
        <w:rPr/>
        <w:t>）合并财务报表编制的方法 从取得子公司的净资产和生产经营决策的实际控制权之日起，本公司开始将其纳入合并范围；从丧失实际控制权之日</w:t>
      </w:r>
    </w:p>
    <w:p>
      <w:pPr>
        <w:pStyle w:val="BodyText"/>
        <w:spacing w:line="316" w:lineRule="auto" w:before="19"/>
        <w:ind w:right="1131"/>
        <w:jc w:val="both"/>
      </w:pPr>
      <w:r>
        <w:rPr>
          <w:spacing w:val="-2"/>
        </w:rPr>
        <w:t>起停止纳入合并范围。对于处置的子公司，处置日前的经营成果和现金流量已经适当地包括在合并利润表和合并现金流量表</w:t>
      </w:r>
      <w:r>
        <w:rPr>
          <w:spacing w:val="-64"/>
        </w:rPr>
        <w:t> </w:t>
      </w:r>
      <w:r>
        <w:rPr>
          <w:spacing w:val="-64"/>
        </w:rPr>
      </w:r>
      <w:r>
        <w:rPr>
          <w:spacing w:val="-2"/>
        </w:rPr>
        <w:t>中；当期处置的子公司，不调整合并资产负债表的期初数。非同一控制下企业合并增加的子公司，其购买日后的经营成果及</w:t>
      </w:r>
      <w:r>
        <w:rPr>
          <w:spacing w:val="-66"/>
        </w:rPr>
        <w:t> </w:t>
      </w:r>
      <w:r>
        <w:rPr>
          <w:spacing w:val="-66"/>
        </w:rPr>
      </w:r>
      <w:r>
        <w:rPr>
          <w:spacing w:val="-2"/>
        </w:rPr>
        <w:t>现金流量已经适当地包括在合并利润表和合并现金流量表中，且不调整合并财务报表的期初数和对比数。同一控制下企业合</w:t>
      </w:r>
      <w:r>
        <w:rPr>
          <w:spacing w:val="-64"/>
        </w:rPr>
        <w:t> </w:t>
      </w:r>
      <w:r>
        <w:rPr>
          <w:spacing w:val="-64"/>
        </w:rPr>
      </w:r>
      <w:r>
        <w:rPr>
          <w:spacing w:val="-2"/>
        </w:rPr>
        <w:t>并增加的子公司，其自合并当期期初至合并日的经营成果和现金流量已经适当地包括在合并利润表和合并现金流量表中，并</w:t>
      </w:r>
      <w:r>
        <w:rPr>
          <w:spacing w:val="-64"/>
        </w:rPr>
        <w:t> </w:t>
      </w:r>
      <w:r>
        <w:rPr>
          <w:spacing w:val="-64"/>
        </w:rPr>
      </w:r>
      <w:r>
        <w:rPr/>
        <w:t>且同时调整合并财务报表的对比数。</w:t>
      </w:r>
    </w:p>
    <w:p>
      <w:pPr>
        <w:pStyle w:val="BodyText"/>
        <w:spacing w:line="316" w:lineRule="auto" w:before="19"/>
        <w:ind w:right="1132" w:firstLine="420"/>
        <w:jc w:val="both"/>
      </w:pPr>
      <w:r>
        <w:rPr/>
        <w:t>在编制合并财务报表时，子公司与本公司采用的会计政策或会计期间不一致的，按照本公司的会计政策和会计期间对 </w:t>
      </w:r>
      <w:r>
        <w:rPr>
          <w:spacing w:val="-2"/>
        </w:rPr>
        <w:t>子公司财务报表进行必要的调整。对于非同一控制下企业合并取得的子公司，以购买日可辨认净资产公允价值为基础对其财</w:t>
      </w:r>
      <w:r>
        <w:rPr>
          <w:spacing w:val="-64"/>
        </w:rPr>
        <w:t> </w:t>
      </w:r>
      <w:r>
        <w:rPr>
          <w:spacing w:val="-64"/>
        </w:rPr>
      </w:r>
      <w:r>
        <w:rPr/>
        <w:t>务报表进行调整。</w:t>
      </w:r>
    </w:p>
    <w:p>
      <w:pPr>
        <w:pStyle w:val="BodyText"/>
        <w:spacing w:line="316" w:lineRule="auto" w:before="19"/>
        <w:ind w:left="574" w:right="0"/>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16" w:lineRule="auto" w:before="19"/>
        <w:ind w:right="1132"/>
        <w:jc w:val="both"/>
      </w:pPr>
      <w:r>
        <w:rPr>
          <w:spacing w:val="-2"/>
        </w:rPr>
        <w:t>中股东权益及净利润项下单独列示。子公司当期净损益中属于少数股东权益的份额，在合并利润表中净利润项目下以“少数</w:t>
      </w:r>
      <w:r>
        <w:rPr>
          <w:spacing w:val="-65"/>
        </w:rPr>
        <w:t> </w:t>
      </w:r>
      <w:r>
        <w:rPr>
          <w:spacing w:val="-65"/>
        </w:rPr>
      </w:r>
      <w:r>
        <w:rPr>
          <w:spacing w:val="-2"/>
        </w:rPr>
        <w:t>股东损益”项目列示。少数股东分担的子公司的亏损超过了少数股东在该子公司期初股东权益中所享有的份额，仍冲减少数</w:t>
      </w:r>
      <w:r>
        <w:rPr>
          <w:spacing w:val="-66"/>
        </w:rPr>
        <w:t> </w:t>
      </w:r>
      <w:r>
        <w:rPr>
          <w:spacing w:val="-66"/>
        </w:rPr>
      </w:r>
      <w:r>
        <w:rPr/>
        <w:t>股东权益。</w:t>
      </w:r>
    </w:p>
    <w:p>
      <w:pPr>
        <w:pStyle w:val="BodyText"/>
        <w:spacing w:line="316" w:lineRule="auto" w:before="19"/>
        <w:ind w:right="1129" w:firstLine="420"/>
        <w:jc w:val="both"/>
      </w:pPr>
      <w:r>
        <w:rPr/>
        <w:t>当因处置部分股权投资或其他原因丧失了对原有子公司的控制权时，对于剩余股权，按照其在丧失控制权日的公允价 </w:t>
      </w:r>
      <w:r>
        <w:rPr>
          <w:spacing w:val="-2"/>
        </w:rPr>
        <w:t>值进行重新计量。处置股权取得的对价与剩余股权公允价值之和，减去按原持股比例计算应享有原有子公司自购买日开始持</w:t>
      </w:r>
      <w:r>
        <w:rPr>
          <w:spacing w:val="-64"/>
        </w:rPr>
        <w:t> </w:t>
      </w:r>
      <w:r>
        <w:rPr>
          <w:spacing w:val="-64"/>
        </w:rPr>
      </w:r>
      <w:r>
        <w:rPr>
          <w:spacing w:val="-2"/>
        </w:rPr>
        <w:t>续计算的净资产的份额之间的差额，计入丧失控制权当期的投资收益。与原有子公司股权投资相关的其他综合收益，在丧失</w:t>
      </w:r>
      <w:r>
        <w:rPr>
          <w:spacing w:val="-65"/>
        </w:rPr>
        <w:t> </w:t>
      </w:r>
      <w:r>
        <w:rPr>
          <w:spacing w:val="-65"/>
        </w:rPr>
      </w:r>
      <w:r>
        <w:rPr>
          <w:spacing w:val="-2"/>
        </w:rPr>
        <w:t>控制权时采用与被购买方直接处置相关资产或负债相同的基础进行会计处理（即，除了在该原有子公司重新计量设定受益计</w:t>
      </w:r>
      <w:r>
        <w:rPr>
          <w:spacing w:val="-64"/>
        </w:rPr>
        <w:t> </w:t>
      </w:r>
      <w:r>
        <w:rPr>
          <w:spacing w:val="-64"/>
        </w:rPr>
      </w:r>
      <w:r>
        <w:rPr>
          <w:spacing w:val="-4"/>
        </w:rPr>
        <w:t>划净负债或净资产导致的变动以外，其余一并转为当期投资收益）。其后，对该部分剩余股权按照《企业会计准则第</w:t>
      </w:r>
      <w:r>
        <w:rPr>
          <w:rFonts w:ascii="宋体" w:hAnsi="宋体" w:cs="宋体" w:eastAsia="宋体" w:hint="default"/>
          <w:spacing w:val="-4"/>
        </w:rPr>
        <w:t>2</w:t>
      </w:r>
      <w:r>
        <w:rPr>
          <w:spacing w:val="-4"/>
        </w:rPr>
        <w:t>号——</w:t>
      </w:r>
      <w:r>
        <w:rPr>
          <w:spacing w:val="-43"/>
        </w:rPr>
        <w:t> </w:t>
      </w:r>
      <w:r>
        <w:rPr>
          <w:spacing w:val="-2"/>
        </w:rPr>
        <w:t>长期股权投资》或《企业会计准则第</w:t>
      </w:r>
      <w:r>
        <w:rPr>
          <w:rFonts w:ascii="宋体" w:hAnsi="宋体" w:cs="宋体" w:eastAsia="宋体" w:hint="default"/>
          <w:spacing w:val="-2"/>
        </w:rPr>
        <w:t>22</w:t>
      </w:r>
      <w:r>
        <w:rPr>
          <w:spacing w:val="-2"/>
        </w:rPr>
        <w:t>号——金融工具确认和计量》等相关规定进行后续计量，详见本附注五、</w:t>
      </w:r>
      <w:r>
        <w:rPr>
          <w:rFonts w:ascii="宋体" w:hAnsi="宋体" w:cs="宋体" w:eastAsia="宋体" w:hint="default"/>
          <w:spacing w:val="-2"/>
        </w:rPr>
        <w:t>14</w:t>
      </w:r>
      <w:r>
        <w:rPr>
          <w:spacing w:val="-2"/>
        </w:rPr>
        <w:t>“长期股</w:t>
      </w:r>
      <w:r>
        <w:rPr>
          <w:spacing w:val="-63"/>
        </w:rPr>
        <w:t> </w:t>
      </w:r>
      <w:r>
        <w:rPr/>
        <w:t>权投资”或本附注五、</w:t>
      </w:r>
      <w:r>
        <w:rPr>
          <w:rFonts w:ascii="宋体" w:hAnsi="宋体" w:cs="宋体" w:eastAsia="宋体" w:hint="default"/>
        </w:rPr>
        <w:t>10</w:t>
      </w:r>
      <w:r>
        <w:rPr/>
        <w:t>“金融工具”。</w:t>
      </w:r>
    </w:p>
    <w:p>
      <w:pPr>
        <w:pStyle w:val="BodyText"/>
        <w:spacing w:line="316" w:lineRule="auto" w:before="19"/>
        <w:ind w:right="1032" w:firstLine="420"/>
        <w:jc w:val="left"/>
      </w:pPr>
      <w:r>
        <w:rPr/>
        <w:t>本公司通过多次交易分步处置对子公司股权投资直至丧失控制权的，需区分处置对子公司股权投资直至丧失控制权的 </w:t>
      </w:r>
      <w:r>
        <w:rPr>
          <w:spacing w:val="-2"/>
        </w:rPr>
        <w:t>各项交易是否属于一揽子交易。处置对子公司股权投资的各项交易的条款、条件以及经济影响符合以下一种或多种情况，通</w:t>
      </w:r>
      <w:r>
        <w:rPr>
          <w:spacing w:val="-66"/>
        </w:rPr>
        <w:t> </w:t>
      </w:r>
      <w:r>
        <w:rPr>
          <w:spacing w:val="-66"/>
        </w:rPr>
      </w:r>
      <w:r>
        <w:rPr>
          <w:spacing w:val="-2"/>
        </w:rPr>
        <w:t>常表明应将多次交易事项作为一揽子交易进行会计处理：①这些交易是同时或者在考虑了彼此影响的情况下订立的；②这些</w:t>
      </w:r>
      <w:r>
        <w:rPr>
          <w:spacing w:val="-64"/>
        </w:rPr>
        <w:t> </w:t>
      </w:r>
      <w:r>
        <w:rPr>
          <w:spacing w:val="-64"/>
        </w:rPr>
      </w:r>
      <w:r>
        <w:rPr>
          <w:spacing w:val="-4"/>
        </w:rPr>
        <w:t>交易整体才能达成一项完整的商业结果；③一项交易的发生取决于其他至少一项交易的发生；④一项交易单独看是不经济的，</w:t>
      </w:r>
      <w:r>
        <w:rPr>
          <w:spacing w:val="-44"/>
        </w:rPr>
        <w:t> </w:t>
      </w:r>
      <w:r>
        <w:rPr>
          <w:spacing w:val="-44"/>
        </w:rPr>
      </w:r>
      <w:r>
        <w:rPr>
          <w:spacing w:val="-2"/>
        </w:rPr>
        <w:t>但是和其他交易一并考虑时是经济的。不属于一揽子交易的，对其中的每一项交易视情况分别按照“不丧失控制权的情况下</w:t>
      </w:r>
      <w:r>
        <w:rPr>
          <w:spacing w:val="-65"/>
        </w:rPr>
        <w:t> </w:t>
      </w:r>
      <w:r>
        <w:rPr>
          <w:spacing w:val="-65"/>
        </w:rPr>
      </w:r>
      <w:r>
        <w:rPr/>
        <w:t>部分处置对子公司的长期股权投资”（详见本附注五、</w:t>
      </w:r>
      <w:r>
        <w:rPr>
          <w:rFonts w:ascii="宋体" w:hAnsi="宋体" w:cs="宋体" w:eastAsia="宋体" w:hint="default"/>
        </w:rPr>
        <w:t>14</w:t>
      </w:r>
      <w:r>
        <w:rPr/>
        <w:t>、（</w:t>
      </w:r>
      <w:r>
        <w:rPr>
          <w:rFonts w:ascii="宋体" w:hAnsi="宋体" w:cs="宋体" w:eastAsia="宋体" w:hint="default"/>
        </w:rPr>
        <w:t>2</w:t>
      </w:r>
      <w:r>
        <w:rPr/>
        <w:t>）④）和“因处置部分股权投资或其他原因丧失了对原有子</w:t>
      </w:r>
      <w:r>
        <w:rPr>
          <w:spacing w:val="-83"/>
        </w:rPr>
        <w:t> </w:t>
      </w:r>
      <w:r>
        <w:rPr>
          <w:spacing w:val="-83"/>
        </w:rPr>
      </w:r>
      <w:r>
        <w:rPr>
          <w:spacing w:val="-2"/>
        </w:rPr>
        <w:t>公司的控制权”（详见前段）适用的原则进行会计处理。处置对子公司股权投资直至丧失控制权的各项交易属于一揽子交易</w:t>
      </w:r>
      <w:r>
        <w:rPr>
          <w:spacing w:val="-65"/>
        </w:rPr>
        <w:t> </w:t>
      </w:r>
      <w:r>
        <w:rPr>
          <w:spacing w:val="-65"/>
        </w:rPr>
      </w:r>
      <w:r>
        <w:rPr>
          <w:spacing w:val="-2"/>
        </w:rPr>
        <w:t>的，将各项交易作为一项处置子公司并丧失控制权的交易进行会计处理；但是，在丧失控制权之前每一次处置价款与处置投</w:t>
      </w:r>
      <w:r>
        <w:rPr>
          <w:spacing w:val="-66"/>
        </w:rPr>
        <w:t> </w:t>
      </w:r>
      <w:r>
        <w:rPr>
          <w:spacing w:val="-66"/>
        </w:rPr>
      </w:r>
      <w:r>
        <w:rPr>
          <w:spacing w:val="-2"/>
        </w:rPr>
        <w:t>资对应的享有该子公司净资产份额的差额，在合并财务报表中确认为其他综合收益，在丧失控制权时一并转入丧失控制权当</w:t>
      </w:r>
      <w:r>
        <w:rPr>
          <w:spacing w:val="-64"/>
        </w:rPr>
        <w:t> </w:t>
      </w:r>
      <w:r>
        <w:rPr>
          <w:spacing w:val="-64"/>
        </w:rPr>
      </w:r>
      <w:r>
        <w:rPr/>
        <w:t>期的损益。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7、合营安排分类及共同经营会计处理方法" w:id="174"/>
      <w:bookmarkEnd w:id="174"/>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3" w:firstLine="420"/>
        <w:jc w:val="both"/>
      </w:pPr>
      <w:r>
        <w:rPr>
          <w:spacing w:val="-2"/>
        </w:rPr>
        <w:t>合营安排，是指一项由两个或两个以上的参与方共同控制的安排。本公司根据在合营安排中享有的权利和承担的义务，</w:t>
      </w:r>
      <w:r>
        <w:rPr/>
        <w:t> </w:t>
      </w:r>
      <w:r>
        <w:rPr>
          <w:spacing w:val="-2"/>
        </w:rPr>
        <w:t>将合营安排分为共同经营和合营企业。共同经营，是指本公司享有该安排相关资产且承担该安排相关负债的合营安排。合营</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74" w:right="1115" w:hanging="420"/>
        <w:jc w:val="left"/>
      </w:pPr>
      <w:r>
        <w:rPr/>
        <w:t>企业，是指本公司仅对该安排的净资产享有权利的合营安排。 </w:t>
      </w:r>
      <w:r>
        <w:rPr>
          <w:spacing w:val="-1"/>
        </w:rPr>
        <w:t>本公司对合营企业的投资采用权益法核算，按照本附注五、</w:t>
      </w:r>
      <w:r>
        <w:rPr>
          <w:rFonts w:ascii="宋体" w:hAnsi="宋体" w:cs="宋体" w:eastAsia="宋体" w:hint="default"/>
          <w:spacing w:val="-1"/>
        </w:rPr>
        <w:t>14</w:t>
      </w:r>
      <w:r>
        <w:rPr>
          <w:spacing w:val="-1"/>
        </w:rPr>
        <w:t>（</w:t>
      </w:r>
      <w:r>
        <w:rPr>
          <w:rFonts w:ascii="宋体" w:hAnsi="宋体" w:cs="宋体" w:eastAsia="宋体" w:hint="default"/>
          <w:spacing w:val="-1"/>
        </w:rPr>
        <w:t>2</w:t>
      </w:r>
      <w:r>
        <w:rPr>
          <w:spacing w:val="-1"/>
        </w:rPr>
        <w:t>）②“权益法核算的长期股权投资”中所述的会计政</w:t>
      </w:r>
    </w:p>
    <w:p>
      <w:pPr>
        <w:pStyle w:val="BodyText"/>
        <w:spacing w:line="240" w:lineRule="auto" w:before="19"/>
        <w:ind w:right="0"/>
        <w:jc w:val="left"/>
      </w:pPr>
      <w:r>
        <w:rPr/>
        <w:t>策处理。</w:t>
      </w:r>
    </w:p>
    <w:p>
      <w:pPr>
        <w:pStyle w:val="BodyText"/>
        <w:spacing w:line="319" w:lineRule="auto" w:before="76"/>
        <w:ind w:right="1132" w:firstLine="420"/>
        <w:jc w:val="both"/>
      </w:pPr>
      <w:r>
        <w:rPr/>
        <w:t>本公司作为合营方对共同经营，确认本公司单独持有的资产、单独所承担的负债，以及按本公司份额确认共同持有的 </w:t>
      </w:r>
      <w:r>
        <w:rPr>
          <w:spacing w:val="-2"/>
        </w:rPr>
        <w:t>资产和共同承担的负债；确认出售本公司享有的共同经营产出份额所产生的收入；按本公司份额确认共同经营因出售产出所</w:t>
      </w:r>
      <w:r>
        <w:rPr>
          <w:spacing w:val="-64"/>
        </w:rPr>
        <w:t> </w:t>
      </w:r>
      <w:r>
        <w:rPr>
          <w:spacing w:val="-64"/>
        </w:rPr>
      </w:r>
      <w:r>
        <w:rPr/>
        <w:t>产生的收入；确认本公司单独所发生的费用，以及按本公司份额确认共同经营发生的费用。</w:t>
      </w:r>
    </w:p>
    <w:p>
      <w:pPr>
        <w:pStyle w:val="BodyText"/>
        <w:spacing w:line="316" w:lineRule="auto" w:before="17"/>
        <w:ind w:right="1131" w:firstLine="420"/>
        <w:jc w:val="both"/>
      </w:pPr>
      <w:r>
        <w:rPr/>
        <w:t>当本公司作为合营方向共同经营投出或出售资产（该资产不构成业务，下同）、或者自共同经营购买资产时，在该等 </w:t>
      </w:r>
      <w:r>
        <w:rPr>
          <w:spacing w:val="-2"/>
        </w:rPr>
        <w:t>资产出售给第三方之前，本公司仅确认因该交易产生的损益中归属于共同经营其他参与方的部分。该等资产发生符合《企业</w:t>
      </w:r>
      <w:r>
        <w:rPr>
          <w:spacing w:val="-66"/>
        </w:rPr>
        <w:t> </w:t>
      </w:r>
      <w:r>
        <w:rPr>
          <w:spacing w:val="-66"/>
        </w:rPr>
      </w:r>
      <w:r>
        <w:rPr/>
        <w:t>会计准则第</w:t>
      </w:r>
      <w:r>
        <w:rPr>
          <w:rFonts w:ascii="宋体" w:hAnsi="宋体" w:cs="宋体" w:eastAsia="宋体" w:hint="default"/>
        </w:rPr>
        <w:t>8</w:t>
      </w:r>
      <w:r>
        <w:rPr/>
        <w:t>号——资产减值》等规定的资产减值损失的，对于由本公司向共同经营投出或出售资产的情况，本公司全额确</w:t>
      </w:r>
      <w:r>
        <w:rPr>
          <w:spacing w:val="-83"/>
        </w:rPr>
        <w:t> </w:t>
      </w:r>
      <w:r>
        <w:rPr>
          <w:spacing w:val="-83"/>
        </w:rPr>
      </w:r>
      <w:r>
        <w:rPr/>
        <w:t>认该损失；对于本公司自共同经营购买资产的情况，本公司按承担的份额确认该损失。</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8、现金及现金等价物的确定标准" w:id="175"/>
      <w:bookmarkEnd w:id="17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20"/>
        <w:jc w:val="both"/>
      </w:pPr>
      <w:r>
        <w:rPr/>
        <w:t>本公司现金及现金等价物包括库存现金、可以随时用于支付的存款以及本公司持有的期限短（一般为从购买日起三个 月内到期）、流动性强、易于转换为已知金额现金、价值变动风险很小的投资。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9、外币业务和外币报表折算" w:id="176"/>
      <w:bookmarkEnd w:id="17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4" w:right="0"/>
        <w:jc w:val="left"/>
      </w:pPr>
      <w:r>
        <w:rPr/>
        <w:t>（</w:t>
      </w:r>
      <w:r>
        <w:rPr>
          <w:rFonts w:ascii="宋体" w:hAnsi="宋体" w:cs="宋体" w:eastAsia="宋体" w:hint="default"/>
        </w:rPr>
        <w:t>1</w:t>
      </w:r>
      <w:r>
        <w:rPr/>
        <w:t>）发生外币交易时折算汇率的确定方法 本公司发生的外币交易在初始确认时，按交易日的（通常指中国人民银行公布的当日外汇牌价的中间价，下同）折算</w:t>
      </w:r>
    </w:p>
    <w:p>
      <w:pPr>
        <w:pStyle w:val="BodyText"/>
        <w:spacing w:line="240" w:lineRule="auto" w:before="19"/>
        <w:ind w:right="0"/>
        <w:jc w:val="left"/>
      </w:pPr>
      <w:r>
        <w:rPr/>
        <w:t>为记账本位币金额。</w:t>
      </w:r>
    </w:p>
    <w:p>
      <w:pPr>
        <w:pStyle w:val="BodyText"/>
        <w:spacing w:line="319" w:lineRule="auto" w:before="76"/>
        <w:ind w:left="574" w:right="0"/>
        <w:jc w:val="left"/>
      </w:pPr>
      <w:r>
        <w:rPr/>
        <w:t>（</w:t>
      </w:r>
      <w:r>
        <w:rPr>
          <w:rFonts w:ascii="宋体" w:hAnsi="宋体" w:cs="宋体" w:eastAsia="宋体" w:hint="default"/>
        </w:rPr>
        <w:t>2</w:t>
      </w:r>
      <w:r>
        <w:rPr/>
        <w:t>）对于外币货币性项目和外币非货币性项目的折算方法 外币货币性项目，采用资产负债表日即期汇率折算。因资产负债表日即期汇率与初始确认时或者前一资产负债表日即</w:t>
      </w:r>
    </w:p>
    <w:p>
      <w:pPr>
        <w:pStyle w:val="BodyText"/>
        <w:spacing w:line="316" w:lineRule="auto" w:before="17"/>
        <w:ind w:right="1050"/>
        <w:jc w:val="both"/>
      </w:pPr>
      <w:r>
        <w:rPr>
          <w:spacing w:val="-2"/>
        </w:rPr>
        <w:t>期汇率不同而产生的汇兑差额，除了按照《企业会计准则第</w:t>
      </w:r>
      <w:r>
        <w:rPr>
          <w:rFonts w:ascii="宋体" w:hAnsi="宋体" w:cs="宋体" w:eastAsia="宋体" w:hint="default"/>
          <w:spacing w:val="-2"/>
        </w:rPr>
        <w:t>17</w:t>
      </w:r>
      <w:r>
        <w:rPr>
          <w:spacing w:val="-2"/>
        </w:rPr>
        <w:t>号——借款费用》的规定，与购建或生产符合资本化条件的资</w:t>
      </w:r>
      <w:r>
        <w:rPr>
          <w:spacing w:val="-64"/>
        </w:rPr>
        <w:t> </w:t>
      </w:r>
      <w:r>
        <w:rPr>
          <w:spacing w:val="-64"/>
        </w:rPr>
      </w:r>
      <w:r>
        <w:rPr>
          <w:spacing w:val="-2"/>
        </w:rPr>
        <w:t>产相关的外币借款产生的汇兑差额予以资本化外，计入当期损益。以历史成本计量的外币非货币性项目，仍采用交易发生日</w:t>
      </w:r>
      <w:r>
        <w:rPr>
          <w:spacing w:val="-66"/>
        </w:rPr>
        <w:t> </w:t>
      </w:r>
      <w:r>
        <w:rPr>
          <w:spacing w:val="-66"/>
        </w:rPr>
      </w:r>
      <w:r>
        <w:rPr>
          <w:spacing w:val="-2"/>
        </w:rPr>
        <w:t>的即期汇率折算，不改变其记账本位币金额。以公允价值计量的股票、基金等外币非货币性项目，采用公允价值确定日的即</w:t>
      </w:r>
      <w:r>
        <w:rPr>
          <w:spacing w:val="-66"/>
        </w:rPr>
        <w:t> </w:t>
      </w:r>
      <w:r>
        <w:rPr>
          <w:spacing w:val="-66"/>
        </w:rPr>
      </w:r>
      <w:r>
        <w:rPr/>
        <w:t>期汇率折算，折算后记账本位币金额与原记账本位币金额的差额，作为公允价值变动（含汇率变动）处理，计入当期损益。</w:t>
      </w:r>
    </w:p>
    <w:p>
      <w:pPr>
        <w:pStyle w:val="BodyText"/>
        <w:spacing w:line="316" w:lineRule="auto" w:before="19"/>
        <w:ind w:left="574" w:right="3672"/>
        <w:jc w:val="left"/>
      </w:pPr>
      <w:r>
        <w:rPr/>
        <w:t>（</w:t>
      </w:r>
      <w:r>
        <w:rPr>
          <w:rFonts w:ascii="宋体" w:hAnsi="宋体" w:cs="宋体" w:eastAsia="宋体" w:hint="default"/>
        </w:rPr>
        <w:t>3</w:t>
      </w:r>
      <w:r>
        <w:rPr/>
        <w:t>）外币财务报表的折算方法 本公司按照以下规定，将以外币表示的财务报表折算为人民币金额表示的财务报表。</w:t>
      </w:r>
    </w:p>
    <w:p>
      <w:pPr>
        <w:pStyle w:val="BodyText"/>
        <w:spacing w:line="316" w:lineRule="auto" w:before="19"/>
        <w:ind w:right="1128" w:firstLine="420"/>
        <w:jc w:val="both"/>
      </w:pPr>
      <w:r>
        <w:rPr/>
        <w:t>资产负债表中的资产和负债项目，采用资产负债表日的即期汇率折算；所有者权益类项目除“未分配利润”项目外， </w:t>
      </w:r>
      <w:r>
        <w:rPr>
          <w:spacing w:val="-2"/>
        </w:rPr>
        <w:t>其他项目采用发生时的即期汇率折算。利润表中的收入和费用项目，采用交易发生日的即期汇率折算。按照上述方法折算产</w:t>
      </w:r>
      <w:r>
        <w:rPr>
          <w:spacing w:val="-66"/>
        </w:rPr>
        <w:t> </w:t>
      </w:r>
      <w:r>
        <w:rPr>
          <w:spacing w:val="-66"/>
        </w:rPr>
      </w:r>
      <w:r>
        <w:rPr>
          <w:spacing w:val="-2"/>
        </w:rPr>
        <w:t>生的外币财务报表折算差额，在资产负债表中所有者权益项目“其他综合收益”中单独列示。以外币表示的现金流量表采用</w:t>
      </w:r>
      <w:r>
        <w:rPr>
          <w:spacing w:val="-65"/>
        </w:rPr>
        <w:t> </w:t>
      </w:r>
      <w:r>
        <w:rPr>
          <w:spacing w:val="-65"/>
        </w:rPr>
      </w:r>
      <w:r>
        <w:rPr/>
        <w:t>现金流量发生日的即期汇率折算。汇率变动对现金的影响额作为调节项目，在现金流量表中单独列报。</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0、金融工具" w:id="177"/>
      <w:bookmarkEnd w:id="17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8" w:firstLine="420"/>
        <w:jc w:val="both"/>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19" w:lineRule="auto" w:before="19"/>
        <w:ind w:left="574" w:right="0"/>
        <w:jc w:val="left"/>
      </w:pPr>
      <w:r>
        <w:rPr/>
        <w:t>（</w:t>
      </w:r>
      <w:r>
        <w:rPr>
          <w:rFonts w:ascii="宋体" w:hAnsi="宋体" w:cs="宋体" w:eastAsia="宋体" w:hint="default"/>
        </w:rPr>
        <w:t>1</w:t>
      </w:r>
      <w:r>
        <w:rPr/>
        <w:t>）金融资产和金融负债的公允价值确定方法 公允价值，是指市场参与者在计量日发生的有序交易中，出售一项资产所能收到或者转移一项负债所需支付的价格。</w:t>
      </w:r>
    </w:p>
    <w:p>
      <w:pPr>
        <w:pStyle w:val="BodyText"/>
        <w:spacing w:line="316" w:lineRule="auto" w:before="17"/>
        <w:ind w:right="0"/>
        <w:jc w:val="left"/>
      </w:pPr>
      <w:r>
        <w:rPr>
          <w:spacing w:val="-2"/>
        </w:rPr>
        <w:t>金融工具存在活跃市场的，本公司采用活跃市场中的报价确定其公允价值。活跃市场中的报价是指易于定期从交易所、经纪</w:t>
      </w:r>
      <w:r>
        <w:rPr>
          <w:spacing w:val="-66"/>
        </w:rPr>
        <w:t> </w:t>
      </w:r>
      <w:r>
        <w:rPr>
          <w:spacing w:val="-66"/>
        </w:rPr>
      </w:r>
      <w:r>
        <w:rPr>
          <w:spacing w:val="-2"/>
        </w:rPr>
        <w:t>商、行业协会、定价服务机构等获得的价格，且代表了在公平交易中实际发生的市场交易的价格。金融工具不存在活跃市场</w:t>
      </w:r>
      <w:r>
        <w:rPr>
          <w:spacing w:val="-66"/>
        </w:rPr>
        <w:t> </w:t>
      </w:r>
      <w:r>
        <w:rPr>
          <w:spacing w:val="-66"/>
        </w:rPr>
      </w:r>
      <w:r>
        <w:rPr>
          <w:spacing w:val="-4"/>
        </w:rPr>
        <w:t>的，本公司采用估值技术确定其公允价值。估值技术包括参考熟悉情况并自愿交易的各方最近进行的市场交易中使用的价格、</w:t>
      </w:r>
      <w:r>
        <w:rPr>
          <w:spacing w:val="-44"/>
        </w:rPr>
        <w:t> </w:t>
      </w:r>
      <w:r>
        <w:rPr>
          <w:spacing w:val="-44"/>
        </w:rPr>
      </w:r>
      <w:r>
        <w:rPr/>
        <w:t>参照实质上相同的其他金融工具当前的公允价值、现金流量折现法和期权定价模型等。</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74" w:right="0"/>
        <w:jc w:val="left"/>
      </w:pPr>
      <w:r>
        <w:rPr/>
        <w:t>（</w:t>
      </w:r>
      <w:r>
        <w:rPr>
          <w:rFonts w:ascii="宋体" w:hAnsi="宋体" w:cs="宋体" w:eastAsia="宋体" w:hint="default"/>
        </w:rPr>
        <w:t>2</w:t>
      </w:r>
      <w:r>
        <w:rPr/>
        <w:t>）金融资产的分类、确认和计量 以常规方式买卖金融资产，按交易日进行会计确认和终止确认。金融资产在初始确认时划分为以公允价值计量且其变</w:t>
      </w:r>
    </w:p>
    <w:p>
      <w:pPr>
        <w:pStyle w:val="BodyText"/>
        <w:spacing w:line="240" w:lineRule="auto" w:before="19"/>
        <w:ind w:right="0"/>
        <w:jc w:val="left"/>
      </w:pPr>
      <w:r>
        <w:rPr/>
        <w:t>动计入当期损益的金融资产、持有至到期投资、贷款和应收款项以及可供出售金融资产。</w:t>
      </w:r>
    </w:p>
    <w:p>
      <w:pPr>
        <w:pStyle w:val="BodyText"/>
        <w:spacing w:line="319" w:lineRule="auto" w:before="76"/>
        <w:ind w:left="574" w:right="0"/>
        <w:jc w:val="left"/>
      </w:pPr>
      <w:r>
        <w:rPr/>
        <w:t>①以公允价值计量且其变动计入当期损益的金融资产 包括交易性金融资产和指定为以公允价值计量且其变动计入当期损益的金融资产。 交易性金融资产是指满足下列条件之一的金融资产：</w:t>
      </w:r>
      <w:r>
        <w:rPr>
          <w:rFonts w:ascii="宋体" w:hAnsi="宋体" w:cs="宋体" w:eastAsia="宋体" w:hint="default"/>
        </w:rPr>
        <w:t>A.</w:t>
      </w:r>
      <w:r>
        <w:rPr/>
        <w:t>取得该金融资产的目的，主要是为了近期内出售；</w:t>
      </w:r>
      <w:r>
        <w:rPr>
          <w:rFonts w:ascii="宋体" w:hAnsi="宋体" w:cs="宋体" w:eastAsia="宋体" w:hint="default"/>
        </w:rPr>
        <w:t>B.</w:t>
      </w:r>
      <w:r>
        <w:rPr/>
        <w:t>属于进行</w:t>
      </w:r>
    </w:p>
    <w:p>
      <w:pPr>
        <w:pStyle w:val="BodyText"/>
        <w:spacing w:line="316" w:lineRule="auto" w:before="17"/>
        <w:ind w:right="1130"/>
        <w:jc w:val="both"/>
      </w:pPr>
      <w:r>
        <w:rPr>
          <w:spacing w:val="-2"/>
        </w:rPr>
        <w:t>集中管理的可辨认金融工具组合的一部分，且有客观证据表明本公司近期采用短期获利方式对该组合进行管理；</w:t>
      </w:r>
      <w:r>
        <w:rPr>
          <w:rFonts w:ascii="宋体" w:hAnsi="宋体" w:cs="宋体" w:eastAsia="宋体" w:hint="default"/>
          <w:spacing w:val="-2"/>
        </w:rPr>
        <w:t>C.</w:t>
      </w:r>
      <w:r>
        <w:rPr>
          <w:spacing w:val="-2"/>
        </w:rPr>
        <w:t>属于衍生</w:t>
      </w:r>
      <w:r>
        <w:rPr>
          <w:spacing w:val="-61"/>
        </w:rPr>
        <w:t> </w:t>
      </w:r>
      <w:r>
        <w:rPr>
          <w:spacing w:val="-2"/>
        </w:rPr>
        <w:t>工具，但是，被指定且为有效套期工具的衍生工具、属于财务担保合同的衍生工具、与在活跃市场中没有报价且其公允价值</w:t>
      </w:r>
      <w:r>
        <w:rPr>
          <w:spacing w:val="-66"/>
        </w:rPr>
        <w:t> </w:t>
      </w:r>
      <w:r>
        <w:rPr>
          <w:spacing w:val="-66"/>
        </w:rPr>
      </w:r>
      <w:r>
        <w:rPr/>
        <w:t>不能可靠计量的权益工具投资挂钩并须通过交付该权益工具结算的衍生工具除外。</w:t>
      </w:r>
    </w:p>
    <w:p>
      <w:pPr>
        <w:pStyle w:val="BodyText"/>
        <w:spacing w:line="316" w:lineRule="auto" w:before="19"/>
        <w:ind w:right="1127" w:firstLine="420"/>
        <w:jc w:val="both"/>
      </w:pPr>
      <w:r>
        <w:rPr/>
        <w:t>符合下述条件之一的金融资产，在初始确认时可指定为以公允价值计量且其变动计入当期损益的金融资产：</w:t>
      </w:r>
      <w:r>
        <w:rPr>
          <w:rFonts w:ascii="宋体" w:hAnsi="宋体" w:cs="宋体" w:eastAsia="宋体" w:hint="default"/>
        </w:rPr>
        <w:t>A.</w:t>
      </w:r>
      <w:r>
        <w:rPr/>
        <w:t>该指定</w:t>
      </w:r>
      <w:r>
        <w:rPr>
          <w:spacing w:val="1"/>
        </w:rPr>
        <w:t> </w:t>
      </w:r>
      <w:r>
        <w:rPr>
          <w:spacing w:val="-2"/>
        </w:rPr>
        <w:t>可以消除或明显减少由于该金融资产的计量基础不同所导致的相关利得或损失在确认或计量方面不一致的情况；</w:t>
      </w:r>
      <w:r>
        <w:rPr>
          <w:rFonts w:ascii="宋体" w:hAnsi="宋体" w:cs="宋体" w:eastAsia="宋体" w:hint="default"/>
          <w:spacing w:val="-2"/>
        </w:rPr>
        <w:t>B.</w:t>
      </w:r>
      <w:r>
        <w:rPr>
          <w:spacing w:val="-2"/>
        </w:rPr>
        <w:t>本公司风</w:t>
      </w:r>
      <w:r>
        <w:rPr>
          <w:spacing w:val="-61"/>
        </w:rPr>
        <w:t> </w:t>
      </w:r>
      <w:r>
        <w:rPr>
          <w:spacing w:val="-2"/>
        </w:rPr>
        <w:t>险管理或投资策略的正式书面文件已载明，对该金融资产所在的金融资产组合或金融资产和金融负债组合以公允价值为基础</w:t>
      </w:r>
      <w:r>
        <w:rPr>
          <w:spacing w:val="-64"/>
        </w:rPr>
        <w:t> </w:t>
      </w:r>
      <w:r>
        <w:rPr>
          <w:spacing w:val="-64"/>
        </w:rPr>
      </w:r>
      <w:r>
        <w:rPr/>
        <w:t>进行管理、评价并向关键管理人员报告。</w:t>
      </w:r>
    </w:p>
    <w:p>
      <w:pPr>
        <w:pStyle w:val="BodyText"/>
        <w:spacing w:line="316" w:lineRule="auto" w:before="19"/>
        <w:ind w:right="1133" w:firstLine="420"/>
        <w:jc w:val="both"/>
      </w:pPr>
      <w:r>
        <w:rPr/>
        <w:t>以公允价值计量且其变动计入当期损益的金融资产采用公允价值进行后续计量，公允价值变动形成的利得或损失以及 与该等金融资产相关的股利和利息收入计入当期损益。</w:t>
      </w:r>
    </w:p>
    <w:p>
      <w:pPr>
        <w:pStyle w:val="BodyText"/>
        <w:spacing w:line="316" w:lineRule="auto" w:before="19"/>
        <w:ind w:left="574" w:right="1118"/>
        <w:jc w:val="left"/>
      </w:pPr>
      <w:r>
        <w:rPr/>
        <w:t>②持有至到期投资 是指到期日固定、回收金额固定或可确定，且本公司有明确意图和能力持有至到期的非衍生金融资产。 持有至到期投资采用实际利率法，按摊余成本进行后续计量，在终止确认、发生减值或摊销时产生的利得或损失，计</w:t>
      </w:r>
    </w:p>
    <w:p>
      <w:pPr>
        <w:pStyle w:val="BodyText"/>
        <w:spacing w:line="240" w:lineRule="auto" w:before="19"/>
        <w:ind w:right="0"/>
        <w:jc w:val="left"/>
      </w:pPr>
      <w:r>
        <w:rPr/>
        <w:t>入当期损益。</w:t>
      </w:r>
    </w:p>
    <w:p>
      <w:pPr>
        <w:pStyle w:val="BodyText"/>
        <w:spacing w:line="316" w:lineRule="auto" w:before="76"/>
        <w:ind w:right="1132" w:firstLine="420"/>
        <w:jc w:val="both"/>
      </w:pPr>
      <w:r>
        <w:rPr/>
        <w:t>实际利率法是指按照金融资产或金融负债（含一组金融资产或金融负债）的实际利率计算其摊余成本及各期利息收入 </w:t>
      </w:r>
      <w:r>
        <w:rPr>
          <w:spacing w:val="-2"/>
        </w:rPr>
        <w:t>或支出的方法。实际利率是指将金融资产或金融负债在预期存续期间或适用的更短期间内的未来现金流量，折现为该金融资</w:t>
      </w:r>
      <w:r>
        <w:rPr>
          <w:spacing w:val="-64"/>
        </w:rPr>
        <w:t> </w:t>
      </w:r>
      <w:r>
        <w:rPr>
          <w:spacing w:val="-64"/>
        </w:rPr>
      </w:r>
      <w:r>
        <w:rPr/>
        <w:t>产或金融负债当前账面价值所使用的利率。</w:t>
      </w:r>
    </w:p>
    <w:p>
      <w:pPr>
        <w:pStyle w:val="BodyText"/>
        <w:spacing w:line="316" w:lineRule="auto" w:before="19"/>
        <w:ind w:right="1131" w:firstLine="420"/>
        <w:jc w:val="both"/>
      </w:pPr>
      <w:r>
        <w:rPr/>
        <w:t>在计算实际利率时，本公司将在考虑金融资产或金融负债所有合同条款的基础上预计未来现金流量（不考虑未来的信 </w:t>
      </w:r>
      <w:r>
        <w:rPr>
          <w:spacing w:val="-2"/>
        </w:rPr>
        <w:t>用损失），同时还将考虑金融资产或金融负债合同各方之间支付或收取的、属于实际利率组成部分的各项收费、交易费用及</w:t>
      </w:r>
      <w:r>
        <w:rPr>
          <w:spacing w:val="-66"/>
        </w:rPr>
        <w:t> </w:t>
      </w:r>
      <w:r>
        <w:rPr>
          <w:spacing w:val="-66"/>
        </w:rPr>
      </w:r>
      <w:r>
        <w:rPr/>
        <w:t>折价或溢价等。</w:t>
      </w:r>
    </w:p>
    <w:p>
      <w:pPr>
        <w:pStyle w:val="BodyText"/>
        <w:spacing w:line="316" w:lineRule="auto" w:before="19"/>
        <w:ind w:left="574" w:right="0"/>
        <w:jc w:val="left"/>
      </w:pPr>
      <w:r>
        <w:rPr/>
        <w:t>③贷款和应收款项 是指在活跃市场中没有报价、回收金额固定或可确定的非衍生金融资产。本公司划分为贷款和应收款的金融资产包括</w:t>
      </w:r>
    </w:p>
    <w:p>
      <w:pPr>
        <w:pStyle w:val="BodyText"/>
        <w:spacing w:line="316" w:lineRule="auto" w:before="19"/>
        <w:ind w:left="574" w:right="0" w:hanging="420"/>
        <w:jc w:val="left"/>
      </w:pPr>
      <w:r>
        <w:rPr/>
        <w:t>应收票据、应收账款、应收利息、应收股利及其他应收款等。 贷款和应收款项采用实际利率法，按摊余成本进行后续计量，在终止确认、发生减值或摊销时产生的利得或损失，计</w:t>
      </w:r>
    </w:p>
    <w:p>
      <w:pPr>
        <w:pStyle w:val="BodyText"/>
        <w:spacing w:line="240" w:lineRule="auto" w:before="19"/>
        <w:ind w:right="0"/>
        <w:jc w:val="left"/>
      </w:pPr>
      <w:r>
        <w:rPr/>
        <w:t>入当期损益。</w:t>
      </w:r>
    </w:p>
    <w:p>
      <w:pPr>
        <w:pStyle w:val="BodyText"/>
        <w:spacing w:line="316" w:lineRule="auto" w:before="76"/>
        <w:ind w:left="574" w:right="1024"/>
        <w:jc w:val="left"/>
      </w:pPr>
      <w:r>
        <w:rPr/>
        <w:t>④可供出售金融资产 </w:t>
      </w:r>
      <w:r>
        <w:rPr>
          <w:spacing w:val="-1"/>
        </w:rPr>
        <w:t>包括初始确认时即被指定为可供出售的非衍生金融资产，以及除了以公允价值计量且其变动计入当期损益的金融资产、</w:t>
      </w:r>
    </w:p>
    <w:p>
      <w:pPr>
        <w:pStyle w:val="BodyText"/>
        <w:spacing w:line="316" w:lineRule="auto" w:before="19"/>
        <w:ind w:left="574" w:right="0" w:hanging="420"/>
        <w:jc w:val="left"/>
      </w:pPr>
      <w:r>
        <w:rPr/>
        <w:t>贷款和应收款项、持有至到期投资以外的金融资产。 可供出售债务工具投资的期末成本按照摊余成本法确定，即初始确认金额扣除已偿还的本金，加上或减去采用实际利</w:t>
      </w:r>
    </w:p>
    <w:p>
      <w:pPr>
        <w:pStyle w:val="BodyText"/>
        <w:spacing w:line="316" w:lineRule="auto" w:before="19"/>
        <w:ind w:right="0"/>
        <w:jc w:val="left"/>
      </w:pP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pStyle w:val="BodyText"/>
        <w:spacing w:line="316" w:lineRule="auto" w:before="19"/>
        <w:ind w:right="1032" w:firstLine="420"/>
        <w:jc w:val="left"/>
      </w:pPr>
      <w:r>
        <w:rPr/>
        <w:t>可供出售金融资产采用公允价值进行后续计量，公允价值变动形成的利得或损失，除减值损失和外币货币性金融资产 与摊余成本相关的汇兑差额计入当期损益外，确认为其他综合收益，在该金融资产终止确认时转出，计入当期损益。但是， </w:t>
      </w: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衍生金融资产，按照成本进行后续计量。</w:t>
      </w:r>
    </w:p>
    <w:p>
      <w:pPr>
        <w:pStyle w:val="BodyText"/>
        <w:spacing w:line="240" w:lineRule="auto" w:before="19"/>
        <w:ind w:left="574" w:right="0"/>
        <w:jc w:val="left"/>
      </w:pPr>
      <w:r>
        <w:rPr/>
        <w:t>可供出售金融资产持有期间取得的利息及被投资单位宣告发放的现金股利，计入投资收益。</w:t>
      </w:r>
    </w:p>
    <w:p>
      <w:pPr>
        <w:pStyle w:val="BodyText"/>
        <w:spacing w:line="316" w:lineRule="auto" w:before="76"/>
        <w:ind w:left="574" w:right="0"/>
        <w:jc w:val="left"/>
      </w:pPr>
      <w:r>
        <w:rPr/>
        <w:t>（</w:t>
      </w:r>
      <w:r>
        <w:rPr>
          <w:rFonts w:ascii="宋体" w:hAnsi="宋体" w:cs="宋体" w:eastAsia="宋体" w:hint="default"/>
        </w:rPr>
        <w:t>3</w:t>
      </w:r>
      <w:r>
        <w:rPr/>
        <w:t>）金融资产减值 除了以公允价值计量且其变动计入当期损益的金融资产外，本公司在每个资产负债表日对其他金融资产的账面价值进</w:t>
      </w:r>
    </w:p>
    <w:p>
      <w:pPr>
        <w:pStyle w:val="BodyText"/>
        <w:spacing w:line="240" w:lineRule="auto" w:before="19"/>
        <w:ind w:right="0"/>
        <w:jc w:val="left"/>
      </w:pPr>
      <w:r>
        <w:rPr/>
        <w:t>行检查，有客观证据表明金融资产发生减值的，计提减值准备。</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8" w:firstLine="420"/>
        <w:jc w:val="both"/>
      </w:pPr>
      <w:r>
        <w:rPr/>
        <w:t>本公司对单项金额重大的金融资产单独进行减值测试；对单项金额不重大的金融资产，单独进行减值测试或包括在具 </w:t>
      </w:r>
      <w:r>
        <w:rPr>
          <w:spacing w:val="-2"/>
        </w:rPr>
        <w:t>有类似信用风险特征的金融资产组合中进行减值测试。单独测试未发生减值的金融资产（包括单项金额重大和不重大的金融</w:t>
      </w:r>
      <w:r>
        <w:rPr>
          <w:spacing w:val="-64"/>
        </w:rPr>
        <w:t> </w:t>
      </w:r>
      <w:r>
        <w:rPr>
          <w:spacing w:val="-64"/>
        </w:rPr>
      </w:r>
      <w:r>
        <w:rPr>
          <w:spacing w:val="-2"/>
        </w:rPr>
        <w:t>资产），包括在具有类似信用风险特征的金融资产组合中再进行减值测试。已单项确认减值损失的金融资产，不包括在具有</w:t>
      </w:r>
      <w:r>
        <w:rPr>
          <w:spacing w:val="-66"/>
        </w:rPr>
        <w:t> </w:t>
      </w:r>
      <w:r>
        <w:rPr>
          <w:spacing w:val="-66"/>
        </w:rPr>
      </w:r>
      <w:r>
        <w:rPr/>
        <w:t>类似信用风险特征的金融资产组合中进行减值测试。</w:t>
      </w:r>
    </w:p>
    <w:p>
      <w:pPr>
        <w:pStyle w:val="BodyText"/>
        <w:spacing w:line="316" w:lineRule="auto" w:before="19"/>
        <w:ind w:left="574" w:right="0"/>
        <w:jc w:val="left"/>
      </w:pPr>
      <w:r>
        <w:rPr/>
        <w:t>①持有至到期投资、贷款和应收款项减值 以成本或摊余成本计量的金融资产将其账面价值减记至预计未来现金流量现值，减记金额确认为减值损失，计入当期</w:t>
      </w:r>
    </w:p>
    <w:p>
      <w:pPr>
        <w:pStyle w:val="BodyText"/>
        <w:spacing w:line="316" w:lineRule="auto" w:before="19"/>
        <w:ind w:right="1032"/>
        <w:jc w:val="left"/>
      </w:pPr>
      <w:r>
        <w:rPr/>
        <w:t>损益。金融资产在确认减值损失后，如有客观证据表明该金融资产价值已恢复，且客观上与确认该损失后发生的事项有关， </w:t>
      </w:r>
      <w:r>
        <w:rPr>
          <w:spacing w:val="-2"/>
        </w:rPr>
        <w:t>原确认的减值损失予以转回，金融资产转回减值损失后的账面价值不超过假定不计提减值准备情况下该金融资产在转回日的</w:t>
      </w:r>
      <w:r>
        <w:rPr>
          <w:spacing w:val="-64"/>
        </w:rPr>
        <w:t> </w:t>
      </w:r>
      <w:r>
        <w:rPr>
          <w:spacing w:val="-64"/>
        </w:rPr>
      </w:r>
      <w:r>
        <w:rPr/>
        <w:t>摊余成本。</w:t>
      </w:r>
    </w:p>
    <w:p>
      <w:pPr>
        <w:pStyle w:val="BodyText"/>
        <w:spacing w:line="316" w:lineRule="auto" w:before="19"/>
        <w:ind w:left="574" w:right="0"/>
        <w:jc w:val="left"/>
      </w:pPr>
      <w:r>
        <w:rPr/>
        <w:t>②可供出售金融资产减值 当综合相关因素判断可供出售权益工具投资公允价值下跌是严重或非暂时性下跌时，表明该可供出售权益工具投资发</w:t>
      </w:r>
    </w:p>
    <w:p>
      <w:pPr>
        <w:pStyle w:val="BodyText"/>
        <w:spacing w:line="316" w:lineRule="auto" w:before="19"/>
        <w:ind w:right="1032"/>
        <w:jc w:val="left"/>
      </w:pPr>
      <w:r>
        <w:rPr>
          <w:spacing w:val="-2"/>
        </w:rPr>
        <w:t>生减值。其中“严重下跌”是指公允价值下跌幅度累计超过</w:t>
      </w:r>
      <w:r>
        <w:rPr>
          <w:rFonts w:ascii="宋体" w:hAnsi="宋体" w:cs="宋体" w:eastAsia="宋体" w:hint="default"/>
          <w:spacing w:val="-2"/>
        </w:rPr>
        <w:t>20%</w:t>
      </w:r>
      <w:r>
        <w:rPr>
          <w:spacing w:val="-2"/>
        </w:rPr>
        <w:t>；“非暂时性下跌”是指公允价值连续下跌时间超过</w:t>
      </w:r>
      <w:r>
        <w:rPr>
          <w:rFonts w:ascii="宋体" w:hAnsi="宋体" w:cs="宋体" w:eastAsia="宋体" w:hint="default"/>
          <w:spacing w:val="-2"/>
        </w:rPr>
        <w:t>12</w:t>
      </w:r>
      <w:r>
        <w:rPr>
          <w:spacing w:val="-2"/>
        </w:rPr>
        <w:t>个月，</w:t>
      </w:r>
      <w:r>
        <w:rPr>
          <w:spacing w:val="-61"/>
        </w:rPr>
        <w:t> </w:t>
      </w:r>
      <w:r>
        <w:rPr>
          <w:spacing w:val="-2"/>
        </w:rPr>
        <w:t>持续下跌期间的确定依据为连续下跌或在下跌趋势持续期间反弹上扬幅度低于</w:t>
      </w:r>
      <w:r>
        <w:rPr>
          <w:rFonts w:ascii="宋体" w:hAnsi="宋体" w:cs="宋体" w:eastAsia="宋体" w:hint="default"/>
          <w:spacing w:val="-2"/>
        </w:rPr>
        <w:t>20%</w:t>
      </w:r>
      <w:r>
        <w:rPr>
          <w:spacing w:val="-2"/>
        </w:rPr>
        <w:t>，反弹持续时间未超过</w:t>
      </w:r>
      <w:r>
        <w:rPr>
          <w:rFonts w:ascii="宋体" w:hAnsi="宋体" w:cs="宋体" w:eastAsia="宋体" w:hint="default"/>
          <w:spacing w:val="-2"/>
        </w:rPr>
        <w:t>6</w:t>
      </w:r>
      <w:r>
        <w:rPr>
          <w:spacing w:val="-2"/>
        </w:rPr>
        <w:t>个月的均作为持续</w:t>
      </w:r>
      <w:r>
        <w:rPr>
          <w:spacing w:val="-60"/>
        </w:rPr>
        <w:t> </w:t>
      </w:r>
      <w:r>
        <w:rPr/>
        <w:t>下跌期间。</w:t>
      </w:r>
    </w:p>
    <w:p>
      <w:pPr>
        <w:pStyle w:val="BodyText"/>
        <w:spacing w:line="316" w:lineRule="auto" w:before="19"/>
        <w:ind w:right="1132" w:firstLine="420"/>
        <w:jc w:val="both"/>
      </w:pPr>
      <w:r>
        <w:rPr/>
        <w:t>可供出售金融资产发生减值时，将原计入其他综合收益的因公允价值下降形成的累计损失予以转出并计入当期损益， 该转出的累计损失为该资产初始取得成本扣除已收回本金和已摊销金额、当前公允价值和原已计入损益的减值损失后的余</w:t>
      </w:r>
      <w:r>
        <w:rPr>
          <w:spacing w:val="-9"/>
        </w:rPr>
        <w:t> </w:t>
      </w:r>
      <w:r>
        <w:rPr>
          <w:spacing w:val="-9"/>
        </w:rPr>
      </w:r>
      <w:r>
        <w:rPr/>
        <w:t>额。</w:t>
      </w:r>
    </w:p>
    <w:p>
      <w:pPr>
        <w:pStyle w:val="BodyText"/>
        <w:spacing w:line="316" w:lineRule="auto" w:before="19"/>
        <w:ind w:right="1132" w:firstLine="420"/>
        <w:jc w:val="both"/>
      </w:pPr>
      <w:r>
        <w:rPr/>
        <w:t>在确认减值损失后，期后如有客观证据表明该金融资产价值已恢复，且客观上与确认该损失后发生的事项有关，原确 </w:t>
      </w:r>
      <w:r>
        <w:rPr>
          <w:spacing w:val="-2"/>
        </w:rPr>
        <w:t>认的减值损失予以转回，可供出售权益工具投资的减值损失转回确认为其他综合收益，可供出售债务工具的减值损失转回计</w:t>
      </w:r>
      <w:r>
        <w:rPr>
          <w:spacing w:val="-64"/>
        </w:rPr>
        <w:t> </w:t>
      </w:r>
      <w:r>
        <w:rPr>
          <w:spacing w:val="-64"/>
        </w:rPr>
      </w:r>
      <w:r>
        <w:rPr/>
        <w:t>入当期损益。</w:t>
      </w:r>
    </w:p>
    <w:p>
      <w:pPr>
        <w:pStyle w:val="BodyText"/>
        <w:spacing w:line="316" w:lineRule="auto" w:before="19"/>
        <w:ind w:right="1128" w:firstLine="420"/>
        <w:jc w:val="both"/>
      </w:pPr>
      <w:r>
        <w:rPr/>
        <w:t>在活跃市场中没有报价且其公允价值不能可靠计量的权益工具投资，或与该权益工具挂钩并须通过交付该权益工具结 算的衍生金融资产的减值损失，不予转回。</w:t>
      </w:r>
    </w:p>
    <w:p>
      <w:pPr>
        <w:pStyle w:val="BodyText"/>
        <w:spacing w:line="316" w:lineRule="auto" w:before="19"/>
        <w:ind w:left="574" w:right="0"/>
        <w:jc w:val="left"/>
      </w:pPr>
      <w:r>
        <w:rPr/>
        <w:t>（</w:t>
      </w:r>
      <w:r>
        <w:rPr>
          <w:rFonts w:ascii="宋体" w:hAnsi="宋体" w:cs="宋体" w:eastAsia="宋体" w:hint="default"/>
        </w:rPr>
        <w:t>4</w:t>
      </w:r>
      <w:r>
        <w:rPr/>
        <w:t>）金融资产转移的确认依据和计量方法 满足下列条件之一的金融资产，予以终止确认：①收取该金融资产现金流量的合同权利终止；②该金融资产已转移，</w:t>
      </w:r>
    </w:p>
    <w:p>
      <w:pPr>
        <w:pStyle w:val="BodyText"/>
        <w:spacing w:line="316" w:lineRule="auto" w:before="19"/>
        <w:ind w:right="0"/>
        <w:jc w:val="left"/>
      </w:pP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产所有权上几乎所有的风险和报酬，但是放弃了对该金融资产的控制。</w:t>
      </w:r>
    </w:p>
    <w:p>
      <w:pPr>
        <w:pStyle w:val="BodyText"/>
        <w:spacing w:line="316" w:lineRule="auto" w:before="19"/>
        <w:ind w:right="1132" w:firstLine="420"/>
        <w:jc w:val="both"/>
      </w:pPr>
      <w:r>
        <w:rPr/>
        <w:t>若企业既没有转移也没有保留金融资产所有权上几乎所有的风险和报酬，且未放弃对该金融资产的控制的，则按照继 </w:t>
      </w:r>
      <w:r>
        <w:rPr>
          <w:spacing w:val="-2"/>
        </w:rPr>
        <w:t>续涉入所转移金融资产的程度确认有关金融资产，并相应确认有关负债。继续涉入所转移金融资产的程度，是指该金融资产</w:t>
      </w:r>
      <w:r>
        <w:rPr>
          <w:spacing w:val="-66"/>
        </w:rPr>
        <w:t> </w:t>
      </w:r>
      <w:r>
        <w:rPr>
          <w:spacing w:val="-66"/>
        </w:rPr>
      </w:r>
      <w:r>
        <w:rPr/>
        <w:t>价值变动使企业面临的风险水平。</w:t>
      </w:r>
    </w:p>
    <w:p>
      <w:pPr>
        <w:pStyle w:val="BodyText"/>
        <w:spacing w:line="316" w:lineRule="auto" w:before="19"/>
        <w:ind w:right="1133" w:firstLine="420"/>
        <w:jc w:val="both"/>
      </w:pPr>
      <w:r>
        <w:rPr/>
        <w:t>金融资产整体转移满足终止确认条件的，将所转移金融资产的账面价值及因转移而收到的对价与原计入其他综合收益 的公允价值变动累计额之和的差额计入当期损益。</w:t>
      </w:r>
    </w:p>
    <w:p>
      <w:pPr>
        <w:pStyle w:val="BodyText"/>
        <w:spacing w:line="316" w:lineRule="auto" w:before="19"/>
        <w:ind w:right="1131" w:firstLine="420"/>
        <w:jc w:val="both"/>
      </w:pPr>
      <w:r>
        <w:rPr/>
        <w:t>金融资产部分转移满足终止确认条件的，将所转移金融资产的账面价值在终止确认及未终止确认部分之间按其相对的 </w:t>
      </w:r>
      <w:r>
        <w:rPr>
          <w:spacing w:val="-2"/>
        </w:rPr>
        <w:t>公允价值进行分摊，并将因转移而收到的对价与应分摊至终止确认部分的原计入其他综合收益的公允价值变动累计额之和与</w:t>
      </w:r>
      <w:r>
        <w:rPr>
          <w:spacing w:val="-64"/>
        </w:rPr>
        <w:t> </w:t>
      </w:r>
      <w:r>
        <w:rPr>
          <w:spacing w:val="-64"/>
        </w:rPr>
      </w:r>
      <w:r>
        <w:rPr/>
        <w:t>分摊的前述账面金额之差额计入当期损益。</w:t>
      </w:r>
    </w:p>
    <w:p>
      <w:pPr>
        <w:pStyle w:val="BodyText"/>
        <w:spacing w:line="316" w:lineRule="auto" w:before="19"/>
        <w:ind w:right="1132" w:firstLine="420"/>
        <w:jc w:val="both"/>
      </w:pPr>
      <w:r>
        <w:rPr/>
        <w:t>本公司对采用附追索权方式出售的金融资产，或将持有的金融资产背书转让，需确定该金融资产所有权上几乎所有的 </w:t>
      </w:r>
      <w:r>
        <w:rPr>
          <w:spacing w:val="-2"/>
        </w:rPr>
        <w:t>风险和报酬是否已经转移。已将该金融资产所有权上几乎所有的风险和报酬转移给转入方的，终止确认该金融资产；保留了</w:t>
      </w:r>
      <w:r>
        <w:rPr>
          <w:spacing w:val="-66"/>
        </w:rPr>
        <w:t> </w:t>
      </w:r>
      <w:r>
        <w:rPr>
          <w:spacing w:val="-66"/>
        </w:rPr>
      </w:r>
      <w:r>
        <w:rPr>
          <w:spacing w:val="-2"/>
        </w:rPr>
        <w:t>金融资产所有权上几乎所有的风险和报酬的，不终止确认该金融资产；既没有转移也没有保留金融资产所有权上几乎所有的</w:t>
      </w:r>
      <w:r>
        <w:rPr>
          <w:spacing w:val="-64"/>
        </w:rPr>
        <w:t> </w:t>
      </w:r>
      <w:r>
        <w:rPr>
          <w:spacing w:val="-64"/>
        </w:rPr>
      </w:r>
      <w:r>
        <w:rPr/>
        <w:t>风险和报酬的，则继续判断企业是否对该资产保留了控制，并根据前面各段所述的原则进行会计处理。</w:t>
      </w:r>
    </w:p>
    <w:p>
      <w:pPr>
        <w:pStyle w:val="BodyText"/>
        <w:spacing w:line="316" w:lineRule="auto" w:before="19"/>
        <w:ind w:left="574" w:right="1024"/>
        <w:jc w:val="left"/>
      </w:pPr>
      <w:r>
        <w:rPr/>
        <w:t>（</w:t>
      </w:r>
      <w:r>
        <w:rPr>
          <w:rFonts w:ascii="宋体" w:hAnsi="宋体" w:cs="宋体" w:eastAsia="宋体" w:hint="default"/>
        </w:rPr>
        <w:t>5</w:t>
      </w:r>
      <w:r>
        <w:rPr/>
        <w:t>）金融负债的分类和计量 </w:t>
      </w:r>
      <w:r>
        <w:rPr>
          <w:spacing w:val="-1"/>
        </w:rPr>
        <w:t>金融负债在初始确认时划分为以公允价值计量且其变动计入当期损益的金融负债和其他金融负债。初始确认金融负债，</w:t>
      </w:r>
    </w:p>
    <w:p>
      <w:pPr>
        <w:pStyle w:val="BodyText"/>
        <w:spacing w:line="316" w:lineRule="auto" w:before="19"/>
        <w:ind w:right="0"/>
        <w:jc w:val="left"/>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16" w:lineRule="auto" w:before="19"/>
        <w:ind w:left="574" w:right="0"/>
        <w:jc w:val="left"/>
      </w:pPr>
      <w:r>
        <w:rPr/>
        <w:t>①以公允价值计量且其变动计入当期损益的金融负债 分类为交易性金融负债和在初始确认时指定为以公允价值计量且其变动计入当期损益的金融负债的条件与分类为交易</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74" w:right="0" w:hanging="420"/>
        <w:jc w:val="left"/>
      </w:pPr>
      <w:r>
        <w:rPr/>
        <w:t>性金融资产和在初始确认时指定为以公允价值计量且其变动计入当期损益的金融资产的条件一致。 以公允价值计量且其变动计入当期损益的金融负债采用公允价值进行后续计量，公允价值的变动形成的利得或损失以</w:t>
      </w:r>
    </w:p>
    <w:p>
      <w:pPr>
        <w:pStyle w:val="BodyText"/>
        <w:spacing w:line="240" w:lineRule="auto" w:before="19"/>
        <w:ind w:right="0"/>
        <w:jc w:val="left"/>
      </w:pPr>
      <w:r>
        <w:rPr/>
        <w:t>及与该等金融负债相关的股利和利息支出计入当期损益。</w:t>
      </w:r>
    </w:p>
    <w:p>
      <w:pPr>
        <w:pStyle w:val="BodyText"/>
        <w:spacing w:line="319" w:lineRule="auto" w:before="76"/>
        <w:ind w:left="574" w:right="0"/>
        <w:jc w:val="left"/>
      </w:pPr>
      <w:r>
        <w:rPr/>
        <w:t>②其他金融负债 与在活跃市场中没有报价、公允价值不能可靠计量的权益工具挂钩并须通过交付该权益工具结算的衍生金融负债，按</w:t>
      </w:r>
    </w:p>
    <w:p>
      <w:pPr>
        <w:pStyle w:val="BodyText"/>
        <w:spacing w:line="316" w:lineRule="auto" w:before="17"/>
        <w:ind w:right="1118"/>
        <w:jc w:val="left"/>
      </w:pPr>
      <w:r>
        <w:rPr>
          <w:spacing w:val="-2"/>
        </w:rPr>
        <w:t>照成本进行后续计量。其他金融负债采用实际利率法，按摊余成本进行后续计量，终止确认或摊销产生的利得或损失计入当</w:t>
      </w:r>
      <w:r>
        <w:rPr>
          <w:spacing w:val="-66"/>
        </w:rPr>
        <w:t> </w:t>
      </w:r>
      <w:r>
        <w:rPr>
          <w:spacing w:val="-66"/>
        </w:rPr>
      </w:r>
      <w:r>
        <w:rPr/>
        <w:t>期损益。</w:t>
      </w:r>
    </w:p>
    <w:p>
      <w:pPr>
        <w:pStyle w:val="BodyText"/>
        <w:spacing w:line="316" w:lineRule="auto" w:before="19"/>
        <w:ind w:left="574" w:right="0"/>
        <w:jc w:val="left"/>
      </w:pPr>
      <w:r>
        <w:rPr/>
        <w:t>③财务担保合同 不属于指定为以公允价值计量且其变动计入当期损益的金融负债的财务担保合同，以公允价值进行初始确认，在初始</w:t>
      </w:r>
    </w:p>
    <w:p>
      <w:pPr>
        <w:pStyle w:val="BodyText"/>
        <w:spacing w:line="316" w:lineRule="auto" w:before="19"/>
        <w:ind w:right="0"/>
        <w:jc w:val="left"/>
      </w:pPr>
      <w:r>
        <w:rPr>
          <w:spacing w:val="-2"/>
        </w:rPr>
        <w:t>确认后按照《企业会计准则第</w:t>
      </w:r>
      <w:r>
        <w:rPr>
          <w:rFonts w:ascii="宋体" w:hAnsi="宋体" w:cs="宋体" w:eastAsia="宋体" w:hint="default"/>
          <w:spacing w:val="-2"/>
        </w:rPr>
        <w:t>13</w:t>
      </w:r>
      <w:r>
        <w:rPr>
          <w:spacing w:val="-2"/>
        </w:rPr>
        <w:t>号—或有事项》确定的金额和初始确认金额扣除按照《企业会计准则第</w:t>
      </w:r>
      <w:r>
        <w:rPr>
          <w:rFonts w:ascii="宋体" w:hAnsi="宋体" w:cs="宋体" w:eastAsia="宋体" w:hint="default"/>
          <w:spacing w:val="-2"/>
        </w:rPr>
        <w:t>14</w:t>
      </w:r>
      <w:r>
        <w:rPr>
          <w:spacing w:val="-2"/>
        </w:rPr>
        <w:t>号—收入》的原则</w:t>
      </w:r>
      <w:r>
        <w:rPr>
          <w:spacing w:val="-62"/>
        </w:rPr>
        <w:t> </w:t>
      </w:r>
      <w:r>
        <w:rPr>
          <w:spacing w:val="-62"/>
        </w:rPr>
      </w:r>
      <w:r>
        <w:rPr/>
        <w:t>确定的累计摊销额后的余额之中的较高者进行后续计量。</w:t>
      </w:r>
    </w:p>
    <w:p>
      <w:pPr>
        <w:pStyle w:val="BodyText"/>
        <w:spacing w:line="316" w:lineRule="auto" w:before="19"/>
        <w:ind w:left="574" w:right="0"/>
        <w:jc w:val="left"/>
      </w:pPr>
      <w:r>
        <w:rPr/>
        <w:t>（</w:t>
      </w:r>
      <w:r>
        <w:rPr>
          <w:rFonts w:ascii="宋体" w:hAnsi="宋体" w:cs="宋体" w:eastAsia="宋体" w:hint="default"/>
        </w:rPr>
        <w:t>6</w:t>
      </w:r>
      <w:r>
        <w:rPr/>
        <w:t>）金融负债的终止确认 金融负债的现时义务全部或部分已经解除的，才能终止确认该金融负债或其一部分。本公司（债务人）与债权人之间</w:t>
      </w:r>
    </w:p>
    <w:p>
      <w:pPr>
        <w:pStyle w:val="BodyText"/>
        <w:spacing w:line="316" w:lineRule="auto" w:before="19"/>
        <w:ind w:right="0"/>
        <w:jc w:val="left"/>
      </w:pPr>
      <w:r>
        <w:rPr>
          <w:spacing w:val="-2"/>
        </w:rPr>
        <w:t>签订协议，以承担新金融负债方式替换现存金融负债，且新金融负债与现存金融负债的合同条款实质上不同的，终止确认现</w:t>
      </w:r>
      <w:r>
        <w:rPr>
          <w:spacing w:val="-66"/>
        </w:rPr>
        <w:t> </w:t>
      </w:r>
      <w:r>
        <w:rPr>
          <w:spacing w:val="-66"/>
        </w:rPr>
      </w:r>
      <w:r>
        <w:rPr/>
        <w:t>存金融负债，并同时确认新金融负债。</w:t>
      </w:r>
    </w:p>
    <w:p>
      <w:pPr>
        <w:pStyle w:val="BodyText"/>
        <w:spacing w:line="316" w:lineRule="auto" w:before="19"/>
        <w:ind w:right="1133" w:firstLine="420"/>
        <w:jc w:val="both"/>
      </w:pPr>
      <w:r>
        <w:rPr/>
        <w:t>金融负债全部或部分终止确认的，将终止确认部分的账面价值与支付的对价（包括转出的非现金资产或承担的新金融 负债）之间的差额，计入当期损益。</w:t>
      </w:r>
    </w:p>
    <w:p>
      <w:pPr>
        <w:pStyle w:val="BodyText"/>
        <w:spacing w:line="316" w:lineRule="auto" w:before="19"/>
        <w:ind w:left="574" w:right="0"/>
        <w:jc w:val="left"/>
      </w:pPr>
      <w:r>
        <w:rPr/>
        <w:t>（</w:t>
      </w:r>
      <w:r>
        <w:rPr>
          <w:rFonts w:ascii="宋体" w:hAnsi="宋体" w:cs="宋体" w:eastAsia="宋体" w:hint="default"/>
        </w:rPr>
        <w:t>7</w:t>
      </w:r>
      <w:r>
        <w:rPr/>
        <w:t>）衍生工具及嵌入衍生工具 衍生工具于相关合同签署日以公允价值进行初始计量，并以公允价值进行后续计量。除指定为套期工具且套期高度有</w:t>
      </w:r>
    </w:p>
    <w:p>
      <w:pPr>
        <w:pStyle w:val="BodyText"/>
        <w:spacing w:line="316" w:lineRule="auto" w:before="19"/>
        <w:ind w:right="0"/>
        <w:jc w:val="left"/>
      </w:pPr>
      <w:r>
        <w:rPr>
          <w:spacing w:val="-2"/>
        </w:rPr>
        <w:t>效的衍生工具，其公允价值变动形成的利得或损失将根据套期关系的性质按照套期会计的要求确定计入损益的期间外，其余</w:t>
      </w:r>
      <w:r>
        <w:rPr>
          <w:spacing w:val="-64"/>
        </w:rPr>
        <w:t> </w:t>
      </w:r>
      <w:r>
        <w:rPr>
          <w:spacing w:val="-64"/>
        </w:rPr>
      </w:r>
      <w:r>
        <w:rPr/>
        <w:t>衍生工具的公允价值变动计入当期损益。</w:t>
      </w:r>
    </w:p>
    <w:p>
      <w:pPr>
        <w:pStyle w:val="BodyText"/>
        <w:spacing w:line="319" w:lineRule="auto" w:before="19"/>
        <w:ind w:right="1132" w:firstLine="420"/>
        <w:jc w:val="both"/>
      </w:pPr>
      <w:r>
        <w:rPr/>
        <w:t>对包含嵌入衍生工具的混合工具，如未指定为以公允价值计量且其变动计入当期损益的金融资产或金融负债，嵌入衍 </w:t>
      </w:r>
      <w:r>
        <w:rPr>
          <w:spacing w:val="-2"/>
        </w:rPr>
        <w:t>生工具与该主合同在经济特征及风险方面不存在紧密关系，且与嵌入衍生工具条件相同，单独存在的工具符合衍生工具定义</w:t>
      </w:r>
      <w:r>
        <w:rPr>
          <w:spacing w:val="-64"/>
        </w:rPr>
        <w:t> </w:t>
      </w:r>
      <w:r>
        <w:rPr>
          <w:spacing w:val="-64"/>
        </w:rPr>
      </w:r>
      <w:r>
        <w:rPr>
          <w:spacing w:val="-2"/>
        </w:rPr>
        <w:t>的，嵌入衍生工具从混合工具中分拆，作为单独的衍生金融工具处理。如果无法在取得时或后续的资产负债表日对嵌入衍生</w:t>
      </w:r>
      <w:r>
        <w:rPr>
          <w:spacing w:val="-65"/>
        </w:rPr>
        <w:t> </w:t>
      </w:r>
      <w:r>
        <w:rPr>
          <w:spacing w:val="-65"/>
        </w:rPr>
      </w:r>
      <w:r>
        <w:rPr/>
        <w:t>工具进行单独计量，则将混合工具整体指定为以公允价值计量且其变动计入当期损益的金融资产或金融负债。</w:t>
      </w:r>
    </w:p>
    <w:p>
      <w:pPr>
        <w:pStyle w:val="BodyText"/>
        <w:spacing w:line="316" w:lineRule="auto" w:before="17"/>
        <w:ind w:left="574" w:right="0"/>
        <w:jc w:val="left"/>
      </w:pPr>
      <w:r>
        <w:rPr/>
        <w:t>（</w:t>
      </w:r>
      <w:r>
        <w:rPr>
          <w:rFonts w:ascii="宋体" w:hAnsi="宋体" w:cs="宋体" w:eastAsia="宋体" w:hint="default"/>
        </w:rPr>
        <w:t>8</w:t>
      </w:r>
      <w:r>
        <w:rPr/>
        <w:t>）金融资产和金融负债的抵销 当本公司具有抵销已确认金融资产和金融负债的法定权利，且目前可执行该种法定权利，同时本公司计划以净额结算</w:t>
      </w:r>
    </w:p>
    <w:p>
      <w:pPr>
        <w:pStyle w:val="BodyText"/>
        <w:spacing w:line="316" w:lineRule="auto" w:before="19"/>
        <w:ind w:right="0"/>
        <w:jc w:val="left"/>
      </w:pPr>
      <w:r>
        <w:rPr>
          <w:spacing w:val="-2"/>
        </w:rPr>
        <w:t>或同时变现该金融资产和清偿该金融负债时，金融资产和金融负债以相互抵销后的金额在资产负债表内列示。除此以外，金</w:t>
      </w:r>
      <w:r>
        <w:rPr>
          <w:spacing w:val="-66"/>
        </w:rPr>
        <w:t> </w:t>
      </w:r>
      <w:r>
        <w:rPr>
          <w:spacing w:val="-66"/>
        </w:rPr>
      </w:r>
      <w:r>
        <w:rPr/>
        <w:t>融资产和金融负债在资产负债表内分别列示，不予相互抵销。</w:t>
      </w:r>
    </w:p>
    <w:p>
      <w:pPr>
        <w:pStyle w:val="BodyText"/>
        <w:spacing w:line="316" w:lineRule="auto" w:before="19"/>
        <w:ind w:left="574" w:right="1118"/>
        <w:jc w:val="left"/>
      </w:pPr>
      <w:r>
        <w:rPr/>
        <w:t>（</w:t>
      </w:r>
      <w:r>
        <w:rPr>
          <w:rFonts w:ascii="宋体" w:hAnsi="宋体" w:cs="宋体" w:eastAsia="宋体" w:hint="default"/>
        </w:rPr>
        <w:t>9</w:t>
      </w:r>
      <w:r>
        <w:rPr/>
        <w:t>）权益工具 权益工具是指能证明拥有本公司在扣除所有负债后的资产中的剩余权益的合同。本公司发行（含再融资）、回购、出</w:t>
      </w:r>
    </w:p>
    <w:p>
      <w:pPr>
        <w:pStyle w:val="BodyText"/>
        <w:spacing w:line="316" w:lineRule="auto" w:before="19"/>
        <w:ind w:right="1118"/>
        <w:jc w:val="left"/>
      </w:pPr>
      <w:r>
        <w:rPr>
          <w:spacing w:val="-2"/>
        </w:rPr>
        <w:t>售或注销权益工具作为权益的变动处理。本公司不确认权益工具的公允价值变动。与权益性交易相关的交易费用从权益中扣</w:t>
      </w:r>
      <w:r>
        <w:rPr>
          <w:spacing w:val="-64"/>
        </w:rPr>
        <w:t> </w:t>
      </w:r>
      <w:r>
        <w:rPr>
          <w:spacing w:val="-64"/>
        </w:rPr>
      </w:r>
      <w:r>
        <w:rPr/>
        <w:t>减。</w:t>
      </w:r>
    </w:p>
    <w:p>
      <w:pPr>
        <w:pStyle w:val="BodyText"/>
        <w:spacing w:line="240" w:lineRule="auto" w:before="19"/>
        <w:ind w:left="574" w:right="0"/>
        <w:jc w:val="left"/>
      </w:pPr>
      <w:r>
        <w:rPr/>
        <w:t>本公司对权益工具持有方的各种分配（不包括股票股利），减少股东权益。本公司不确认权益工具的公允价值变动额。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11、应收票据及应收账款" w:id="178"/>
      <w:bookmarkEnd w:id="178"/>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79"/>
      <w:bookmarkEnd w:id="179"/>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本公司将金额为人民币 </w:t>
            </w:r>
            <w:r>
              <w:rPr>
                <w:rFonts w:ascii="Times New Roman" w:hAnsi="Times New Roman" w:cs="Times New Roman" w:eastAsia="Times New Roman" w:hint="default"/>
                <w:sz w:val="18"/>
                <w:szCs w:val="18"/>
              </w:rPr>
              <w:t>100 </w:t>
            </w:r>
            <w:r>
              <w:rPr>
                <w:rFonts w:ascii="宋体" w:hAnsi="宋体" w:cs="宋体" w:eastAsia="宋体" w:hint="default"/>
                <w:spacing w:val="-4"/>
                <w:sz w:val="18"/>
                <w:szCs w:val="18"/>
              </w:rPr>
              <w:t>万元以上（含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万元）的应收</w:t>
            </w:r>
            <w:r>
              <w:rPr>
                <w:rFonts w:ascii="宋体" w:hAnsi="宋体" w:cs="宋体" w:eastAsia="宋体" w:hint="default"/>
                <w:sz w:val="18"/>
                <w:szCs w:val="18"/>
              </w:rPr>
              <w:t> 款项确认为单项金额重大的应收款项。</w:t>
            </w:r>
          </w:p>
        </w:tc>
      </w:tr>
      <w:tr>
        <w:trPr>
          <w:trHeight w:val="6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本公司对单项金额重大的应收款项单独进行减值测试，坏账 准备根据其未来现金流量现值低于其账面价值的差额计提；</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b/>
          <w:bCs/>
          <w:sz w:val="28"/>
          <w:szCs w:val="28"/>
        </w:rPr>
      </w:pPr>
    </w:p>
    <w:p>
      <w:pPr>
        <w:spacing w:line="1317" w:lineRule="exact"/>
        <w:ind w:left="149"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478.95pt;height:65.9pt;mso-position-horizontal-relative:char;mso-position-vertical-relative:line" coordorigin="0,0" coordsize="9579,1318">
            <v:group style="position:absolute;left:10;top:14;width:4775;height:1289" coordorigin="10,14" coordsize="4775,1289">
              <v:shape style="position:absolute;left:10;top:14;width:4775;height:1289" coordorigin="10,14" coordsize="4775,1289" path="m10,1303l4784,1303,4784,14,10,14,10,1303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1308" coordorigin="5,5" coordsize="2,1308">
              <v:shape style="position:absolute;left:5;top:5;width:2;height:1308" coordorigin="5,5" coordsize="0,1308" path="m5,5l5,1313e" filled="false" stroked="true" strokeweight=".48pt" strokecolor="#000000">
                <v:path arrowok="t"/>
              </v:shape>
            </v:group>
            <v:group style="position:absolute;left:10;top:1308;width:4776;height:2" coordorigin="10,1308" coordsize="4776,2">
              <v:shape style="position:absolute;left:10;top:1308;width:4776;height:2" coordorigin="10,1308" coordsize="4776,0" path="m10,1308l4785,1308e" filled="false" stroked="true" strokeweight=".48pt" strokecolor="#000000">
                <v:path arrowok="t"/>
              </v:shape>
            </v:group>
            <v:group style="position:absolute;left:4790;top:5;width:2;height:1308" coordorigin="4790,5" coordsize="2,1308">
              <v:shape style="position:absolute;left:4790;top:5;width:2;height:1308" coordorigin="4790,5" coordsize="0,1308" path="m4790,5l4790,1313e" filled="false" stroked="true" strokeweight=".47998pt" strokecolor="#000000">
                <v:path arrowok="t"/>
              </v:shape>
            </v:group>
            <v:group style="position:absolute;left:4795;top:1308;width:4774;height:2" coordorigin="4795,1308" coordsize="4774,2">
              <v:shape style="position:absolute;left:4795;top:1308;width:4774;height:2" coordorigin="4795,1308" coordsize="4774,0" path="m4795,1308l9569,1308e" filled="false" stroked="true" strokeweight=".48pt" strokecolor="#000000">
                <v:path arrowok="t"/>
              </v:shape>
            </v:group>
            <v:group style="position:absolute;left:9574;top:5;width:2;height:1308" coordorigin="9574,5" coordsize="2,1308">
              <v:shape style="position:absolute;left:9574;top:5;width:2;height:1308" coordorigin="9574,5" coordsize="0,1308" path="m9574,5l9574,1313e" filled="false" stroked="true" strokeweight=".48004pt" strokecolor="#000000">
                <v:path arrowok="t"/>
              </v:shape>
              <v:shape style="position:absolute;left:4789;top:10;width:4785;height:1299" type="#_x0000_t202" filled="false" stroked="false">
                <v:textbox inset="0,0,0,0">
                  <w:txbxContent>
                    <w:p>
                      <w:pPr>
                        <w:spacing w:line="319" w:lineRule="auto" w:before="15"/>
                        <w:ind w:left="28" w:right="74" w:firstLine="0"/>
                        <w:jc w:val="both"/>
                        <w:rPr>
                          <w:rFonts w:ascii="宋体" w:hAnsi="宋体" w:cs="宋体" w:eastAsia="宋体" w:hint="default"/>
                          <w:sz w:val="18"/>
                          <w:szCs w:val="18"/>
                        </w:rPr>
                      </w:pPr>
                      <w:r>
                        <w:rPr>
                          <w:rFonts w:ascii="宋体" w:hAnsi="宋体" w:cs="宋体" w:eastAsia="宋体" w:hint="default"/>
                          <w:sz w:val="18"/>
                          <w:szCs w:val="18"/>
                        </w:rPr>
                        <w:t>单独测试未发生减值的应收款项，包括在具有类似信用风险 特征的应收款项组合中进行减值测试。单项测试已确认减值 损失的应收款项，不再包括在具有类似信用风险特征的应收 款项组合中进行减值测试。</w:t>
                      </w:r>
                    </w:p>
                  </w:txbxContent>
                </v:textbox>
                <w10:wrap type="none"/>
              </v:shape>
            </v:group>
          </v:group>
        </w:pict>
      </w:r>
      <w:r>
        <w:rPr>
          <w:rFonts w:ascii="宋体" w:hAnsi="宋体" w:cs="宋体" w:eastAsia="宋体" w:hint="default"/>
          <w:position w:val="-25"/>
          <w:sz w:val="20"/>
          <w:szCs w:val="20"/>
        </w:rPr>
      </w:r>
    </w:p>
    <w:p>
      <w:pPr>
        <w:spacing w:line="240" w:lineRule="auto" w:before="12"/>
        <w:rPr>
          <w:rFonts w:ascii="宋体" w:hAnsi="宋体" w:cs="宋体" w:eastAsia="宋体" w:hint="default"/>
          <w:b/>
          <w:bCs/>
          <w:sz w:val="18"/>
          <w:szCs w:val="18"/>
        </w:rPr>
      </w:pPr>
    </w:p>
    <w:p>
      <w:pPr>
        <w:pStyle w:val="Heading3"/>
        <w:spacing w:line="240" w:lineRule="auto" w:before="35"/>
        <w:ind w:right="0"/>
        <w:jc w:val="left"/>
        <w:rPr>
          <w:b w:val="0"/>
          <w:bCs w:val="0"/>
        </w:rPr>
      </w:pPr>
      <w:bookmarkStart w:name="（2）按信用风险特征组合计提坏账准备的应收款项" w:id="180"/>
      <w:bookmarkEnd w:id="180"/>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40" w:lineRule="auto" w:before="116"/>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不重大但单独计提坏账准备的应收款项" w:id="181"/>
      <w:bookmarkEnd w:id="18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BodyText"/>
        <w:spacing w:line="240" w:lineRule="auto"/>
        <w:ind w:left="0" w:right="1139"/>
        <w:jc w:val="right"/>
      </w:pPr>
      <w:r>
        <w:rPr/>
        <w:pict>
          <v:shape style="position:absolute;margin-left:56.459999pt;margin-top:-85.488266pt;width:479.2pt;height:118.7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应收关联方款项；与对方存在争议或涉及诉讼、仲裁的应收 款项；已有明显迹象表明债务人很可能无法履行还款义务的 应收款项等。</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Times New Roman" w:hAnsi="Times New Roman" w:cs="Times New Roman" w:eastAsia="Times New Roman"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w:t>
                        </w:r>
                        <w:r>
                          <w:rPr>
                            <w:rFonts w:ascii="Times New Roman" w:hAnsi="Times New Roman" w:cs="Times New Roman" w:eastAsia="Times New Roman"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1"/>
        <w:ind w:right="0"/>
        <w:jc w:val="left"/>
        <w:rPr>
          <w:b w:val="0"/>
          <w:bCs w:val="0"/>
        </w:rPr>
      </w:pPr>
      <w:bookmarkStart w:name="12、存货" w:id="182"/>
      <w:bookmarkEnd w:id="182"/>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16" w:lineRule="auto" w:before="25"/>
        <w:ind w:left="574" w:right="1872"/>
        <w:jc w:val="left"/>
      </w:pPr>
      <w:r>
        <w:rPr/>
        <w:t>（</w:t>
      </w:r>
      <w:r>
        <w:rPr>
          <w:rFonts w:ascii="宋体" w:hAnsi="宋体" w:cs="宋体" w:eastAsia="宋体" w:hint="default"/>
        </w:rPr>
        <w:t>1</w:t>
      </w:r>
      <w:r>
        <w:rPr/>
        <w:t>）存货的分类 本公司存货主要包括包括在途物资、原材料、低值易耗品、在产品、自制半成品、库存商品、工程施工等。</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74" w:right="5292"/>
        <w:jc w:val="left"/>
      </w:pPr>
      <w:r>
        <w:rPr/>
        <w:t>（</w:t>
      </w:r>
      <w:r>
        <w:rPr>
          <w:rFonts w:ascii="宋体" w:hAnsi="宋体" w:cs="宋体" w:eastAsia="宋体" w:hint="default"/>
        </w:rPr>
        <w:t>2</w:t>
      </w:r>
      <w:r>
        <w:rPr/>
        <w:t>）存货取得和发出的计价方法 存货日常核算以实际成本计价，存货发出采用加权平均法核算。</w:t>
      </w:r>
    </w:p>
    <w:p>
      <w:pPr>
        <w:pStyle w:val="BodyText"/>
        <w:spacing w:line="316" w:lineRule="auto" w:before="19"/>
        <w:ind w:left="574" w:right="0"/>
        <w:jc w:val="left"/>
      </w:pPr>
      <w:r>
        <w:rPr/>
        <w:t>（</w:t>
      </w:r>
      <w:r>
        <w:rPr>
          <w:rFonts w:ascii="宋体" w:hAnsi="宋体" w:cs="宋体" w:eastAsia="宋体" w:hint="default"/>
        </w:rPr>
        <w:t>3</w:t>
      </w:r>
      <w:r>
        <w:rPr/>
        <w:t>）存货可变现净值的确认和跌价准备的计提方法 可变现净值是指在日常活动中，存货的估计售价减去至完工时估计将要发生的成本、估计的销售费用以及相关税费后</w:t>
      </w:r>
    </w:p>
    <w:p>
      <w:pPr>
        <w:pStyle w:val="BodyText"/>
        <w:spacing w:line="316" w:lineRule="auto" w:before="19"/>
        <w:ind w:left="574" w:right="0" w:hanging="420"/>
        <w:jc w:val="left"/>
      </w:pPr>
      <w:r>
        <w:rPr>
          <w:spacing w:val="-4"/>
        </w:rPr>
        <w:t>的金额。在确定存货的可变现净值时，以取得的确凿证据为基础，同时考虑持有存货的目的以及资产负债表日后事项的影响。</w:t>
      </w:r>
      <w:r>
        <w:rPr>
          <w:spacing w:val="-44"/>
        </w:rPr>
        <w:t> </w:t>
      </w:r>
      <w:r>
        <w:rPr>
          <w:spacing w:val="-44"/>
        </w:rPr>
      </w:r>
      <w:r>
        <w:rPr/>
        <w:t>在资产负债表日，存货按照成本与可变现净值孰低计量。当其可变现净值低于成本时，提取存货跌价准备。本公司按</w:t>
      </w:r>
    </w:p>
    <w:p>
      <w:pPr>
        <w:pStyle w:val="BodyText"/>
        <w:spacing w:line="316" w:lineRule="auto" w:before="19"/>
        <w:ind w:right="1131"/>
        <w:jc w:val="both"/>
      </w:pPr>
      <w:r>
        <w:rPr>
          <w:spacing w:val="-2"/>
        </w:rPr>
        <w:t>单个存货项目的成本高于其可变现净值的差额提取。对于数量繁多、单价较低的存货，按存货类别计提存货跌价准备；对在</w:t>
      </w:r>
      <w:r>
        <w:rPr>
          <w:spacing w:val="-66"/>
        </w:rPr>
        <w:t> </w:t>
      </w:r>
      <w:r>
        <w:rPr>
          <w:spacing w:val="-66"/>
        </w:rPr>
      </w:r>
      <w:r>
        <w:rPr>
          <w:spacing w:val="-2"/>
        </w:rPr>
        <w:t>同一地区生产和销售的产品系列相关、具有相同或类似最终用途或目的，且难以与其他项目分开计量的存货，可合并计提存</w:t>
      </w:r>
      <w:r>
        <w:rPr>
          <w:spacing w:val="-66"/>
        </w:rPr>
        <w:t> </w:t>
      </w:r>
      <w:r>
        <w:rPr>
          <w:spacing w:val="-66"/>
        </w:rPr>
      </w:r>
      <w:r>
        <w:rPr/>
        <w:t>货跌价准备。</w:t>
      </w:r>
    </w:p>
    <w:p>
      <w:pPr>
        <w:pStyle w:val="BodyText"/>
        <w:spacing w:line="316" w:lineRule="auto" w:before="19"/>
        <w:ind w:right="1133" w:firstLine="420"/>
        <w:jc w:val="both"/>
      </w:pPr>
      <w:r>
        <w:rPr/>
        <w:t>计提存货跌价准备后，如果以前减记存货价值的影响因素已经消失，导致存货的可变现净值高于其账面价值的，在原 已计提的存货跌价准备金额内予以转回，转回的金额计入当期损益。</w:t>
      </w:r>
    </w:p>
    <w:p>
      <w:pPr>
        <w:pStyle w:val="BodyText"/>
        <w:spacing w:line="240" w:lineRule="auto" w:before="19"/>
        <w:ind w:left="574" w:right="0"/>
        <w:jc w:val="left"/>
      </w:pPr>
      <w:r>
        <w:rPr/>
        <w:t>（</w:t>
      </w:r>
      <w:r>
        <w:rPr>
          <w:rFonts w:ascii="宋体" w:hAnsi="宋体" w:cs="宋体" w:eastAsia="宋体" w:hint="default"/>
        </w:rPr>
        <w:t>4</w:t>
      </w:r>
      <w:r>
        <w:rPr/>
        <w:t>）存货的盘存制度为永续盘存制。</w:t>
      </w:r>
    </w:p>
    <w:p>
      <w:pPr>
        <w:pStyle w:val="BodyText"/>
        <w:spacing w:line="316" w:lineRule="auto" w:before="76"/>
        <w:ind w:left="574" w:right="6552"/>
        <w:jc w:val="left"/>
      </w:pPr>
      <w:r>
        <w:rPr/>
        <w:t>（</w:t>
      </w:r>
      <w:r>
        <w:rPr>
          <w:rFonts w:ascii="宋体" w:hAnsi="宋体" w:cs="宋体" w:eastAsia="宋体" w:hint="default"/>
        </w:rPr>
        <w:t>5</w:t>
      </w:r>
      <w:r>
        <w:rPr/>
        <w:t>）低值易耗品和包装物的摊销方法 低值易耗品和包装物于领用时一次摊销法摊销。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both"/>
        <w:rPr>
          <w:b w:val="0"/>
          <w:bCs w:val="0"/>
        </w:rPr>
      </w:pPr>
      <w:bookmarkStart w:name="13、持有待售资产" w:id="183"/>
      <w:bookmarkEnd w:id="183"/>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420"/>
        <w:jc w:val="both"/>
      </w:pPr>
      <w:r>
        <w:rPr/>
        <w:t>本公司若主要通过出售（包括具有商业实质的非货币性资产交换，下同）而非持续使用一项非流动资产或处置组收回 </w:t>
      </w:r>
      <w:r>
        <w:rPr>
          <w:spacing w:val="-2"/>
        </w:rPr>
        <w:t>其账面价值的，则将其划分为持有待售类别。具体标准为同时满足以下条件：某项非流动资产或处置组根据类似交易中出售</w:t>
      </w:r>
      <w:r>
        <w:rPr>
          <w:spacing w:val="-66"/>
        </w:rPr>
        <w:t> </w:t>
      </w:r>
      <w:r>
        <w:rPr>
          <w:spacing w:val="-66"/>
        </w:rPr>
      </w:r>
      <w:r>
        <w:rPr>
          <w:spacing w:val="-2"/>
        </w:rPr>
        <w:t>此类资产或处置组的惯例，在当前状况下即可立即出售；本公司已经就出售计划作出决议且获得确定的购买承诺；预计出售</w:t>
      </w:r>
      <w:r>
        <w:rPr>
          <w:spacing w:val="-66"/>
        </w:rPr>
        <w:t> </w:t>
      </w:r>
      <w:r>
        <w:rPr>
          <w:spacing w:val="-66"/>
        </w:rPr>
      </w:r>
      <w:r>
        <w:rPr>
          <w:spacing w:val="-2"/>
        </w:rPr>
        <w:t>将在一年内完成。其中，处置组是指在一项交易中作为整体通过出售或其他方式一并处置的一组资产，以及在该交易中转让</w:t>
      </w:r>
      <w:r>
        <w:rPr>
          <w:spacing w:val="-66"/>
        </w:rPr>
        <w:t> </w:t>
      </w:r>
      <w:r>
        <w:rPr>
          <w:spacing w:val="-66"/>
        </w:rPr>
      </w:r>
      <w:r>
        <w:rPr/>
        <w:t>的与这些资产直接相关的负债。处置组所属的资产组或资产组组合按照《企业会计准则第 </w:t>
      </w:r>
      <w:r>
        <w:rPr>
          <w:rFonts w:ascii="宋体" w:hAnsi="宋体" w:cs="宋体" w:eastAsia="宋体" w:hint="default"/>
        </w:rPr>
        <w:t>8</w:t>
      </w:r>
      <w:r>
        <w:rPr>
          <w:rFonts w:ascii="宋体" w:hAnsi="宋体" w:cs="宋体" w:eastAsia="宋体" w:hint="default"/>
          <w:spacing w:val="8"/>
        </w:rPr>
        <w:t> </w:t>
      </w:r>
      <w:r>
        <w:rPr/>
        <w:t>号——资产减值》分摊了企业 合并中取得的商誉的，该处置组应当包含分摊至处置组的商誉。</w:t>
      </w:r>
    </w:p>
    <w:p>
      <w:pPr>
        <w:pStyle w:val="BodyText"/>
        <w:spacing w:line="316" w:lineRule="auto" w:before="19"/>
        <w:ind w:right="0" w:firstLine="420"/>
        <w:jc w:val="left"/>
      </w:pPr>
      <w:r>
        <w:rPr/>
        <w:t>本公司初始计量或在资产负债表日重新计量划分为持有待售的非流动资产和处置组时，其账面价值高于公允价值减去 </w:t>
      </w:r>
      <w:r>
        <w:rPr>
          <w:spacing w:val="-4"/>
        </w:rPr>
        <w:t>出售费用后的净额的，将账面价值减记至公允价值减去出售费用后的净额，减记的金额确认为资产减值损失，计入当期损益，</w:t>
      </w:r>
      <w:r>
        <w:rPr>
          <w:spacing w:val="-44"/>
        </w:rPr>
        <w:t> </w:t>
      </w:r>
      <w:r>
        <w:rPr>
          <w:spacing w:val="-44"/>
        </w:rPr>
      </w:r>
      <w:r>
        <w:rPr>
          <w:spacing w:val="-2"/>
        </w:rPr>
        <w:t>同时计提持有待售资产减值准备。对于处置组，所确认的资产减值损失先抵减处置组中商誉的账面价值，再按比例抵减该处</w:t>
      </w:r>
      <w:r>
        <w:rPr>
          <w:spacing w:val="-66"/>
        </w:rPr>
        <w:t> </w:t>
      </w:r>
      <w:r>
        <w:rPr>
          <w:spacing w:val="-66"/>
        </w:rPr>
      </w:r>
      <w:r>
        <w:rPr>
          <w:spacing w:val="-2"/>
        </w:rPr>
        <w:t>置组内适用《企业会计准则第</w:t>
      </w:r>
      <w:r>
        <w:rPr>
          <w:rFonts w:ascii="宋体" w:hAnsi="宋体" w:cs="宋体" w:eastAsia="宋体" w:hint="default"/>
          <w:spacing w:val="-2"/>
        </w:rPr>
        <w:t>42</w:t>
      </w:r>
      <w:r>
        <w:rPr>
          <w:spacing w:val="-2"/>
        </w:rPr>
        <w:t>号——持有待售的非流动资产、处置组和终止经营》（以下简称“持有待售准则”）的计量</w:t>
      </w:r>
      <w:r>
        <w:rPr>
          <w:spacing w:val="-66"/>
        </w:rPr>
        <w:t> </w:t>
      </w:r>
      <w:r>
        <w:rPr>
          <w:spacing w:val="-66"/>
        </w:rPr>
      </w:r>
      <w:r>
        <w:rPr>
          <w:spacing w:val="-2"/>
        </w:rPr>
        <w:t>规定的各项非流动资产的账面价值。后续资产负债表日持有待售的处置组公允价值减去出售费用后的净额增加的，以前减记</w:t>
      </w:r>
      <w:r>
        <w:rPr>
          <w:spacing w:val="-64"/>
        </w:rPr>
        <w:t> </w:t>
      </w:r>
      <w:r>
        <w:rPr>
          <w:spacing w:val="-64"/>
        </w:rPr>
      </w:r>
      <w:r>
        <w:rPr/>
        <w:t>的金额应当予以恢复，并在划分为持有待售类别后适用持有待售准则计量规定的非流动资产确认的资产减值损失金额内转</w:t>
      </w:r>
      <w:r>
        <w:rPr>
          <w:spacing w:val="-7"/>
        </w:rPr>
        <w:t> </w:t>
      </w:r>
      <w:r>
        <w:rPr>
          <w:spacing w:val="-7"/>
        </w:rPr>
      </w:r>
      <w:r>
        <w:rPr>
          <w:spacing w:val="-2"/>
        </w:rPr>
        <w:t>回，转回金额计入当期损益，并根据处置组中除商誉外适用持有待售准则计量规定的各项非流动资产账面价值所占比重按比</w:t>
      </w:r>
      <w:r>
        <w:rPr>
          <w:spacing w:val="-64"/>
        </w:rPr>
        <w:t> </w:t>
      </w:r>
      <w:r>
        <w:rPr>
          <w:spacing w:val="-64"/>
        </w:rPr>
      </w:r>
      <w:r>
        <w:rPr>
          <w:spacing w:val="-2"/>
        </w:rPr>
        <w:t>例增加其账面价值；已抵减的商誉账面价值，以及适用持有待售准则计量规定的非流动资产在划分为持有待售类别前确认的</w:t>
      </w:r>
      <w:r>
        <w:rPr>
          <w:spacing w:val="-64"/>
        </w:rPr>
        <w:t> </w:t>
      </w:r>
      <w:r>
        <w:rPr>
          <w:spacing w:val="-64"/>
        </w:rPr>
      </w:r>
      <w:r>
        <w:rPr/>
        <w:t>资产减值损失不得转回。</w:t>
      </w:r>
    </w:p>
    <w:p>
      <w:pPr>
        <w:pStyle w:val="BodyText"/>
        <w:spacing w:line="316" w:lineRule="auto" w:before="19"/>
        <w:ind w:right="1133" w:firstLine="420"/>
        <w:jc w:val="both"/>
      </w:pPr>
      <w:r>
        <w:rPr/>
        <w:t>持有待售的非流动资产或处置组中的非流动资产不计提折旧或摊销，持有待售的处置组中负债的利息和其他费用继续 予以确认。</w:t>
      </w:r>
    </w:p>
    <w:p>
      <w:pPr>
        <w:pStyle w:val="BodyText"/>
        <w:spacing w:line="316" w:lineRule="auto" w:before="19"/>
        <w:ind w:right="1130" w:firstLine="420"/>
        <w:jc w:val="both"/>
      </w:pPr>
      <w:r>
        <w:rPr/>
        <w:t>非流动资产或处置组不再满足持有待售类别的划分条件时，本公司不再将其继续划分为持有待售类别或将非流动资产 从持有待售的处置组中移除，并按照以下两者孰低计量：（</w:t>
      </w:r>
      <w:r>
        <w:rPr>
          <w:rFonts w:ascii="宋体" w:hAnsi="宋体" w:cs="宋体" w:eastAsia="宋体" w:hint="default"/>
        </w:rPr>
        <w:t>1</w:t>
      </w:r>
      <w:r>
        <w:rPr/>
        <w:t>）划分为持有待售类别前的账面价值，按照假定不划分为持有</w:t>
      </w:r>
      <w:r>
        <w:rPr>
          <w:spacing w:val="-82"/>
        </w:rPr>
        <w:t> </w:t>
      </w:r>
      <w:r>
        <w:rPr>
          <w:spacing w:val="-82"/>
        </w:rPr>
      </w:r>
      <w:r>
        <w:rPr/>
        <w:t>待售类别情况下本应确认的折旧、摊销或减值等进行调整后的金额；（</w:t>
      </w:r>
      <w:r>
        <w:rPr>
          <w:rFonts w:ascii="宋体" w:hAnsi="宋体" w:cs="宋体" w:eastAsia="宋体" w:hint="default"/>
        </w:rPr>
        <w:t>2</w:t>
      </w:r>
      <w:r>
        <w:rPr/>
        <w:t>）可收回金额。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both"/>
        <w:rPr>
          <w:b w:val="0"/>
          <w:bCs w:val="0"/>
        </w:rPr>
      </w:pPr>
      <w:bookmarkStart w:name="14、长期股权投资" w:id="184"/>
      <w:bookmarkEnd w:id="18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420"/>
        <w:jc w:val="both"/>
      </w:pPr>
      <w:r>
        <w:rPr/>
        <w:t>本部分所指的长期股权投资是指本公司对被投资单位具有控制、共同控制或重大影响的长期股权投资。本公司对被投 </w:t>
      </w:r>
      <w:r>
        <w:rPr>
          <w:spacing w:val="-2"/>
        </w:rPr>
        <w:t>资单位不具有控制、共同控制或重大影响的长期股权投资，作为可供出售金融资产或以公允价值计量且其变动计入当期损益</w:t>
      </w:r>
      <w:r>
        <w:rPr>
          <w:spacing w:val="-64"/>
        </w:rPr>
        <w:t> </w:t>
      </w:r>
      <w:r>
        <w:rPr>
          <w:spacing w:val="-64"/>
        </w:rPr>
      </w:r>
      <w:r>
        <w:rPr/>
        <w:t>的金融资产核算，其会计政策详见附注五、</w:t>
      </w:r>
      <w:r>
        <w:rPr>
          <w:rFonts w:ascii="宋体" w:hAnsi="宋体" w:cs="宋体" w:eastAsia="宋体" w:hint="default"/>
        </w:rPr>
        <w:t>10</w:t>
      </w:r>
      <w:r>
        <w:rPr/>
        <w:t>“金融工具”。</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3" w:firstLine="420"/>
        <w:jc w:val="both"/>
      </w:pPr>
      <w:r>
        <w:rPr/>
        <w:t>共同控制，是指本公司按照相关约定对某项安排所共有的控制，并且该安排的相关活动必须经过分享控制权的参与方 </w:t>
      </w:r>
      <w:r>
        <w:rPr>
          <w:spacing w:val="-2"/>
        </w:rPr>
        <w:t>一致同意后才能决策。重大影响，是指本公司对被投资单位的财务和经营政策有参与决策的权力，但并不能够控制或者与其</w:t>
      </w:r>
      <w:r>
        <w:rPr>
          <w:spacing w:val="-66"/>
        </w:rPr>
        <w:t> </w:t>
      </w:r>
      <w:r>
        <w:rPr>
          <w:spacing w:val="-66"/>
        </w:rPr>
      </w:r>
      <w:r>
        <w:rPr/>
        <w:t>他方一起共同控制这些政策的制定。</w:t>
      </w:r>
    </w:p>
    <w:p>
      <w:pPr>
        <w:pStyle w:val="BodyText"/>
        <w:spacing w:line="319" w:lineRule="auto" w:before="19"/>
        <w:ind w:left="574" w:right="0"/>
        <w:jc w:val="left"/>
      </w:pPr>
      <w:r>
        <w:rPr/>
        <w:t>（</w:t>
      </w:r>
      <w:r>
        <w:rPr>
          <w:rFonts w:ascii="宋体" w:hAnsi="宋体" w:cs="宋体" w:eastAsia="宋体" w:hint="default"/>
        </w:rPr>
        <w:t>1</w:t>
      </w:r>
      <w:r>
        <w:rPr/>
        <w:t>）投资成本的确定 对于同一控制下的企业合并取得的长期股权投资，在合并日按照被合并方股东权益在最终控制方合并财务报表中的账</w:t>
      </w:r>
    </w:p>
    <w:p>
      <w:pPr>
        <w:pStyle w:val="BodyText"/>
        <w:spacing w:line="316" w:lineRule="auto" w:before="17"/>
        <w:ind w:right="1131"/>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6"/>
        </w:rPr>
        <w:t> </w:t>
      </w:r>
      <w:r>
        <w:rPr>
          <w:spacing w:val="-66"/>
        </w:rPr>
      </w:r>
      <w:r>
        <w:rPr>
          <w:spacing w:val="-2"/>
        </w:rPr>
        <w:t>并日按照被合并方股东权益在最终控制方合并财务报表中的账面价值的份额作为长期股权投资的初始投资成本，按照发行股</w:t>
      </w:r>
      <w:r>
        <w:rPr>
          <w:spacing w:val="-64"/>
        </w:rPr>
        <w:t> </w:t>
      </w:r>
      <w:r>
        <w:rPr>
          <w:spacing w:val="-64"/>
        </w:rPr>
      </w:r>
      <w:r>
        <w:rPr>
          <w:spacing w:val="-2"/>
        </w:rPr>
        <w:t>份的面值总额作为股本，长期股权投资初始投资成本与所发行股份面值总额之间的差额，调整资本公积；资本公积不足冲减</w:t>
      </w:r>
      <w:r>
        <w:rPr>
          <w:spacing w:val="-66"/>
        </w:rPr>
        <w:t> </w:t>
      </w:r>
      <w:r>
        <w:rPr>
          <w:spacing w:val="-66"/>
        </w:rPr>
      </w:r>
      <w:r>
        <w:rPr>
          <w:spacing w:val="-2"/>
        </w:rPr>
        <w:t>的，调整留存收益。通过多次交易分步取得同一控制下被合并方的股权，最终形成同一控制下企业合并的，应分别是否属于</w:t>
      </w:r>
      <w:r>
        <w:rPr>
          <w:spacing w:val="-66"/>
        </w:rPr>
        <w:t> </w:t>
      </w:r>
      <w:r>
        <w:rPr>
          <w:spacing w:val="-66"/>
        </w:rPr>
      </w:r>
      <w:r>
        <w:rPr>
          <w:spacing w:val="-2"/>
        </w:rPr>
        <w:t>“一揽子交易”进行处理：属于“一揽子交易”的，将各项交易作为一项取得控制权的交易进行会计处理。不属于“一揽子</w:t>
      </w:r>
      <w:r>
        <w:rPr>
          <w:spacing w:val="-68"/>
        </w:rPr>
        <w:t> </w:t>
      </w:r>
      <w:r>
        <w:rPr>
          <w:spacing w:val="-68"/>
        </w:rPr>
      </w:r>
      <w:r>
        <w:rPr>
          <w:spacing w:val="-2"/>
        </w:rPr>
        <w:t>交易”的，在合并日按照应享有被合并方股东权益在最终控制方合并财务报表中的账面价值的份额作为长期股权投资的初始</w:t>
      </w:r>
      <w:r>
        <w:rPr>
          <w:spacing w:val="-64"/>
        </w:rPr>
        <w:t> </w:t>
      </w:r>
      <w:r>
        <w:rPr>
          <w:spacing w:val="-64"/>
        </w:rPr>
      </w:r>
      <w:r>
        <w:rPr>
          <w:spacing w:val="-2"/>
        </w:rPr>
        <w:t>投资成本，长期股权投资初始投资成本与达到合并前的长期股权投资账面价值加上合并日进一步取得股份新支付对价的账面</w:t>
      </w:r>
      <w:r>
        <w:rPr>
          <w:spacing w:val="-64"/>
        </w:rPr>
        <w:t> </w:t>
      </w:r>
      <w:r>
        <w:rPr>
          <w:spacing w:val="-64"/>
        </w:rPr>
      </w:r>
      <w:r>
        <w:rPr>
          <w:spacing w:val="-2"/>
        </w:rPr>
        <w:t>价值之和的差额，调整资本公积；资本公积不足冲减的，调整留存收益。合并日之前持有的股权投资因采用权益法核算或为</w:t>
      </w:r>
      <w:r>
        <w:rPr>
          <w:spacing w:val="-66"/>
        </w:rPr>
        <w:t> </w:t>
      </w:r>
      <w:r>
        <w:rPr>
          <w:spacing w:val="-66"/>
        </w:rPr>
      </w:r>
      <w:r>
        <w:rPr/>
        <w:t>可供出售金融资产而确认的其他综合收益，暂不进行会计处理。</w:t>
      </w:r>
    </w:p>
    <w:p>
      <w:pPr>
        <w:pStyle w:val="BodyText"/>
        <w:spacing w:line="316" w:lineRule="auto" w:before="19"/>
        <w:ind w:right="1131" w:firstLine="420"/>
        <w:jc w:val="both"/>
      </w:pPr>
      <w:r>
        <w:rPr/>
        <w:t>对于非同一控制下的企业合并取得的长期股权投资，在购买日按照合并成本作为长期股权投资的初始投资成本，合并 </w:t>
      </w:r>
      <w:r>
        <w:rPr>
          <w:spacing w:val="-2"/>
        </w:rPr>
        <w:t>成本包括购买方付出的资产、发生或承担的负债、发行的权益性证券的公允价值之和。通过多次交易分步取得被购买方的股</w:t>
      </w:r>
      <w:r>
        <w:rPr>
          <w:spacing w:val="-66"/>
        </w:rPr>
        <w:t> </w:t>
      </w:r>
      <w:r>
        <w:rPr>
          <w:spacing w:val="-66"/>
        </w:rPr>
      </w:r>
      <w:r>
        <w:rPr>
          <w:spacing w:val="-2"/>
        </w:rPr>
        <w:t>权，最终形成非同一控制下的企业合并的，应分别是否属于“一揽子交易”进行处理：属于“一揽子交易”的，将各项交易</w:t>
      </w:r>
      <w:r>
        <w:rPr>
          <w:spacing w:val="-66"/>
        </w:rPr>
        <w:t> </w:t>
      </w:r>
      <w:r>
        <w:rPr>
          <w:spacing w:val="-66"/>
        </w:rPr>
      </w:r>
      <w:r>
        <w:rPr>
          <w:spacing w:val="-2"/>
        </w:rPr>
        <w:t>作为一项取得控制权的交易进行会计处理。不属于“一揽子交易”的，按照原持有被购买方的股权投资账面价值加上新增投</w:t>
      </w:r>
      <w:r>
        <w:rPr>
          <w:spacing w:val="-65"/>
        </w:rPr>
        <w:t> </w:t>
      </w:r>
      <w:r>
        <w:rPr>
          <w:spacing w:val="-65"/>
        </w:rPr>
      </w:r>
      <w:r>
        <w:rPr>
          <w:spacing w:val="-2"/>
        </w:rPr>
        <w:t>资成本之和，作为改按成本法核算的长期股权投资的初始投资成本。原持有的股权采用权益法核算的，相关其他综合收益暂</w:t>
      </w:r>
      <w:r>
        <w:rPr>
          <w:spacing w:val="-66"/>
        </w:rPr>
        <w:t> </w:t>
      </w:r>
      <w:r>
        <w:rPr>
          <w:spacing w:val="-66"/>
        </w:rPr>
      </w:r>
      <w:r>
        <w:rPr>
          <w:spacing w:val="-2"/>
        </w:rPr>
        <w:t>不进行会计处理。原持有股权投资为可供出售金融资产的，其公允价值与账面价值之间的差额，以及原计入其他综合收益的</w:t>
      </w:r>
      <w:r>
        <w:rPr>
          <w:spacing w:val="-66"/>
        </w:rPr>
        <w:t> </w:t>
      </w:r>
      <w:r>
        <w:rPr>
          <w:spacing w:val="-66"/>
        </w:rPr>
      </w:r>
      <w:r>
        <w:rPr/>
        <w:t>累计公允价值变动转入当期损益。</w:t>
      </w:r>
    </w:p>
    <w:p>
      <w:pPr>
        <w:pStyle w:val="BodyText"/>
        <w:spacing w:line="316" w:lineRule="auto" w:before="19"/>
        <w:ind w:right="1133" w:firstLine="420"/>
        <w:jc w:val="both"/>
      </w:pPr>
      <w:r>
        <w:rPr/>
        <w:t>合并方或购买方为企业合并发生的审计、法律服务、评估咨询等中介费用以及其他相关管理费用，于发生时计入当期 损益。</w:t>
      </w:r>
    </w:p>
    <w:p>
      <w:pPr>
        <w:pStyle w:val="BodyText"/>
        <w:spacing w:line="316" w:lineRule="auto" w:before="19"/>
        <w:ind w:right="1131" w:firstLine="420"/>
        <w:jc w:val="both"/>
      </w:pPr>
      <w:r>
        <w:rPr/>
        <w:t>除企业合并形成的长期股权投资外的其他股权投资，按成本进行初始计量，该成本视长期股权投资取得方式的不同， </w:t>
      </w:r>
      <w:r>
        <w:rPr>
          <w:spacing w:val="-2"/>
        </w:rPr>
        <w:t>分别按照本公司实际支付的现金购买价款、本公司发行的权益性证券的公允价值、投资合同或协议约定的价值、非货币性资</w:t>
      </w:r>
      <w:r>
        <w:rPr>
          <w:spacing w:val="-66"/>
        </w:rPr>
        <w:t> </w:t>
      </w:r>
      <w:r>
        <w:rPr>
          <w:spacing w:val="-66"/>
        </w:rPr>
      </w:r>
      <w:r>
        <w:rPr>
          <w:spacing w:val="-2"/>
        </w:rPr>
        <w:t>产交换交易中换出资产的公允价值或原账面价值、该项长期股权投资自身的公允价值等方式确定。与取得长期股权投资直接</w:t>
      </w:r>
      <w:r>
        <w:rPr>
          <w:spacing w:val="-64"/>
        </w:rPr>
        <w:t> </w:t>
      </w:r>
      <w:r>
        <w:rPr>
          <w:spacing w:val="-64"/>
        </w:rPr>
      </w:r>
      <w:r>
        <w:rPr>
          <w:spacing w:val="-2"/>
        </w:rPr>
        <w:t>相关的费用、税金及其他必要支出也计入投资成本。对于因追加投资能够对被投资单位实施重大影响或实施共同控制但不构</w:t>
      </w:r>
      <w:r>
        <w:rPr>
          <w:spacing w:val="-64"/>
        </w:rPr>
        <w:t> </w:t>
      </w:r>
      <w:r>
        <w:rPr>
          <w:spacing w:val="-64"/>
        </w:rPr>
      </w:r>
      <w:r>
        <w:rPr>
          <w:spacing w:val="-2"/>
        </w:rPr>
        <w:t>成控制的，长期股权投资成本为按照《企业会计准则第</w:t>
      </w:r>
      <w:r>
        <w:rPr>
          <w:rFonts w:ascii="宋体" w:hAnsi="宋体" w:cs="宋体" w:eastAsia="宋体" w:hint="default"/>
          <w:spacing w:val="-2"/>
        </w:rPr>
        <w:t>22</w:t>
      </w:r>
      <w:r>
        <w:rPr>
          <w:spacing w:val="-2"/>
        </w:rPr>
        <w:t>号——金融工具确认和计量》确定的原持有股权投资的公允价值加</w:t>
      </w:r>
      <w:r>
        <w:rPr>
          <w:spacing w:val="-64"/>
        </w:rPr>
        <w:t> </w:t>
      </w:r>
      <w:r>
        <w:rPr>
          <w:spacing w:val="-64"/>
        </w:rPr>
      </w:r>
      <w:r>
        <w:rPr/>
        <w:t>上新增投资成本之和。</w:t>
      </w:r>
    </w:p>
    <w:p>
      <w:pPr>
        <w:pStyle w:val="BodyText"/>
        <w:spacing w:line="316" w:lineRule="auto" w:before="19"/>
        <w:ind w:left="574" w:right="0"/>
        <w:jc w:val="left"/>
      </w:pPr>
      <w:r>
        <w:rPr/>
        <w:t>（</w:t>
      </w:r>
      <w:r>
        <w:rPr>
          <w:rFonts w:ascii="宋体" w:hAnsi="宋体" w:cs="宋体" w:eastAsia="宋体" w:hint="default"/>
        </w:rPr>
        <w:t>2</w:t>
      </w:r>
      <w:r>
        <w:rPr/>
        <w:t>）后续计量及损益确认方法 对被投资单位具有共同控制（构成共同经营者除外）或重大影响的长期股权投资，采用权益法核算。此外，公司财务</w:t>
      </w:r>
    </w:p>
    <w:p>
      <w:pPr>
        <w:pStyle w:val="BodyText"/>
        <w:spacing w:line="240" w:lineRule="auto" w:before="19"/>
        <w:ind w:right="0"/>
        <w:jc w:val="both"/>
      </w:pPr>
      <w:r>
        <w:rPr/>
        <w:t>报表采用成本法核算能够对被投资单位实施控制的长期股权投资。</w:t>
      </w:r>
    </w:p>
    <w:p>
      <w:pPr>
        <w:pStyle w:val="BodyText"/>
        <w:spacing w:line="316" w:lineRule="auto" w:before="76"/>
        <w:ind w:left="574" w:right="0"/>
        <w:jc w:val="left"/>
      </w:pPr>
      <w:r>
        <w:rPr/>
        <w:t>①成本法核算的长期股权投资 采用成本法核算时，长期股权投资按初始投资成本计价，追加或收回投资调整长期股权投资的成本。除取得投资时实</w:t>
      </w:r>
    </w:p>
    <w:p>
      <w:pPr>
        <w:pStyle w:val="BodyText"/>
        <w:spacing w:line="316" w:lineRule="auto" w:before="19"/>
        <w:ind w:right="1131"/>
        <w:jc w:val="both"/>
      </w:pPr>
      <w:r>
        <w:rPr>
          <w:spacing w:val="-2"/>
        </w:rPr>
        <w:t>际支付的价款或者对价中包含的已宣告但尚未发放的现金股利或者利润外，当期投资收益按照享有被投资单位宣告发放的现</w:t>
      </w:r>
      <w:r>
        <w:rPr>
          <w:spacing w:val="-64"/>
        </w:rPr>
        <w:t> </w:t>
      </w:r>
      <w:r>
        <w:rPr>
          <w:spacing w:val="-64"/>
        </w:rPr>
      </w:r>
      <w:r>
        <w:rPr/>
        <w:t>金股利或利润确认。</w:t>
      </w:r>
    </w:p>
    <w:p>
      <w:pPr>
        <w:pStyle w:val="BodyText"/>
        <w:spacing w:line="316" w:lineRule="auto" w:before="19"/>
        <w:ind w:left="574" w:right="0"/>
        <w:jc w:val="left"/>
      </w:pPr>
      <w:r>
        <w:rPr/>
        <w:t>②权益法核算的长期股权投资 采用权益法核算时，长期股权投资的初始投资成本大于投资时应享有被投资单位可辨认净资产公允价值份额的，不调</w:t>
      </w:r>
    </w:p>
    <w:p>
      <w:pPr>
        <w:pStyle w:val="BodyText"/>
        <w:spacing w:line="319" w:lineRule="auto" w:before="19"/>
        <w:ind w:right="1132"/>
        <w:jc w:val="both"/>
      </w:pPr>
      <w:r>
        <w:rPr>
          <w:spacing w:val="-2"/>
        </w:rPr>
        <w:t>整长期股权投资的初始投资成本；初始投资成本小于投资时应享有被投资单位可辨认净资产公允价值份额的，其差额计入当</w:t>
      </w:r>
      <w:r>
        <w:rPr>
          <w:spacing w:val="-64"/>
        </w:rPr>
        <w:t> </w:t>
      </w:r>
      <w:r>
        <w:rPr>
          <w:spacing w:val="-64"/>
        </w:rPr>
      </w:r>
      <w:r>
        <w:rPr/>
        <w:t>期损益，同时调整长期股权投资的成本。</w:t>
      </w:r>
    </w:p>
    <w:p>
      <w:pPr>
        <w:pStyle w:val="BodyText"/>
        <w:spacing w:line="316" w:lineRule="auto" w:before="17"/>
        <w:ind w:right="1132" w:firstLine="420"/>
        <w:jc w:val="both"/>
      </w:pPr>
      <w:r>
        <w:rPr/>
        <w:t>采用权益法核算时，按照应享有或应分担的被投资单位实现的净损益和其他综合收益的份额，分别确认投资收益和其 </w:t>
      </w:r>
      <w:r>
        <w:rPr>
          <w:spacing w:val="-2"/>
        </w:rPr>
        <w:t>他综合收益，同时调整长期股权投资的账面价值；按照被投资单位宣告分派的利润或现金股利计算应享有的部分，相应减少</w:t>
      </w:r>
      <w:r>
        <w:rPr>
          <w:spacing w:val="-66"/>
        </w:rPr>
        <w:t> </w:t>
      </w:r>
      <w:r>
        <w:rPr>
          <w:spacing w:val="-66"/>
        </w:rPr>
      </w:r>
      <w:r>
        <w:rPr>
          <w:spacing w:val="-2"/>
        </w:rPr>
        <w:t>长期股权投资的账面价值；对于被投资单位除净损益、其他综合收益和利润分配以外所有者权益的其他变动，调整长期股权</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2"/>
        <w:jc w:val="left"/>
      </w:pPr>
      <w:r>
        <w:rPr>
          <w:spacing w:val="-2"/>
        </w:rPr>
        <w:t>投资的账面价值并计入资本公积。在确认应享有被投资单位净损益的份额时，以取得投资时被投资单位各项可辨认资产等的</w:t>
      </w:r>
      <w:r>
        <w:rPr>
          <w:spacing w:val="-64"/>
        </w:rPr>
        <w:t> </w:t>
      </w:r>
      <w:r>
        <w:rPr>
          <w:spacing w:val="-64"/>
        </w:rPr>
      </w:r>
      <w:r>
        <w:rPr>
          <w:spacing w:val="-2"/>
        </w:rPr>
        <w:t>公允价值为基础，对被投资单位的净利润进行调整后确认。被投资单位采用的会计政策及会计期间与本公司不一致的，按照</w:t>
      </w:r>
      <w:r>
        <w:rPr>
          <w:spacing w:val="-66"/>
        </w:rPr>
        <w:t> </w:t>
      </w:r>
      <w:r>
        <w:rPr>
          <w:spacing w:val="-66"/>
        </w:rPr>
      </w:r>
      <w:r>
        <w:rPr>
          <w:spacing w:val="-2"/>
        </w:rPr>
        <w:t>本公司的会计政策及会计期间对被投资单位的财务报表进行调整，并据以确认投资收益和其他综合收益。对于本公司与联营</w:t>
      </w:r>
      <w:r>
        <w:rPr>
          <w:spacing w:val="-63"/>
        </w:rPr>
        <w:t> </w:t>
      </w:r>
      <w:r>
        <w:rPr>
          <w:spacing w:val="-63"/>
        </w:rPr>
      </w:r>
      <w:r>
        <w:rPr>
          <w:spacing w:val="-2"/>
        </w:rPr>
        <w:t>企业及合营企业之间发生的交易，投出或出售的资产不构成业务的，未实现内部交易损益按照享有的比例计算归属于本公司</w:t>
      </w:r>
      <w:r>
        <w:rPr>
          <w:spacing w:val="-64"/>
        </w:rPr>
        <w:t> </w:t>
      </w:r>
      <w:r>
        <w:rPr>
          <w:spacing w:val="-64"/>
        </w:rPr>
      </w:r>
      <w:r>
        <w:rPr>
          <w:spacing w:val="-2"/>
        </w:rPr>
        <w:t>的部分予以抵销，在此基础上确认投资损益。但本公司与被投资单位发生的未实现内部交易损失，属于所转让资产减值损失</w:t>
      </w:r>
      <w:r>
        <w:rPr>
          <w:spacing w:val="-66"/>
        </w:rPr>
        <w:t> </w:t>
      </w:r>
      <w:r>
        <w:rPr>
          <w:spacing w:val="-66"/>
        </w:rPr>
      </w:r>
      <w:r>
        <w:rPr/>
        <w:t>的，不予以抵销。本公司向合营企业或联营企业投出的资产构成业务的，投资方因此取得长期股权投资但未取得控制权的， </w:t>
      </w:r>
      <w:r>
        <w:rPr>
          <w:spacing w:val="-2"/>
        </w:rPr>
        <w:t>以投出业务的公允价值作为新增长期股权投资的初始投资成本，初始投资成本与投出业务的账面价值之差，全额计入当期损</w:t>
      </w:r>
      <w:r>
        <w:rPr>
          <w:spacing w:val="-64"/>
        </w:rPr>
        <w:t> </w:t>
      </w:r>
      <w:r>
        <w:rPr>
          <w:spacing w:val="-64"/>
        </w:rPr>
      </w:r>
      <w:r>
        <w:rPr>
          <w:spacing w:val="-2"/>
        </w:rPr>
        <w:t>益。本公司向合营企业或联营企业出售的资产构成业务的，取得的对价与业务的账面价值之差，全额计入当期损益。本公司</w:t>
      </w:r>
      <w:r>
        <w:rPr>
          <w:spacing w:val="-66"/>
        </w:rPr>
        <w:t> </w:t>
      </w:r>
      <w:r>
        <w:rPr>
          <w:spacing w:val="-66"/>
        </w:rPr>
      </w:r>
      <w:r>
        <w:rPr>
          <w:spacing w:val="-2"/>
        </w:rPr>
        <w:t>自联营企业及合营企业购入的资产构成业务的，按《企业会计准则第</w:t>
      </w:r>
      <w:r>
        <w:rPr>
          <w:rFonts w:ascii="宋体" w:hAnsi="宋体" w:cs="宋体" w:eastAsia="宋体" w:hint="default"/>
          <w:spacing w:val="-2"/>
        </w:rPr>
        <w:t>20</w:t>
      </w:r>
      <w:r>
        <w:rPr>
          <w:spacing w:val="-2"/>
        </w:rPr>
        <w:t>号——企业合并》的规定进行会计处理，全额确认与</w:t>
      </w:r>
      <w:r>
        <w:rPr>
          <w:spacing w:val="-64"/>
        </w:rPr>
        <w:t> </w:t>
      </w:r>
      <w:r>
        <w:rPr>
          <w:spacing w:val="-64"/>
        </w:rPr>
      </w:r>
      <w:r>
        <w:rPr/>
        <w:t>交易相关的利得或损失。</w:t>
      </w:r>
    </w:p>
    <w:p>
      <w:pPr>
        <w:pStyle w:val="BodyText"/>
        <w:spacing w:line="316" w:lineRule="auto" w:before="19"/>
        <w:ind w:right="1131" w:firstLine="420"/>
        <w:jc w:val="both"/>
      </w:pPr>
      <w:r>
        <w:rPr/>
        <w:t>在确认应分担被投资单位发生的净亏损时，以长期股权投资的账面价值和其他实质上构成对被投资单位净投资的长期 </w:t>
      </w:r>
      <w:r>
        <w:rPr>
          <w:spacing w:val="-2"/>
        </w:rPr>
        <w:t>权益减记至零为限。此外，如本公司对被投资单位负有承担额外损失的义务，则按预计承担的义务确认预计负债，计入当期</w:t>
      </w:r>
      <w:r>
        <w:rPr>
          <w:spacing w:val="-66"/>
        </w:rPr>
        <w:t> </w:t>
      </w:r>
      <w:r>
        <w:rPr>
          <w:spacing w:val="-66"/>
        </w:rPr>
      </w:r>
      <w:r>
        <w:rPr/>
        <w:t>投资损失。被投资单位以后期间实现净利润的，本公司在收益分享额弥补未确认的亏损分担额后，恢复确认收益分享额。</w:t>
      </w:r>
    </w:p>
    <w:p>
      <w:pPr>
        <w:pStyle w:val="BodyText"/>
        <w:spacing w:line="316" w:lineRule="auto" w:before="19"/>
        <w:ind w:right="1132" w:firstLine="420"/>
        <w:jc w:val="both"/>
      </w:pPr>
      <w:r>
        <w:rPr/>
        <w:t>对于本公司首次执行新会计准则之前已经持有的对联营企业和合营企业的长期股权投资，如存在与该投资相关的股权 投资借方差额，按原剩余期限直线摊销的金额计入当期损益。</w:t>
      </w:r>
    </w:p>
    <w:p>
      <w:pPr>
        <w:pStyle w:val="BodyText"/>
        <w:spacing w:line="316" w:lineRule="auto" w:before="19"/>
        <w:ind w:left="574" w:right="0"/>
        <w:jc w:val="left"/>
      </w:pPr>
      <w:r>
        <w:rPr/>
        <w:t>③收购少数股权 在编制合并财务报表时，因购买少数股权新增的长期股权投资与按照新增持股比例计算应享有子公司自购买日（或合</w:t>
      </w:r>
    </w:p>
    <w:p>
      <w:pPr>
        <w:pStyle w:val="BodyText"/>
        <w:spacing w:line="240" w:lineRule="auto" w:before="19"/>
        <w:ind w:right="0"/>
        <w:jc w:val="left"/>
      </w:pPr>
      <w:r>
        <w:rPr/>
        <w:t>并日）开始持续计算的净资产份额之间的差额，调整资本公积，资本公积不足冲减的，调整留存收益。</w:t>
      </w:r>
    </w:p>
    <w:p>
      <w:pPr>
        <w:pStyle w:val="BodyText"/>
        <w:spacing w:line="316" w:lineRule="auto" w:before="76"/>
        <w:ind w:left="574" w:right="0"/>
        <w:jc w:val="left"/>
      </w:pPr>
      <w:r>
        <w:rPr/>
        <w:t>④处置长期股权投资 在合并财务报表中，母公司在不丧失控制权的情况下部分处置对子公司的长期股权投资，处置价款与处置长期股权投</w:t>
      </w:r>
    </w:p>
    <w:p>
      <w:pPr>
        <w:pStyle w:val="BodyText"/>
        <w:spacing w:line="316" w:lineRule="auto" w:before="19"/>
        <w:ind w:right="0"/>
        <w:jc w:val="left"/>
      </w:pPr>
      <w:r>
        <w:rPr>
          <w:spacing w:val="-2"/>
        </w:rPr>
        <w:t>资相对应享有子公司净资产的差额计入股东权益；母公司部分处置对子公司的长期股权投资导致丧失对子公司控制权的，按</w:t>
      </w:r>
      <w:r>
        <w:rPr>
          <w:spacing w:val="-63"/>
        </w:rPr>
        <w:t> </w:t>
      </w:r>
      <w:r>
        <w:rPr>
          <w:spacing w:val="-63"/>
        </w:rPr>
      </w:r>
      <w:r>
        <w:rPr/>
        <w:t>本附注五、</w:t>
      </w:r>
      <w:r>
        <w:rPr>
          <w:rFonts w:ascii="宋体" w:hAnsi="宋体" w:cs="宋体" w:eastAsia="宋体" w:hint="default"/>
        </w:rPr>
        <w:t>6</w:t>
      </w:r>
      <w:r>
        <w:rPr/>
        <w:t>、（</w:t>
      </w:r>
      <w:r>
        <w:rPr>
          <w:rFonts w:ascii="宋体" w:hAnsi="宋体" w:cs="宋体" w:eastAsia="宋体" w:hint="default"/>
        </w:rPr>
        <w:t>2</w:t>
      </w:r>
      <w:r>
        <w:rPr/>
        <w:t>）“合并财务报表编制的方法”中所述的相关会计政策处理。</w:t>
      </w:r>
    </w:p>
    <w:p>
      <w:pPr>
        <w:pStyle w:val="BodyText"/>
        <w:spacing w:line="316" w:lineRule="auto" w:before="19"/>
        <w:ind w:left="574" w:right="0"/>
        <w:jc w:val="left"/>
      </w:pPr>
      <w:r>
        <w:rPr/>
        <w:t>其他情形下的长期股权投资处置，对于处置的股权，其账面价值与实际取得价款的差额，计入当期损益。 采用权益法核算的长期股权投资，处置后的剩余股权仍采用权益法核算的，在处置时将原计入股东权益的其他综合收</w:t>
      </w:r>
    </w:p>
    <w:p>
      <w:pPr>
        <w:pStyle w:val="BodyText"/>
        <w:spacing w:line="316" w:lineRule="auto" w:before="19"/>
        <w:ind w:right="0"/>
        <w:jc w:val="left"/>
      </w:pPr>
      <w:r>
        <w:rPr>
          <w:spacing w:val="-2"/>
        </w:rPr>
        <w:t>益部分按相应的比例采用与被投资单位直接处置相关资产或负债相同的基础进行会计处理。因被投资方除净损益、其他综合</w:t>
      </w:r>
      <w:r>
        <w:rPr>
          <w:spacing w:val="-64"/>
        </w:rPr>
        <w:t> </w:t>
      </w:r>
      <w:r>
        <w:rPr>
          <w:spacing w:val="-64"/>
        </w:rPr>
      </w:r>
      <w:r>
        <w:rPr/>
        <w:t>收益和利润分配以外的其他所有者权益变动而确认的所有者权益，按比例结转入当期损益。</w:t>
      </w:r>
    </w:p>
    <w:p>
      <w:pPr>
        <w:pStyle w:val="BodyText"/>
        <w:spacing w:line="316" w:lineRule="auto" w:before="19"/>
        <w:ind w:right="1131" w:firstLine="420"/>
        <w:jc w:val="both"/>
      </w:pPr>
      <w:r>
        <w:rPr/>
        <w:t>采用成本法核算的长期股权投资，处置后剩余股权仍采用成本法核算的，其在取得对被投资单位的控制之前因采用权 </w:t>
      </w:r>
      <w:r>
        <w:rPr>
          <w:spacing w:val="-2"/>
        </w:rPr>
        <w:t>益法核算或金融工具确认和计量准则核算而确认的其他综合收益，采用与被投资单位直接处置相关资产或负债相同的基础进</w:t>
      </w:r>
      <w:r>
        <w:rPr>
          <w:spacing w:val="-64"/>
        </w:rPr>
        <w:t> </w:t>
      </w:r>
      <w:r>
        <w:rPr>
          <w:spacing w:val="-64"/>
        </w:rPr>
      </w:r>
      <w:r>
        <w:rPr>
          <w:spacing w:val="-2"/>
        </w:rPr>
        <w:t>行会计处理，并按比例结转当期损益；因采用权益法核算而确认的被投资单位净资产中除净损益、其他综合收益和利润分配</w:t>
      </w:r>
      <w:r>
        <w:rPr>
          <w:spacing w:val="-66"/>
        </w:rPr>
        <w:t> </w:t>
      </w:r>
      <w:r>
        <w:rPr>
          <w:spacing w:val="-66"/>
        </w:rPr>
      </w:r>
      <w:r>
        <w:rPr/>
        <w:t>以外的其他所有者权益变动按比例结转当期损益。</w:t>
      </w:r>
    </w:p>
    <w:p>
      <w:pPr>
        <w:pStyle w:val="BodyText"/>
        <w:spacing w:line="316" w:lineRule="auto" w:before="19"/>
        <w:ind w:right="1131" w:firstLine="420"/>
        <w:jc w:val="both"/>
      </w:pPr>
      <w:r>
        <w:rPr/>
        <w:t>本公司因处置部分股权投资丧失了对被投资单位的控制的，在编制个别财务报表时，处置后的剩余股权能够对被投资 </w:t>
      </w:r>
      <w:r>
        <w:rPr>
          <w:spacing w:val="-2"/>
        </w:rPr>
        <w:t>单位实施共同控制或施加重大影响的，改按权益法核算，并对该剩余股权视同自取得时即采用权益法核算进行调整；处置后</w:t>
      </w:r>
      <w:r>
        <w:rPr>
          <w:spacing w:val="-66"/>
        </w:rPr>
        <w:t> </w:t>
      </w:r>
      <w:r>
        <w:rPr>
          <w:spacing w:val="-66"/>
        </w:rPr>
      </w:r>
      <w:r>
        <w:rPr>
          <w:spacing w:val="-2"/>
        </w:rPr>
        <w:t>的剩余股权不能对被投资单位实施共同控制或施加重大影响的，改按金融工具确认和计量准则的有关规定进行会计处理，其</w:t>
      </w:r>
      <w:r>
        <w:rPr>
          <w:spacing w:val="-64"/>
        </w:rPr>
        <w:t> </w:t>
      </w:r>
      <w:r>
        <w:rPr>
          <w:spacing w:val="-64"/>
        </w:rPr>
      </w:r>
      <w:r>
        <w:rPr>
          <w:spacing w:val="-2"/>
        </w:rPr>
        <w:t>在丧失控制之日的公允价值与账面价值之间的差额计入当期损益。对于本公司取得对被投资单位的控制之前，因采用权益法</w:t>
      </w:r>
      <w:r>
        <w:rPr>
          <w:spacing w:val="-64"/>
        </w:rPr>
        <w:t> </w:t>
      </w:r>
      <w:r>
        <w:rPr>
          <w:spacing w:val="-64"/>
        </w:rPr>
      </w:r>
      <w:r>
        <w:rPr>
          <w:spacing w:val="-2"/>
        </w:rPr>
        <w:t>核算或金融工具确认和计量准则核算而确认的其他综合收益，在丧失对被投资单位控制时采用与被投资单位直接处置相关资</w:t>
      </w:r>
      <w:r>
        <w:rPr>
          <w:spacing w:val="-64"/>
        </w:rPr>
        <w:t> </w:t>
      </w:r>
      <w:r>
        <w:rPr>
          <w:spacing w:val="-64"/>
        </w:rPr>
      </w:r>
      <w:r>
        <w:rPr>
          <w:spacing w:val="-2"/>
        </w:rPr>
        <w:t>产或负债相同的基础进行会计处理，因采用权益法核算而确认的被投资单位净资产中除净损益、其他综合收益和利润分配以</w:t>
      </w:r>
      <w:r>
        <w:rPr>
          <w:spacing w:val="-64"/>
        </w:rPr>
        <w:t> </w:t>
      </w:r>
      <w:r>
        <w:rPr>
          <w:spacing w:val="-64"/>
        </w:rPr>
      </w:r>
      <w:r>
        <w:rPr>
          <w:spacing w:val="-2"/>
        </w:rPr>
        <w:t>外的其他所有者权益变动在丧失对被投资单位控制时结转入当期损益。其中，处置后的剩余股权采用权益法核算的，其他综</w:t>
      </w:r>
      <w:r>
        <w:rPr>
          <w:spacing w:val="-66"/>
        </w:rPr>
        <w:t> </w:t>
      </w:r>
      <w:r>
        <w:rPr>
          <w:spacing w:val="-66"/>
        </w:rPr>
      </w:r>
      <w:r>
        <w:rPr>
          <w:spacing w:val="-2"/>
        </w:rPr>
        <w:t>合收益和其他所有者权益按比例结转；处置后的剩余股权改按金融工具确认和计量准则进行会计处理的，其他综合收益和其</w:t>
      </w:r>
      <w:r>
        <w:rPr>
          <w:spacing w:val="-64"/>
        </w:rPr>
        <w:t> </w:t>
      </w:r>
      <w:r>
        <w:rPr>
          <w:spacing w:val="-64"/>
        </w:rPr>
      </w:r>
      <w:r>
        <w:rPr/>
        <w:t>他所有者权益全部结转。</w:t>
      </w:r>
    </w:p>
    <w:p>
      <w:pPr>
        <w:pStyle w:val="BodyText"/>
        <w:spacing w:line="319" w:lineRule="auto" w:before="19"/>
        <w:ind w:right="1132" w:firstLine="420"/>
        <w:jc w:val="both"/>
      </w:pPr>
      <w:r>
        <w:rPr/>
        <w:t>本公司因处置部分股权投资丧失了对被投资单位的共同控制或重大影响的，处置后的剩余股权改按金融工具确认和计 </w:t>
      </w:r>
      <w:r>
        <w:rPr>
          <w:spacing w:val="-2"/>
        </w:rPr>
        <w:t>量准则核算，其在丧失共同控制或重大影响之日的公允价值与账面价值之间的差额计入当期损益。原股权投资因采用权益法</w:t>
      </w:r>
      <w:r>
        <w:rPr>
          <w:spacing w:val="-64"/>
        </w:rPr>
        <w:t> </w:t>
      </w:r>
      <w:r>
        <w:rPr>
          <w:spacing w:val="-64"/>
        </w:rPr>
      </w:r>
      <w:r>
        <w:rPr/>
        <w:t>核算而确认的其他综合收益，在终止采用权益法核算时采用与被投资单位直接处置相关资产或负债相同的基础进行会计处</w:t>
      </w:r>
      <w:r>
        <w:rPr>
          <w:spacing w:val="-2"/>
        </w:rPr>
        <w:t> </w:t>
      </w:r>
      <w:r>
        <w:rPr>
          <w:spacing w:val="-2"/>
        </w:rPr>
        <w:t>理，因被投资方除净损益、其他综合收益和利润分配以外的其他所有者权益变动而确认的所有者权益，在终止采用权益法时</w:t>
      </w:r>
      <w:r>
        <w:rPr>
          <w:spacing w:val="-66"/>
        </w:rPr>
        <w:t> </w:t>
      </w:r>
      <w:r>
        <w:rPr>
          <w:spacing w:val="-66"/>
        </w:rPr>
      </w:r>
      <w:r>
        <w:rPr/>
        <w:t>全部转入当期投资收益。</w:t>
      </w:r>
    </w:p>
    <w:p>
      <w:pPr>
        <w:spacing w:after="0" w:line="31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420"/>
        <w:jc w:val="both"/>
      </w:pPr>
      <w:r>
        <w:rPr/>
        <w:t>本公司通过多次交易分步处置对子公司股权投资直至丧失控制权，如果上述交易属于一揽子交易的，将各项交易作为 </w:t>
      </w:r>
      <w:r>
        <w:rPr>
          <w:spacing w:val="-2"/>
        </w:rPr>
        <w:t>一项处置子公司股权投资并丧失控制权的交易进行会计处理，在丧失控制权之前每一次处置价款与所处置的股权对应的长期</w:t>
      </w:r>
      <w:r>
        <w:rPr>
          <w:spacing w:val="-64"/>
        </w:rPr>
        <w:t> </w:t>
      </w:r>
      <w:r>
        <w:rPr>
          <w:spacing w:val="-64"/>
        </w:rPr>
      </w:r>
      <w:r>
        <w:rPr/>
        <w:t>股权投资账面价值之间的差额，先确认为其他综合收益，到丧失控制权时再一并转入丧失控制权的当期损益。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15、固定资产" w:id="185"/>
      <w:bookmarkEnd w:id="185"/>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6"/>
      <w:bookmarkEnd w:id="18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420"/>
        <w:jc w:val="both"/>
      </w:pPr>
      <w:r>
        <w:rPr/>
        <w:t>固定资产是指为生产商品、提供劳务、出租或经营管理而持有的，使用寿命超过一个会计年度的有形资产。固定资产 </w:t>
      </w:r>
      <w:r>
        <w:rPr>
          <w:spacing w:val="-2"/>
        </w:rPr>
        <w:t>仅在与其有关的经济利益很可能流入本公司，且其成本能够可靠地计量时才予以确认。固定资产按成本并考虑预计弃置费用</w:t>
      </w:r>
      <w:r>
        <w:rPr>
          <w:spacing w:val="-64"/>
        </w:rPr>
        <w:t> </w:t>
      </w:r>
      <w:r>
        <w:rPr>
          <w:spacing w:val="-64"/>
        </w:rPr>
      </w:r>
      <w:r>
        <w:rPr/>
        <w:t>因素的影响进行初始计量。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折旧方法" w:id="187"/>
      <w:bookmarkEnd w:id="18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188"/>
      <w:bookmarkEnd w:id="188"/>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20"/>
        <w:jc w:val="both"/>
      </w:pPr>
      <w:r>
        <w:rPr/>
        <w:t>融资租赁为实质上转移了与资产所有权有关的全部风险和报酬的租赁，其所有权最终可能转移，也可能不转移。以融 </w:t>
      </w:r>
      <w:r>
        <w:rPr>
          <w:spacing w:val="-2"/>
        </w:rPr>
        <w:t>资租赁方式租入的固定资产采用与自有固定资产一致的政策计提租赁资产折旧。能够合理确定租赁期届满时取得租赁资产所</w:t>
      </w:r>
      <w:r>
        <w:rPr>
          <w:spacing w:val="-64"/>
        </w:rPr>
        <w:t> </w:t>
      </w:r>
      <w:r>
        <w:rPr>
          <w:spacing w:val="-64"/>
        </w:rPr>
      </w:r>
      <w:r>
        <w:rPr>
          <w:spacing w:val="-2"/>
        </w:rPr>
        <w:t>有权的，在租赁资产使用寿命内计提折旧；无法合理确定租赁期届满能够取得租赁资产所有权的，在租赁期与租赁资产使用</w:t>
      </w:r>
      <w:r>
        <w:rPr>
          <w:spacing w:val="-66"/>
        </w:rPr>
        <w:t> </w:t>
      </w:r>
      <w:r>
        <w:rPr>
          <w:spacing w:val="-66"/>
        </w:rPr>
      </w:r>
      <w:r>
        <w:rPr/>
        <w:t>寿命两者中较短的期间内计提折旧。</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6、在建工程" w:id="189"/>
      <w:bookmarkEnd w:id="189"/>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6" w:lineRule="auto" w:before="26"/>
        <w:ind w:right="1130" w:firstLine="420"/>
        <w:jc w:val="both"/>
      </w:pPr>
      <w:r>
        <w:rPr/>
        <w:t>在建工程成本按实际工程支出确定，包括在建期间发生的各项工程支出、工程达到预定可使用状态前的资本化的借款 费用以及其他相关费用等。在建工程在达到预定可使用状态后结转为固定资产。</w:t>
      </w:r>
    </w:p>
    <w:p>
      <w:pPr>
        <w:pStyle w:val="BodyText"/>
        <w:spacing w:line="240" w:lineRule="auto" w:before="19"/>
        <w:ind w:left="574" w:right="0"/>
        <w:jc w:val="left"/>
      </w:pPr>
      <w:r>
        <w:rPr/>
        <w:t>在建工程的减值测试方法和减值准备计提方法详见附注五、</w:t>
      </w:r>
      <w:r>
        <w:rPr>
          <w:rFonts w:ascii="宋体" w:hAnsi="宋体" w:cs="宋体" w:eastAsia="宋体" w:hint="default"/>
        </w:rPr>
        <w:t>19</w:t>
      </w:r>
      <w:r>
        <w:rPr/>
        <w:t>“长期资产减值”。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17、借款费用" w:id="190"/>
      <w:bookmarkEnd w:id="190"/>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420"/>
        <w:jc w:val="both"/>
      </w:pPr>
      <w:r>
        <w:rPr/>
        <w:t>借款费用包括借款利息、折价或溢价的摊销、辅助费用以及因外币借款而发生的汇兑差额等。可直接归属于符合资本 </w:t>
      </w:r>
      <w:r>
        <w:rPr>
          <w:spacing w:val="-2"/>
        </w:rPr>
        <w:t>化条件的资产的购建或者生产的借款费用，在资产支出已经发生、借款费用已经发生、为使资产达到预定可使用或可销售状</w:t>
      </w:r>
      <w:r>
        <w:rPr>
          <w:spacing w:val="-66"/>
        </w:rPr>
        <w:t> </w:t>
      </w:r>
      <w:r>
        <w:rPr>
          <w:spacing w:val="-66"/>
        </w:rPr>
      </w:r>
      <w:r>
        <w:rPr>
          <w:spacing w:val="-2"/>
        </w:rPr>
        <w:t>态所必要的购建或生产活动已经开始时，开始资本化；构建或者生产的符合资本化条件的资产达到预定可使用状态或者可销</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74" w:right="0" w:hanging="420"/>
        <w:jc w:val="left"/>
      </w:pPr>
      <w:r>
        <w:rPr/>
        <w:t>售状态时，停止资本化。其余借款费用在发生当期确认为费用。 专门借款当期实际发生的利息费用，减去尚未动用的借款资金存入银行取得的利息收入或进行暂时性投资取得的投资</w:t>
      </w:r>
    </w:p>
    <w:p>
      <w:pPr>
        <w:pStyle w:val="BodyText"/>
        <w:spacing w:line="316" w:lineRule="auto" w:before="19"/>
        <w:ind w:right="0"/>
        <w:jc w:val="left"/>
      </w:pPr>
      <w:r>
        <w:rPr>
          <w:spacing w:val="-2"/>
        </w:rPr>
        <w:t>收益后的金额予以资本化；一般借款根据累计资产支出超过专门借款部分的资产支出加权平均数乘以所占用一般借款的资本</w:t>
      </w:r>
      <w:r>
        <w:rPr>
          <w:spacing w:val="-64"/>
        </w:rPr>
        <w:t> </w:t>
      </w:r>
      <w:r>
        <w:rPr>
          <w:spacing w:val="-64"/>
        </w:rPr>
      </w:r>
      <w:r>
        <w:rPr/>
        <w:t>化率，确定资本化金额。资本化率根据一般借款的加权平均利率计算确定。</w:t>
      </w:r>
    </w:p>
    <w:p>
      <w:pPr>
        <w:pStyle w:val="BodyText"/>
        <w:spacing w:line="316" w:lineRule="auto" w:before="19"/>
        <w:ind w:left="574" w:right="0"/>
        <w:jc w:val="left"/>
      </w:pPr>
      <w:r>
        <w:rPr/>
        <w:t>资本化期间内，外币专门借款的汇兑差额全部予以资本化；外币一般借款的汇兑差额计入当期损益。 符合资本化条件的资产指需要经过相当长时间的购建或者生产活动才能达到预定可使用或可销售状态的固定资产、投</w:t>
      </w:r>
    </w:p>
    <w:p>
      <w:pPr>
        <w:pStyle w:val="BodyText"/>
        <w:spacing w:line="316" w:lineRule="auto" w:before="19"/>
        <w:ind w:left="574" w:right="1114" w:hanging="420"/>
        <w:jc w:val="left"/>
      </w:pPr>
      <w:r>
        <w:rPr/>
        <w:t>资性房地产和存货等资产。 </w:t>
      </w:r>
      <w:r>
        <w:rPr>
          <w:spacing w:val="-1"/>
        </w:rPr>
        <w:t>如果符合资本化条件的资产在购建或生产过程中发生非正常中断、并且中断时间连续超过</w:t>
      </w:r>
      <w:r>
        <w:rPr>
          <w:rFonts w:ascii="宋体" w:hAnsi="宋体" w:cs="宋体" w:eastAsia="宋体" w:hint="default"/>
          <w:spacing w:val="-1"/>
        </w:rPr>
        <w:t>3</w:t>
      </w:r>
      <w:r>
        <w:rPr>
          <w:spacing w:val="-1"/>
        </w:rPr>
        <w:t>个月的，暂停借款费用的资</w:t>
      </w:r>
    </w:p>
    <w:p>
      <w:pPr>
        <w:pStyle w:val="BodyText"/>
        <w:spacing w:line="240" w:lineRule="auto" w:before="19"/>
        <w:ind w:right="0"/>
        <w:jc w:val="left"/>
      </w:pPr>
      <w:r>
        <w:rPr/>
        <w:t>本化，直至资产的购建或生产活动重新开始。</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8、无形资产" w:id="191"/>
      <w:bookmarkEnd w:id="191"/>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2"/>
      <w:bookmarkEnd w:id="19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6" w:lineRule="auto" w:before="28"/>
        <w:ind w:left="574" w:right="0"/>
        <w:jc w:val="left"/>
      </w:pPr>
      <w:r>
        <w:rPr/>
        <w:t>无形资产是指本公司拥有或者控制的没有实物形态的可辨认非货币性资产。 无形资产按成本进行初始计量。与无形资产有关的支出，如果相关的经济利益很可能流入本公司且其成本能可靠地计</w:t>
      </w:r>
    </w:p>
    <w:p>
      <w:pPr>
        <w:pStyle w:val="BodyText"/>
        <w:spacing w:line="316" w:lineRule="auto" w:before="19"/>
        <w:ind w:left="574" w:right="0" w:hanging="420"/>
        <w:jc w:val="left"/>
      </w:pPr>
      <w:r>
        <w:rPr/>
        <w:t>量，则计入无形资产成本。除此以外的其他项目的支出，在发生时计入当期损益。 取得的土地使用权通常作为无形资产核算。自行开发建造厂房等建筑物，相关的土地使用权支出和建筑物建造成本则</w:t>
      </w:r>
    </w:p>
    <w:p>
      <w:pPr>
        <w:pStyle w:val="BodyText"/>
        <w:spacing w:line="316" w:lineRule="auto" w:before="19"/>
        <w:ind w:right="0"/>
        <w:jc w:val="left"/>
      </w:pPr>
      <w:r>
        <w:rPr>
          <w:spacing w:val="-2"/>
        </w:rPr>
        <w:t>分别作为无形资产和固定资产核算。如为外购的房屋及建筑物，则将有关价款在土地使用权和建筑物之间进行分配，难以合</w:t>
      </w:r>
      <w:r>
        <w:rPr>
          <w:spacing w:val="-66"/>
        </w:rPr>
        <w:t> </w:t>
      </w:r>
      <w:r>
        <w:rPr>
          <w:spacing w:val="-66"/>
        </w:rPr>
      </w:r>
      <w:r>
        <w:rPr/>
        <w:t>理分配的，全部作为固定资产处理。</w:t>
      </w:r>
    </w:p>
    <w:p>
      <w:pPr>
        <w:pStyle w:val="BodyText"/>
        <w:spacing w:line="316" w:lineRule="auto" w:before="19"/>
        <w:ind w:right="1133" w:firstLine="420"/>
        <w:jc w:val="both"/>
      </w:pPr>
      <w:r>
        <w:rPr/>
        <w:t>使用寿命有限的无形资产自可供使用时起，对其原值减去预计净残值和已计提的减值准备累计金额在其预计使用寿命 内采用直线法分期平均摊销。使用寿命不确定的无形资产不予摊销。</w:t>
      </w:r>
    </w:p>
    <w:p>
      <w:pPr>
        <w:pStyle w:val="BodyText"/>
        <w:spacing w:line="316" w:lineRule="auto" w:before="19"/>
        <w:ind w:right="1130" w:firstLine="420"/>
        <w:jc w:val="both"/>
      </w:pPr>
      <w:r>
        <w:rPr/>
        <w:t>期末，对使用寿命有限的无形资产的使用寿命和摊销方法进行复核，如发生变更则作为会计估计变更处理。此外，还 </w:t>
      </w:r>
      <w:r>
        <w:rPr>
          <w:spacing w:val="-2"/>
        </w:rPr>
        <w:t>对使用寿命不确定的无形资产的使用寿命进行复核，如果有证据表明该无形资产为企业带来经济利益的期限是可预见的，则</w:t>
      </w:r>
      <w:r>
        <w:rPr>
          <w:spacing w:val="-64"/>
        </w:rPr>
        <w:t> </w:t>
      </w:r>
      <w:r>
        <w:rPr>
          <w:spacing w:val="-64"/>
        </w:rPr>
      </w:r>
      <w:r>
        <w:rPr/>
        <w:t>估计其使用寿命并按照使用寿命有限的无形资产的摊销政策进行摊销。</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内部研究开发支出会计政策" w:id="193"/>
      <w:bookmarkEnd w:id="19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4" w:right="1692"/>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574" w:right="0"/>
        <w:jc w:val="left"/>
      </w:pPr>
      <w:r>
        <w:rPr/>
        <w:t>①完成该无形资产以使其能够使用或出售在技术上具有可行性；</w:t>
      </w:r>
    </w:p>
    <w:p>
      <w:pPr>
        <w:pStyle w:val="BodyText"/>
        <w:spacing w:line="240" w:lineRule="auto" w:before="76"/>
        <w:ind w:left="574" w:right="0"/>
        <w:jc w:val="left"/>
      </w:pPr>
      <w:r>
        <w:rPr/>
        <w:t>②具有完成该无形资产并使用或出售的意图；</w:t>
      </w:r>
    </w:p>
    <w:p>
      <w:pPr>
        <w:pStyle w:val="BodyText"/>
        <w:spacing w:line="316" w:lineRule="auto" w:before="76"/>
        <w:ind w:right="1133" w:firstLine="420"/>
        <w:jc w:val="both"/>
      </w:pPr>
      <w:r>
        <w:rPr/>
        <w:t>③无形资产产生经济利益的方式，包括能够证明运用该无形资产生产的产品存在市场或无形资产自身存在市场，无形 资产将在内部使用的，能够证明其有用性；</w:t>
      </w:r>
    </w:p>
    <w:p>
      <w:pPr>
        <w:pStyle w:val="BodyText"/>
        <w:spacing w:line="240" w:lineRule="auto" w:before="19"/>
        <w:ind w:left="574" w:right="0"/>
        <w:jc w:val="left"/>
      </w:pPr>
      <w:r>
        <w:rPr/>
        <w:t>④有足够的技术、财务资源和其他资源支持，以完成该无形资产的开发，并有能力使用或出售该无形资产；</w:t>
      </w:r>
    </w:p>
    <w:p>
      <w:pPr>
        <w:pStyle w:val="BodyText"/>
        <w:spacing w:line="316" w:lineRule="auto" w:before="76"/>
        <w:ind w:left="574" w:right="3852"/>
        <w:jc w:val="left"/>
      </w:pPr>
      <w:r>
        <w:rPr/>
        <w:t>⑤归属于该无形资产开发阶段的支出能够可靠地计量。 无法区分研究阶段支出和开发阶段支出的，将发生的研发支出全部计入当期损益。</w:t>
      </w:r>
    </w:p>
    <w:p>
      <w:pPr>
        <w:pStyle w:val="BodyText"/>
        <w:spacing w:line="316" w:lineRule="auto" w:before="19"/>
        <w:ind w:left="574" w:right="3852"/>
        <w:jc w:val="left"/>
      </w:pPr>
      <w:r>
        <w:rPr/>
        <w:t>（</w:t>
      </w:r>
      <w:r>
        <w:rPr>
          <w:rFonts w:ascii="宋体" w:hAnsi="宋体" w:cs="宋体" w:eastAsia="宋体" w:hint="default"/>
        </w:rPr>
        <w:t>3</w:t>
      </w:r>
      <w:r>
        <w:rPr/>
        <w:t>）无形资产的减值测试方法及减值准备计提方法 无形资产的减值测试方法和减值准备计提方法详见附注五、</w:t>
      </w:r>
      <w:r>
        <w:rPr>
          <w:rFonts w:ascii="宋体" w:hAnsi="宋体" w:cs="宋体" w:eastAsia="宋体" w:hint="default"/>
        </w:rPr>
        <w:t>19</w:t>
      </w:r>
      <w:r>
        <w:rPr/>
        <w:t>“长期资产减值”。</w:t>
      </w:r>
    </w:p>
    <w:p>
      <w:pPr>
        <w:spacing w:after="0" w:line="316" w:lineRule="auto"/>
        <w:jc w:val="left"/>
        <w:sectPr>
          <w:footerReference w:type="default" r:id="rId13"/>
          <w:pgSz w:w="11910" w:h="16840"/>
          <w:pgMar w:footer="979" w:header="747"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9、长期资产减值" w:id="194"/>
      <w:bookmarkEnd w:id="194"/>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2" w:firstLine="420"/>
        <w:jc w:val="left"/>
      </w:pPr>
      <w:r>
        <w:rPr/>
        <w:t>对于固定资产、在建工程、使用寿命有限的无形资产、以成本模式计量的投资性房地产及对子公司、合营企业、联营 </w:t>
      </w:r>
      <w:r>
        <w:rPr>
          <w:spacing w:val="-2"/>
        </w:rPr>
        <w:t>企业的长期股权投资等非流动非金融资产，本公司于资产负债表日判断是否存在减值迹象。如存在减值迹象的，则估计其可</w:t>
      </w:r>
      <w:r>
        <w:rPr>
          <w:spacing w:val="-66"/>
        </w:rPr>
        <w:t> </w:t>
      </w:r>
      <w:r>
        <w:rPr>
          <w:spacing w:val="-66"/>
        </w:rPr>
      </w:r>
      <w:r>
        <w:rPr/>
        <w:t>收回金额，进行减值测试。商誉、使用寿命不确定的无形资产和尚未达到可使用状态的无形资产，无论是否存在减值迹象， 每年均进行减值测试。</w:t>
      </w:r>
    </w:p>
    <w:p>
      <w:pPr>
        <w:pStyle w:val="BodyText"/>
        <w:spacing w:line="316" w:lineRule="auto" w:before="17"/>
        <w:ind w:right="1131" w:firstLine="420"/>
        <w:jc w:val="both"/>
      </w:pPr>
      <w:r>
        <w:rPr/>
        <w:t>减值测试结果表明资产的可收回金额低于其账面价值的，按其差额计提减值准备并计入减值损失。可收回金额为资产 </w:t>
      </w:r>
      <w:r>
        <w:rPr>
          <w:spacing w:val="-2"/>
        </w:rPr>
        <w:t>的公允价值减去处置费用后的净额与资产预计未来现金流量的现值两者之间的较高者。资产的公允价值根据公平交易中销售</w:t>
      </w:r>
      <w:r>
        <w:rPr>
          <w:spacing w:val="-64"/>
        </w:rPr>
        <w:t> </w:t>
      </w:r>
      <w:r>
        <w:rPr>
          <w:spacing w:val="-64"/>
        </w:rPr>
      </w:r>
      <w:r>
        <w:rPr>
          <w:spacing w:val="-2"/>
        </w:rPr>
        <w:t>协议价格确定；不存在销售协议但存在资产活跃市场的，公允价值按照该资产的买方出价确定；不存在销售协议和资产活跃</w:t>
      </w:r>
      <w:r>
        <w:rPr>
          <w:spacing w:val="-66"/>
        </w:rPr>
        <w:t> </w:t>
      </w:r>
      <w:r>
        <w:rPr>
          <w:spacing w:val="-66"/>
        </w:rPr>
      </w:r>
      <w:r>
        <w:rPr>
          <w:spacing w:val="-2"/>
        </w:rPr>
        <w:t>市场的，则以可获取的最佳信息为基础估计资产的公允价值。处置费用包括与资产处置有关的法律费用、相关税费、搬运费</w:t>
      </w:r>
      <w:r>
        <w:rPr>
          <w:spacing w:val="-66"/>
        </w:rPr>
        <w:t> </w:t>
      </w:r>
      <w:r>
        <w:rPr>
          <w:spacing w:val="-66"/>
        </w:rPr>
      </w:r>
      <w:r>
        <w:rPr>
          <w:spacing w:val="-2"/>
        </w:rPr>
        <w:t>以及为使资产达到可销售状态所发生的直接费用。资产预计未来现金流量的现值，按照资产在持续使用过程中和最终处置时</w:t>
      </w:r>
      <w:r>
        <w:rPr>
          <w:spacing w:val="-64"/>
        </w:rPr>
        <w:t> </w:t>
      </w:r>
      <w:r>
        <w:rPr>
          <w:spacing w:val="-64"/>
        </w:rPr>
      </w:r>
      <w:r>
        <w:rPr>
          <w:spacing w:val="-2"/>
        </w:rPr>
        <w:t>所产生的预计未来现金流量，选择恰当的折现率对其进行折现后的金额加以确定。资产减值准备按单项资产为基础计算并确</w:t>
      </w:r>
      <w:r>
        <w:rPr>
          <w:spacing w:val="-64"/>
        </w:rPr>
        <w:t> </w:t>
      </w:r>
      <w:r>
        <w:rPr>
          <w:spacing w:val="-64"/>
        </w:rPr>
      </w:r>
      <w:r>
        <w:rPr>
          <w:spacing w:val="-2"/>
        </w:rPr>
        <w:t>认，如果难以对单项资产的可收回金额进行估计的，以该资产所属的资产组确定资产组的可收回金额。资产组是能够独立产</w:t>
      </w:r>
      <w:r>
        <w:rPr>
          <w:spacing w:val="-66"/>
        </w:rPr>
        <w:t> </w:t>
      </w:r>
      <w:r>
        <w:rPr>
          <w:spacing w:val="-66"/>
        </w:rPr>
      </w:r>
      <w:r>
        <w:rPr/>
        <w:t>生现金流入的最小资产组合。</w:t>
      </w:r>
    </w:p>
    <w:p>
      <w:pPr>
        <w:pStyle w:val="BodyText"/>
        <w:spacing w:line="316" w:lineRule="auto" w:before="19"/>
        <w:ind w:right="1132" w:firstLine="420"/>
        <w:jc w:val="both"/>
      </w:pPr>
      <w:r>
        <w:rPr/>
        <w:t>在财务报表中单独列示的商誉，在进行减值测试时，将商誉的账面价值分摊至预期从企业合并的协同效应中受益的资 </w:t>
      </w:r>
      <w:r>
        <w:rPr>
          <w:spacing w:val="-2"/>
        </w:rPr>
        <w:t>产组或资产组组合。测试结果表明包含分摊的商誉的资产组或资产组组合的可收回金额低于其账面价值的，确认相应的减值</w:t>
      </w:r>
      <w:r>
        <w:rPr>
          <w:spacing w:val="-64"/>
        </w:rPr>
        <w:t> </w:t>
      </w:r>
      <w:r>
        <w:rPr>
          <w:spacing w:val="-64"/>
        </w:rPr>
      </w:r>
      <w:r>
        <w:rPr>
          <w:spacing w:val="-2"/>
        </w:rPr>
        <w:t>损失。减值损失金额先抵减分摊至该资产组或资产组组合的商誉的账面价值，再根据资产组或资产组组合中除商誉以外的其</w:t>
      </w:r>
      <w:r>
        <w:rPr>
          <w:spacing w:val="-64"/>
        </w:rPr>
        <w:t> </w:t>
      </w:r>
      <w:r>
        <w:rPr>
          <w:spacing w:val="-64"/>
        </w:rPr>
      </w:r>
      <w:r>
        <w:rPr/>
        <w:t>他各项资产的账面价值所占比重，按比例抵减其他各项资产的账面价值。</w:t>
      </w:r>
    </w:p>
    <w:p>
      <w:pPr>
        <w:pStyle w:val="BodyText"/>
        <w:spacing w:line="240" w:lineRule="auto" w:before="19"/>
        <w:ind w:left="574" w:right="0"/>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0、长期待摊费用" w:id="195"/>
      <w:bookmarkEnd w:id="195"/>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20"/>
        <w:jc w:val="both"/>
      </w:pPr>
      <w:r>
        <w:rPr>
          <w:spacing w:val="-1"/>
        </w:rPr>
        <w:t>长期待摊费用是指已经发生但应由本年和以后各期负担的分摊期限在</w:t>
      </w:r>
      <w:r>
        <w:rPr>
          <w:rFonts w:ascii="宋体" w:hAnsi="宋体" w:cs="宋体" w:eastAsia="宋体" w:hint="default"/>
          <w:spacing w:val="-1"/>
        </w:rPr>
        <w:t>1</w:t>
      </w:r>
      <w:r>
        <w:rPr>
          <w:spacing w:val="-1"/>
        </w:rPr>
        <w:t>年以上的各项费用。长期待摊费用按实际支出入</w:t>
      </w:r>
      <w:r>
        <w:rPr/>
        <w:t> 账，在项目受益期内平均摊销。</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1、职工薪酬" w:id="196"/>
      <w:bookmarkEnd w:id="196"/>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97"/>
      <w:bookmarkEnd w:id="197"/>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4" w:right="0"/>
        <w:jc w:val="left"/>
      </w:pPr>
      <w:r>
        <w:rPr/>
        <w:t>本公司职工薪酬主要包括短期职工薪酬、离职后福利、辞退福利以及其他长期职工福利。其中： 短期薪酬主要包括工资、奖金、津贴和补贴、职工福利费、医疗保险费、生育保险费、工伤保险费、住房公积金、工</w:t>
      </w:r>
    </w:p>
    <w:p>
      <w:pPr>
        <w:pStyle w:val="BodyText"/>
        <w:spacing w:line="316" w:lineRule="auto" w:before="19"/>
        <w:ind w:right="0"/>
        <w:jc w:val="left"/>
      </w:pPr>
      <w:r>
        <w:rPr>
          <w:spacing w:val="-2"/>
        </w:rPr>
        <w:t>会经费和职工教育经费、非货币性福利等。本公司在职工为本公司提供服务的会计期间将实际发生的短期职工薪酬确认为负</w:t>
      </w:r>
      <w:r>
        <w:rPr>
          <w:spacing w:val="-64"/>
        </w:rPr>
        <w:t> </w:t>
      </w:r>
      <w:r>
        <w:rPr>
          <w:spacing w:val="-64"/>
        </w:rPr>
      </w:r>
      <w:r>
        <w:rPr/>
        <w:t>债，并计入当期损益或相关资产成本。其中非货币性福利按公允价值计量。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离职后福利的会计处理方法" w:id="198"/>
      <w:bookmarkEnd w:id="198"/>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离职后福利主要包括基本养老保险、失业保险等。离职后福利计划包括设定提存计划。采用设定提存计划的，相应的 应缴存金额于发生时计入相关资产成本或当期损益。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辞退福利的会计处理方法" w:id="199"/>
      <w:bookmarkEnd w:id="19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420"/>
        <w:jc w:val="both"/>
      </w:pPr>
      <w:r>
        <w:rPr/>
        <w:t>在职工劳动合同到期之前解除与职工的劳动关系，或为鼓励职工自愿接受裁减而提出给予补偿的建议，在本公司不能 </w:t>
      </w:r>
      <w:r>
        <w:rPr>
          <w:spacing w:val="-2"/>
        </w:rPr>
        <w:t>单方面撤回因解除劳动关系计划或裁减建议所提供的辞退福利时，和本公司确认与涉及支付辞退福利的重组相关的成本两者</w:t>
      </w:r>
      <w:r>
        <w:rPr>
          <w:spacing w:val="-63"/>
        </w:rPr>
        <w:t> </w:t>
      </w:r>
      <w:r>
        <w:rPr>
          <w:spacing w:val="-63"/>
        </w:rPr>
      </w:r>
      <w:r>
        <w:rPr>
          <w:spacing w:val="-2"/>
        </w:rPr>
        <w:t>孰早日，确认辞退福利产生的职工薪酬负债，并计入当期损益。但辞退福利预期在年度报告期结束后十二个月不能完全支付</w:t>
      </w:r>
      <w:r>
        <w:rPr>
          <w:spacing w:val="-66"/>
        </w:rPr>
        <w:t> </w:t>
      </w:r>
      <w:r>
        <w:rPr>
          <w:spacing w:val="-66"/>
        </w:rPr>
      </w:r>
      <w:r>
        <w:rPr/>
        <w:t>的，按照其他长期职工薪酬处理。</w:t>
      </w:r>
    </w:p>
    <w:p>
      <w:pPr>
        <w:spacing w:after="0" w:line="316" w:lineRule="auto"/>
        <w:jc w:val="both"/>
        <w:sectPr>
          <w:footerReference w:type="default" r:id="rId14"/>
          <w:pgSz w:w="11910" w:h="16840"/>
          <w:pgMar w:footer="979" w:header="747" w:top="1060" w:bottom="1160" w:left="980" w:right="0"/>
          <w:pgNumType w:start="101"/>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其他长期职工福利的会计处理方法" w:id="200"/>
      <w:bookmarkEnd w:id="200"/>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职工内部退休计划采用与上述辞退福利相同的原则处理。本公司将自职工停止提供服务日至正常退休日的期间拟支付 的内退人员工资和缴纳的社会保险费等，在符合预计负债确认条件时，计入当期损益（辞退福利）。</w:t>
      </w:r>
    </w:p>
    <w:p>
      <w:pPr>
        <w:pStyle w:val="BodyText"/>
        <w:spacing w:line="316" w:lineRule="auto" w:before="19"/>
        <w:ind w:right="0" w:firstLine="420"/>
        <w:jc w:val="left"/>
      </w:pPr>
      <w:r>
        <w:rPr/>
        <w:t>本公司向职工提供的其他长期职工福利，符合设定提存计划的，按照设定提存计划进行会计处理，除此之外按照设定 受益计划进行会计处理。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2、预计负债" w:id="201"/>
      <w:bookmarkEnd w:id="201"/>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当与或有事项相关的义务同时符合以下条件，确认为预计负债：（</w:t>
      </w:r>
      <w:r>
        <w:rPr>
          <w:rFonts w:ascii="宋体" w:hAnsi="宋体" w:cs="宋体" w:eastAsia="宋体" w:hint="default"/>
        </w:rPr>
        <w:t>1</w:t>
      </w:r>
      <w:r>
        <w:rPr/>
        <w:t>）该义务是本公司承担的现时义务；（</w:t>
      </w:r>
      <w:r>
        <w:rPr>
          <w:rFonts w:ascii="宋体" w:hAnsi="宋体" w:cs="宋体" w:eastAsia="宋体" w:hint="default"/>
        </w:rPr>
        <w:t>2</w:t>
      </w:r>
      <w:r>
        <w:rPr/>
        <w:t>）履行该 义务很可能导致经济利益流出；（</w:t>
      </w:r>
      <w:r>
        <w:rPr>
          <w:rFonts w:ascii="宋体" w:hAnsi="宋体" w:cs="宋体" w:eastAsia="宋体" w:hint="default"/>
        </w:rPr>
        <w:t>3</w:t>
      </w:r>
      <w:r>
        <w:rPr/>
        <w:t>）该义务的金额能够可靠地计量。</w:t>
      </w:r>
    </w:p>
    <w:p>
      <w:pPr>
        <w:pStyle w:val="BodyText"/>
        <w:spacing w:line="316" w:lineRule="auto" w:before="19"/>
        <w:ind w:right="0" w:firstLine="420"/>
        <w:jc w:val="left"/>
      </w:pPr>
      <w:r>
        <w:rPr/>
        <w:t>在资产负债表日，考虑与或有事项有关的风险、不确定性和货币时间价值等因素，按照履行相关现时义务所需支出的 最佳估计数对预计负债进行计量。</w:t>
      </w:r>
    </w:p>
    <w:p>
      <w:pPr>
        <w:pStyle w:val="BodyText"/>
        <w:spacing w:line="316" w:lineRule="auto" w:before="19"/>
        <w:ind w:right="0" w:firstLine="420"/>
        <w:jc w:val="left"/>
      </w:pPr>
      <w:r>
        <w:rPr/>
        <w:t>如果清偿预计负债所需支出全部或部分预期由第三方补偿的，补偿金额在基本确定能够收到时，作为资产单独确认， 且确认的补偿金额不超过预计负债的账面价值。</w:t>
      </w:r>
    </w:p>
    <w:p>
      <w:pPr>
        <w:pStyle w:val="BodyText"/>
        <w:spacing w:line="316" w:lineRule="auto" w:before="19"/>
        <w:ind w:left="574" w:right="1118"/>
        <w:jc w:val="left"/>
      </w:pPr>
      <w:r>
        <w:rPr/>
        <w:t>（</w:t>
      </w:r>
      <w:r>
        <w:rPr>
          <w:rFonts w:ascii="宋体" w:hAnsi="宋体" w:cs="宋体" w:eastAsia="宋体" w:hint="default"/>
        </w:rPr>
        <w:t>1</w:t>
      </w:r>
      <w:r>
        <w:rPr/>
        <w:t>）亏损合同 亏损合同是履行合同义务不可避免会发生的成本超过预期经济利益的合同。待执行合同变成亏损合同，且该亏损合同</w:t>
      </w:r>
    </w:p>
    <w:p>
      <w:pPr>
        <w:pStyle w:val="BodyText"/>
        <w:spacing w:line="316" w:lineRule="auto" w:before="19"/>
        <w:ind w:right="1118"/>
        <w:jc w:val="left"/>
      </w:pPr>
      <w:r>
        <w:rPr>
          <w:spacing w:val="-2"/>
        </w:rPr>
        <w:t>产生的义务满足上述预计负债的确认条件的，将合同预计损失超过合同标的资产已确认的减值损失（如有）的部分，确认为</w:t>
      </w:r>
      <w:r>
        <w:rPr>
          <w:spacing w:val="-66"/>
        </w:rPr>
        <w:t> </w:t>
      </w:r>
      <w:r>
        <w:rPr>
          <w:spacing w:val="-66"/>
        </w:rPr>
      </w:r>
      <w:r>
        <w:rPr/>
        <w:t>预计负债。</w:t>
      </w:r>
    </w:p>
    <w:p>
      <w:pPr>
        <w:pStyle w:val="BodyText"/>
        <w:spacing w:line="316" w:lineRule="auto" w:before="19"/>
        <w:ind w:left="574" w:right="1118"/>
        <w:jc w:val="left"/>
      </w:pPr>
      <w:r>
        <w:rPr/>
        <w:t>（</w:t>
      </w:r>
      <w:r>
        <w:rPr>
          <w:rFonts w:ascii="宋体" w:hAnsi="宋体" w:cs="宋体" w:eastAsia="宋体" w:hint="default"/>
        </w:rPr>
        <w:t>2</w:t>
      </w:r>
      <w:r>
        <w:rPr/>
        <w:t>）重组义务 对于有详细、正式并且已经对外公告的重组计划，在满足前述预计负债的确认条件的情况下，按照与重组有关的直接</w:t>
      </w:r>
    </w:p>
    <w:p>
      <w:pPr>
        <w:pStyle w:val="BodyText"/>
        <w:spacing w:line="240" w:lineRule="auto" w:before="19"/>
        <w:ind w:right="0"/>
        <w:jc w:val="left"/>
      </w:pPr>
      <w:r>
        <w:rPr/>
        <w:t>支出确定预计负债金额。</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3、收入" w:id="202"/>
      <w:bookmarkEnd w:id="202"/>
      <w:r>
        <w:rPr>
          <w:b w:val="0"/>
          <w:bCs w:val="0"/>
        </w:rPr>
      </w:r>
      <w:r>
        <w:rPr>
          <w:rFonts w:ascii="Times New Roman" w:hAnsi="Times New Roman" w:cs="Times New Roman" w:eastAsia="Times New Roman" w:hint="default"/>
        </w:rPr>
        <w:t>23</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16" w:lineRule="auto" w:before="25"/>
        <w:ind w:left="574" w:right="0"/>
        <w:jc w:val="left"/>
      </w:pPr>
      <w:r>
        <w:rPr/>
        <w:t>（</w:t>
      </w:r>
      <w:r>
        <w:rPr>
          <w:rFonts w:ascii="宋体" w:hAnsi="宋体" w:cs="宋体" w:eastAsia="宋体" w:hint="default"/>
        </w:rPr>
        <w:t>1</w:t>
      </w:r>
      <w:r>
        <w:rPr/>
        <w:t>）商品销售收入 在已将商品所有权上的主要风险和报酬转移给买方，既没有保留通常与所有权相联系的继续管理权，也没有对已售商</w:t>
      </w:r>
    </w:p>
    <w:p>
      <w:pPr>
        <w:pStyle w:val="BodyText"/>
        <w:spacing w:line="316" w:lineRule="auto" w:before="19"/>
        <w:ind w:right="0"/>
        <w:jc w:val="left"/>
      </w:pPr>
      <w:r>
        <w:rPr>
          <w:spacing w:val="-2"/>
        </w:rPr>
        <w:t>品实施有效控制，收入的金额能够可靠地计量，相关的经济利益很可能流入企业，相关的已发生或将发生的成本能够可靠地</w:t>
      </w:r>
      <w:r>
        <w:rPr>
          <w:spacing w:val="-66"/>
        </w:rPr>
        <w:t> </w:t>
      </w:r>
      <w:r>
        <w:rPr>
          <w:spacing w:val="-66"/>
        </w:rPr>
      </w:r>
      <w:r>
        <w:rPr/>
        <w:t>计量时，确认商品销售收入的实现。</w:t>
      </w:r>
    </w:p>
    <w:p>
      <w:pPr>
        <w:pStyle w:val="BodyText"/>
        <w:spacing w:line="316" w:lineRule="auto" w:before="19"/>
        <w:ind w:left="574" w:right="0"/>
        <w:jc w:val="left"/>
      </w:pPr>
      <w:r>
        <w:rPr/>
        <w:t>本公司具体收入确认原则为： 公司销售商品收入具体判断标准：对于需安装调试且需要客户验收，在符合上述条件情况下，于客户验收合格后确认</w:t>
      </w:r>
    </w:p>
    <w:p>
      <w:pPr>
        <w:pStyle w:val="BodyText"/>
        <w:spacing w:line="316" w:lineRule="auto" w:before="19"/>
        <w:ind w:left="574" w:right="2832" w:hanging="420"/>
        <w:jc w:val="left"/>
      </w:pPr>
      <w:r>
        <w:rPr/>
        <w:t>收入的实现。对不需要安装的仪器、备件的销售在满足上述条件下，于商品发出后确认收入的实现。 运营维护服务具有长期和重复性的特点，在运营维护期内分期确认收入。</w:t>
      </w:r>
    </w:p>
    <w:p>
      <w:pPr>
        <w:pStyle w:val="BodyText"/>
        <w:spacing w:line="316" w:lineRule="auto" w:before="19"/>
        <w:ind w:left="574" w:right="0"/>
        <w:jc w:val="left"/>
      </w:pPr>
      <w:r>
        <w:rPr/>
        <w:t>（</w:t>
      </w:r>
      <w:r>
        <w:rPr>
          <w:rFonts w:ascii="宋体" w:hAnsi="宋体" w:cs="宋体" w:eastAsia="宋体" w:hint="default"/>
        </w:rPr>
        <w:t>2</w:t>
      </w:r>
      <w:r>
        <w:rPr/>
        <w:t>）提供劳务收入 在提供劳务交易的结果能够可靠估计的情况下，于资产负债表日按照完工百分比法确认提供的劳务收入。劳务交易的</w:t>
      </w:r>
    </w:p>
    <w:p>
      <w:pPr>
        <w:pStyle w:val="BodyText"/>
        <w:spacing w:line="316" w:lineRule="auto" w:before="19"/>
        <w:ind w:left="574" w:right="0" w:hanging="420"/>
        <w:jc w:val="left"/>
      </w:pPr>
      <w:r>
        <w:rPr/>
        <w:t>完工进度按已经提供的劳务占应提供劳务总量的比例确定。 </w:t>
      </w:r>
      <w:r>
        <w:rPr>
          <w:spacing w:val="-2"/>
        </w:rPr>
        <w:t>提供劳务交易的结果能够可靠估计是指同时满足：①收入的金额能够可靠地计量；②相关的经济利益很可能流入企业；</w:t>
      </w:r>
    </w:p>
    <w:p>
      <w:pPr>
        <w:pStyle w:val="BodyText"/>
        <w:spacing w:line="319" w:lineRule="auto" w:before="19"/>
        <w:ind w:left="574" w:right="0" w:hanging="420"/>
        <w:jc w:val="left"/>
      </w:pPr>
      <w:r>
        <w:rPr/>
        <w:t>③交易的完工程度能够可靠地确定；④交易中已发生和将发生的成本能够可靠地计量。 如果提供劳务交易的结果不能够可靠估计，则按已经发生并预计能够得到补偿的劳务成本金额确认提供的劳务收入，</w:t>
      </w:r>
    </w:p>
    <w:p>
      <w:pPr>
        <w:pStyle w:val="BodyText"/>
        <w:spacing w:line="316" w:lineRule="auto" w:before="17"/>
        <w:ind w:left="574" w:right="0" w:hanging="420"/>
        <w:jc w:val="left"/>
      </w:pPr>
      <w:r>
        <w:rPr/>
        <w:t>并将已发生的劳务成本作为当期费用。已经发生的劳务成本如预计不能得到补偿的，则不确认收入。 本公司与其他企业签订的合同或协议包括销售商品和提供劳务时，如销售商品部分和提供劳务部分能够区分并单独计</w:t>
      </w:r>
    </w:p>
    <w:p>
      <w:pPr>
        <w:pStyle w:val="BodyText"/>
        <w:spacing w:line="240" w:lineRule="auto" w:before="19"/>
        <w:ind w:right="0"/>
        <w:jc w:val="left"/>
      </w:pPr>
      <w:r>
        <w:rPr/>
        <w:t>量的，将销售商品部分和提供劳务部分分别处理；如销售商品部分和提供劳务部分不能够区分，或虽能区分但不能够单独计</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量的，将该合同全部作为销售商品处理。</w:t>
      </w:r>
    </w:p>
    <w:p>
      <w:pPr>
        <w:pStyle w:val="BodyText"/>
        <w:spacing w:line="316" w:lineRule="auto" w:before="76"/>
        <w:ind w:left="574" w:right="0"/>
        <w:jc w:val="left"/>
      </w:pPr>
      <w:r>
        <w:rPr/>
        <w:t>（</w:t>
      </w:r>
      <w:r>
        <w:rPr>
          <w:rFonts w:ascii="宋体" w:hAnsi="宋体" w:cs="宋体" w:eastAsia="宋体" w:hint="default"/>
        </w:rPr>
        <w:t>3</w:t>
      </w:r>
      <w:r>
        <w:rPr/>
        <w:t>）建造合同收入 在建造合同的结果能够可靠估计的情况下，于资产负债表日按照完工百分比法确认合同收入和合同费用。合同完工进</w:t>
      </w:r>
    </w:p>
    <w:p>
      <w:pPr>
        <w:pStyle w:val="BodyText"/>
        <w:spacing w:line="319" w:lineRule="auto" w:before="19"/>
        <w:ind w:left="574" w:right="0" w:hanging="420"/>
        <w:jc w:val="left"/>
      </w:pPr>
      <w:r>
        <w:rPr/>
        <w:t>度按已经完成的合同工作量占合同预计总工作量的比例的完工进度确定。 建造合同的结果能够可靠估计是指同时满足：①合同总收入能够可靠地计量；②与合同相关的经济利益很可能流入企</w:t>
      </w:r>
    </w:p>
    <w:p>
      <w:pPr>
        <w:pStyle w:val="BodyText"/>
        <w:spacing w:line="316" w:lineRule="auto" w:before="17"/>
        <w:ind w:left="574" w:right="1032" w:hanging="420"/>
        <w:jc w:val="left"/>
      </w:pPr>
      <w:r>
        <w:rPr/>
        <w:t>业；③实际发生的合同成本能够清楚地区分和可靠地计量；④合同完工进度和为完成合同尚需发生的成本能够可靠地确定。 如建造合同的结果不能可靠地估计，但合同成本能够收回的，合同收入根据能够收回的实际合同成本予以确认，合同</w:t>
      </w:r>
    </w:p>
    <w:p>
      <w:pPr>
        <w:pStyle w:val="BodyText"/>
        <w:spacing w:line="316" w:lineRule="auto" w:before="19"/>
        <w:ind w:right="1131"/>
        <w:jc w:val="both"/>
      </w:pPr>
      <w:r>
        <w:rPr>
          <w:spacing w:val="-2"/>
        </w:rPr>
        <w:t>成本在其发生的当期确认为合同费用；合同成本不可能收回的，在发生时立即确认为合同费用，不确认合同收入。使建造合</w:t>
      </w:r>
      <w:r>
        <w:rPr>
          <w:spacing w:val="-66"/>
        </w:rPr>
        <w:t> </w:t>
      </w:r>
      <w:r>
        <w:rPr>
          <w:spacing w:val="-66"/>
        </w:rPr>
      </w:r>
      <w:r>
        <w:rPr/>
        <w:t>同的结果不能可靠估计的不确定因素不复存在的，按照完工百分比法确定与建造合同有关的收入和费用。</w:t>
      </w:r>
    </w:p>
    <w:p>
      <w:pPr>
        <w:pStyle w:val="BodyText"/>
        <w:spacing w:line="316" w:lineRule="auto" w:before="19"/>
        <w:ind w:left="574" w:right="0"/>
        <w:jc w:val="left"/>
      </w:pPr>
      <w:r>
        <w:rPr/>
        <w:t>合同预计总成本超过合同总收入的，将预计损失确认为当期费用。 在建合同累计已发生的成本和累计已确认的毛利</w:t>
      </w:r>
      <w:r>
        <w:rPr>
          <w:rFonts w:ascii="宋体" w:hAnsi="宋体" w:cs="宋体" w:eastAsia="宋体" w:hint="default"/>
        </w:rPr>
        <w:t>(</w:t>
      </w:r>
      <w:r>
        <w:rPr/>
        <w:t>亏损</w:t>
      </w:r>
      <w:r>
        <w:rPr>
          <w:rFonts w:ascii="宋体" w:hAnsi="宋体" w:cs="宋体" w:eastAsia="宋体" w:hint="default"/>
        </w:rPr>
        <w:t>)</w:t>
      </w:r>
      <w:r>
        <w:rPr/>
        <w:t>与已结算的价款在资产负债表中以抵销后的净额列示。在建合</w:t>
      </w:r>
    </w:p>
    <w:p>
      <w:pPr>
        <w:pStyle w:val="BodyText"/>
        <w:spacing w:line="316" w:lineRule="auto" w:before="19"/>
        <w:ind w:right="1131"/>
        <w:jc w:val="both"/>
      </w:pPr>
      <w:r>
        <w:rPr>
          <w:spacing w:val="-2"/>
        </w:rPr>
        <w:t>同累计已发生的成本和累计已确认的毛利</w:t>
      </w:r>
      <w:r>
        <w:rPr>
          <w:rFonts w:ascii="宋体" w:hAnsi="宋体" w:cs="宋体" w:eastAsia="宋体" w:hint="default"/>
          <w:spacing w:val="-2"/>
        </w:rPr>
        <w:t>(</w:t>
      </w:r>
      <w:r>
        <w:rPr>
          <w:spacing w:val="-2"/>
        </w:rPr>
        <w:t>亏损</w:t>
      </w:r>
      <w:r>
        <w:rPr>
          <w:rFonts w:ascii="宋体" w:hAnsi="宋体" w:cs="宋体" w:eastAsia="宋体" w:hint="default"/>
          <w:spacing w:val="-2"/>
        </w:rPr>
        <w:t>)</w:t>
      </w:r>
      <w:r>
        <w:rPr>
          <w:spacing w:val="-2"/>
        </w:rPr>
        <w:t>之和超过已结算价款的部分作为存货列示；在建合同已结算的价款超过累计</w:t>
      </w:r>
      <w:r>
        <w:rPr>
          <w:spacing w:val="-62"/>
        </w:rPr>
        <w:t> </w:t>
      </w:r>
      <w:r>
        <w:rPr>
          <w:spacing w:val="-62"/>
        </w:rPr>
      </w:r>
      <w:r>
        <w:rPr/>
        <w:t>已发生的成本与累计已确认的毛利</w:t>
      </w:r>
      <w:r>
        <w:rPr>
          <w:rFonts w:ascii="宋体" w:hAnsi="宋体" w:cs="宋体" w:eastAsia="宋体" w:hint="default"/>
        </w:rPr>
        <w:t>(</w:t>
      </w:r>
      <w:r>
        <w:rPr/>
        <w:t>亏损</w:t>
      </w:r>
      <w:r>
        <w:rPr>
          <w:rFonts w:ascii="宋体" w:hAnsi="宋体" w:cs="宋体" w:eastAsia="宋体" w:hint="default"/>
        </w:rPr>
        <w:t>)</w:t>
      </w:r>
      <w:r>
        <w:rPr/>
        <w:t>之和的部分作为预收款项列示。</w:t>
      </w:r>
    </w:p>
    <w:p>
      <w:pPr>
        <w:pStyle w:val="BodyText"/>
        <w:spacing w:line="316" w:lineRule="auto" w:before="19"/>
        <w:ind w:left="574" w:right="6552"/>
        <w:jc w:val="left"/>
      </w:pPr>
      <w:r>
        <w:rPr/>
        <w:t>（</w:t>
      </w:r>
      <w:r>
        <w:rPr>
          <w:rFonts w:ascii="宋体" w:hAnsi="宋体" w:cs="宋体" w:eastAsia="宋体" w:hint="default"/>
        </w:rPr>
        <w:t>4</w:t>
      </w:r>
      <w:r>
        <w:rPr/>
        <w:t>）使用费收入 根据有关合同或协议，按权责发生制确认收入。</w:t>
      </w:r>
    </w:p>
    <w:p>
      <w:pPr>
        <w:pStyle w:val="BodyText"/>
        <w:spacing w:line="316" w:lineRule="auto" w:before="19"/>
        <w:ind w:left="574" w:right="5652"/>
        <w:jc w:val="left"/>
      </w:pPr>
      <w:r>
        <w:rPr/>
        <w:t>（</w:t>
      </w:r>
      <w:r>
        <w:rPr>
          <w:rFonts w:ascii="宋体" w:hAnsi="宋体" w:cs="宋体" w:eastAsia="宋体" w:hint="default"/>
        </w:rPr>
        <w:t>5</w:t>
      </w:r>
      <w:r>
        <w:rPr/>
        <w:t>）利息收入 按照他人使用本公司货币资金的时间和实际利率计算确定。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24、政府补助" w:id="203"/>
      <w:bookmarkEnd w:id="203"/>
      <w:r>
        <w:rPr>
          <w:b w:val="0"/>
          <w:bCs w:val="0"/>
        </w:rPr>
      </w:r>
      <w:r>
        <w:rPr>
          <w:rFonts w:ascii="Times New Roman" w:hAnsi="Times New Roman" w:cs="Times New Roman" w:eastAsia="Times New Roman" w:hint="default"/>
        </w:rPr>
        <w:t>24</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420"/>
        <w:jc w:val="both"/>
      </w:pPr>
      <w:r>
        <w:rPr/>
        <w:t>政府补助是指本公司从政府无偿取得货币性资产和非货币性资产，不包括政府以投资者身份并享有相应所有者权益而 </w:t>
      </w:r>
      <w:r>
        <w:rPr>
          <w:spacing w:val="-2"/>
        </w:rPr>
        <w:t>投入的资本。政府补助分为与资产相关的政府补助和与收益相关的政府补助。本公司将所取得的用于购建或以其他方式形成</w:t>
      </w:r>
      <w:r>
        <w:rPr>
          <w:spacing w:val="-64"/>
        </w:rPr>
        <w:t> </w:t>
      </w:r>
      <w:r>
        <w:rPr>
          <w:spacing w:val="-64"/>
        </w:rPr>
      </w:r>
      <w:r>
        <w:rPr>
          <w:spacing w:val="-2"/>
        </w:rPr>
        <w:t>长期资产的政府补助界定为与资产相关的政府补助；其余政府补助界定为与收益相关的政府补助。若政府文件未明确规定补</w:t>
      </w:r>
      <w:r>
        <w:rPr>
          <w:spacing w:val="-64"/>
        </w:rPr>
        <w:t> </w:t>
      </w:r>
      <w:r>
        <w:rPr>
          <w:spacing w:val="-64"/>
        </w:rPr>
      </w:r>
      <w:r>
        <w:rPr/>
        <w:t>助对象，则采用以下方式将补助款划分为与收益相关的政府补助和与资产相关的政府补助：（</w:t>
      </w:r>
      <w:r>
        <w:rPr>
          <w:rFonts w:ascii="宋体" w:hAnsi="宋体" w:cs="宋体" w:eastAsia="宋体" w:hint="default"/>
        </w:rPr>
        <w:t>1</w:t>
      </w:r>
      <w:r>
        <w:rPr/>
        <w:t>）政府文件明确了补助所针</w:t>
      </w:r>
      <w:r>
        <w:rPr>
          <w:spacing w:val="-82"/>
        </w:rPr>
        <w:t> </w:t>
      </w:r>
      <w:r>
        <w:rPr>
          <w:spacing w:val="-82"/>
        </w:rPr>
      </w:r>
      <w:r>
        <w:rPr>
          <w:spacing w:val="-2"/>
        </w:rPr>
        <w:t>对的特定项目的，根据该特定项目的预算中将形成资产的支出金额和计入费用的支出金额的相对比例进行划分，对该划分比</w:t>
      </w:r>
      <w:r>
        <w:rPr>
          <w:spacing w:val="-64"/>
        </w:rPr>
        <w:t> </w:t>
      </w:r>
      <w:r>
        <w:rPr>
          <w:spacing w:val="-64"/>
        </w:rPr>
      </w:r>
      <w:r>
        <w:rPr/>
        <w:t>例需在每个资产负债表日进行复核，必要时进行变更；（</w:t>
      </w:r>
      <w:r>
        <w:rPr>
          <w:rFonts w:ascii="宋体" w:hAnsi="宋体" w:cs="宋体" w:eastAsia="宋体" w:hint="default"/>
        </w:rPr>
        <w:t>2</w:t>
      </w:r>
      <w:r>
        <w:rPr/>
        <w:t>）政府文件中对用途仅作一般性表述，没有指明特定项目的，作</w:t>
      </w:r>
      <w:r>
        <w:rPr>
          <w:spacing w:val="-82"/>
        </w:rPr>
        <w:t> </w:t>
      </w:r>
      <w:r>
        <w:rPr>
          <w:spacing w:val="-82"/>
        </w:rPr>
      </w:r>
      <w:r>
        <w:rPr>
          <w:spacing w:val="-2"/>
        </w:rPr>
        <w:t>为与收益相关的政府补助。政府补助为货币性资产的，按照收到或应收的金额计量。政府补助为非货币性资产的，按照公允</w:t>
      </w:r>
      <w:r>
        <w:rPr>
          <w:spacing w:val="-66"/>
        </w:rPr>
        <w:t> </w:t>
      </w:r>
      <w:r>
        <w:rPr>
          <w:spacing w:val="-66"/>
        </w:rPr>
      </w:r>
      <w:r>
        <w:rPr/>
        <w:t>价值计量；公允价值不能够可靠取得的，按照名义金额计量。按照名义金额计量的政府补助，直接计入当期损益。</w:t>
      </w:r>
    </w:p>
    <w:p>
      <w:pPr>
        <w:pStyle w:val="BodyText"/>
        <w:spacing w:line="316" w:lineRule="auto" w:before="19"/>
        <w:ind w:left="574" w:right="0"/>
        <w:jc w:val="left"/>
      </w:pPr>
      <w:r>
        <w:rPr/>
        <w:t>本公司对于政府补助通常在实际收到时，按照实收金额予以确认和计量。 与资产相关的政府补助，确认为递延收益，并在相关资产的使用寿命内按照合理、系统的方法分期计入当期损益。与</w:t>
      </w:r>
    </w:p>
    <w:p>
      <w:pPr>
        <w:pStyle w:val="BodyText"/>
        <w:spacing w:line="316" w:lineRule="auto" w:before="19"/>
        <w:ind w:right="1132"/>
        <w:jc w:val="both"/>
      </w:pPr>
      <w:r>
        <w:rPr>
          <w:spacing w:val="-2"/>
        </w:rPr>
        <w:t>收益相关的政府补助，用于补偿以后期间的相关成本费用或损失的，确认为递延收益，并在确认相关成本费用或损失的期间</w:t>
      </w:r>
      <w:r>
        <w:rPr>
          <w:spacing w:val="-66"/>
        </w:rPr>
        <w:t> </w:t>
      </w:r>
      <w:r>
        <w:rPr>
          <w:spacing w:val="-66"/>
        </w:rPr>
      </w:r>
      <w:r>
        <w:rPr>
          <w:spacing w:val="-2"/>
        </w:rPr>
        <w:t>计入当期损益；用于补偿已经发生的相关成本费用或损失的，直接计入当期损益；同时包含与资产相关部分和与收益相关部</w:t>
      </w:r>
      <w:r>
        <w:rPr>
          <w:spacing w:val="-66"/>
        </w:rPr>
        <w:t> </w:t>
      </w:r>
      <w:r>
        <w:rPr>
          <w:spacing w:val="-66"/>
        </w:rPr>
      </w:r>
      <w:r>
        <w:rPr/>
        <w:t>分的政府补助，区分不同部分分别进行会计处理；难以区分的，将其整体归类为与收益相关的政府补助。</w:t>
      </w:r>
    </w:p>
    <w:p>
      <w:pPr>
        <w:pStyle w:val="BodyText"/>
        <w:spacing w:line="316" w:lineRule="auto" w:before="19"/>
        <w:ind w:right="1133" w:firstLine="420"/>
        <w:jc w:val="both"/>
      </w:pPr>
      <w:r>
        <w:rPr/>
        <w:t>与本公司日常活动相关的政府补助，按照经济业务的实质，计入其他收益或冲减相关成本费用；与日常活动无关的政 府补助，计入营业外收支。</w:t>
      </w:r>
    </w:p>
    <w:p>
      <w:pPr>
        <w:pStyle w:val="BodyText"/>
        <w:spacing w:line="316" w:lineRule="auto" w:before="19"/>
        <w:ind w:right="1133" w:firstLine="420"/>
        <w:jc w:val="both"/>
      </w:pPr>
      <w:r>
        <w:rPr/>
        <w:t>已确认的政府补助需要退回时，存在相关递延收益余额的，冲减相关递延收益账面余额，超出部分计入当期损益；属 于其他情况的，直接计入当期损益。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5、递延所得税资产/递延所得税负债" w:id="204"/>
      <w:bookmarkEnd w:id="204"/>
      <w:r>
        <w:rPr>
          <w:b w:val="0"/>
          <w:bCs w:val="0"/>
        </w:rPr>
      </w: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4" w:right="0"/>
        <w:jc w:val="left"/>
      </w:pPr>
      <w:r>
        <w:rPr/>
        <w:t>（</w:t>
      </w:r>
      <w:r>
        <w:rPr>
          <w:rFonts w:ascii="宋体" w:hAnsi="宋体" w:cs="宋体" w:eastAsia="宋体" w:hint="default"/>
        </w:rPr>
        <w:t>1</w:t>
      </w:r>
      <w:r>
        <w:rPr/>
        <w:t>）当期所得税 </w:t>
      </w:r>
      <w:r>
        <w:rPr>
          <w:spacing w:val="-2"/>
        </w:rPr>
        <w:t>资产负债表日，对于当期和以前期间形成的当期所得税负债（或资产），以按照税法规定计算的预期应交纳（或返还）</w:t>
      </w:r>
    </w:p>
    <w:p>
      <w:pPr>
        <w:pStyle w:val="BodyText"/>
        <w:spacing w:line="316" w:lineRule="auto" w:before="19"/>
        <w:ind w:right="1131"/>
        <w:jc w:val="both"/>
      </w:pPr>
      <w:r>
        <w:rPr>
          <w:spacing w:val="-2"/>
        </w:rPr>
        <w:t>的所得税金额计量。计算当期所得税费用所依据的应纳税所得额系根据有关税法规定对本报告期税前会计利润作相应调整后</w:t>
      </w:r>
      <w:r>
        <w:rPr>
          <w:spacing w:val="-64"/>
        </w:rPr>
        <w:t> </w:t>
      </w:r>
      <w:r>
        <w:rPr>
          <w:spacing w:val="-64"/>
        </w:rPr>
      </w:r>
      <w:r>
        <w:rPr/>
        <w:t>计算得出。</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74" w:right="0"/>
        <w:jc w:val="left"/>
      </w:pPr>
      <w:r>
        <w:rPr/>
        <w:t>（</w:t>
      </w:r>
      <w:r>
        <w:rPr>
          <w:rFonts w:ascii="宋体" w:hAnsi="宋体" w:cs="宋体" w:eastAsia="宋体" w:hint="default"/>
        </w:rPr>
        <w:t>2</w:t>
      </w:r>
      <w:r>
        <w:rPr/>
        <w:t>）递延所得税资产及递延所得税负债 某些资产、负债项目的账面价值与其计税基础之间的差额，以及未作为资产和负债确认但按照税法规定可以确定其计</w:t>
      </w:r>
    </w:p>
    <w:p>
      <w:pPr>
        <w:pStyle w:val="BodyText"/>
        <w:spacing w:line="316" w:lineRule="auto" w:before="19"/>
        <w:ind w:right="1131"/>
        <w:jc w:val="both"/>
      </w:pPr>
      <w:r>
        <w:rPr>
          <w:spacing w:val="-2"/>
        </w:rPr>
        <w:t>税基础的项目的账面价值与计税基础之间的差额产生的暂时性差异，采用资产负债表债务法确认递延所得税资产及递延所得</w:t>
      </w:r>
      <w:r>
        <w:rPr>
          <w:spacing w:val="-64"/>
        </w:rPr>
        <w:t> </w:t>
      </w:r>
      <w:r>
        <w:rPr>
          <w:spacing w:val="-64"/>
        </w:rPr>
      </w:r>
      <w:r>
        <w:rPr/>
        <w:t>税负债。</w:t>
      </w:r>
    </w:p>
    <w:p>
      <w:pPr>
        <w:pStyle w:val="BodyText"/>
        <w:spacing w:line="316" w:lineRule="auto" w:before="19"/>
        <w:ind w:right="1130" w:firstLine="420"/>
        <w:jc w:val="both"/>
      </w:pPr>
      <w:r>
        <w:rPr/>
        <w:t>与商誉的初始确认有关，以及与既不是企业合并、发生时也不影响会计利润和应纳税所得额（或可抵扣亏损）的交易 </w:t>
      </w:r>
      <w:r>
        <w:rPr>
          <w:spacing w:val="-2"/>
        </w:rPr>
        <w:t>中产生的资产或负债的初始确认有关的应纳税暂时性差异，不予确认有关的递延所得税负债。此外，对与子公司、联营企业</w:t>
      </w:r>
      <w:r>
        <w:rPr>
          <w:spacing w:val="-66"/>
        </w:rPr>
        <w:t> </w:t>
      </w:r>
      <w:r>
        <w:rPr>
          <w:spacing w:val="-66"/>
        </w:rPr>
      </w:r>
      <w:r>
        <w:rPr>
          <w:spacing w:val="-2"/>
        </w:rPr>
        <w:t>及合营企业投资相关的应纳税暂时性差异，如果本公司能够控制暂时性差异转回的时间，而且该暂时性差异在可预见的未来</w:t>
      </w:r>
      <w:r>
        <w:rPr>
          <w:spacing w:val="-64"/>
        </w:rPr>
        <w:t> </w:t>
      </w:r>
      <w:r>
        <w:rPr>
          <w:spacing w:val="-64"/>
        </w:rPr>
      </w:r>
      <w:r>
        <w:rPr>
          <w:spacing w:val="-2"/>
        </w:rPr>
        <w:t>很可能不会转回，也不予确认有关的递延所得税负债。除上述例外情况，本公司确认其他所有应纳税暂时性差异产生的递延</w:t>
      </w:r>
      <w:r>
        <w:rPr>
          <w:spacing w:val="-66"/>
        </w:rPr>
        <w:t> </w:t>
      </w:r>
      <w:r>
        <w:rPr>
          <w:spacing w:val="-66"/>
        </w:rPr>
      </w:r>
      <w:r>
        <w:rPr/>
        <w:t>所得税负债。</w:t>
      </w:r>
    </w:p>
    <w:p>
      <w:pPr>
        <w:pStyle w:val="BodyText"/>
        <w:spacing w:line="316" w:lineRule="auto" w:before="19"/>
        <w:ind w:right="1131" w:firstLine="420"/>
        <w:jc w:val="both"/>
      </w:pPr>
      <w:r>
        <w:rPr/>
        <w:t>与既不是企业合并、发生时也不影响会计利润和应纳税所得额（或可抵扣亏损）的交易中产生的资产或负债的初始确 </w:t>
      </w:r>
      <w:r>
        <w:rPr>
          <w:spacing w:val="-2"/>
        </w:rPr>
        <w:t>认有关的可抵扣暂时性差异，不予确认有关的递延所得税资产。此外，对与子公司、联营企业及合营企业投资相关的可抵扣</w:t>
      </w:r>
      <w:r>
        <w:rPr>
          <w:spacing w:val="-66"/>
        </w:rPr>
        <w:t> </w:t>
      </w:r>
      <w:r>
        <w:rPr>
          <w:spacing w:val="-66"/>
        </w:rPr>
      </w:r>
      <w:r>
        <w:rPr>
          <w:spacing w:val="-2"/>
        </w:rPr>
        <w:t>暂时性差异，如果暂时性差异在可预见的未来不是很可能转回，或者未来不是很可能获得用来抵扣可抵扣暂时性差异的应纳</w:t>
      </w:r>
      <w:r>
        <w:rPr>
          <w:spacing w:val="-64"/>
        </w:rPr>
        <w:t> </w:t>
      </w:r>
      <w:r>
        <w:rPr>
          <w:spacing w:val="-64"/>
        </w:rPr>
      </w:r>
      <w:r>
        <w:rPr>
          <w:spacing w:val="-2"/>
        </w:rPr>
        <w:t>税所得额，不予确认有关的递延所得税资产。除上述例外情况，本公司以很可能取得用来抵扣可抵扣暂时性差异的应纳税所</w:t>
      </w:r>
      <w:r>
        <w:rPr>
          <w:spacing w:val="-66"/>
        </w:rPr>
        <w:t> </w:t>
      </w:r>
      <w:r>
        <w:rPr>
          <w:spacing w:val="-66"/>
        </w:rPr>
      </w:r>
      <w:r>
        <w:rPr/>
        <w:t>得额为限，确认其他可抵扣暂时性差异产生的递延所得税资产。</w:t>
      </w:r>
    </w:p>
    <w:p>
      <w:pPr>
        <w:pStyle w:val="BodyText"/>
        <w:spacing w:line="316" w:lineRule="auto" w:before="19"/>
        <w:ind w:right="1133" w:firstLine="420"/>
        <w:jc w:val="both"/>
      </w:pPr>
      <w:r>
        <w:rPr/>
        <w:t>对于能够结转以后年度的可抵扣亏损和税款抵减，以很可能获得用来抵扣可抵扣亏损和税款抵减的未来应纳税所得额 为限，确认相应的递延所得税资产。</w:t>
      </w:r>
    </w:p>
    <w:p>
      <w:pPr>
        <w:pStyle w:val="BodyText"/>
        <w:spacing w:line="316" w:lineRule="auto" w:before="19"/>
        <w:ind w:right="1132" w:firstLine="420"/>
        <w:jc w:val="both"/>
      </w:pPr>
      <w:r>
        <w:rPr/>
        <w:t>资产负债表日，对于递延所得税资产和递延所得税负债，根据税法规定，按照预期收回相关资产或清偿相关负债期间 的适用税率计量。</w:t>
      </w:r>
    </w:p>
    <w:p>
      <w:pPr>
        <w:pStyle w:val="BodyText"/>
        <w:spacing w:line="316" w:lineRule="auto" w:before="19"/>
        <w:ind w:right="1133" w:firstLine="420"/>
        <w:jc w:val="both"/>
      </w:pPr>
      <w:r>
        <w:rPr/>
        <w:t>于资产负债表日，对递延所得税资产的账面价值进行复核，如果未来很可能无法获得足够的应纳税所得额用以抵扣递 延所得税资产的利益，则减记递延所得税资产的账面价值。在很可能获得足够的应纳税所得额时，减记的金额予以转回。</w:t>
      </w:r>
    </w:p>
    <w:p>
      <w:pPr>
        <w:pStyle w:val="BodyText"/>
        <w:spacing w:line="316" w:lineRule="auto" w:before="19"/>
        <w:ind w:left="574" w:right="6912"/>
        <w:jc w:val="left"/>
      </w:pPr>
      <w:r>
        <w:rPr/>
        <w:t>（</w:t>
      </w:r>
      <w:r>
        <w:rPr>
          <w:rFonts w:ascii="宋体" w:hAnsi="宋体" w:cs="宋体" w:eastAsia="宋体" w:hint="default"/>
        </w:rPr>
        <w:t>3</w:t>
      </w:r>
      <w:r>
        <w:rPr/>
        <w:t>）所得税费用 所得税费用包括当期所得税和递延所得税。</w:t>
      </w:r>
    </w:p>
    <w:p>
      <w:pPr>
        <w:pStyle w:val="BodyText"/>
        <w:spacing w:line="316" w:lineRule="auto" w:before="19"/>
        <w:ind w:right="1133" w:firstLine="420"/>
        <w:jc w:val="both"/>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16" w:lineRule="auto" w:before="19"/>
        <w:ind w:left="574" w:right="0"/>
        <w:jc w:val="left"/>
      </w:pPr>
      <w:r>
        <w:rPr/>
        <w:t>（</w:t>
      </w:r>
      <w:r>
        <w:rPr>
          <w:rFonts w:ascii="宋体" w:hAnsi="宋体" w:cs="宋体" w:eastAsia="宋体" w:hint="default"/>
        </w:rPr>
        <w:t>4</w:t>
      </w:r>
      <w:r>
        <w:rPr/>
        <w:t>）所得税的抵销 当拥有以净额结算的法定权利，且意图以净额结算或取得资产、清偿负债同时进行时，本公司当期所得税资产及当期</w:t>
      </w:r>
    </w:p>
    <w:p>
      <w:pPr>
        <w:pStyle w:val="BodyText"/>
        <w:spacing w:line="316" w:lineRule="auto" w:before="19"/>
        <w:ind w:left="574" w:right="0" w:hanging="420"/>
        <w:jc w:val="left"/>
      </w:pPr>
      <w:r>
        <w:rPr/>
        <w:t>所得税负债以抵销后的净额列报。 当拥有以净额结算当期所得税资产及当期所得税负债的法定权利，且递延所得税资产及递延所得税负债是与同一税收</w:t>
      </w:r>
    </w:p>
    <w:p>
      <w:pPr>
        <w:pStyle w:val="BodyText"/>
        <w:spacing w:line="316" w:lineRule="auto" w:before="19"/>
        <w:ind w:right="1131"/>
        <w:jc w:val="both"/>
      </w:pPr>
      <w:r>
        <w:rPr>
          <w:spacing w:val="-2"/>
        </w:rPr>
        <w:t>征管部门对同一纳税主体征收的所得税相关或者是对不同的纳税主体相关，但在未来每一具有重要性的递延所得税资产及负</w:t>
      </w:r>
      <w:r>
        <w:rPr>
          <w:spacing w:val="-64"/>
        </w:rPr>
        <w:t> </w:t>
      </w:r>
      <w:r>
        <w:rPr>
          <w:spacing w:val="-64"/>
        </w:rPr>
      </w:r>
      <w:r>
        <w:rPr>
          <w:spacing w:val="-2"/>
        </w:rPr>
        <w:t>债转回的期间内，涉及的纳税主体意图以净额结算当期所得税资产和负债或是同时取得资产、清偿负债时，本公司递延所得</w:t>
      </w:r>
      <w:r>
        <w:rPr>
          <w:spacing w:val="-65"/>
        </w:rPr>
        <w:t> </w:t>
      </w:r>
      <w:r>
        <w:rPr>
          <w:spacing w:val="-65"/>
        </w:rPr>
      </w:r>
      <w:r>
        <w:rPr/>
        <w:t>税资产及递延所得税负债以抵销后的净额列报。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both"/>
        <w:rPr>
          <w:b w:val="0"/>
          <w:bCs w:val="0"/>
        </w:rPr>
      </w:pPr>
      <w:bookmarkStart w:name="26、租赁" w:id="205"/>
      <w:bookmarkEnd w:id="205"/>
      <w:r>
        <w:rPr>
          <w:b w:val="0"/>
          <w:bCs w:val="0"/>
        </w:rPr>
      </w:r>
      <w:r>
        <w:rPr>
          <w:rFonts w:ascii="Times New Roman" w:hAnsi="Times New Roman" w:cs="Times New Roman" w:eastAsia="Times New Roman" w:hint="default"/>
        </w:rPr>
        <w:t>26</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经营租赁的会计处理方法" w:id="206"/>
      <w:bookmarkEnd w:id="20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574" w:right="0"/>
        <w:jc w:val="left"/>
      </w:pPr>
      <w:r>
        <w:rPr/>
        <w:t>租赁是指在约定的期间内，出租人将资产使用权让与承租人以获取租金的协议，包括经营性租赁与融资性租赁两种方</w:t>
      </w:r>
    </w:p>
    <w:p>
      <w:pPr>
        <w:pStyle w:val="BodyText"/>
        <w:spacing w:line="240" w:lineRule="auto" w:before="76"/>
        <w:ind w:right="0"/>
        <w:jc w:val="left"/>
      </w:pPr>
      <w:r>
        <w:rPr/>
        <w:t>式。</w:t>
      </w:r>
    </w:p>
    <w:p>
      <w:pPr>
        <w:pStyle w:val="BodyText"/>
        <w:spacing w:line="240" w:lineRule="auto" w:before="76"/>
        <w:ind w:left="574" w:right="0"/>
        <w:jc w:val="left"/>
      </w:pPr>
      <w:r>
        <w:rPr/>
        <w:t>融资租赁为实质上转移了与资产所有权有关的全部风险和报酬的租赁，其所有权最终可能转移，也可能不转移。融资</w:t>
      </w:r>
    </w:p>
    <w:p>
      <w:pPr>
        <w:pStyle w:val="BodyText"/>
        <w:spacing w:line="316" w:lineRule="auto" w:before="77"/>
        <w:ind w:left="574" w:right="7452" w:hanging="420"/>
        <w:jc w:val="left"/>
      </w:pPr>
      <w:r>
        <w:rPr/>
        <w:t>租赁以外的其他租赁为经营租赁。 本公司作为承租人记录经营租赁业务</w:t>
      </w:r>
    </w:p>
    <w:p>
      <w:pPr>
        <w:pStyle w:val="BodyText"/>
        <w:spacing w:line="316" w:lineRule="auto" w:before="19"/>
        <w:ind w:right="0" w:firstLine="420"/>
        <w:jc w:val="left"/>
      </w:pPr>
      <w:r>
        <w:rPr/>
        <w:t>经营租赁的租金支出在租赁期内的各个期间按直线法计入相关资产成本或当期损益。初始直接费用计入当期损益。或 有租金于实际发生时计入当期损益。</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74" w:right="0"/>
        <w:jc w:val="left"/>
      </w:pPr>
      <w:r>
        <w:rPr/>
        <w:t>本公司作为出租人记录经营租赁业务 经营租赁的租金收入在租赁期内的各个期间按直线法确认为当期损益。对金额较大的初始直接费用于发生时予以资本</w:t>
      </w:r>
    </w:p>
    <w:p>
      <w:pPr>
        <w:pStyle w:val="BodyText"/>
        <w:spacing w:line="316" w:lineRule="auto" w:before="19"/>
        <w:ind w:right="0"/>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融资租赁的会计处理方法" w:id="207"/>
      <w:bookmarkEnd w:id="20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4" w:right="0"/>
        <w:jc w:val="left"/>
      </w:pPr>
      <w:r>
        <w:rPr/>
        <w:t>本公司作为承租人记录融资租赁业务 于租赁期开始日，将租赁开始日租赁资产的公允价值与最低租赁付款额现值两者中较低者作为租入资产的入账价值，</w:t>
      </w:r>
    </w:p>
    <w:p>
      <w:pPr>
        <w:pStyle w:val="BodyText"/>
        <w:spacing w:line="316" w:lineRule="auto" w:before="19"/>
        <w:ind w:right="1132"/>
        <w:jc w:val="both"/>
      </w:pPr>
      <w:r>
        <w:rPr>
          <w:spacing w:val="-2"/>
        </w:rPr>
        <w:t>将最低租赁付款额作为长期应付款的入账价值，其差额作为未确认融资费用。此外，在租赁谈判和签订租赁合同过程中发生</w:t>
      </w:r>
      <w:r>
        <w:rPr>
          <w:spacing w:val="-66"/>
        </w:rPr>
        <w:t> </w:t>
      </w:r>
      <w:r>
        <w:rPr>
          <w:spacing w:val="-66"/>
        </w:rPr>
      </w:r>
      <w:r>
        <w:rPr>
          <w:spacing w:val="-2"/>
        </w:rPr>
        <w:t>的，可归属于租赁项目的初始直接费用也计入租入资产价值。最低租赁付款额扣除未确认融资费用后的余额分别长期负债和</w:t>
      </w:r>
      <w:r>
        <w:rPr>
          <w:spacing w:val="-64"/>
        </w:rPr>
        <w:t> </w:t>
      </w:r>
      <w:r>
        <w:rPr>
          <w:spacing w:val="-64"/>
        </w:rPr>
      </w:r>
      <w:r>
        <w:rPr/>
        <w:t>一年内到期的长期负债列示。</w:t>
      </w:r>
    </w:p>
    <w:p>
      <w:pPr>
        <w:pStyle w:val="BodyText"/>
        <w:spacing w:line="316" w:lineRule="auto" w:before="19"/>
        <w:ind w:left="574" w:right="0"/>
        <w:jc w:val="left"/>
      </w:pPr>
      <w:r>
        <w:rPr/>
        <w:t>未确认融资费用在租赁期内采用实际利率法计算确认当期的融资费用。或有租金于实际发生时计入当期损益。 本公司作为出租人记录融资租赁业务 于租赁期开始日，将租赁开始日最低租赁收款额与初始直接费用之和作为应收融资租赁款的入账价值，同时记录未担</w:t>
      </w:r>
    </w:p>
    <w:p>
      <w:pPr>
        <w:pStyle w:val="BodyText"/>
        <w:spacing w:line="316" w:lineRule="auto" w:before="19"/>
        <w:ind w:right="0"/>
        <w:jc w:val="left"/>
      </w:pPr>
      <w:r>
        <w:rPr>
          <w:spacing w:val="-2"/>
        </w:rPr>
        <w:t>保余值；将最低租赁收款额、初始直接费用及未担保余值之和与其现值之和的差额确认为未实现融资收益。应收融资租赁款</w:t>
      </w:r>
      <w:r>
        <w:rPr>
          <w:spacing w:val="-65"/>
        </w:rPr>
        <w:t> </w:t>
      </w:r>
      <w:r>
        <w:rPr>
          <w:spacing w:val="-65"/>
        </w:rPr>
      </w:r>
      <w:r>
        <w:rPr/>
        <w:t>扣除未实现融资收益后的余额分别长期债权和一年内到期的长期债权列示。</w:t>
      </w:r>
    </w:p>
    <w:p>
      <w:pPr>
        <w:pStyle w:val="BodyText"/>
        <w:spacing w:line="240" w:lineRule="auto" w:before="19"/>
        <w:ind w:left="574" w:right="0"/>
        <w:jc w:val="left"/>
      </w:pPr>
      <w:r>
        <w:rPr/>
        <w:t>未实现融资收益在租赁期内采用实际利率法计算确认当期的融资收入。或有租金于实际发生时计入当期损益。</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7、其他重要的会计政策和会计估计" w:id="208"/>
      <w:bookmarkEnd w:id="208"/>
      <w:r>
        <w:rPr>
          <w:b w:val="0"/>
          <w:bCs w:val="0"/>
        </w:rPr>
      </w:r>
      <w:r>
        <w:rPr>
          <w:rFonts w:ascii="Times New Roman" w:hAnsi="Times New Roman" w:cs="Times New Roman" w:eastAsia="Times New Roman" w:hint="default"/>
        </w:rPr>
        <w:t>27</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574" w:right="2052"/>
        <w:jc w:val="left"/>
      </w:pPr>
      <w:r>
        <w:rPr/>
        <w:t>回购股份 股份回购中支付的对价和交易费用减少股东权益，回购、转让或注销本公司股份时，不确认利得或损失。</w:t>
      </w:r>
    </w:p>
    <w:p>
      <w:pPr>
        <w:pStyle w:val="BodyText"/>
        <w:spacing w:line="316" w:lineRule="auto" w:before="17"/>
        <w:ind w:right="1132" w:firstLine="420"/>
        <w:jc w:val="both"/>
      </w:pPr>
      <w:r>
        <w:rPr/>
        <w:t>转让库存股，按实际收到的金额与库存股账面金额的差额，计入资本公积，资本公积不足冲减的，冲减盈余公积和未 </w:t>
      </w:r>
      <w:r>
        <w:rPr>
          <w:spacing w:val="-2"/>
        </w:rPr>
        <w:t>分配利润。注销库存股，按股票面值和注销股数减少股本，按注销库存股的账面余额与面值的差额，冲减资本公积，资本公</w:t>
      </w:r>
      <w:r>
        <w:rPr>
          <w:spacing w:val="-65"/>
        </w:rPr>
        <w:t> </w:t>
      </w:r>
      <w:r>
        <w:rPr>
          <w:spacing w:val="-65"/>
        </w:rPr>
      </w:r>
      <w:r>
        <w:rPr/>
        <w:t>积不足冲减的，冲减盈余公积和未分配利润。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both"/>
        <w:rPr>
          <w:b w:val="0"/>
          <w:bCs w:val="0"/>
        </w:rPr>
      </w:pPr>
      <w:bookmarkStart w:name="28、重要会计政策和会计估计变更" w:id="209"/>
      <w:bookmarkEnd w:id="209"/>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重要会计政策变更" w:id="210"/>
      <w:bookmarkEnd w:id="21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104"/>
        <w:gridCol w:w="2268"/>
        <w:gridCol w:w="2197"/>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6"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5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日发布了《财政部关于修订印发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4"/>
                <w:sz w:val="18"/>
                <w:szCs w:val="18"/>
              </w:rPr>
              <w:t>年度一般企业财务报表格式的通知》（财会</w:t>
            </w:r>
            <w:r>
              <w:rPr>
                <w:rFonts w:ascii="Times New Roman" w:hAnsi="Times New Roman" w:cs="Times New Roman" w:eastAsia="Times New Roman" w:hint="default"/>
                <w:spacing w:val="-4"/>
                <w:sz w:val="18"/>
                <w:szCs w:val="18"/>
              </w:rPr>
              <w:t>[2018]15</w:t>
            </w:r>
            <w:r>
              <w:rPr>
                <w:rFonts w:ascii="Times New Roman" w:hAnsi="Times New Roman" w:cs="Times New Roman" w:eastAsia="Times New Roman" w:hint="default"/>
                <w:sz w:val="18"/>
                <w:szCs w:val="18"/>
              </w:rPr>
              <w:t> </w:t>
            </w:r>
            <w:r>
              <w:rPr>
                <w:rFonts w:ascii="宋体" w:hAnsi="宋体" w:cs="宋体" w:eastAsia="宋体" w:hint="default"/>
                <w:spacing w:val="-15"/>
                <w:sz w:val="18"/>
                <w:szCs w:val="18"/>
              </w:rPr>
              <w:t>号），执行企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业会计准则的企业应按照企业会计准则和该通知要求编制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年度及以后期间的财务报表，并对可比期间的财务报表进行追溯 调整。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 </w:t>
            </w:r>
            <w:r>
              <w:rPr>
                <w:rFonts w:ascii="Times New Roman" w:hAnsi="Times New Roman" w:cs="Times New Roman" w:eastAsia="Times New Roman" w:hint="default"/>
                <w:sz w:val="18"/>
                <w:szCs w:val="18"/>
              </w:rPr>
              <w:t>“</w:t>
            </w:r>
            <w:r>
              <w:rPr>
                <w:rFonts w:ascii="宋体" w:hAnsi="宋体" w:cs="宋体" w:eastAsia="宋体" w:hint="default"/>
                <w:sz w:val="18"/>
                <w:szCs w:val="18"/>
              </w:rPr>
              <w:t>其他说明</w:t>
            </w:r>
            <w:r>
              <w:rPr>
                <w:rFonts w:ascii="Times New Roman" w:hAnsi="Times New Roman" w:cs="Times New Roman" w:eastAsia="Times New Roman" w:hint="default"/>
                <w:sz w:val="18"/>
                <w:szCs w:val="18"/>
              </w:rPr>
              <w:t>”</w:t>
            </w:r>
          </w:p>
        </w:tc>
      </w:tr>
    </w:tbl>
    <w:p>
      <w:pPr>
        <w:pStyle w:val="BodyText"/>
        <w:spacing w:line="307" w:lineRule="auto" w:before="45"/>
        <w:ind w:left="574" w:right="7902" w:firstLine="2"/>
        <w:jc w:val="left"/>
      </w:pP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t>会计政策变更的影响： </w:t>
      </w:r>
      <w:r>
        <w:rPr>
          <w:rFonts w:ascii="宋体" w:hAnsi="宋体" w:cs="宋体" w:eastAsia="宋体" w:hint="default"/>
        </w:rPr>
        <w:t>1</w:t>
      </w:r>
      <w:r>
        <w:rPr/>
        <w:t>）对可比期间财务状况的影响</w:t>
      </w:r>
    </w:p>
    <w:p>
      <w:pPr>
        <w:pStyle w:val="BodyText"/>
        <w:spacing w:line="316" w:lineRule="auto" w:before="26"/>
        <w:ind w:right="1122" w:firstLine="420"/>
        <w:jc w:val="left"/>
      </w:pPr>
      <w:r>
        <w:rPr>
          <w:spacing w:val="-1"/>
        </w:rPr>
        <w:t>自</w:t>
      </w:r>
      <w:r>
        <w:rPr>
          <w:rFonts w:ascii="宋体" w:hAnsi="宋体" w:cs="宋体" w:eastAsia="宋体" w:hint="default"/>
          <w:spacing w:val="-1"/>
        </w:rPr>
        <w:t>2018</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日起，公司按照财会【</w:t>
      </w:r>
      <w:r>
        <w:rPr>
          <w:rFonts w:ascii="宋体" w:hAnsi="宋体" w:cs="宋体" w:eastAsia="宋体" w:hint="default"/>
          <w:spacing w:val="-1"/>
        </w:rPr>
        <w:t>2018</w:t>
      </w:r>
      <w:r>
        <w:rPr>
          <w:spacing w:val="-1"/>
        </w:rPr>
        <w:t>】</w:t>
      </w:r>
      <w:r>
        <w:rPr>
          <w:rFonts w:ascii="宋体" w:hAnsi="宋体" w:cs="宋体" w:eastAsia="宋体" w:hint="default"/>
          <w:spacing w:val="-1"/>
        </w:rPr>
        <w:t>15</w:t>
      </w:r>
      <w:r>
        <w:rPr>
          <w:spacing w:val="-1"/>
        </w:rPr>
        <w:t>号文附件</w:t>
      </w:r>
      <w:r>
        <w:rPr>
          <w:rFonts w:ascii="宋体" w:hAnsi="宋体" w:cs="宋体" w:eastAsia="宋体" w:hint="default"/>
          <w:spacing w:val="-1"/>
        </w:rPr>
        <w:t>1</w:t>
      </w:r>
      <w:r>
        <w:rPr>
          <w:spacing w:val="-1"/>
        </w:rPr>
        <w:t>对本期财务报表进行编制，并对</w:t>
      </w:r>
      <w:r>
        <w:rPr>
          <w:rFonts w:ascii="宋体" w:hAnsi="宋体" w:cs="宋体" w:eastAsia="宋体" w:hint="default"/>
          <w:spacing w:val="-1"/>
        </w:rPr>
        <w:t>2017</w:t>
      </w:r>
      <w:r>
        <w:rPr>
          <w:spacing w:val="-1"/>
        </w:rPr>
        <w:t>年度的可比同期报表进行</w:t>
      </w:r>
      <w:r>
        <w:rPr/>
        <w:t> 了追溯调整。</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934" w:right="0"/>
        <w:jc w:val="left"/>
      </w:pPr>
      <w:r>
        <w:rPr>
          <w:rFonts w:ascii="宋体" w:hAnsi="宋体" w:cs="宋体" w:eastAsia="宋体" w:hint="default"/>
        </w:rPr>
        <w:t>2</w:t>
      </w:r>
      <w:r>
        <w:rPr/>
        <w:t>）会计政策变更对可比期间财务报表科目的影响</w:t>
      </w:r>
    </w:p>
    <w:p>
      <w:pPr>
        <w:spacing w:line="240" w:lineRule="auto" w:before="0"/>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2583"/>
        <w:gridCol w:w="1984"/>
        <w:gridCol w:w="2268"/>
        <w:gridCol w:w="1702"/>
      </w:tblGrid>
      <w:tr>
        <w:trPr>
          <w:trHeight w:val="411" w:hRule="exact"/>
        </w:trPr>
        <w:tc>
          <w:tcPr>
            <w:tcW w:w="2583"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47"/>
              <w:ind w:left="20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7"/>
              <w:ind w:left="711" w:right="0"/>
              <w:jc w:val="left"/>
              <w:rPr>
                <w:rFonts w:ascii="宋体" w:hAnsi="宋体" w:cs="宋体" w:eastAsia="宋体" w:hint="default"/>
                <w:sz w:val="18"/>
                <w:szCs w:val="18"/>
              </w:rPr>
            </w:pPr>
            <w:r>
              <w:rPr>
                <w:rFonts w:ascii="宋体" w:hAnsi="宋体" w:cs="宋体" w:eastAsia="宋体" w:hint="default"/>
                <w:sz w:val="18"/>
                <w:szCs w:val="18"/>
              </w:rPr>
              <w:t>变更前</w:t>
            </w:r>
          </w:p>
        </w:tc>
        <w:tc>
          <w:tcPr>
            <w:tcW w:w="226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7"/>
              <w:ind w:left="314" w:right="0"/>
              <w:jc w:val="left"/>
              <w:rPr>
                <w:rFonts w:ascii="宋体" w:hAnsi="宋体" w:cs="宋体" w:eastAsia="宋体" w:hint="default"/>
                <w:sz w:val="18"/>
                <w:szCs w:val="18"/>
              </w:rPr>
            </w:pPr>
            <w:r>
              <w:rPr>
                <w:rFonts w:ascii="宋体" w:hAnsi="宋体" w:cs="宋体" w:eastAsia="宋体" w:hint="default"/>
                <w:sz w:val="18"/>
                <w:szCs w:val="18"/>
              </w:rPr>
              <w:t>会计政策变更的影响</w:t>
            </w:r>
          </w:p>
        </w:tc>
        <w:tc>
          <w:tcPr>
            <w:tcW w:w="170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47"/>
              <w:ind w:right="7"/>
              <w:jc w:val="center"/>
              <w:rPr>
                <w:rFonts w:ascii="宋体" w:hAnsi="宋体" w:cs="宋体" w:eastAsia="宋体" w:hint="default"/>
                <w:sz w:val="18"/>
                <w:szCs w:val="18"/>
              </w:rPr>
            </w:pPr>
            <w:r>
              <w:rPr>
                <w:rFonts w:ascii="宋体" w:hAnsi="宋体" w:cs="宋体" w:eastAsia="宋体" w:hint="default"/>
                <w:sz w:val="18"/>
                <w:szCs w:val="18"/>
              </w:rPr>
              <w:t>变更后</w:t>
            </w:r>
          </w:p>
        </w:tc>
      </w:tr>
      <w:tr>
        <w:trPr>
          <w:trHeight w:val="400" w:hRule="exact"/>
        </w:trPr>
        <w:tc>
          <w:tcPr>
            <w:tcW w:w="2583" w:type="dxa"/>
            <w:tcBorders>
              <w:top w:val="single" w:sz="8" w:space="0" w:color="000000"/>
              <w:left w:val="nil" w:sz="6" w:space="0" w:color="auto"/>
              <w:bottom w:val="nil" w:sz="6" w:space="0" w:color="auto"/>
              <w:right w:val="single" w:sz="8"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984" w:type="dxa"/>
            <w:tcBorders>
              <w:top w:val="single" w:sz="8" w:space="0" w:color="000000"/>
              <w:left w:val="single" w:sz="8" w:space="0" w:color="000000"/>
              <w:bottom w:val="nil" w:sz="6" w:space="0" w:color="auto"/>
              <w:right w:val="single" w:sz="8" w:space="0" w:color="000000"/>
            </w:tcBorders>
          </w:tcPr>
          <w:p>
            <w:pPr/>
          </w:p>
        </w:tc>
        <w:tc>
          <w:tcPr>
            <w:tcW w:w="226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87"/>
              <w:ind w:right="95"/>
              <w:jc w:val="right"/>
              <w:rPr>
                <w:rFonts w:ascii="Times New Roman" w:hAnsi="Times New Roman" w:cs="Times New Roman" w:eastAsia="Times New Roman" w:hint="default"/>
                <w:sz w:val="18"/>
                <w:szCs w:val="18"/>
              </w:rPr>
            </w:pPr>
            <w:r>
              <w:rPr>
                <w:rFonts w:ascii="Times New Roman"/>
                <w:spacing w:val="-1"/>
                <w:sz w:val="18"/>
              </w:rPr>
              <w:t>291,037,482.22</w:t>
            </w:r>
          </w:p>
        </w:tc>
        <w:tc>
          <w:tcPr>
            <w:tcW w:w="1702" w:type="dxa"/>
            <w:tcBorders>
              <w:top w:val="single" w:sz="8" w:space="0" w:color="000000"/>
              <w:left w:val="single" w:sz="8" w:space="0" w:color="000000"/>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291,037,482.22</w:t>
            </w:r>
          </w:p>
        </w:tc>
      </w:tr>
      <w:tr>
        <w:trPr>
          <w:trHeight w:val="387" w:hRule="exact"/>
        </w:trPr>
        <w:tc>
          <w:tcPr>
            <w:tcW w:w="2583" w:type="dxa"/>
            <w:tcBorders>
              <w:top w:val="nil" w:sz="6" w:space="0" w:color="auto"/>
              <w:left w:val="nil" w:sz="6" w:space="0" w:color="auto"/>
              <w:bottom w:val="nil" w:sz="6" w:space="0" w:color="auto"/>
              <w:right w:val="single" w:sz="8"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84" w:type="dxa"/>
            <w:tcBorders>
              <w:top w:val="nil" w:sz="6" w:space="0" w:color="auto"/>
              <w:left w:val="single" w:sz="8" w:space="0" w:color="000000"/>
              <w:bottom w:val="nil" w:sz="6" w:space="0" w:color="auto"/>
              <w:right w:val="single" w:sz="8"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200,000.00</w:t>
            </w:r>
          </w:p>
        </w:tc>
        <w:tc>
          <w:tcPr>
            <w:tcW w:w="2268" w:type="dxa"/>
            <w:tcBorders>
              <w:top w:val="nil" w:sz="6" w:space="0" w:color="auto"/>
              <w:left w:val="single" w:sz="8" w:space="0" w:color="000000"/>
              <w:bottom w:val="nil" w:sz="6" w:space="0" w:color="auto"/>
              <w:right w:val="single" w:sz="8" w:space="0" w:color="000000"/>
            </w:tcBorders>
          </w:tcPr>
          <w:p>
            <w:pPr>
              <w:pStyle w:val="TableParagraph"/>
              <w:spacing w:line="240" w:lineRule="auto" w:before="84"/>
              <w:ind w:right="95"/>
              <w:jc w:val="right"/>
              <w:rPr>
                <w:rFonts w:ascii="Times New Roman" w:hAnsi="Times New Roman" w:cs="Times New Roman" w:eastAsia="Times New Roman" w:hint="default"/>
                <w:sz w:val="18"/>
                <w:szCs w:val="18"/>
              </w:rPr>
            </w:pPr>
            <w:r>
              <w:rPr>
                <w:rFonts w:ascii="Times New Roman"/>
                <w:w w:val="95"/>
                <w:sz w:val="18"/>
              </w:rPr>
              <w:t>-200,000.00</w:t>
            </w:r>
            <w:r>
              <w:rPr>
                <w:rFonts w:ascii="Times New Roman"/>
                <w:sz w:val="18"/>
              </w:rPr>
            </w:r>
          </w:p>
        </w:tc>
        <w:tc>
          <w:tcPr>
            <w:tcW w:w="1702" w:type="dxa"/>
            <w:tcBorders>
              <w:top w:val="nil" w:sz="6" w:space="0" w:color="auto"/>
              <w:left w:val="single" w:sz="8" w:space="0" w:color="000000"/>
              <w:bottom w:val="nil" w:sz="6" w:space="0" w:color="auto"/>
              <w:right w:val="nil" w:sz="6" w:space="0" w:color="auto"/>
            </w:tcBorders>
          </w:tcPr>
          <w:p>
            <w:pPr/>
          </w:p>
        </w:tc>
      </w:tr>
      <w:tr>
        <w:trPr>
          <w:trHeight w:val="386" w:hRule="exact"/>
        </w:trPr>
        <w:tc>
          <w:tcPr>
            <w:tcW w:w="2583" w:type="dxa"/>
            <w:tcBorders>
              <w:top w:val="nil" w:sz="6" w:space="0" w:color="auto"/>
              <w:left w:val="nil" w:sz="6" w:space="0" w:color="auto"/>
              <w:bottom w:val="nil" w:sz="6" w:space="0" w:color="auto"/>
              <w:right w:val="single" w:sz="8"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4"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290,837,482.22</w:t>
            </w:r>
          </w:p>
        </w:tc>
        <w:tc>
          <w:tcPr>
            <w:tcW w:w="2268"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5"/>
              <w:jc w:val="right"/>
              <w:rPr>
                <w:rFonts w:ascii="Times New Roman" w:hAnsi="Times New Roman" w:cs="Times New Roman" w:eastAsia="Times New Roman" w:hint="default"/>
                <w:sz w:val="18"/>
                <w:szCs w:val="18"/>
              </w:rPr>
            </w:pPr>
            <w:r>
              <w:rPr>
                <w:rFonts w:ascii="Times New Roman"/>
                <w:spacing w:val="-1"/>
                <w:sz w:val="18"/>
              </w:rPr>
              <w:t>-290,837,482.22</w:t>
            </w:r>
          </w:p>
        </w:tc>
        <w:tc>
          <w:tcPr>
            <w:tcW w:w="1702" w:type="dxa"/>
            <w:tcBorders>
              <w:top w:val="nil" w:sz="6" w:space="0" w:color="auto"/>
              <w:left w:val="single" w:sz="8" w:space="0" w:color="000000"/>
              <w:bottom w:val="nil" w:sz="6" w:space="0" w:color="auto"/>
              <w:right w:val="nil" w:sz="6" w:space="0" w:color="auto"/>
            </w:tcBorders>
          </w:tcPr>
          <w:p>
            <w:pPr/>
          </w:p>
        </w:tc>
      </w:tr>
      <w:tr>
        <w:trPr>
          <w:trHeight w:val="382" w:hRule="exact"/>
        </w:trPr>
        <w:tc>
          <w:tcPr>
            <w:tcW w:w="2583" w:type="dxa"/>
            <w:tcBorders>
              <w:top w:val="nil" w:sz="6" w:space="0" w:color="auto"/>
              <w:left w:val="nil" w:sz="6" w:space="0" w:color="auto"/>
              <w:bottom w:val="nil" w:sz="6" w:space="0" w:color="auto"/>
              <w:right w:val="single" w:sz="8"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4"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97,403,408.00</w:t>
            </w:r>
          </w:p>
        </w:tc>
        <w:tc>
          <w:tcPr>
            <w:tcW w:w="2268" w:type="dxa"/>
            <w:tcBorders>
              <w:top w:val="nil" w:sz="6" w:space="0" w:color="auto"/>
              <w:left w:val="single" w:sz="8" w:space="0" w:color="000000"/>
              <w:bottom w:val="nil" w:sz="6" w:space="0" w:color="auto"/>
              <w:right w:val="single" w:sz="8" w:space="0" w:color="000000"/>
            </w:tcBorders>
          </w:tcPr>
          <w:p>
            <w:pPr/>
          </w:p>
        </w:tc>
        <w:tc>
          <w:tcPr>
            <w:tcW w:w="1702" w:type="dxa"/>
            <w:tcBorders>
              <w:top w:val="nil" w:sz="6" w:space="0" w:color="auto"/>
              <w:left w:val="single" w:sz="8" w:space="0" w:color="000000"/>
              <w:bottom w:val="nil" w:sz="6" w:space="0" w:color="auto"/>
              <w:right w:val="nil" w:sz="6" w:space="0" w:color="auto"/>
            </w:tcBorders>
          </w:tcPr>
          <w:p>
            <w:pPr>
              <w:pStyle w:val="TableParagraph"/>
              <w:spacing w:line="240" w:lineRule="auto" w:before="83"/>
              <w:ind w:right="105"/>
              <w:jc w:val="right"/>
              <w:rPr>
                <w:rFonts w:ascii="Times New Roman" w:hAnsi="Times New Roman" w:cs="Times New Roman" w:eastAsia="Times New Roman" w:hint="default"/>
                <w:sz w:val="18"/>
                <w:szCs w:val="18"/>
              </w:rPr>
            </w:pPr>
            <w:r>
              <w:rPr>
                <w:rFonts w:ascii="Times New Roman"/>
                <w:spacing w:val="-1"/>
                <w:sz w:val="18"/>
              </w:rPr>
              <w:t>97,403,408.00</w:t>
            </w:r>
          </w:p>
        </w:tc>
      </w:tr>
      <w:tr>
        <w:trPr>
          <w:trHeight w:val="372" w:hRule="exact"/>
        </w:trPr>
        <w:tc>
          <w:tcPr>
            <w:tcW w:w="2583" w:type="dxa"/>
            <w:tcBorders>
              <w:top w:val="nil" w:sz="6" w:space="0" w:color="auto"/>
              <w:left w:val="nil" w:sz="6" w:space="0" w:color="auto"/>
              <w:bottom w:val="nil" w:sz="6" w:space="0" w:color="auto"/>
              <w:right w:val="single" w:sz="8"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984" w:type="dxa"/>
            <w:tcBorders>
              <w:top w:val="nil" w:sz="6" w:space="0" w:color="auto"/>
              <w:left w:val="single" w:sz="8" w:space="0" w:color="000000"/>
              <w:bottom w:val="nil" w:sz="6" w:space="0" w:color="auto"/>
              <w:right w:val="single" w:sz="8" w:space="0" w:color="000000"/>
            </w:tcBorders>
          </w:tcPr>
          <w:p>
            <w:pPr/>
          </w:p>
        </w:tc>
        <w:tc>
          <w:tcPr>
            <w:tcW w:w="2268" w:type="dxa"/>
            <w:tcBorders>
              <w:top w:val="nil" w:sz="6" w:space="0" w:color="auto"/>
              <w:left w:val="single" w:sz="8" w:space="0" w:color="000000"/>
              <w:bottom w:val="nil" w:sz="6" w:space="0" w:color="auto"/>
              <w:right w:val="single" w:sz="8" w:space="0" w:color="000000"/>
            </w:tcBorders>
          </w:tcPr>
          <w:p>
            <w:pPr/>
          </w:p>
        </w:tc>
        <w:tc>
          <w:tcPr>
            <w:tcW w:w="1702" w:type="dxa"/>
            <w:tcBorders>
              <w:top w:val="nil" w:sz="6" w:space="0" w:color="auto"/>
              <w:left w:val="single" w:sz="8" w:space="0" w:color="000000"/>
              <w:bottom w:val="nil" w:sz="6" w:space="0" w:color="auto"/>
              <w:right w:val="nil" w:sz="6" w:space="0" w:color="auto"/>
            </w:tcBorders>
          </w:tcPr>
          <w:p>
            <w:pPr/>
          </w:p>
        </w:tc>
      </w:tr>
      <w:tr>
        <w:trPr>
          <w:trHeight w:val="359" w:hRule="exact"/>
        </w:trPr>
        <w:tc>
          <w:tcPr>
            <w:tcW w:w="2583" w:type="dxa"/>
            <w:tcBorders>
              <w:top w:val="nil" w:sz="6" w:space="0" w:color="auto"/>
              <w:left w:val="nil" w:sz="6" w:space="0" w:color="auto"/>
              <w:bottom w:val="single" w:sz="12" w:space="0" w:color="000000"/>
              <w:right w:val="single" w:sz="8" w:space="0" w:color="000000"/>
            </w:tcBorders>
          </w:tcPr>
          <w:p>
            <w:pPr>
              <w:pStyle w:val="TableParagraph"/>
              <w:spacing w:line="240" w:lineRule="auto" w:before="33"/>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984" w:type="dxa"/>
            <w:tcBorders>
              <w:top w:val="nil" w:sz="6" w:space="0" w:color="auto"/>
              <w:left w:val="single" w:sz="8" w:space="0" w:color="000000"/>
              <w:bottom w:val="single" w:sz="12" w:space="0" w:color="000000"/>
              <w:right w:val="single" w:sz="8" w:space="0" w:color="000000"/>
            </w:tcBorders>
          </w:tcPr>
          <w:p>
            <w:pPr/>
          </w:p>
        </w:tc>
        <w:tc>
          <w:tcPr>
            <w:tcW w:w="2268" w:type="dxa"/>
            <w:tcBorders>
              <w:top w:val="nil" w:sz="6" w:space="0" w:color="auto"/>
              <w:left w:val="single" w:sz="8" w:space="0" w:color="000000"/>
              <w:bottom w:val="single" w:sz="12" w:space="0" w:color="000000"/>
              <w:right w:val="single" w:sz="8" w:space="0" w:color="000000"/>
            </w:tcBorders>
          </w:tcPr>
          <w:p>
            <w:pPr/>
          </w:p>
        </w:tc>
        <w:tc>
          <w:tcPr>
            <w:tcW w:w="1702" w:type="dxa"/>
            <w:tcBorders>
              <w:top w:val="nil" w:sz="6" w:space="0" w:color="auto"/>
              <w:left w:val="single" w:sz="8" w:space="0" w:color="000000"/>
              <w:bottom w:val="single" w:sz="12" w:space="0" w:color="000000"/>
              <w:right w:val="nil" w:sz="6" w:space="0" w:color="auto"/>
            </w:tcBorders>
          </w:tcPr>
          <w:p>
            <w:pPr/>
          </w:p>
        </w:tc>
      </w:tr>
      <w:tr>
        <w:trPr>
          <w:trHeight w:val="410" w:hRule="exact"/>
        </w:trPr>
        <w:tc>
          <w:tcPr>
            <w:tcW w:w="2583"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47"/>
              <w:ind w:left="20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7"/>
              <w:ind w:left="711" w:right="0"/>
              <w:jc w:val="left"/>
              <w:rPr>
                <w:rFonts w:ascii="宋体" w:hAnsi="宋体" w:cs="宋体" w:eastAsia="宋体" w:hint="default"/>
                <w:sz w:val="18"/>
                <w:szCs w:val="18"/>
              </w:rPr>
            </w:pPr>
            <w:r>
              <w:rPr>
                <w:rFonts w:ascii="宋体" w:hAnsi="宋体" w:cs="宋体" w:eastAsia="宋体" w:hint="default"/>
                <w:sz w:val="18"/>
                <w:szCs w:val="18"/>
              </w:rPr>
              <w:t>变更前</w:t>
            </w:r>
          </w:p>
        </w:tc>
        <w:tc>
          <w:tcPr>
            <w:tcW w:w="226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7"/>
              <w:ind w:left="314" w:right="0"/>
              <w:jc w:val="left"/>
              <w:rPr>
                <w:rFonts w:ascii="宋体" w:hAnsi="宋体" w:cs="宋体" w:eastAsia="宋体" w:hint="default"/>
                <w:sz w:val="18"/>
                <w:szCs w:val="18"/>
              </w:rPr>
            </w:pPr>
            <w:r>
              <w:rPr>
                <w:rFonts w:ascii="宋体" w:hAnsi="宋体" w:cs="宋体" w:eastAsia="宋体" w:hint="default"/>
                <w:sz w:val="18"/>
                <w:szCs w:val="18"/>
              </w:rPr>
              <w:t>会计政策变更的影响</w:t>
            </w:r>
          </w:p>
        </w:tc>
        <w:tc>
          <w:tcPr>
            <w:tcW w:w="170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47"/>
              <w:ind w:right="7"/>
              <w:jc w:val="center"/>
              <w:rPr>
                <w:rFonts w:ascii="宋体" w:hAnsi="宋体" w:cs="宋体" w:eastAsia="宋体" w:hint="default"/>
                <w:sz w:val="18"/>
                <w:szCs w:val="18"/>
              </w:rPr>
            </w:pPr>
            <w:r>
              <w:rPr>
                <w:rFonts w:ascii="宋体" w:hAnsi="宋体" w:cs="宋体" w:eastAsia="宋体" w:hint="default"/>
                <w:sz w:val="18"/>
                <w:szCs w:val="18"/>
              </w:rPr>
              <w:t>变更后</w:t>
            </w:r>
          </w:p>
        </w:tc>
      </w:tr>
      <w:tr>
        <w:trPr>
          <w:trHeight w:val="401" w:hRule="exact"/>
        </w:trPr>
        <w:tc>
          <w:tcPr>
            <w:tcW w:w="2583" w:type="dxa"/>
            <w:tcBorders>
              <w:top w:val="single" w:sz="8" w:space="0" w:color="000000"/>
              <w:left w:val="nil" w:sz="6" w:space="0" w:color="auto"/>
              <w:bottom w:val="nil" w:sz="6" w:space="0" w:color="auto"/>
              <w:right w:val="single" w:sz="8"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8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pacing w:val="-1"/>
                <w:sz w:val="18"/>
              </w:rPr>
              <w:t>247,286,844.71</w:t>
            </w:r>
          </w:p>
        </w:tc>
        <w:tc>
          <w:tcPr>
            <w:tcW w:w="2268" w:type="dxa"/>
            <w:tcBorders>
              <w:top w:val="single" w:sz="8" w:space="0" w:color="000000"/>
              <w:left w:val="single" w:sz="8" w:space="0" w:color="000000"/>
              <w:bottom w:val="nil" w:sz="6" w:space="0" w:color="auto"/>
              <w:right w:val="single" w:sz="8" w:space="0" w:color="000000"/>
            </w:tcBorders>
          </w:tcPr>
          <w:p>
            <w:pPr/>
          </w:p>
        </w:tc>
        <w:tc>
          <w:tcPr>
            <w:tcW w:w="1702" w:type="dxa"/>
            <w:tcBorders>
              <w:top w:val="single" w:sz="8" w:space="0" w:color="000000"/>
              <w:left w:val="single" w:sz="8" w:space="0" w:color="000000"/>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247,286,844.71</w:t>
            </w:r>
          </w:p>
        </w:tc>
      </w:tr>
      <w:tr>
        <w:trPr>
          <w:trHeight w:val="382" w:hRule="exact"/>
        </w:trPr>
        <w:tc>
          <w:tcPr>
            <w:tcW w:w="2583" w:type="dxa"/>
            <w:tcBorders>
              <w:top w:val="nil" w:sz="6" w:space="0" w:color="auto"/>
              <w:left w:val="nil" w:sz="6" w:space="0" w:color="auto"/>
              <w:bottom w:val="nil" w:sz="6" w:space="0" w:color="auto"/>
              <w:right w:val="single" w:sz="8"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984" w:type="dxa"/>
            <w:tcBorders>
              <w:top w:val="nil" w:sz="6" w:space="0" w:color="auto"/>
              <w:left w:val="single" w:sz="8" w:space="0" w:color="000000"/>
              <w:bottom w:val="nil" w:sz="6" w:space="0" w:color="auto"/>
              <w:right w:val="single" w:sz="8" w:space="0" w:color="000000"/>
            </w:tcBorders>
          </w:tcPr>
          <w:p>
            <w:pPr/>
          </w:p>
        </w:tc>
        <w:tc>
          <w:tcPr>
            <w:tcW w:w="2268" w:type="dxa"/>
            <w:tcBorders>
              <w:top w:val="nil" w:sz="6" w:space="0" w:color="auto"/>
              <w:left w:val="single" w:sz="8" w:space="0" w:color="000000"/>
              <w:bottom w:val="nil" w:sz="6" w:space="0" w:color="auto"/>
              <w:right w:val="single" w:sz="8" w:space="0" w:color="000000"/>
            </w:tcBorders>
          </w:tcPr>
          <w:p>
            <w:pPr/>
          </w:p>
        </w:tc>
        <w:tc>
          <w:tcPr>
            <w:tcW w:w="1702" w:type="dxa"/>
            <w:tcBorders>
              <w:top w:val="nil" w:sz="6" w:space="0" w:color="auto"/>
              <w:left w:val="single" w:sz="8" w:space="0" w:color="000000"/>
              <w:bottom w:val="nil" w:sz="6" w:space="0" w:color="auto"/>
              <w:right w:val="nil" w:sz="6" w:space="0" w:color="auto"/>
            </w:tcBorders>
          </w:tcPr>
          <w:p>
            <w:pPr/>
          </w:p>
        </w:tc>
      </w:tr>
      <w:tr>
        <w:trPr>
          <w:trHeight w:val="390" w:hRule="exact"/>
        </w:trPr>
        <w:tc>
          <w:tcPr>
            <w:tcW w:w="2583" w:type="dxa"/>
            <w:tcBorders>
              <w:top w:val="nil" w:sz="6" w:space="0" w:color="auto"/>
              <w:left w:val="nil" w:sz="6" w:space="0" w:color="auto"/>
              <w:bottom w:val="nil" w:sz="6" w:space="0" w:color="auto"/>
              <w:right w:val="single" w:sz="8"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84" w:type="dxa"/>
            <w:tcBorders>
              <w:top w:val="nil" w:sz="6" w:space="0" w:color="auto"/>
              <w:left w:val="single" w:sz="8" w:space="0" w:color="000000"/>
              <w:bottom w:val="nil" w:sz="6" w:space="0" w:color="auto"/>
              <w:right w:val="single" w:sz="8" w:space="0" w:color="000000"/>
            </w:tcBorders>
          </w:tcPr>
          <w:p>
            <w:pPr>
              <w:pStyle w:val="TableParagraph"/>
              <w:spacing w:line="240" w:lineRule="auto" w:before="87"/>
              <w:ind w:right="96"/>
              <w:jc w:val="right"/>
              <w:rPr>
                <w:rFonts w:ascii="Times New Roman" w:hAnsi="Times New Roman" w:cs="Times New Roman" w:eastAsia="Times New Roman" w:hint="default"/>
                <w:sz w:val="18"/>
                <w:szCs w:val="18"/>
              </w:rPr>
            </w:pPr>
            <w:r>
              <w:rPr>
                <w:rFonts w:ascii="Times New Roman"/>
                <w:spacing w:val="-1"/>
                <w:sz w:val="18"/>
              </w:rPr>
              <w:t>3,722,428.60</w:t>
            </w:r>
          </w:p>
        </w:tc>
        <w:tc>
          <w:tcPr>
            <w:tcW w:w="2268" w:type="dxa"/>
            <w:tcBorders>
              <w:top w:val="nil" w:sz="6" w:space="0" w:color="auto"/>
              <w:left w:val="single" w:sz="8" w:space="0" w:color="000000"/>
              <w:bottom w:val="nil" w:sz="6" w:space="0" w:color="auto"/>
              <w:right w:val="single" w:sz="8" w:space="0" w:color="000000"/>
            </w:tcBorders>
          </w:tcPr>
          <w:p>
            <w:pPr/>
          </w:p>
        </w:tc>
        <w:tc>
          <w:tcPr>
            <w:tcW w:w="1702" w:type="dxa"/>
            <w:tcBorders>
              <w:top w:val="nil" w:sz="6" w:space="0" w:color="auto"/>
              <w:left w:val="single" w:sz="8" w:space="0" w:color="000000"/>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3,722,428.60</w:t>
            </w:r>
          </w:p>
        </w:tc>
      </w:tr>
      <w:tr>
        <w:trPr>
          <w:trHeight w:val="383" w:hRule="exact"/>
        </w:trPr>
        <w:tc>
          <w:tcPr>
            <w:tcW w:w="2583" w:type="dxa"/>
            <w:tcBorders>
              <w:top w:val="nil" w:sz="6" w:space="0" w:color="auto"/>
              <w:left w:val="nil" w:sz="6" w:space="0" w:color="auto"/>
              <w:bottom w:val="nil" w:sz="6" w:space="0" w:color="auto"/>
              <w:right w:val="single" w:sz="8"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984" w:type="dxa"/>
            <w:tcBorders>
              <w:top w:val="nil" w:sz="6" w:space="0" w:color="auto"/>
              <w:left w:val="single" w:sz="8" w:space="0" w:color="000000"/>
              <w:bottom w:val="nil" w:sz="6" w:space="0" w:color="auto"/>
              <w:right w:val="single" w:sz="8" w:space="0" w:color="000000"/>
            </w:tcBorders>
          </w:tcPr>
          <w:p>
            <w:pPr/>
          </w:p>
        </w:tc>
        <w:tc>
          <w:tcPr>
            <w:tcW w:w="2268" w:type="dxa"/>
            <w:tcBorders>
              <w:top w:val="nil" w:sz="6" w:space="0" w:color="auto"/>
              <w:left w:val="single" w:sz="8" w:space="0" w:color="000000"/>
              <w:bottom w:val="nil" w:sz="6" w:space="0" w:color="auto"/>
              <w:right w:val="single" w:sz="8" w:space="0" w:color="000000"/>
            </w:tcBorders>
          </w:tcPr>
          <w:p>
            <w:pPr/>
          </w:p>
        </w:tc>
        <w:tc>
          <w:tcPr>
            <w:tcW w:w="1702" w:type="dxa"/>
            <w:tcBorders>
              <w:top w:val="nil" w:sz="6" w:space="0" w:color="auto"/>
              <w:left w:val="single" w:sz="8" w:space="0" w:color="000000"/>
              <w:bottom w:val="nil" w:sz="6" w:space="0" w:color="auto"/>
              <w:right w:val="nil" w:sz="6" w:space="0" w:color="auto"/>
            </w:tcBorders>
          </w:tcPr>
          <w:p>
            <w:pPr/>
          </w:p>
        </w:tc>
      </w:tr>
      <w:tr>
        <w:trPr>
          <w:trHeight w:val="390" w:hRule="exact"/>
        </w:trPr>
        <w:tc>
          <w:tcPr>
            <w:tcW w:w="2583" w:type="dxa"/>
            <w:tcBorders>
              <w:top w:val="nil" w:sz="6" w:space="0" w:color="auto"/>
              <w:left w:val="nil" w:sz="6" w:space="0" w:color="auto"/>
              <w:bottom w:val="nil" w:sz="6" w:space="0" w:color="auto"/>
              <w:right w:val="single" w:sz="8"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984" w:type="dxa"/>
            <w:tcBorders>
              <w:top w:val="nil" w:sz="6" w:space="0" w:color="auto"/>
              <w:left w:val="single" w:sz="8" w:space="0" w:color="000000"/>
              <w:bottom w:val="nil" w:sz="6" w:space="0" w:color="auto"/>
              <w:right w:val="single" w:sz="8" w:space="0" w:color="000000"/>
            </w:tcBorders>
          </w:tcPr>
          <w:p>
            <w:pPr/>
          </w:p>
        </w:tc>
        <w:tc>
          <w:tcPr>
            <w:tcW w:w="2268" w:type="dxa"/>
            <w:tcBorders>
              <w:top w:val="nil" w:sz="6" w:space="0" w:color="auto"/>
              <w:left w:val="single" w:sz="8" w:space="0" w:color="000000"/>
              <w:bottom w:val="nil" w:sz="6" w:space="0" w:color="auto"/>
              <w:right w:val="single" w:sz="8" w:space="0" w:color="000000"/>
            </w:tcBorders>
          </w:tcPr>
          <w:p>
            <w:pPr>
              <w:pStyle w:val="TableParagraph"/>
              <w:spacing w:line="240" w:lineRule="auto" w:before="87"/>
              <w:ind w:right="95"/>
              <w:jc w:val="right"/>
              <w:rPr>
                <w:rFonts w:ascii="Times New Roman" w:hAnsi="Times New Roman" w:cs="Times New Roman" w:eastAsia="Times New Roman" w:hint="default"/>
                <w:sz w:val="18"/>
                <w:szCs w:val="18"/>
              </w:rPr>
            </w:pPr>
            <w:r>
              <w:rPr>
                <w:rFonts w:ascii="Times New Roman"/>
                <w:spacing w:val="-1"/>
                <w:sz w:val="18"/>
              </w:rPr>
              <w:t>179,190,895.42</w:t>
            </w:r>
          </w:p>
        </w:tc>
        <w:tc>
          <w:tcPr>
            <w:tcW w:w="1702" w:type="dxa"/>
            <w:tcBorders>
              <w:top w:val="nil" w:sz="6" w:space="0" w:color="auto"/>
              <w:left w:val="single" w:sz="8" w:space="0" w:color="000000"/>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179,190,895.42</w:t>
            </w:r>
          </w:p>
        </w:tc>
      </w:tr>
      <w:tr>
        <w:trPr>
          <w:trHeight w:val="386" w:hRule="exact"/>
        </w:trPr>
        <w:tc>
          <w:tcPr>
            <w:tcW w:w="2583" w:type="dxa"/>
            <w:tcBorders>
              <w:top w:val="nil" w:sz="6" w:space="0" w:color="auto"/>
              <w:left w:val="nil" w:sz="6" w:space="0" w:color="auto"/>
              <w:bottom w:val="nil" w:sz="6" w:space="0" w:color="auto"/>
              <w:right w:val="single" w:sz="8"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84"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36,657,890.79</w:t>
            </w:r>
          </w:p>
        </w:tc>
        <w:tc>
          <w:tcPr>
            <w:tcW w:w="2268"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5"/>
              <w:jc w:val="right"/>
              <w:rPr>
                <w:rFonts w:ascii="Times New Roman" w:hAnsi="Times New Roman" w:cs="Times New Roman" w:eastAsia="Times New Roman" w:hint="default"/>
                <w:sz w:val="18"/>
                <w:szCs w:val="18"/>
              </w:rPr>
            </w:pPr>
            <w:r>
              <w:rPr>
                <w:rFonts w:ascii="Times New Roman"/>
                <w:spacing w:val="-1"/>
                <w:sz w:val="18"/>
              </w:rPr>
              <w:t>-36,657,890.79</w:t>
            </w:r>
          </w:p>
        </w:tc>
        <w:tc>
          <w:tcPr>
            <w:tcW w:w="1702" w:type="dxa"/>
            <w:tcBorders>
              <w:top w:val="nil" w:sz="6" w:space="0" w:color="auto"/>
              <w:left w:val="single" w:sz="8" w:space="0" w:color="000000"/>
              <w:bottom w:val="nil" w:sz="6" w:space="0" w:color="auto"/>
              <w:right w:val="nil" w:sz="6" w:space="0" w:color="auto"/>
            </w:tcBorders>
          </w:tcPr>
          <w:p>
            <w:pPr/>
          </w:p>
        </w:tc>
      </w:tr>
      <w:tr>
        <w:trPr>
          <w:trHeight w:val="386" w:hRule="exact"/>
        </w:trPr>
        <w:tc>
          <w:tcPr>
            <w:tcW w:w="2583" w:type="dxa"/>
            <w:tcBorders>
              <w:top w:val="nil" w:sz="6" w:space="0" w:color="auto"/>
              <w:left w:val="nil" w:sz="6" w:space="0" w:color="auto"/>
              <w:bottom w:val="nil" w:sz="6" w:space="0" w:color="auto"/>
              <w:right w:val="single" w:sz="8"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84"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142,533,004.63</w:t>
            </w:r>
          </w:p>
        </w:tc>
        <w:tc>
          <w:tcPr>
            <w:tcW w:w="2268"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5"/>
              <w:jc w:val="right"/>
              <w:rPr>
                <w:rFonts w:ascii="Times New Roman" w:hAnsi="Times New Roman" w:cs="Times New Roman" w:eastAsia="Times New Roman" w:hint="default"/>
                <w:sz w:val="18"/>
                <w:szCs w:val="18"/>
              </w:rPr>
            </w:pPr>
            <w:r>
              <w:rPr>
                <w:rFonts w:ascii="Times New Roman"/>
                <w:spacing w:val="-1"/>
                <w:sz w:val="18"/>
              </w:rPr>
              <w:t>-142,533,004.63</w:t>
            </w:r>
          </w:p>
        </w:tc>
        <w:tc>
          <w:tcPr>
            <w:tcW w:w="1702" w:type="dxa"/>
            <w:tcBorders>
              <w:top w:val="nil" w:sz="6" w:space="0" w:color="auto"/>
              <w:left w:val="single" w:sz="8" w:space="0" w:color="000000"/>
              <w:bottom w:val="nil" w:sz="6" w:space="0" w:color="auto"/>
              <w:right w:val="nil" w:sz="6" w:space="0" w:color="auto"/>
            </w:tcBorders>
          </w:tcPr>
          <w:p>
            <w:pPr/>
          </w:p>
        </w:tc>
      </w:tr>
      <w:tr>
        <w:trPr>
          <w:trHeight w:val="386" w:hRule="exact"/>
        </w:trPr>
        <w:tc>
          <w:tcPr>
            <w:tcW w:w="2583" w:type="dxa"/>
            <w:tcBorders>
              <w:top w:val="nil" w:sz="6" w:space="0" w:color="auto"/>
              <w:left w:val="nil" w:sz="6" w:space="0" w:color="auto"/>
              <w:bottom w:val="nil" w:sz="6" w:space="0" w:color="auto"/>
              <w:right w:val="single" w:sz="8"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84"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19,081,069.48</w:t>
            </w:r>
          </w:p>
        </w:tc>
        <w:tc>
          <w:tcPr>
            <w:tcW w:w="2268" w:type="dxa"/>
            <w:tcBorders>
              <w:top w:val="nil" w:sz="6" w:space="0" w:color="auto"/>
              <w:left w:val="single" w:sz="8" w:space="0" w:color="000000"/>
              <w:bottom w:val="nil" w:sz="6" w:space="0" w:color="auto"/>
              <w:right w:val="single" w:sz="8" w:space="0" w:color="000000"/>
            </w:tcBorders>
          </w:tcPr>
          <w:p>
            <w:pPr/>
          </w:p>
        </w:tc>
        <w:tc>
          <w:tcPr>
            <w:tcW w:w="1702" w:type="dxa"/>
            <w:tcBorders>
              <w:top w:val="nil" w:sz="6" w:space="0" w:color="auto"/>
              <w:left w:val="single" w:sz="8" w:space="0" w:color="000000"/>
              <w:bottom w:val="nil" w:sz="6" w:space="0" w:color="auto"/>
              <w:right w:val="nil" w:sz="6" w:space="0" w:color="auto"/>
            </w:tcBorders>
          </w:tcPr>
          <w:p>
            <w:pPr>
              <w:pStyle w:val="TableParagraph"/>
              <w:spacing w:line="240" w:lineRule="auto" w:before="83"/>
              <w:ind w:right="105"/>
              <w:jc w:val="right"/>
              <w:rPr>
                <w:rFonts w:ascii="Times New Roman" w:hAnsi="Times New Roman" w:cs="Times New Roman" w:eastAsia="Times New Roman" w:hint="default"/>
                <w:sz w:val="18"/>
                <w:szCs w:val="18"/>
              </w:rPr>
            </w:pPr>
            <w:r>
              <w:rPr>
                <w:rFonts w:ascii="Times New Roman"/>
                <w:spacing w:val="-1"/>
                <w:sz w:val="18"/>
              </w:rPr>
              <w:t>19,081,069.48</w:t>
            </w:r>
          </w:p>
        </w:tc>
      </w:tr>
      <w:tr>
        <w:trPr>
          <w:trHeight w:val="382" w:hRule="exact"/>
        </w:trPr>
        <w:tc>
          <w:tcPr>
            <w:tcW w:w="2583" w:type="dxa"/>
            <w:tcBorders>
              <w:top w:val="nil" w:sz="6" w:space="0" w:color="auto"/>
              <w:left w:val="nil" w:sz="6" w:space="0" w:color="auto"/>
              <w:bottom w:val="nil" w:sz="6" w:space="0" w:color="auto"/>
              <w:right w:val="single" w:sz="8"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84" w:type="dxa"/>
            <w:tcBorders>
              <w:top w:val="nil" w:sz="6" w:space="0" w:color="auto"/>
              <w:left w:val="single" w:sz="8" w:space="0" w:color="000000"/>
              <w:bottom w:val="nil" w:sz="6" w:space="0" w:color="auto"/>
              <w:right w:val="single" w:sz="8" w:space="0" w:color="000000"/>
            </w:tcBorders>
          </w:tcPr>
          <w:p>
            <w:pPr/>
          </w:p>
        </w:tc>
        <w:tc>
          <w:tcPr>
            <w:tcW w:w="2268" w:type="dxa"/>
            <w:tcBorders>
              <w:top w:val="nil" w:sz="6" w:space="0" w:color="auto"/>
              <w:left w:val="single" w:sz="8" w:space="0" w:color="000000"/>
              <w:bottom w:val="nil" w:sz="6" w:space="0" w:color="auto"/>
              <w:right w:val="single" w:sz="8" w:space="0" w:color="000000"/>
            </w:tcBorders>
          </w:tcPr>
          <w:p>
            <w:pPr/>
          </w:p>
        </w:tc>
        <w:tc>
          <w:tcPr>
            <w:tcW w:w="1702" w:type="dxa"/>
            <w:tcBorders>
              <w:top w:val="nil" w:sz="6" w:space="0" w:color="auto"/>
              <w:left w:val="single" w:sz="8" w:space="0" w:color="000000"/>
              <w:bottom w:val="nil" w:sz="6" w:space="0" w:color="auto"/>
              <w:right w:val="nil" w:sz="6" w:space="0" w:color="auto"/>
            </w:tcBorders>
          </w:tcPr>
          <w:p>
            <w:pPr/>
          </w:p>
        </w:tc>
      </w:tr>
      <w:tr>
        <w:trPr>
          <w:trHeight w:val="387" w:hRule="exact"/>
        </w:trPr>
        <w:tc>
          <w:tcPr>
            <w:tcW w:w="2583" w:type="dxa"/>
            <w:tcBorders>
              <w:top w:val="nil" w:sz="6" w:space="0" w:color="auto"/>
              <w:left w:val="nil" w:sz="6" w:space="0" w:color="auto"/>
              <w:bottom w:val="nil" w:sz="6" w:space="0" w:color="auto"/>
              <w:right w:val="single" w:sz="8"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984" w:type="dxa"/>
            <w:tcBorders>
              <w:top w:val="nil" w:sz="6" w:space="0" w:color="auto"/>
              <w:left w:val="single" w:sz="8" w:space="0" w:color="000000"/>
              <w:bottom w:val="nil" w:sz="6" w:space="0" w:color="auto"/>
              <w:right w:val="single" w:sz="8" w:space="0" w:color="000000"/>
            </w:tcBorders>
          </w:tcPr>
          <w:p>
            <w:pPr/>
          </w:p>
        </w:tc>
        <w:tc>
          <w:tcPr>
            <w:tcW w:w="2268" w:type="dxa"/>
            <w:tcBorders>
              <w:top w:val="nil" w:sz="6" w:space="0" w:color="auto"/>
              <w:left w:val="single" w:sz="8" w:space="0" w:color="000000"/>
              <w:bottom w:val="nil" w:sz="6" w:space="0" w:color="auto"/>
              <w:right w:val="single" w:sz="8" w:space="0" w:color="000000"/>
            </w:tcBorders>
          </w:tcPr>
          <w:p>
            <w:pPr/>
          </w:p>
        </w:tc>
        <w:tc>
          <w:tcPr>
            <w:tcW w:w="1702" w:type="dxa"/>
            <w:tcBorders>
              <w:top w:val="nil" w:sz="6" w:space="0" w:color="auto"/>
              <w:left w:val="single" w:sz="8" w:space="0" w:color="000000"/>
              <w:bottom w:val="nil" w:sz="6" w:space="0" w:color="auto"/>
              <w:right w:val="nil" w:sz="6" w:space="0" w:color="auto"/>
            </w:tcBorders>
          </w:tcPr>
          <w:p>
            <w:pPr/>
          </w:p>
        </w:tc>
      </w:tr>
      <w:tr>
        <w:trPr>
          <w:trHeight w:val="390" w:hRule="exact"/>
        </w:trPr>
        <w:tc>
          <w:tcPr>
            <w:tcW w:w="2583" w:type="dxa"/>
            <w:tcBorders>
              <w:top w:val="nil" w:sz="6" w:space="0" w:color="auto"/>
              <w:left w:val="nil" w:sz="6" w:space="0" w:color="auto"/>
              <w:bottom w:val="nil" w:sz="6" w:space="0" w:color="auto"/>
              <w:right w:val="single" w:sz="8"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84" w:type="dxa"/>
            <w:tcBorders>
              <w:top w:val="nil" w:sz="6" w:space="0" w:color="auto"/>
              <w:left w:val="single" w:sz="8" w:space="0" w:color="000000"/>
              <w:bottom w:val="nil" w:sz="6" w:space="0" w:color="auto"/>
              <w:right w:val="single" w:sz="8" w:space="0" w:color="000000"/>
            </w:tcBorders>
          </w:tcPr>
          <w:p>
            <w:pPr>
              <w:pStyle w:val="TableParagraph"/>
              <w:spacing w:line="240" w:lineRule="auto" w:before="87"/>
              <w:ind w:right="96"/>
              <w:jc w:val="right"/>
              <w:rPr>
                <w:rFonts w:ascii="Times New Roman" w:hAnsi="Times New Roman" w:cs="Times New Roman" w:eastAsia="Times New Roman" w:hint="default"/>
                <w:sz w:val="18"/>
                <w:szCs w:val="18"/>
              </w:rPr>
            </w:pPr>
            <w:r>
              <w:rPr>
                <w:rFonts w:ascii="Times New Roman"/>
                <w:spacing w:val="-1"/>
                <w:sz w:val="18"/>
              </w:rPr>
              <w:t>165,026,230.84</w:t>
            </w:r>
          </w:p>
        </w:tc>
        <w:tc>
          <w:tcPr>
            <w:tcW w:w="2268" w:type="dxa"/>
            <w:tcBorders>
              <w:top w:val="nil" w:sz="6" w:space="0" w:color="auto"/>
              <w:left w:val="single" w:sz="8" w:space="0" w:color="000000"/>
              <w:bottom w:val="nil" w:sz="6" w:space="0" w:color="auto"/>
              <w:right w:val="single" w:sz="8" w:space="0" w:color="000000"/>
            </w:tcBorders>
          </w:tcPr>
          <w:p>
            <w:pPr>
              <w:pStyle w:val="TableParagraph"/>
              <w:spacing w:line="240" w:lineRule="auto" w:before="87"/>
              <w:ind w:right="95"/>
              <w:jc w:val="right"/>
              <w:rPr>
                <w:rFonts w:ascii="Times New Roman" w:hAnsi="Times New Roman" w:cs="Times New Roman" w:eastAsia="Times New Roman" w:hint="default"/>
                <w:sz w:val="18"/>
                <w:szCs w:val="18"/>
              </w:rPr>
            </w:pPr>
            <w:r>
              <w:rPr>
                <w:rFonts w:ascii="Times New Roman"/>
                <w:spacing w:val="-1"/>
                <w:sz w:val="18"/>
              </w:rPr>
              <w:t>-48,867,892.00</w:t>
            </w:r>
          </w:p>
        </w:tc>
        <w:tc>
          <w:tcPr>
            <w:tcW w:w="1702" w:type="dxa"/>
            <w:tcBorders>
              <w:top w:val="nil" w:sz="6" w:space="0" w:color="auto"/>
              <w:left w:val="single" w:sz="8" w:space="0" w:color="000000"/>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116,158,338.84</w:t>
            </w:r>
          </w:p>
        </w:tc>
      </w:tr>
      <w:tr>
        <w:trPr>
          <w:trHeight w:val="397" w:hRule="exact"/>
        </w:trPr>
        <w:tc>
          <w:tcPr>
            <w:tcW w:w="2583" w:type="dxa"/>
            <w:tcBorders>
              <w:top w:val="nil" w:sz="6" w:space="0" w:color="auto"/>
              <w:left w:val="nil" w:sz="6" w:space="0" w:color="auto"/>
              <w:bottom w:val="single" w:sz="12" w:space="0" w:color="000000"/>
              <w:right w:val="single" w:sz="8"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984" w:type="dxa"/>
            <w:tcBorders>
              <w:top w:val="nil" w:sz="6" w:space="0" w:color="auto"/>
              <w:left w:val="single" w:sz="8" w:space="0" w:color="000000"/>
              <w:bottom w:val="single" w:sz="12" w:space="0" w:color="000000"/>
              <w:right w:val="single" w:sz="8" w:space="0" w:color="000000"/>
            </w:tcBorders>
          </w:tcPr>
          <w:p>
            <w:pPr/>
          </w:p>
        </w:tc>
        <w:tc>
          <w:tcPr>
            <w:tcW w:w="2268" w:type="dxa"/>
            <w:tcBorders>
              <w:top w:val="nil" w:sz="6" w:space="0" w:color="auto"/>
              <w:left w:val="single" w:sz="8" w:space="0" w:color="000000"/>
              <w:bottom w:val="single" w:sz="12" w:space="0" w:color="000000"/>
              <w:right w:val="single" w:sz="8" w:space="0" w:color="000000"/>
            </w:tcBorders>
          </w:tcPr>
          <w:p>
            <w:pPr>
              <w:pStyle w:val="TableParagraph"/>
              <w:spacing w:line="240" w:lineRule="auto" w:before="83"/>
              <w:ind w:right="95"/>
              <w:jc w:val="right"/>
              <w:rPr>
                <w:rFonts w:ascii="Times New Roman" w:hAnsi="Times New Roman" w:cs="Times New Roman" w:eastAsia="Times New Roman" w:hint="default"/>
                <w:sz w:val="18"/>
                <w:szCs w:val="18"/>
              </w:rPr>
            </w:pPr>
            <w:r>
              <w:rPr>
                <w:rFonts w:ascii="Times New Roman"/>
                <w:spacing w:val="-1"/>
                <w:sz w:val="18"/>
              </w:rPr>
              <w:t>48,867,892.00</w:t>
            </w:r>
          </w:p>
        </w:tc>
        <w:tc>
          <w:tcPr>
            <w:tcW w:w="1702" w:type="dxa"/>
            <w:tcBorders>
              <w:top w:val="nil" w:sz="6" w:space="0" w:color="auto"/>
              <w:left w:val="single" w:sz="8" w:space="0" w:color="000000"/>
              <w:bottom w:val="single" w:sz="12" w:space="0" w:color="000000"/>
              <w:right w:val="nil" w:sz="6" w:space="0" w:color="auto"/>
            </w:tcBorders>
          </w:tcPr>
          <w:p>
            <w:pPr>
              <w:pStyle w:val="TableParagraph"/>
              <w:spacing w:line="240" w:lineRule="auto" w:before="83"/>
              <w:ind w:right="105"/>
              <w:jc w:val="right"/>
              <w:rPr>
                <w:rFonts w:ascii="Times New Roman" w:hAnsi="Times New Roman" w:cs="Times New Roman" w:eastAsia="Times New Roman" w:hint="default"/>
                <w:sz w:val="18"/>
                <w:szCs w:val="18"/>
              </w:rPr>
            </w:pPr>
            <w:r>
              <w:rPr>
                <w:rFonts w:ascii="Times New Roman"/>
                <w:spacing w:val="-1"/>
                <w:sz w:val="18"/>
              </w:rPr>
              <w:t>48,867,892.00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2）重要会计估计变更" w:id="211"/>
      <w:bookmarkEnd w:id="21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9、其他" w:id="212"/>
      <w:bookmarkEnd w:id="212"/>
      <w:r>
        <w:rPr>
          <w:b w:val="0"/>
          <w:bCs w:val="0"/>
        </w:rPr>
      </w:r>
      <w:r>
        <w:rPr>
          <w:rFonts w:ascii="Times New Roman" w:hAnsi="Times New Roman" w:cs="Times New Roman" w:eastAsia="Times New Roman" w:hint="default"/>
        </w:rPr>
        <w:t>29</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032" w:firstLine="420"/>
        <w:jc w:val="left"/>
      </w:pPr>
      <w:r>
        <w:rPr/>
        <w:t>本公司在运用会计政策过程中，由于经营活动内在的不确定性，本公司需要对无法准确计量的报表项目的账面价值进 </w:t>
      </w:r>
      <w:r>
        <w:rPr>
          <w:spacing w:val="-4"/>
        </w:rPr>
        <w:t>行判断、估计和假设。这些判断、估计和假设是基于本公司管理层过去的历史经验，并在考虑其他相关因素的基础上做出的。</w:t>
      </w:r>
      <w:r>
        <w:rPr>
          <w:spacing w:val="-46"/>
        </w:rPr>
        <w:t> </w:t>
      </w:r>
      <w:r>
        <w:rPr>
          <w:spacing w:val="-46"/>
        </w:rPr>
      </w: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9" w:lineRule="auto" w:before="19"/>
        <w:ind w:right="0" w:firstLine="420"/>
        <w:jc w:val="left"/>
      </w:pPr>
      <w:r>
        <w:rPr/>
        <w:t>本公司对前述判断、估计和假设在持续经营的基础上进行定期复核，会计估计的变更仅影响变更当期的，其影响数在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BodyText"/>
        <w:spacing w:line="240" w:lineRule="auto" w:before="17"/>
        <w:ind w:left="574" w:right="0"/>
        <w:jc w:val="left"/>
      </w:pPr>
      <w:r>
        <w:rPr/>
        <w:t>于资产负债表日，本公司需对财务报表项目金额进行判断、估计和假设的重要领域如下：</w:t>
      </w:r>
    </w:p>
    <w:p>
      <w:pPr>
        <w:pStyle w:val="BodyText"/>
        <w:spacing w:line="316" w:lineRule="auto" w:before="76"/>
        <w:ind w:left="574" w:right="0"/>
        <w:jc w:val="left"/>
      </w:pPr>
      <w:r>
        <w:rPr/>
        <w:t>（</w:t>
      </w:r>
      <w:r>
        <w:rPr>
          <w:rFonts w:ascii="宋体" w:hAnsi="宋体" w:cs="宋体" w:eastAsia="宋体" w:hint="default"/>
        </w:rPr>
        <w:t>1</w:t>
      </w:r>
      <w:r>
        <w:rPr/>
        <w:t>）坏账准备计提 本公司根据应收款项的会计政策，采用备抵法核算坏账损失。应收款项减值是基于评估应收款项的可收回性。鉴定应</w:t>
      </w:r>
    </w:p>
    <w:p>
      <w:pPr>
        <w:pStyle w:val="BodyText"/>
        <w:spacing w:line="240" w:lineRule="auto" w:before="19"/>
        <w:ind w:right="0"/>
        <w:jc w:val="left"/>
      </w:pPr>
      <w:r>
        <w:rPr/>
        <w:t>收款项减值要求管理层的判断和估计</w:t>
      </w:r>
      <w:r>
        <w:rPr>
          <w:spacing w:val="-82"/>
        </w:rPr>
        <w:t>。</w:t>
      </w:r>
      <w:r>
        <w:rPr/>
        <w:t>实际的结果与原先估计的差异将在估计被改变的期间影响应收款项的账面价值及应收</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款项坏账准备的计提或转回。</w:t>
      </w:r>
    </w:p>
    <w:p>
      <w:pPr>
        <w:pStyle w:val="BodyText"/>
        <w:spacing w:line="316" w:lineRule="auto" w:before="76"/>
        <w:ind w:left="574" w:right="0"/>
        <w:jc w:val="left"/>
      </w:pPr>
      <w:r>
        <w:rPr/>
        <w:t>（</w:t>
      </w:r>
      <w:r>
        <w:rPr>
          <w:rFonts w:ascii="宋体" w:hAnsi="宋体" w:cs="宋体" w:eastAsia="宋体" w:hint="default"/>
        </w:rPr>
        <w:t>2</w:t>
      </w:r>
      <w:r>
        <w:rPr/>
        <w:t>）折旧和摊销 本公司对投资性房地产、固定资产和无形资产在考虑其残值后，在使用寿命内按直线法计提折旧和摊销。本公司定期</w:t>
      </w:r>
    </w:p>
    <w:p>
      <w:pPr>
        <w:pStyle w:val="BodyText"/>
        <w:spacing w:line="319" w:lineRule="auto" w:before="19"/>
        <w:ind w:right="0"/>
        <w:jc w:val="left"/>
      </w:pPr>
      <w:r>
        <w:rPr>
          <w:spacing w:val="-2"/>
        </w:rPr>
        <w:t>复核使用寿命，以决定将计入每个报告期的折旧和摊销费用数额。使用寿命是本公司根据对同类资产的以往经验并结合预期</w:t>
      </w:r>
      <w:r>
        <w:rPr>
          <w:spacing w:val="-64"/>
        </w:rPr>
        <w:t> </w:t>
      </w:r>
      <w:r>
        <w:rPr>
          <w:spacing w:val="-64"/>
        </w:rPr>
      </w:r>
      <w:r>
        <w:rPr/>
        <w:t>的技术更新而确定的。如果以前的估计发生重大变化，则会在未来期间对折旧和摊销费用进行调整。</w:t>
      </w:r>
    </w:p>
    <w:p>
      <w:pPr>
        <w:pStyle w:val="BodyText"/>
        <w:spacing w:line="316" w:lineRule="auto" w:before="17"/>
        <w:ind w:left="574" w:right="0"/>
        <w:jc w:val="left"/>
      </w:pPr>
      <w:r>
        <w:rPr/>
        <w:t>（</w:t>
      </w:r>
      <w:r>
        <w:rPr>
          <w:rFonts w:ascii="宋体" w:hAnsi="宋体" w:cs="宋体" w:eastAsia="宋体" w:hint="default"/>
        </w:rPr>
        <w:t>3</w:t>
      </w:r>
      <w:r>
        <w:rPr/>
        <w:t>）递延所得税资产 在很有可能有足够的应纳税利润来抵扣亏损的限度内，本公司就所有未利用的税务亏损确认递延所得税资产。这需要</w:t>
      </w:r>
    </w:p>
    <w:p>
      <w:pPr>
        <w:pStyle w:val="BodyText"/>
        <w:spacing w:line="316" w:lineRule="auto" w:before="19"/>
        <w:ind w:right="1118"/>
        <w:jc w:val="left"/>
      </w:pPr>
      <w:r>
        <w:rPr>
          <w:spacing w:val="-2"/>
        </w:rPr>
        <w:t>本公司管理层运用大量的判断来估计未来应纳税利润发生的时间和金额，结合纳税筹划策略，以决定应确认的递延所得税资</w:t>
      </w:r>
      <w:r>
        <w:rPr>
          <w:spacing w:val="-64"/>
        </w:rPr>
        <w:t> </w:t>
      </w:r>
      <w:r>
        <w:rPr>
          <w:spacing w:val="-64"/>
        </w:rPr>
      </w:r>
      <w:r>
        <w:rPr/>
        <w:t>产的金额。</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税项" w:id="213"/>
      <w:bookmarkEnd w:id="213"/>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14"/>
      <w:bookmarkEnd w:id="21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销售货物、提供应税劳务或服务收入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广东科迪隆科技有限公司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广西先得环保科技有限公司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四川久环环境技术有限责任公司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广州市云景信息科技有限公司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河北先河正源环境治理技术有限公司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重庆冀华环保科技发展有限公司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河北先河正态环境检测有限公司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15"/>
      <w:bookmarkEnd w:id="21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0" w:firstLine="420"/>
        <w:jc w:val="both"/>
      </w:pPr>
      <w:r>
        <w:rPr/>
        <w:t>（</w:t>
      </w:r>
      <w:r>
        <w:rPr>
          <w:rFonts w:ascii="宋体" w:hAnsi="宋体" w:cs="宋体" w:eastAsia="宋体" w:hint="default"/>
        </w:rPr>
        <w:t>1</w:t>
      </w:r>
      <w:r>
        <w:rPr/>
        <w:t>）本公司软件产品根据财税</w:t>
      </w:r>
      <w:r>
        <w:rPr>
          <w:rFonts w:ascii="宋体" w:hAnsi="宋体" w:cs="宋体" w:eastAsia="宋体" w:hint="default"/>
        </w:rPr>
        <w:t>[2011]100</w:t>
      </w:r>
      <w:r>
        <w:rPr/>
        <w:t>号“关于软件产品增值税政策的通知”对其入库税款实际税负超过</w:t>
      </w:r>
      <w:r>
        <w:rPr>
          <w:rFonts w:ascii="宋体" w:hAnsi="宋体" w:cs="宋体" w:eastAsia="宋体" w:hint="default"/>
        </w:rPr>
        <w:t>3%</w:t>
      </w:r>
      <w:r>
        <w:rPr/>
        <w:t>的部分 经主管税务机关审核批准后，享受即征即退政策。</w:t>
      </w:r>
    </w:p>
    <w:p>
      <w:pPr>
        <w:pStyle w:val="BodyText"/>
        <w:spacing w:line="319" w:lineRule="auto" w:before="19"/>
        <w:ind w:right="1131" w:firstLine="420"/>
        <w:jc w:val="both"/>
      </w:pPr>
      <w:r>
        <w:rPr/>
        <w:t>本公司为高新技术企业，</w:t>
      </w:r>
      <w:r>
        <w:rPr>
          <w:rFonts w:ascii="宋体" w:hAnsi="宋体" w:cs="宋体" w:eastAsia="宋体" w:hint="default"/>
        </w:rPr>
        <w:t>2017</w:t>
      </w:r>
      <w:r>
        <w:rPr/>
        <w:t>年</w:t>
      </w:r>
      <w:r>
        <w:rPr>
          <w:rFonts w:ascii="宋体" w:hAnsi="宋体" w:cs="宋体" w:eastAsia="宋体" w:hint="default"/>
        </w:rPr>
        <w:t>10</w:t>
      </w:r>
      <w:r>
        <w:rPr/>
        <w:t>月取得河北省科学技术厅、河北省财政厅、河北省国家税务局、河北省地方税务局 联合下发的高新技术企业证书，证书编号为</w:t>
      </w:r>
      <w:r>
        <w:rPr>
          <w:rFonts w:ascii="宋体" w:hAnsi="宋体" w:cs="宋体" w:eastAsia="宋体" w:hint="default"/>
        </w:rPr>
        <w:t>GR201713000426</w:t>
      </w:r>
      <w:r>
        <w:rPr/>
        <w:t>，有效期三年，有效期内按</w:t>
      </w:r>
      <w:r>
        <w:rPr>
          <w:rFonts w:ascii="宋体" w:hAnsi="宋体" w:cs="宋体" w:eastAsia="宋体" w:hint="default"/>
        </w:rPr>
        <w:t>15%</w:t>
      </w:r>
      <w:r>
        <w:rPr/>
        <w:t>的税率计缴企业所得税。本公司</w:t>
      </w:r>
      <w:r>
        <w:rPr>
          <w:spacing w:val="-84"/>
        </w:rPr>
        <w:t> </w:t>
      </w:r>
      <w:r>
        <w:rPr>
          <w:spacing w:val="-84"/>
        </w:rPr>
      </w:r>
      <w:r>
        <w:rPr>
          <w:rFonts w:ascii="宋体" w:hAnsi="宋体" w:cs="宋体" w:eastAsia="宋体" w:hint="default"/>
        </w:rPr>
        <w:t>2018</w:t>
      </w:r>
      <w:r>
        <w:rPr/>
        <w:t>年度按</w:t>
      </w:r>
      <w:r>
        <w:rPr>
          <w:rFonts w:ascii="宋体" w:hAnsi="宋体" w:cs="宋体" w:eastAsia="宋体" w:hint="default"/>
        </w:rPr>
        <w:t>15%</w:t>
      </w:r>
      <w:r>
        <w:rPr/>
        <w:t>税率计缴企业所得税。</w:t>
      </w:r>
    </w:p>
    <w:p>
      <w:pPr>
        <w:pStyle w:val="BodyText"/>
        <w:spacing w:line="316" w:lineRule="auto" w:before="16"/>
        <w:ind w:right="1129" w:firstLine="420"/>
        <w:jc w:val="both"/>
      </w:pPr>
      <w:r>
        <w:rPr>
          <w:spacing w:val="-1"/>
        </w:rPr>
        <w:t>（</w:t>
      </w:r>
      <w:r>
        <w:rPr>
          <w:rFonts w:ascii="宋体" w:hAnsi="宋体" w:cs="宋体" w:eastAsia="宋体" w:hint="default"/>
          <w:spacing w:val="-1"/>
        </w:rPr>
        <w:t>2</w:t>
      </w:r>
      <w:r>
        <w:rPr>
          <w:spacing w:val="-1"/>
        </w:rPr>
        <w:t>）本公司控股子公司广东科迪隆科技有限公司为高新技术企业，于</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月通过高新技术企业资格复审，高新技</w:t>
      </w:r>
      <w:r>
        <w:rPr/>
        <w:t> 术企业证书编号为</w:t>
      </w:r>
      <w:r>
        <w:rPr>
          <w:rFonts w:ascii="宋体" w:hAnsi="宋体" w:cs="宋体" w:eastAsia="宋体" w:hint="default"/>
        </w:rPr>
        <w:t>GR201544005365</w:t>
      </w:r>
      <w:r>
        <w:rPr/>
        <w:t>，税收优惠期间：</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日，有效期内按</w:t>
      </w:r>
      <w:r>
        <w:rPr>
          <w:rFonts w:ascii="宋体" w:hAnsi="宋体" w:cs="宋体" w:eastAsia="宋体" w:hint="default"/>
        </w:rPr>
        <w:t>15%</w:t>
      </w:r>
      <w:r>
        <w:rPr/>
        <w:t>的税率计缴企业所得</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税。</w:t>
      </w:r>
    </w:p>
    <w:p>
      <w:pPr>
        <w:pStyle w:val="BodyText"/>
        <w:spacing w:line="240" w:lineRule="auto" w:before="76"/>
        <w:ind w:left="574" w:right="0"/>
        <w:jc w:val="left"/>
      </w:pPr>
      <w:r>
        <w:rPr>
          <w:spacing w:val="-3"/>
        </w:rPr>
        <w:t>（</w:t>
      </w:r>
      <w:r>
        <w:rPr>
          <w:rFonts w:ascii="宋体" w:hAnsi="宋体" w:cs="宋体" w:eastAsia="宋体" w:hint="default"/>
          <w:spacing w:val="-3"/>
        </w:rPr>
        <w:t>3</w:t>
      </w:r>
      <w:r>
        <w:rPr>
          <w:spacing w:val="-3"/>
        </w:rPr>
        <w:t>）依据南宁市青秀区国定税务局出具的《西部大开发税收优惠事项审核确认通知书》（南青国税审字</w:t>
      </w:r>
      <w:r>
        <w:rPr>
          <w:rFonts w:ascii="宋体" w:hAnsi="宋体" w:cs="宋体" w:eastAsia="宋体" w:hint="default"/>
          <w:spacing w:val="-3"/>
        </w:rPr>
        <w:t>[2014]14</w:t>
      </w:r>
      <w:r>
        <w:rPr>
          <w:spacing w:val="-3"/>
        </w:rPr>
        <w:t>号），</w:t>
      </w:r>
    </w:p>
    <w:p>
      <w:pPr>
        <w:pStyle w:val="BodyText"/>
        <w:spacing w:line="316" w:lineRule="auto" w:before="76"/>
        <w:ind w:right="1118"/>
        <w:jc w:val="left"/>
      </w:pPr>
      <w:r>
        <w:rPr/>
        <w:t>本公司控股子公司广西先得环保科技有限公司符合享受西部大开发税收优惠政策的规定，</w:t>
      </w:r>
      <w:r>
        <w:rPr>
          <w:rFonts w:ascii="宋体" w:hAnsi="宋体" w:cs="宋体" w:eastAsia="宋体" w:hint="default"/>
        </w:rPr>
        <w:t>2014</w:t>
      </w:r>
      <w:r>
        <w:rPr/>
        <w:t>年至</w:t>
      </w:r>
      <w:r>
        <w:rPr>
          <w:rFonts w:ascii="宋体" w:hAnsi="宋体" w:cs="宋体" w:eastAsia="宋体" w:hint="default"/>
        </w:rPr>
        <w:t>2020</w:t>
      </w:r>
      <w:r>
        <w:rPr/>
        <w:t>年企业所得税暂按 </w:t>
      </w:r>
      <w:r>
        <w:rPr>
          <w:rFonts w:ascii="宋体" w:hAnsi="宋体" w:cs="宋体" w:eastAsia="宋体" w:hint="default"/>
        </w:rPr>
        <w:t>15%</w:t>
      </w:r>
      <w:r>
        <w:rPr/>
        <w:t>税率预缴。</w:t>
      </w:r>
    </w:p>
    <w:p>
      <w:pPr>
        <w:pStyle w:val="BodyText"/>
        <w:spacing w:line="316" w:lineRule="auto" w:before="19"/>
        <w:ind w:right="1131" w:firstLine="420"/>
        <w:jc w:val="both"/>
      </w:pPr>
      <w:r>
        <w:rPr/>
        <w:t>（</w:t>
      </w:r>
      <w:r>
        <w:rPr>
          <w:rFonts w:ascii="宋体" w:hAnsi="宋体" w:cs="宋体" w:eastAsia="宋体" w:hint="default"/>
        </w:rPr>
        <w:t>4</w:t>
      </w:r>
      <w:r>
        <w:rPr/>
        <w:t>）依据四川省科学城国家税务局出具的《税务事项通知书》（绵科国税通</w:t>
      </w:r>
      <w:r>
        <w:rPr>
          <w:rFonts w:ascii="宋体" w:hAnsi="宋体" w:cs="宋体" w:eastAsia="宋体" w:hint="default"/>
        </w:rPr>
        <w:t>[2014]196</w:t>
      </w:r>
      <w:r>
        <w:rPr/>
        <w:t>号），本公司控股子公司四川 久环环境技术有限责任公司享有西部大开发企业所得税优惠政策，自</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w:t>
      </w:r>
      <w:r>
        <w:rPr/>
        <w:t>日起按</w:t>
      </w:r>
      <w:r>
        <w:rPr>
          <w:rFonts w:ascii="宋体" w:hAnsi="宋体" w:cs="宋体" w:eastAsia="宋体" w:hint="default"/>
        </w:rPr>
        <w:t>15%</w:t>
      </w:r>
      <w:r>
        <w:rPr/>
        <w:t>税率计缴企业所得税。</w:t>
      </w:r>
    </w:p>
    <w:p>
      <w:pPr>
        <w:pStyle w:val="BodyText"/>
        <w:spacing w:line="316" w:lineRule="auto" w:before="19"/>
        <w:ind w:right="1129" w:firstLine="420"/>
        <w:jc w:val="both"/>
      </w:pPr>
      <w:r>
        <w:rPr>
          <w:spacing w:val="-1"/>
        </w:rPr>
        <w:t>（</w:t>
      </w:r>
      <w:r>
        <w:rPr>
          <w:rFonts w:ascii="宋体" w:hAnsi="宋体" w:cs="宋体" w:eastAsia="宋体" w:hint="default"/>
          <w:spacing w:val="-1"/>
        </w:rPr>
        <w:t>5</w:t>
      </w:r>
      <w:r>
        <w:rPr>
          <w:spacing w:val="-1"/>
        </w:rPr>
        <w:t>）本公司下属子公司广州市云景信息科技有限公司为高新技术企业，于</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月通过高新技术企业资格复审，高</w:t>
      </w:r>
      <w:r>
        <w:rPr/>
        <w:t> 新技术企业证书编号为</w:t>
      </w:r>
      <w:r>
        <w:rPr>
          <w:rFonts w:ascii="宋体" w:hAnsi="宋体" w:cs="宋体" w:eastAsia="宋体" w:hint="default"/>
        </w:rPr>
        <w:t>GR201544004034</w:t>
      </w:r>
      <w:r>
        <w:rPr/>
        <w:t>，税收优惠期间：</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日，有效期内按</w:t>
      </w:r>
      <w:r>
        <w:rPr>
          <w:rFonts w:ascii="宋体" w:hAnsi="宋体" w:cs="宋体" w:eastAsia="宋体" w:hint="default"/>
        </w:rPr>
        <w:t>15%</w:t>
      </w:r>
      <w:r>
        <w:rPr/>
        <w:t>的税率计缴企业</w:t>
      </w:r>
      <w:r>
        <w:rPr>
          <w:spacing w:val="-84"/>
        </w:rPr>
        <w:t> </w:t>
      </w:r>
      <w:r>
        <w:rPr>
          <w:spacing w:val="-84"/>
        </w:rPr>
      </w:r>
      <w:r>
        <w:rPr/>
        <w:t>所得税。</w:t>
      </w:r>
    </w:p>
    <w:p>
      <w:pPr>
        <w:pStyle w:val="BodyText"/>
        <w:spacing w:line="316" w:lineRule="auto" w:before="19"/>
        <w:ind w:right="1132" w:firstLine="420"/>
        <w:jc w:val="both"/>
      </w:pPr>
      <w:r>
        <w:rPr/>
        <w:t>根据广州市天河区国家税务局第四税务分局减免税批准通知书（穗天国税四减备</w:t>
      </w:r>
      <w:r>
        <w:rPr>
          <w:rFonts w:ascii="宋体" w:hAnsi="宋体" w:cs="宋体" w:eastAsia="宋体" w:hint="default"/>
        </w:rPr>
        <w:t>[2012]1355</w:t>
      </w:r>
      <w:r>
        <w:rPr/>
        <w:t>号）、广州市天河区国家 </w:t>
      </w:r>
      <w:r>
        <w:rPr>
          <w:spacing w:val="-2"/>
        </w:rPr>
        <w:t>税务局减免税备案登记告知书（穗天国税减备</w:t>
      </w:r>
      <w:r>
        <w:rPr>
          <w:rFonts w:ascii="宋体" w:hAnsi="宋体" w:cs="宋体" w:eastAsia="宋体" w:hint="default"/>
          <w:spacing w:val="-2"/>
        </w:rPr>
        <w:t>[2014]100207</w:t>
      </w:r>
      <w:r>
        <w:rPr>
          <w:spacing w:val="-2"/>
        </w:rPr>
        <w:t>号），本公司的子公司广州市云景信息科技有限公司取得的技术</w:t>
      </w:r>
      <w:r>
        <w:rPr>
          <w:spacing w:val="-54"/>
        </w:rPr>
        <w:t> </w:t>
      </w:r>
      <w:r>
        <w:rPr>
          <w:spacing w:val="-54"/>
        </w:rPr>
      </w:r>
      <w:r>
        <w:rPr/>
        <w:t>转让、技术开发和与之相关的技术咨询、技术服务收入免征增值税。</w:t>
      </w:r>
    </w:p>
    <w:p>
      <w:pPr>
        <w:pStyle w:val="BodyText"/>
        <w:spacing w:line="316" w:lineRule="auto" w:before="19"/>
        <w:ind w:right="1130" w:firstLine="420"/>
        <w:jc w:val="both"/>
      </w:pPr>
      <w:r>
        <w:rPr/>
        <w:t>（</w:t>
      </w:r>
      <w:r>
        <w:rPr>
          <w:rFonts w:ascii="宋体" w:hAnsi="宋体" w:cs="宋体" w:eastAsia="宋体" w:hint="default"/>
        </w:rPr>
        <w:t>6</w:t>
      </w:r>
      <w:r>
        <w:rPr/>
        <w:t>）本公司下属子公司河北先河正源环境治理技术有限公司为高新技术企业，</w:t>
      </w:r>
      <w:r>
        <w:rPr>
          <w:rFonts w:ascii="宋体" w:hAnsi="宋体" w:cs="宋体" w:eastAsia="宋体" w:hint="default"/>
        </w:rPr>
        <w:t>2017</w:t>
      </w:r>
      <w:r>
        <w:rPr/>
        <w:t>年</w:t>
      </w:r>
      <w:r>
        <w:rPr>
          <w:rFonts w:ascii="宋体" w:hAnsi="宋体" w:cs="宋体" w:eastAsia="宋体" w:hint="default"/>
        </w:rPr>
        <w:t>7</w:t>
      </w:r>
      <w:r>
        <w:rPr/>
        <w:t>月取得河北省科学技术厅、河 </w:t>
      </w:r>
      <w:r>
        <w:rPr>
          <w:spacing w:val="-2"/>
        </w:rPr>
        <w:t>北省财政厅、河北省国家税务局、河北省地方税务局联合下发的高新技术企业证书，证书编号为</w:t>
      </w:r>
      <w:r>
        <w:rPr>
          <w:rFonts w:ascii="宋体" w:hAnsi="宋体" w:cs="宋体" w:eastAsia="宋体" w:hint="default"/>
          <w:spacing w:val="-2"/>
        </w:rPr>
        <w:t>GR201713000012</w:t>
      </w:r>
      <w:r>
        <w:rPr>
          <w:spacing w:val="-2"/>
        </w:rPr>
        <w:t>，有效期三</w:t>
      </w:r>
      <w:r>
        <w:rPr>
          <w:spacing w:val="-51"/>
        </w:rPr>
        <w:t> </w:t>
      </w:r>
      <w:r>
        <w:rPr>
          <w:spacing w:val="-51"/>
        </w:rPr>
      </w:r>
      <w:r>
        <w:rPr/>
        <w:t>年，有效期内按</w:t>
      </w:r>
      <w:r>
        <w:rPr>
          <w:rFonts w:ascii="宋体" w:hAnsi="宋体" w:cs="宋体" w:eastAsia="宋体" w:hint="default"/>
        </w:rPr>
        <w:t>15%</w:t>
      </w:r>
      <w:r>
        <w:rPr/>
        <w:t>的税率计缴企业所得税。</w:t>
      </w:r>
    </w:p>
    <w:p>
      <w:pPr>
        <w:pStyle w:val="BodyText"/>
        <w:spacing w:line="316" w:lineRule="auto" w:before="19"/>
        <w:ind w:right="1129" w:firstLine="420"/>
        <w:jc w:val="both"/>
      </w:pPr>
      <w:r>
        <w:rPr>
          <w:spacing w:val="-1"/>
        </w:rPr>
        <w:t>（</w:t>
      </w:r>
      <w:r>
        <w:rPr>
          <w:rFonts w:ascii="宋体" w:hAnsi="宋体" w:cs="宋体" w:eastAsia="宋体" w:hint="default"/>
          <w:spacing w:val="-1"/>
        </w:rPr>
        <w:t>7</w:t>
      </w:r>
      <w:r>
        <w:rPr>
          <w:spacing w:val="-1"/>
        </w:rPr>
        <w:t>）本公司下属子公司重庆冀华环保科技发展有限公司为高新技术企业，</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月取得重庆市科学技术委员会、重</w:t>
      </w:r>
      <w:r>
        <w:rPr/>
        <w:t> </w:t>
      </w:r>
      <w:r>
        <w:rPr>
          <w:spacing w:val="-2"/>
        </w:rPr>
        <w:t>庆市财政局、重庆市国家税务局、重庆市地方税务局联合下发的高新技术企业证书，证书编号为</w:t>
      </w:r>
      <w:r>
        <w:rPr>
          <w:rFonts w:ascii="宋体" w:hAnsi="宋体" w:cs="宋体" w:eastAsia="宋体" w:hint="default"/>
          <w:spacing w:val="-2"/>
        </w:rPr>
        <w:t>GR201751100283</w:t>
      </w:r>
      <w:r>
        <w:rPr>
          <w:spacing w:val="-2"/>
        </w:rPr>
        <w:t>，有效期三</w:t>
      </w:r>
      <w:r>
        <w:rPr>
          <w:spacing w:val="-51"/>
        </w:rPr>
        <w:t> </w:t>
      </w:r>
      <w:r>
        <w:rPr>
          <w:spacing w:val="-51"/>
        </w:rPr>
      </w:r>
      <w:r>
        <w:rPr/>
        <w:t>年，有效期内按</w:t>
      </w:r>
      <w:r>
        <w:rPr>
          <w:rFonts w:ascii="宋体" w:hAnsi="宋体" w:cs="宋体" w:eastAsia="宋体" w:hint="default"/>
        </w:rPr>
        <w:t>15%</w:t>
      </w:r>
      <w:r>
        <w:rPr/>
        <w:t>的税率计缴企业所得税。</w:t>
      </w:r>
    </w:p>
    <w:p>
      <w:pPr>
        <w:pStyle w:val="BodyText"/>
        <w:spacing w:line="316" w:lineRule="auto" w:before="19"/>
        <w:ind w:right="1129" w:firstLine="420"/>
        <w:jc w:val="both"/>
      </w:pPr>
      <w:r>
        <w:rPr>
          <w:spacing w:val="-1"/>
        </w:rPr>
        <w:t>（</w:t>
      </w:r>
      <w:r>
        <w:rPr>
          <w:rFonts w:ascii="宋体" w:hAnsi="宋体" w:cs="宋体" w:eastAsia="宋体" w:hint="default"/>
          <w:spacing w:val="-1"/>
        </w:rPr>
        <w:t>8</w:t>
      </w:r>
      <w:r>
        <w:rPr>
          <w:spacing w:val="-1"/>
        </w:rPr>
        <w:t>）本公司下属子公司河北先河正态环境检测有限公司为高新技术企业，</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月取得河北省科学技术厅、河北省</w:t>
      </w:r>
      <w:r>
        <w:rPr/>
        <w:t> </w:t>
      </w:r>
      <w:r>
        <w:rPr>
          <w:spacing w:val="-2"/>
        </w:rPr>
        <w:t>财政厅、国家税务总局河北省税务局联合下发的高新技术企业证书，证书编号为</w:t>
      </w:r>
      <w:r>
        <w:rPr>
          <w:rFonts w:ascii="宋体" w:hAnsi="宋体" w:cs="宋体" w:eastAsia="宋体" w:hint="default"/>
          <w:spacing w:val="-2"/>
        </w:rPr>
        <w:t>GR201813000921</w:t>
      </w:r>
      <w:r>
        <w:rPr>
          <w:spacing w:val="-2"/>
        </w:rPr>
        <w:t>，有效期三年，有效期内按</w:t>
      </w:r>
      <w:r>
        <w:rPr>
          <w:spacing w:val="-52"/>
        </w:rPr>
        <w:t> </w:t>
      </w:r>
      <w:r>
        <w:rPr>
          <w:spacing w:val="-52"/>
        </w:rPr>
      </w:r>
      <w:r>
        <w:rPr>
          <w:rFonts w:ascii="宋体" w:hAnsi="宋体" w:cs="宋体" w:eastAsia="宋体" w:hint="default"/>
        </w:rPr>
        <w:t>15%</w:t>
      </w:r>
      <w:r>
        <w:rPr/>
        <w:t>的税率计缴企业所得税。</w:t>
      </w:r>
    </w:p>
    <w:p>
      <w:pPr>
        <w:spacing w:line="240" w:lineRule="auto" w:before="7"/>
        <w:rPr>
          <w:rFonts w:ascii="宋体" w:hAnsi="宋体" w:cs="宋体" w:eastAsia="宋体" w:hint="default"/>
          <w:sz w:val="22"/>
          <w:szCs w:val="22"/>
        </w:rPr>
      </w:pPr>
    </w:p>
    <w:p>
      <w:pPr>
        <w:spacing w:line="487" w:lineRule="auto" w:before="0"/>
        <w:ind w:left="154" w:right="7692" w:firstLine="0"/>
        <w:jc w:val="left"/>
        <w:rPr>
          <w:rFonts w:ascii="宋体" w:hAnsi="宋体" w:cs="宋体" w:eastAsia="宋体" w:hint="default"/>
          <w:sz w:val="21"/>
          <w:szCs w:val="21"/>
        </w:rPr>
      </w:pPr>
      <w:bookmarkStart w:name="3、其他" w:id="216"/>
      <w:bookmarkEnd w:id="21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17"/>
      <w:bookmarkEnd w:id="217"/>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18"/>
      <w:bookmarkEnd w:id="21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326,362.05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357,276.38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525,377,322.09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529,803,581.12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47,004,601.85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40,025,756.19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572,708,285.99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570,186,613.69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12,111,527.41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13,560,717.84</w:t>
            </w:r>
          </w:p>
        </w:tc>
      </w:tr>
    </w:tbl>
    <w:p>
      <w:pPr>
        <w:pStyle w:val="BodyText"/>
        <w:spacing w:line="240" w:lineRule="auto" w:before="51"/>
        <w:ind w:right="0"/>
        <w:jc w:val="left"/>
      </w:pPr>
      <w:r>
        <w:rPr/>
        <w:t>其他说明</w:t>
      </w:r>
    </w:p>
    <w:p>
      <w:pPr>
        <w:pStyle w:val="BodyText"/>
        <w:spacing w:line="240" w:lineRule="auto" w:before="117"/>
        <w:ind w:right="0"/>
        <w:jc w:val="left"/>
      </w:pPr>
      <w:r>
        <w:rPr/>
        <w:t>（</w:t>
      </w:r>
      <w:r>
        <w:rPr>
          <w:rFonts w:ascii="Times New Roman" w:hAnsi="Times New Roman" w:cs="Times New Roman" w:eastAsia="Times New Roman" w:hint="default"/>
        </w:rPr>
        <w:t>1</w:t>
      </w:r>
      <w:r>
        <w:rPr/>
        <w:t>）其他货币资金中，受限制的货币资金明细如下：</w:t>
      </w:r>
    </w:p>
    <w:p>
      <w:pPr>
        <w:spacing w:line="240" w:lineRule="auto" w:before="12"/>
        <w:rPr>
          <w:rFonts w:ascii="宋体" w:hAnsi="宋体" w:cs="宋体" w:eastAsia="宋体"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2850"/>
        <w:gridCol w:w="2976"/>
        <w:gridCol w:w="2553"/>
      </w:tblGrid>
      <w:tr>
        <w:trPr>
          <w:trHeight w:val="407" w:hRule="exact"/>
        </w:trPr>
        <w:tc>
          <w:tcPr>
            <w:tcW w:w="285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7"/>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6" w:hRule="exact"/>
        </w:trPr>
        <w:tc>
          <w:tcPr>
            <w:tcW w:w="285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9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left="1919" w:right="0"/>
              <w:jc w:val="left"/>
              <w:rPr>
                <w:rFonts w:ascii="Arial Narrow" w:hAnsi="Arial Narrow" w:cs="Arial Narrow" w:eastAsia="Arial Narrow" w:hint="default"/>
                <w:sz w:val="18"/>
                <w:szCs w:val="18"/>
              </w:rPr>
            </w:pPr>
            <w:r>
              <w:rPr>
                <w:rFonts w:ascii="Arial Narrow"/>
                <w:sz w:val="18"/>
              </w:rPr>
              <w:t>15,985,001.73</w:t>
            </w:r>
          </w:p>
        </w:tc>
        <w:tc>
          <w:tcPr>
            <w:tcW w:w="25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8"/>
              <w:ind w:left="1495" w:right="0"/>
              <w:jc w:val="left"/>
              <w:rPr>
                <w:rFonts w:ascii="Arial Narrow" w:hAnsi="Arial Narrow" w:cs="Arial Narrow" w:eastAsia="Arial Narrow" w:hint="default"/>
                <w:sz w:val="18"/>
                <w:szCs w:val="18"/>
              </w:rPr>
            </w:pPr>
            <w:r>
              <w:rPr>
                <w:rFonts w:ascii="Arial Narrow"/>
                <w:sz w:val="18"/>
              </w:rPr>
              <w:t>13,344,344.50</w:t>
            </w:r>
          </w:p>
        </w:tc>
      </w:tr>
    </w:tbl>
    <w:p>
      <w:pPr>
        <w:pStyle w:val="BodyText"/>
        <w:spacing w:line="240" w:lineRule="auto" w:before="51"/>
        <w:ind w:right="0"/>
        <w:jc w:val="left"/>
      </w:pPr>
      <w:r>
        <w:rPr/>
        <w:t>本公司编制现金流量表时，已将其他货币资金从期末现金及现金等价物中扣除。</w:t>
      </w:r>
    </w:p>
    <w:p>
      <w:pPr>
        <w:pStyle w:val="BodyText"/>
        <w:spacing w:line="240" w:lineRule="auto" w:before="115"/>
        <w:ind w:right="0"/>
        <w:jc w:val="left"/>
      </w:pPr>
      <w:r>
        <w:rPr/>
        <w:t>（</w:t>
      </w:r>
      <w:r>
        <w:rPr>
          <w:rFonts w:ascii="Times New Roman" w:hAnsi="Times New Roman" w:cs="Times New Roman" w:eastAsia="Times New Roman" w:hint="default"/>
        </w:rPr>
        <w:t>2</w:t>
      </w:r>
      <w:r>
        <w:rPr/>
        <w:t>）银行存款期末余额中有</w:t>
      </w:r>
      <w:r>
        <w:rPr>
          <w:spacing w:val="-47"/>
        </w:rPr>
        <w:t> </w:t>
      </w:r>
      <w:r>
        <w:rPr>
          <w:rFonts w:ascii="Times New Roman" w:hAnsi="Times New Roman" w:cs="Times New Roman" w:eastAsia="Times New Roman" w:hint="default"/>
        </w:rPr>
        <w:t>122,743.21</w:t>
      </w:r>
      <w:r>
        <w:rPr>
          <w:rFonts w:ascii="Times New Roman" w:hAnsi="Times New Roman" w:cs="Times New Roman" w:eastAsia="Times New Roman" w:hint="default"/>
          <w:spacing w:val="-2"/>
        </w:rPr>
        <w:t> </w:t>
      </w:r>
      <w:r>
        <w:rPr/>
        <w:t>元为子公司北京卫家环境技术有限公司涉诉被司法冻结资金，已从期末现金及现金</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等价物中扣除。</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应收票据及应收账款" w:id="219"/>
      <w:bookmarkEnd w:id="219"/>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917,300.00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599,886,629.33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290,837,482.22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600,803,929.33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291,037,482.22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220"/>
      <w:bookmarkEnd w:id="220"/>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917,300.00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917,300.00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期末公司已背书或贴现且在资产负债表日尚未到期的应收票据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10,295,097.95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10,295,097.95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收账款" w:id="221"/>
      <w:bookmarkEnd w:id="221"/>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740,303,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493.43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140,416,</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864.10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18.97%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599,886,6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29.33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407,799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,255.15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116,961,7</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72.93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290,837,48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2.22</w:t>
            </w:r>
          </w:p>
        </w:tc>
      </w:tr>
      <w:tr>
        <w:trPr>
          <w:trHeight w:val="714"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 w:right="148"/>
              <w:jc w:val="left"/>
              <w:rPr>
                <w:rFonts w:ascii="宋体" w:hAnsi="宋体" w:cs="宋体" w:eastAsia="宋体" w:hint="default"/>
                <w:sz w:val="18"/>
                <w:szCs w:val="18"/>
              </w:rPr>
            </w:pPr>
            <w:r>
              <w:rPr>
                <w:rFonts w:ascii="宋体" w:hAnsi="宋体" w:cs="宋体" w:eastAsia="宋体" w:hint="default"/>
                <w:sz w:val="18"/>
                <w:szCs w:val="18"/>
              </w:rPr>
              <w:t>单项金额不重大但 单独计提坏账准备</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2,040,14</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2,040,14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1,040,1</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1,040,140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743,343,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633.43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143,457,</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004.10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19.30%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599,886,6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29.33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408,839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,395.15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118,001,9</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12.93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28.86%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290,837,48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2.22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雄县龙达包装材料有限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545,942,705.33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27,297,135.24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76,074,678.70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7,607,467.88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18,248,354.90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5,474,506.48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100,037,754.50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100,037,754.50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740,303,493.43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140,416,864.10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18.97%</w:t>
            </w:r>
          </w:p>
        </w:tc>
      </w:tr>
    </w:tbl>
    <w:p>
      <w:pPr>
        <w:pStyle w:val="BodyText"/>
        <w:spacing w:line="357" w:lineRule="auto" w:before="51"/>
        <w:ind w:left="514" w:right="0" w:hanging="360"/>
        <w:jc w:val="left"/>
      </w:pPr>
      <w:r>
        <w:rPr/>
        <w:t>确定该组合依据的说明： </w:t>
      </w:r>
      <w:r>
        <w:rPr>
          <w:spacing w:val="-2"/>
        </w:rPr>
        <w:t>已单独计提减值准备的应收账款除外，公司根据以前年度与之相同或相类似的、按账龄段划分的具有类似信用风险特征</w:t>
      </w:r>
    </w:p>
    <w:p>
      <w:pPr>
        <w:pStyle w:val="BodyText"/>
        <w:spacing w:line="224" w:lineRule="exact"/>
        <w:ind w:right="0"/>
        <w:jc w:val="left"/>
      </w:pPr>
      <w:r>
        <w:rPr/>
        <w:t>的应收账款组合的实际损失率为基础，结合现时情况分析法确定坏账准备计提的比例。</w:t>
      </w:r>
    </w:p>
    <w:p>
      <w:pPr>
        <w:pStyle w:val="BodyText"/>
        <w:spacing w:line="240" w:lineRule="auto" w:before="117"/>
        <w:ind w:right="0"/>
        <w:jc w:val="left"/>
      </w:pPr>
      <w:r>
        <w:rPr/>
        <w:t>组合中，采用余额百分比法计提坏账准备的应收账款：</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38" w:lineRule="auto" w:before="14"/>
        <w:ind w:right="4369"/>
        <w:jc w:val="left"/>
      </w:pPr>
      <w:r>
        <w:rPr/>
        <w:t>本期计提坏账准备金额</w:t>
      </w:r>
      <w:r>
        <w:rPr>
          <w:spacing w:val="-47"/>
        </w:rPr>
        <w:t> </w:t>
      </w:r>
      <w:r>
        <w:rPr>
          <w:rFonts w:ascii="Times New Roman" w:hAnsi="Times New Roman" w:cs="Times New Roman" w:eastAsia="Times New Roman" w:hint="default"/>
        </w:rPr>
        <w:t>25,455,091.17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pStyle w:val="BodyText"/>
        <w:spacing w:line="240" w:lineRule="auto" w:before="4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340" w:lineRule="auto" w:before="51"/>
        <w:ind w:right="6822"/>
        <w:jc w:val="left"/>
      </w:pPr>
      <w:r>
        <w:rPr>
          <w:rFonts w:ascii="Times New Roman" w:hAnsi="Times New Roman" w:cs="Times New Roman" w:eastAsia="Times New Roman" w:hint="default"/>
        </w:rPr>
        <w:t>3)</w:t>
      </w:r>
      <w:r>
        <w:rPr/>
        <w:t>按欠款方归集的期末余额前五名的应收账款情况</w:t>
      </w:r>
      <w:r>
        <w:rPr>
          <w:w w:val="99"/>
        </w:rPr>
        <w:t> </w:t>
      </w:r>
      <w:r>
        <w:rPr/>
        <w:t>公司是否需要遵守特殊行业的披露要求</w:t>
      </w:r>
    </w:p>
    <w:p>
      <w:pPr>
        <w:pStyle w:val="BodyText"/>
        <w:spacing w:line="240" w:lineRule="auto" w:before="40"/>
        <w:ind w:right="0"/>
        <w:jc w:val="left"/>
      </w:pPr>
      <w:r>
        <w:rPr/>
        <w:t>否</w:t>
      </w:r>
    </w:p>
    <w:p>
      <w:pPr>
        <w:spacing w:after="0" w:line="240" w:lineRule="auto"/>
        <w:jc w:val="lef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3472"/>
        <w:gridCol w:w="1719"/>
        <w:gridCol w:w="2307"/>
        <w:gridCol w:w="1556"/>
      </w:tblGrid>
      <w:tr>
        <w:trPr>
          <w:trHeight w:val="406" w:hRule="exact"/>
        </w:trPr>
        <w:tc>
          <w:tcPr>
            <w:tcW w:w="3472" w:type="dxa"/>
            <w:vMerge w:val="restart"/>
            <w:tcBorders>
              <w:top w:val="single" w:sz="12"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558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15" w:hRule="exact"/>
        </w:trPr>
        <w:tc>
          <w:tcPr>
            <w:tcW w:w="3472" w:type="dxa"/>
            <w:vMerge/>
            <w:tcBorders>
              <w:left w:val="nil" w:sz="6" w:space="0" w:color="auto"/>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93"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7"/>
              <w:jc w:val="right"/>
              <w:rPr>
                <w:rFonts w:ascii="宋体" w:hAnsi="宋体" w:cs="宋体" w:eastAsia="宋体" w:hint="default"/>
                <w:sz w:val="18"/>
                <w:szCs w:val="18"/>
              </w:rPr>
            </w:pPr>
            <w:r>
              <w:rPr>
                <w:rFonts w:ascii="宋体" w:hAnsi="宋体" w:cs="宋体" w:eastAsia="宋体" w:hint="default"/>
                <w:b/>
                <w:bCs/>
                <w:w w:val="95"/>
                <w:sz w:val="18"/>
                <w:szCs w:val="18"/>
              </w:rPr>
              <w:t>占应收账款合计数比例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41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2" w:hRule="exact"/>
        </w:trPr>
        <w:tc>
          <w:tcPr>
            <w:tcW w:w="3472" w:type="dxa"/>
            <w:tcBorders>
              <w:top w:val="single" w:sz="4" w:space="0" w:color="000000"/>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河北省环境监测站</w:t>
            </w:r>
          </w:p>
        </w:tc>
        <w:tc>
          <w:tcPr>
            <w:tcW w:w="17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right="101"/>
              <w:jc w:val="right"/>
              <w:rPr>
                <w:rFonts w:ascii="Arial Narrow" w:hAnsi="Arial Narrow" w:cs="Arial Narrow" w:eastAsia="Arial Narrow" w:hint="default"/>
                <w:sz w:val="20"/>
                <w:szCs w:val="20"/>
              </w:rPr>
            </w:pPr>
            <w:r>
              <w:rPr>
                <w:rFonts w:ascii="Arial Narrow"/>
                <w:spacing w:val="-1"/>
                <w:sz w:val="20"/>
              </w:rPr>
              <w:t>145,168,500.00</w:t>
            </w:r>
            <w:r>
              <w:rPr>
                <w:rFonts w:ascii="Arial Narrow"/>
                <w:sz w:val="20"/>
              </w:rPr>
            </w:r>
          </w:p>
        </w:tc>
        <w:tc>
          <w:tcPr>
            <w:tcW w:w="23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right="101"/>
              <w:jc w:val="right"/>
              <w:rPr>
                <w:rFonts w:ascii="Arial Narrow" w:hAnsi="Arial Narrow" w:cs="Arial Narrow" w:eastAsia="Arial Narrow" w:hint="default"/>
                <w:sz w:val="20"/>
                <w:szCs w:val="20"/>
              </w:rPr>
            </w:pPr>
            <w:r>
              <w:rPr>
                <w:rFonts w:ascii="Arial Narrow"/>
                <w:spacing w:val="-1"/>
                <w:sz w:val="20"/>
              </w:rPr>
              <w:t>19.53</w:t>
            </w:r>
            <w:r>
              <w:rPr>
                <w:rFonts w:ascii="Arial Narrow"/>
                <w:sz w:val="20"/>
              </w:rPr>
            </w:r>
          </w:p>
        </w:tc>
        <w:tc>
          <w:tcPr>
            <w:tcW w:w="1556" w:type="dxa"/>
            <w:tcBorders>
              <w:top w:val="single" w:sz="4" w:space="0" w:color="000000"/>
              <w:left w:val="single" w:sz="4" w:space="0" w:color="000000"/>
              <w:bottom w:val="nil" w:sz="6" w:space="0" w:color="auto"/>
              <w:right w:val="nil" w:sz="6" w:space="0" w:color="auto"/>
            </w:tcBorders>
          </w:tcPr>
          <w:p>
            <w:pPr>
              <w:pStyle w:val="TableParagraph"/>
              <w:spacing w:line="240" w:lineRule="auto" w:before="80"/>
              <w:ind w:right="106"/>
              <w:jc w:val="right"/>
              <w:rPr>
                <w:rFonts w:ascii="Arial Narrow" w:hAnsi="Arial Narrow" w:cs="Arial Narrow" w:eastAsia="Arial Narrow" w:hint="default"/>
                <w:sz w:val="20"/>
                <w:szCs w:val="20"/>
              </w:rPr>
            </w:pPr>
            <w:r>
              <w:rPr>
                <w:rFonts w:ascii="Arial Narrow"/>
                <w:spacing w:val="-1"/>
                <w:sz w:val="20"/>
              </w:rPr>
              <w:t>7,258,425.00</w:t>
            </w:r>
            <w:r>
              <w:rPr>
                <w:rFonts w:ascii="Arial Narrow"/>
                <w:sz w:val="20"/>
              </w:rPr>
            </w:r>
          </w:p>
        </w:tc>
      </w:tr>
      <w:tr>
        <w:trPr>
          <w:trHeight w:val="386" w:hRule="exact"/>
        </w:trPr>
        <w:tc>
          <w:tcPr>
            <w:tcW w:w="3472"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安顺市西秀区水利水电建设投资有限公司</w:t>
            </w:r>
          </w:p>
        </w:tc>
        <w:tc>
          <w:tcPr>
            <w:tcW w:w="1719"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Arial Narrow" w:hAnsi="Arial Narrow" w:cs="Arial Narrow" w:eastAsia="Arial Narrow" w:hint="default"/>
                <w:sz w:val="20"/>
                <w:szCs w:val="20"/>
              </w:rPr>
            </w:pPr>
            <w:r>
              <w:rPr>
                <w:rFonts w:ascii="Arial Narrow"/>
                <w:spacing w:val="-1"/>
                <w:sz w:val="20"/>
              </w:rPr>
              <w:t>70,628,000.00</w:t>
            </w:r>
            <w:r>
              <w:rPr>
                <w:rFonts w:ascii="Arial Narrow"/>
                <w:sz w:val="20"/>
              </w:rPr>
            </w:r>
          </w:p>
        </w:tc>
        <w:tc>
          <w:tcPr>
            <w:tcW w:w="2307"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Arial Narrow" w:hAnsi="Arial Narrow" w:cs="Arial Narrow" w:eastAsia="Arial Narrow" w:hint="default"/>
                <w:sz w:val="20"/>
                <w:szCs w:val="20"/>
              </w:rPr>
            </w:pPr>
            <w:r>
              <w:rPr>
                <w:rFonts w:ascii="Arial Narrow"/>
                <w:spacing w:val="-1"/>
                <w:sz w:val="20"/>
              </w:rPr>
              <w:t>9.50</w:t>
            </w:r>
            <w:r>
              <w:rPr>
                <w:rFonts w:ascii="Arial Narrow"/>
                <w:sz w:val="20"/>
              </w:rPr>
            </w:r>
          </w:p>
        </w:tc>
        <w:tc>
          <w:tcPr>
            <w:tcW w:w="1556"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6"/>
              <w:jc w:val="right"/>
              <w:rPr>
                <w:rFonts w:ascii="Arial Narrow" w:hAnsi="Arial Narrow" w:cs="Arial Narrow" w:eastAsia="Arial Narrow" w:hint="default"/>
                <w:sz w:val="20"/>
                <w:szCs w:val="20"/>
              </w:rPr>
            </w:pPr>
            <w:r>
              <w:rPr>
                <w:rFonts w:ascii="Arial Narrow"/>
                <w:spacing w:val="-1"/>
                <w:sz w:val="20"/>
              </w:rPr>
              <w:t>3,531,400.00</w:t>
            </w:r>
            <w:r>
              <w:rPr>
                <w:rFonts w:ascii="Arial Narrow"/>
                <w:sz w:val="20"/>
              </w:rPr>
            </w:r>
          </w:p>
        </w:tc>
      </w:tr>
      <w:tr>
        <w:trPr>
          <w:trHeight w:val="386" w:hRule="exact"/>
        </w:trPr>
        <w:tc>
          <w:tcPr>
            <w:tcW w:w="3472"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唐山市环境保护局</w:t>
            </w:r>
          </w:p>
        </w:tc>
        <w:tc>
          <w:tcPr>
            <w:tcW w:w="1719"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1"/>
              <w:jc w:val="right"/>
              <w:rPr>
                <w:rFonts w:ascii="Arial Narrow" w:hAnsi="Arial Narrow" w:cs="Arial Narrow" w:eastAsia="Arial Narrow" w:hint="default"/>
                <w:sz w:val="20"/>
                <w:szCs w:val="20"/>
              </w:rPr>
            </w:pPr>
            <w:r>
              <w:rPr>
                <w:rFonts w:ascii="Arial Narrow"/>
                <w:spacing w:val="-1"/>
                <w:sz w:val="20"/>
              </w:rPr>
              <w:t>27,862,088.00</w:t>
            </w:r>
            <w:r>
              <w:rPr>
                <w:rFonts w:ascii="Arial Narrow"/>
                <w:sz w:val="20"/>
              </w:rPr>
            </w:r>
          </w:p>
        </w:tc>
        <w:tc>
          <w:tcPr>
            <w:tcW w:w="2307"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1"/>
              <w:jc w:val="right"/>
              <w:rPr>
                <w:rFonts w:ascii="Arial Narrow" w:hAnsi="Arial Narrow" w:cs="Arial Narrow" w:eastAsia="Arial Narrow" w:hint="default"/>
                <w:sz w:val="20"/>
                <w:szCs w:val="20"/>
              </w:rPr>
            </w:pPr>
            <w:r>
              <w:rPr>
                <w:rFonts w:ascii="Arial Narrow"/>
                <w:spacing w:val="-1"/>
                <w:sz w:val="20"/>
              </w:rPr>
              <w:t>3.75</w:t>
            </w:r>
            <w:r>
              <w:rPr>
                <w:rFonts w:ascii="Arial Narrow"/>
                <w:sz w:val="20"/>
              </w:rPr>
            </w:r>
          </w:p>
        </w:tc>
        <w:tc>
          <w:tcPr>
            <w:tcW w:w="1556"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6"/>
              <w:jc w:val="right"/>
              <w:rPr>
                <w:rFonts w:ascii="Arial Narrow" w:hAnsi="Arial Narrow" w:cs="Arial Narrow" w:eastAsia="Arial Narrow" w:hint="default"/>
                <w:sz w:val="20"/>
                <w:szCs w:val="20"/>
              </w:rPr>
            </w:pPr>
            <w:r>
              <w:rPr>
                <w:rFonts w:ascii="Arial Narrow"/>
                <w:spacing w:val="-1"/>
                <w:sz w:val="20"/>
              </w:rPr>
              <w:t>1,393,104.40</w:t>
            </w:r>
            <w:r>
              <w:rPr>
                <w:rFonts w:ascii="Arial Narrow"/>
                <w:sz w:val="20"/>
              </w:rPr>
            </w:r>
          </w:p>
        </w:tc>
      </w:tr>
      <w:tr>
        <w:trPr>
          <w:trHeight w:val="386" w:hRule="exact"/>
        </w:trPr>
        <w:tc>
          <w:tcPr>
            <w:tcW w:w="3472"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中国环境监测总站</w:t>
            </w:r>
          </w:p>
        </w:tc>
        <w:tc>
          <w:tcPr>
            <w:tcW w:w="1719"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1"/>
              <w:jc w:val="right"/>
              <w:rPr>
                <w:rFonts w:ascii="Arial Narrow" w:hAnsi="Arial Narrow" w:cs="Arial Narrow" w:eastAsia="Arial Narrow" w:hint="default"/>
                <w:sz w:val="20"/>
                <w:szCs w:val="20"/>
              </w:rPr>
            </w:pPr>
            <w:r>
              <w:rPr>
                <w:rFonts w:ascii="Arial Narrow"/>
                <w:spacing w:val="-1"/>
                <w:sz w:val="20"/>
              </w:rPr>
              <w:t>17,254,456.60</w:t>
            </w:r>
            <w:r>
              <w:rPr>
                <w:rFonts w:ascii="Arial Narrow"/>
                <w:sz w:val="20"/>
              </w:rPr>
            </w:r>
          </w:p>
        </w:tc>
        <w:tc>
          <w:tcPr>
            <w:tcW w:w="2307"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1"/>
              <w:jc w:val="right"/>
              <w:rPr>
                <w:rFonts w:ascii="Arial Narrow" w:hAnsi="Arial Narrow" w:cs="Arial Narrow" w:eastAsia="Arial Narrow" w:hint="default"/>
                <w:sz w:val="20"/>
                <w:szCs w:val="20"/>
              </w:rPr>
            </w:pPr>
            <w:r>
              <w:rPr>
                <w:rFonts w:ascii="Arial Narrow"/>
                <w:spacing w:val="-1"/>
                <w:sz w:val="20"/>
              </w:rPr>
              <w:t>2.32</w:t>
            </w:r>
            <w:r>
              <w:rPr>
                <w:rFonts w:ascii="Arial Narrow"/>
                <w:sz w:val="20"/>
              </w:rPr>
            </w:r>
          </w:p>
        </w:tc>
        <w:tc>
          <w:tcPr>
            <w:tcW w:w="1556"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6"/>
              <w:jc w:val="right"/>
              <w:rPr>
                <w:rFonts w:ascii="Arial Narrow" w:hAnsi="Arial Narrow" w:cs="Arial Narrow" w:eastAsia="Arial Narrow" w:hint="default"/>
                <w:sz w:val="20"/>
                <w:szCs w:val="20"/>
              </w:rPr>
            </w:pPr>
            <w:r>
              <w:rPr>
                <w:rFonts w:ascii="Arial Narrow"/>
                <w:spacing w:val="-1"/>
                <w:sz w:val="20"/>
              </w:rPr>
              <w:t>862,722.83</w:t>
            </w:r>
            <w:r>
              <w:rPr>
                <w:rFonts w:ascii="Arial Narrow"/>
                <w:sz w:val="20"/>
              </w:rPr>
            </w:r>
          </w:p>
        </w:tc>
      </w:tr>
      <w:tr>
        <w:trPr>
          <w:trHeight w:val="381" w:hRule="exact"/>
        </w:trPr>
        <w:tc>
          <w:tcPr>
            <w:tcW w:w="3472" w:type="dxa"/>
            <w:tcBorders>
              <w:top w:val="nil" w:sz="6" w:space="0" w:color="auto"/>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石家庄市环境保护局</w:t>
            </w:r>
          </w:p>
        </w:tc>
        <w:tc>
          <w:tcPr>
            <w:tcW w:w="17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Narrow" w:hAnsi="Arial Narrow" w:cs="Arial Narrow" w:eastAsia="Arial Narrow" w:hint="default"/>
                <w:sz w:val="20"/>
                <w:szCs w:val="20"/>
              </w:rPr>
            </w:pPr>
            <w:r>
              <w:rPr>
                <w:rFonts w:ascii="Arial Narrow"/>
                <w:spacing w:val="-1"/>
                <w:sz w:val="20"/>
              </w:rPr>
              <w:t>14,799,800.00</w:t>
            </w:r>
            <w:r>
              <w:rPr>
                <w:rFonts w:ascii="Arial Narrow"/>
                <w:sz w:val="20"/>
              </w:rPr>
            </w:r>
          </w:p>
        </w:tc>
        <w:tc>
          <w:tcPr>
            <w:tcW w:w="23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Narrow" w:hAnsi="Arial Narrow" w:cs="Arial Narrow" w:eastAsia="Arial Narrow" w:hint="default"/>
                <w:sz w:val="20"/>
                <w:szCs w:val="20"/>
              </w:rPr>
            </w:pPr>
            <w:r>
              <w:rPr>
                <w:rFonts w:ascii="Arial Narrow"/>
                <w:spacing w:val="-1"/>
                <w:sz w:val="20"/>
              </w:rPr>
              <w:t>1.99</w:t>
            </w:r>
            <w:r>
              <w:rPr>
                <w:rFonts w:ascii="Arial Narrow"/>
                <w:sz w:val="20"/>
              </w:rPr>
            </w:r>
          </w:p>
        </w:tc>
        <w:tc>
          <w:tcPr>
            <w:tcW w:w="1556" w:type="dxa"/>
            <w:tcBorders>
              <w:top w:val="nil" w:sz="6" w:space="0" w:color="auto"/>
              <w:left w:val="single" w:sz="4" w:space="0" w:color="000000"/>
              <w:bottom w:val="single" w:sz="4" w:space="0" w:color="000000"/>
              <w:right w:val="nil" w:sz="6" w:space="0" w:color="auto"/>
            </w:tcBorders>
          </w:tcPr>
          <w:p>
            <w:pPr>
              <w:pStyle w:val="TableParagraph"/>
              <w:spacing w:line="240" w:lineRule="auto" w:before="68"/>
              <w:ind w:right="106"/>
              <w:jc w:val="right"/>
              <w:rPr>
                <w:rFonts w:ascii="Arial Narrow" w:hAnsi="Arial Narrow" w:cs="Arial Narrow" w:eastAsia="Arial Narrow" w:hint="default"/>
                <w:sz w:val="20"/>
                <w:szCs w:val="20"/>
              </w:rPr>
            </w:pPr>
            <w:r>
              <w:rPr>
                <w:rFonts w:ascii="Arial Narrow"/>
                <w:spacing w:val="-1"/>
                <w:sz w:val="20"/>
              </w:rPr>
              <w:t>739,990.00</w:t>
            </w:r>
            <w:r>
              <w:rPr>
                <w:rFonts w:ascii="Arial Narrow"/>
                <w:sz w:val="20"/>
              </w:rPr>
            </w:r>
          </w:p>
        </w:tc>
      </w:tr>
      <w:tr>
        <w:trPr>
          <w:trHeight w:val="406" w:hRule="exact"/>
        </w:trPr>
        <w:tc>
          <w:tcPr>
            <w:tcW w:w="347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Arial Narrow" w:hAnsi="Arial Narrow" w:cs="Arial Narrow" w:eastAsia="Arial Narrow" w:hint="default"/>
                <w:sz w:val="20"/>
                <w:szCs w:val="20"/>
              </w:rPr>
            </w:pPr>
            <w:r>
              <w:rPr>
                <w:rFonts w:ascii="Arial Narrow"/>
                <w:b/>
                <w:spacing w:val="-1"/>
                <w:sz w:val="20"/>
              </w:rPr>
              <w:t>275,712,844.60</w:t>
            </w:r>
            <w:r>
              <w:rPr>
                <w:rFonts w:ascii="Arial Narrow"/>
                <w:sz w:val="20"/>
              </w:rPr>
            </w:r>
          </w:p>
        </w:tc>
        <w:tc>
          <w:tcPr>
            <w:tcW w:w="23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Arial Narrow" w:hAnsi="Arial Narrow" w:cs="Arial Narrow" w:eastAsia="Arial Narrow" w:hint="default"/>
                <w:sz w:val="20"/>
                <w:szCs w:val="20"/>
              </w:rPr>
            </w:pPr>
            <w:r>
              <w:rPr>
                <w:rFonts w:ascii="Arial Narrow"/>
                <w:b/>
                <w:spacing w:val="-1"/>
                <w:sz w:val="20"/>
              </w:rPr>
              <w:t>37.09</w:t>
            </w:r>
            <w:r>
              <w:rPr>
                <w:rFonts w:ascii="Arial Narrow"/>
                <w:sz w:val="20"/>
              </w:rPr>
            </w:r>
          </w:p>
        </w:tc>
        <w:tc>
          <w:tcPr>
            <w:tcW w:w="15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106"/>
              <w:jc w:val="right"/>
              <w:rPr>
                <w:rFonts w:ascii="Arial Narrow" w:hAnsi="Arial Narrow" w:cs="Arial Narrow" w:eastAsia="Arial Narrow" w:hint="default"/>
                <w:sz w:val="20"/>
                <w:szCs w:val="20"/>
              </w:rPr>
            </w:pPr>
            <w:r>
              <w:rPr>
                <w:rFonts w:ascii="Arial Narrow"/>
                <w:b/>
                <w:spacing w:val="-1"/>
                <w:sz w:val="20"/>
              </w:rPr>
              <w:t>13,785,642.23</w:t>
            </w:r>
            <w:r>
              <w:rPr>
                <w:rFonts w:ascii="Arial Narrow"/>
                <w:sz w:val="20"/>
              </w:rPr>
            </w:r>
          </w:p>
        </w:tc>
      </w:tr>
    </w:tbl>
    <w:p>
      <w:pPr>
        <w:spacing w:line="240" w:lineRule="auto" w:before="5"/>
        <w:rPr>
          <w:rFonts w:ascii="宋体" w:hAnsi="宋体" w:cs="宋体" w:eastAsia="宋体" w:hint="default"/>
          <w:sz w:val="24"/>
          <w:szCs w:val="24"/>
        </w:rPr>
      </w:pPr>
    </w:p>
    <w:p>
      <w:pPr>
        <w:pStyle w:val="BodyText"/>
        <w:spacing w:line="340" w:lineRule="auto" w:before="44"/>
        <w:ind w:left="234" w:right="6822"/>
        <w:jc w:val="left"/>
      </w:pPr>
      <w:r>
        <w:rPr>
          <w:rFonts w:ascii="Times New Roman" w:hAnsi="Times New Roman" w:cs="Times New Roman" w:eastAsia="Times New Roman" w:hint="default"/>
        </w:rPr>
        <w:t>4)</w:t>
      </w:r>
      <w:r>
        <w:rPr/>
        <w:t>转移应收账款且继续涉入形成的资产、负债金额</w:t>
      </w:r>
      <w:r>
        <w:rPr>
          <w:w w:val="99"/>
        </w:rPr>
        <w:t> </w:t>
      </w:r>
      <w:r>
        <w:rPr/>
        <w:t>其他说明：</w:t>
      </w:r>
    </w:p>
    <w:p>
      <w:pPr>
        <w:pStyle w:val="BodyText"/>
        <w:spacing w:line="300" w:lineRule="auto" w:before="39"/>
        <w:ind w:left="234" w:right="1127"/>
        <w:jc w:val="left"/>
      </w:pPr>
      <w:r>
        <w:rPr>
          <w:spacing w:val="-1"/>
        </w:rPr>
        <w:t>应收票据及应收账款期末余额较期初增加</w:t>
      </w:r>
      <w:r>
        <w:rPr>
          <w:rFonts w:ascii="Times New Roman" w:hAnsi="Times New Roman" w:cs="Times New Roman" w:eastAsia="Times New Roman" w:hint="default"/>
          <w:spacing w:val="-1"/>
        </w:rPr>
        <w:t>309,766,447.11</w:t>
      </w:r>
      <w:r>
        <w:rPr>
          <w:spacing w:val="-1"/>
        </w:rPr>
        <w:t>元，增幅</w:t>
      </w:r>
      <w:r>
        <w:rPr>
          <w:rFonts w:ascii="Times New Roman" w:hAnsi="Times New Roman" w:cs="Times New Roman" w:eastAsia="Times New Roman" w:hint="default"/>
          <w:spacing w:val="-1"/>
        </w:rPr>
        <w:t>106.44%</w:t>
      </w:r>
      <w:r>
        <w:rPr>
          <w:spacing w:val="-1"/>
        </w:rPr>
        <w:t>，主要原因是本公司本期业务量增长、收入增加而</w:t>
      </w:r>
      <w:r>
        <w:rPr>
          <w:spacing w:val="-80"/>
        </w:rPr>
        <w:t> </w:t>
      </w:r>
      <w:r>
        <w:rPr>
          <w:spacing w:val="-80"/>
        </w:rPr>
      </w:r>
      <w:r>
        <w:rPr/>
        <w:t>款项尚未收回影响。</w:t>
      </w:r>
    </w:p>
    <w:p>
      <w:pPr>
        <w:spacing w:line="240" w:lineRule="auto" w:before="6"/>
        <w:rPr>
          <w:rFonts w:ascii="宋体" w:hAnsi="宋体" w:cs="宋体" w:eastAsia="宋体" w:hint="default"/>
          <w:sz w:val="23"/>
          <w:szCs w:val="23"/>
        </w:rPr>
      </w:pPr>
    </w:p>
    <w:p>
      <w:pPr>
        <w:pStyle w:val="Heading3"/>
        <w:spacing w:line="240" w:lineRule="auto"/>
        <w:ind w:left="234" w:right="6822"/>
        <w:jc w:val="left"/>
        <w:rPr>
          <w:b w:val="0"/>
          <w:bCs w:val="0"/>
        </w:rPr>
      </w:pPr>
      <w:bookmarkStart w:name="3、预付款项" w:id="222"/>
      <w:bookmarkEnd w:id="222"/>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34" w:right="6822"/>
        <w:jc w:val="left"/>
        <w:rPr>
          <w:b w:val="0"/>
          <w:bCs w:val="0"/>
        </w:rPr>
      </w:pPr>
      <w:bookmarkStart w:name="（1）预付款项按账龄列示" w:id="223"/>
      <w:bookmarkEnd w:id="22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74,832,731.85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85,703,908.73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15,550,362.91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13,151,116.45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12.11%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5,429,385.32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4,851,065.59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7,239,912.39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4,865,478.17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103,052,392.47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108,571,568.94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234" w:right="1127"/>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2"/>
        <w:rPr>
          <w:rFonts w:ascii="宋体" w:hAnsi="宋体" w:cs="宋体" w:eastAsia="宋体" w:hint="default"/>
          <w:sz w:val="6"/>
          <w:szCs w:val="6"/>
        </w:rPr>
      </w:pPr>
    </w:p>
    <w:tbl>
      <w:tblPr>
        <w:tblW w:w="0" w:type="auto"/>
        <w:jc w:val="left"/>
        <w:tblInd w:w="219" w:type="dxa"/>
        <w:tblLayout w:type="fixed"/>
        <w:tblCellMar>
          <w:top w:w="0" w:type="dxa"/>
          <w:left w:w="0" w:type="dxa"/>
          <w:bottom w:w="0" w:type="dxa"/>
          <w:right w:w="0" w:type="dxa"/>
        </w:tblCellMar>
        <w:tblLook w:val="01E0"/>
      </w:tblPr>
      <w:tblGrid>
        <w:gridCol w:w="3701"/>
        <w:gridCol w:w="2410"/>
        <w:gridCol w:w="2268"/>
      </w:tblGrid>
      <w:tr>
        <w:trPr>
          <w:trHeight w:val="406" w:hRule="exact"/>
        </w:trPr>
        <w:tc>
          <w:tcPr>
            <w:tcW w:w="37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7"/>
              <w:ind w:left="19"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2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b/>
                <w:bCs/>
                <w:sz w:val="18"/>
                <w:szCs w:val="18"/>
              </w:rPr>
              <w:t>未及时结算原因</w:t>
            </w:r>
            <w:r>
              <w:rPr>
                <w:rFonts w:ascii="宋体" w:hAnsi="宋体" w:cs="宋体" w:eastAsia="宋体" w:hint="default"/>
                <w:sz w:val="18"/>
                <w:szCs w:val="18"/>
              </w:rPr>
            </w:r>
          </w:p>
        </w:tc>
      </w:tr>
      <w:tr>
        <w:trPr>
          <w:trHeight w:val="396" w:hRule="exact"/>
        </w:trPr>
        <w:tc>
          <w:tcPr>
            <w:tcW w:w="3701" w:type="dxa"/>
            <w:tcBorders>
              <w:top w:val="single" w:sz="4" w:space="0" w:color="000000"/>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石家庄天时机械有限公司</w:t>
            </w:r>
          </w:p>
        </w:tc>
        <w:tc>
          <w:tcPr>
            <w:tcW w:w="24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1,734,821.42</w:t>
            </w:r>
            <w:r>
              <w:rPr>
                <w:rFonts w:ascii="Arial Narrow"/>
                <w:sz w:val="20"/>
              </w:rPr>
            </w:r>
          </w:p>
        </w:tc>
        <w:tc>
          <w:tcPr>
            <w:tcW w:w="2268" w:type="dxa"/>
            <w:tcBorders>
              <w:top w:val="single" w:sz="4" w:space="0" w:color="000000"/>
              <w:left w:val="single" w:sz="4" w:space="0" w:color="000000"/>
              <w:bottom w:val="nil" w:sz="6" w:space="0" w:color="auto"/>
              <w:right w:val="nil" w:sz="6" w:space="0" w:color="auto"/>
            </w:tcBorders>
          </w:tcPr>
          <w:p>
            <w:pPr>
              <w:pStyle w:val="TableParagraph"/>
              <w:spacing w:line="240" w:lineRule="auto" w:before="31"/>
              <w:ind w:left="96" w:right="0"/>
              <w:jc w:val="center"/>
              <w:rPr>
                <w:rFonts w:ascii="宋体" w:hAnsi="宋体" w:cs="宋体" w:eastAsia="宋体" w:hint="default"/>
                <w:sz w:val="20"/>
                <w:szCs w:val="20"/>
              </w:rPr>
            </w:pPr>
            <w:r>
              <w:rPr>
                <w:rFonts w:ascii="宋体" w:hAnsi="宋体" w:cs="宋体" w:eastAsia="宋体" w:hint="default"/>
                <w:sz w:val="20"/>
                <w:szCs w:val="20"/>
              </w:rPr>
              <w:t>尚未结算</w:t>
            </w:r>
          </w:p>
        </w:tc>
      </w:tr>
      <w:tr>
        <w:trPr>
          <w:trHeight w:val="386"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河北云涛环保科技有限公司</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1"/>
              <w:jc w:val="right"/>
              <w:rPr>
                <w:rFonts w:ascii="Arial Narrow" w:hAnsi="Arial Narrow" w:cs="Arial Narrow" w:eastAsia="Arial Narrow" w:hint="default"/>
                <w:sz w:val="20"/>
                <w:szCs w:val="20"/>
              </w:rPr>
            </w:pPr>
            <w:r>
              <w:rPr>
                <w:rFonts w:ascii="Arial Narrow"/>
                <w:spacing w:val="-1"/>
                <w:sz w:val="20"/>
              </w:rPr>
              <w:t>761,000.00</w:t>
            </w:r>
            <w:r>
              <w:rPr>
                <w:rFonts w:ascii="Arial Narrow"/>
                <w:sz w:val="20"/>
              </w:rPr>
            </w:r>
          </w:p>
        </w:tc>
        <w:tc>
          <w:tcPr>
            <w:tcW w:w="2268"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right="3"/>
              <w:jc w:val="center"/>
              <w:rPr>
                <w:rFonts w:ascii="宋体" w:hAnsi="宋体" w:cs="宋体" w:eastAsia="宋体" w:hint="default"/>
                <w:sz w:val="20"/>
                <w:szCs w:val="20"/>
              </w:rPr>
            </w:pPr>
            <w:r>
              <w:rPr>
                <w:rFonts w:ascii="宋体" w:hAnsi="宋体" w:cs="宋体" w:eastAsia="宋体" w:hint="default"/>
                <w:sz w:val="20"/>
                <w:szCs w:val="20"/>
              </w:rPr>
              <w:t>尚未结算</w:t>
            </w:r>
          </w:p>
        </w:tc>
      </w:tr>
      <w:tr>
        <w:trPr>
          <w:trHeight w:val="386"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河北圣基建设工程集团有限公司吴桥分公司</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1"/>
              <w:jc w:val="right"/>
              <w:rPr>
                <w:rFonts w:ascii="Arial Narrow" w:hAnsi="Arial Narrow" w:cs="Arial Narrow" w:eastAsia="Arial Narrow" w:hint="default"/>
                <w:sz w:val="20"/>
                <w:szCs w:val="20"/>
              </w:rPr>
            </w:pPr>
            <w:r>
              <w:rPr>
                <w:rFonts w:ascii="Arial Narrow"/>
                <w:spacing w:val="-1"/>
                <w:sz w:val="20"/>
              </w:rPr>
              <w:t>721,800.00</w:t>
            </w:r>
            <w:r>
              <w:rPr>
                <w:rFonts w:ascii="Arial Narrow"/>
                <w:sz w:val="20"/>
              </w:rPr>
            </w:r>
          </w:p>
        </w:tc>
        <w:tc>
          <w:tcPr>
            <w:tcW w:w="2268"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right="3"/>
              <w:jc w:val="center"/>
              <w:rPr>
                <w:rFonts w:ascii="宋体" w:hAnsi="宋体" w:cs="宋体" w:eastAsia="宋体" w:hint="default"/>
                <w:sz w:val="20"/>
                <w:szCs w:val="20"/>
              </w:rPr>
            </w:pPr>
            <w:r>
              <w:rPr>
                <w:rFonts w:ascii="宋体" w:hAnsi="宋体" w:cs="宋体" w:eastAsia="宋体" w:hint="default"/>
                <w:sz w:val="20"/>
                <w:szCs w:val="20"/>
              </w:rPr>
              <w:t>尚未结算</w:t>
            </w:r>
          </w:p>
        </w:tc>
      </w:tr>
      <w:tr>
        <w:trPr>
          <w:trHeight w:val="386"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河北吉茂环保工程有限公司</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Arial Narrow" w:hAnsi="Arial Narrow" w:cs="Arial Narrow" w:eastAsia="Arial Narrow" w:hint="default"/>
                <w:sz w:val="20"/>
                <w:szCs w:val="20"/>
              </w:rPr>
            </w:pPr>
            <w:r>
              <w:rPr>
                <w:rFonts w:ascii="Arial Narrow"/>
                <w:spacing w:val="-1"/>
                <w:sz w:val="20"/>
              </w:rPr>
              <w:t>737,882.27</w:t>
            </w:r>
            <w:r>
              <w:rPr>
                <w:rFonts w:ascii="Arial Narrow"/>
                <w:sz w:val="20"/>
              </w:rPr>
            </w:r>
          </w:p>
        </w:tc>
        <w:tc>
          <w:tcPr>
            <w:tcW w:w="2268"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right="3"/>
              <w:jc w:val="center"/>
              <w:rPr>
                <w:rFonts w:ascii="宋体" w:hAnsi="宋体" w:cs="宋体" w:eastAsia="宋体" w:hint="default"/>
                <w:sz w:val="20"/>
                <w:szCs w:val="20"/>
              </w:rPr>
            </w:pPr>
            <w:r>
              <w:rPr>
                <w:rFonts w:ascii="宋体" w:hAnsi="宋体" w:cs="宋体" w:eastAsia="宋体" w:hint="default"/>
                <w:sz w:val="20"/>
                <w:szCs w:val="20"/>
              </w:rPr>
              <w:t>未到结算期</w:t>
            </w:r>
          </w:p>
        </w:tc>
      </w:tr>
      <w:tr>
        <w:trPr>
          <w:trHeight w:val="386" w:hRule="exact"/>
        </w:trPr>
        <w:tc>
          <w:tcPr>
            <w:tcW w:w="3701" w:type="dxa"/>
            <w:tcBorders>
              <w:top w:val="nil" w:sz="6" w:space="0" w:color="auto"/>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保定市华电海通实业有限公司</w:t>
            </w: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Narrow" w:hAnsi="Arial Narrow" w:cs="Arial Narrow" w:eastAsia="Arial Narrow" w:hint="default"/>
                <w:sz w:val="20"/>
                <w:szCs w:val="20"/>
              </w:rPr>
            </w:pPr>
            <w:r>
              <w:rPr>
                <w:rFonts w:ascii="Arial Narrow"/>
                <w:spacing w:val="-1"/>
                <w:sz w:val="20"/>
              </w:rPr>
              <w:t>576,066.50</w:t>
            </w:r>
            <w:r>
              <w:rPr>
                <w:rFonts w:ascii="Arial Narrow"/>
                <w:sz w:val="20"/>
              </w:rPr>
            </w:r>
          </w:p>
        </w:tc>
        <w:tc>
          <w:tcPr>
            <w:tcW w:w="2268" w:type="dxa"/>
            <w:tcBorders>
              <w:top w:val="nil" w:sz="6" w:space="0" w:color="auto"/>
              <w:left w:val="single" w:sz="4" w:space="0" w:color="000000"/>
              <w:bottom w:val="single" w:sz="4" w:space="0" w:color="000000"/>
              <w:right w:val="nil" w:sz="6" w:space="0" w:color="auto"/>
            </w:tcBorders>
          </w:tcPr>
          <w:p>
            <w:pPr>
              <w:pStyle w:val="TableParagraph"/>
              <w:spacing w:line="240" w:lineRule="auto" w:before="26"/>
              <w:ind w:left="96" w:right="0"/>
              <w:jc w:val="center"/>
              <w:rPr>
                <w:rFonts w:ascii="宋体" w:hAnsi="宋体" w:cs="宋体" w:eastAsia="宋体" w:hint="default"/>
                <w:sz w:val="20"/>
                <w:szCs w:val="20"/>
              </w:rPr>
            </w:pPr>
            <w:r>
              <w:rPr>
                <w:rFonts w:ascii="宋体" w:hAnsi="宋体" w:cs="宋体" w:eastAsia="宋体" w:hint="default"/>
                <w:sz w:val="20"/>
                <w:szCs w:val="20"/>
              </w:rPr>
              <w:t>尚未结算</w:t>
            </w:r>
          </w:p>
        </w:tc>
      </w:tr>
      <w:tr>
        <w:trPr>
          <w:trHeight w:val="407" w:hRule="exact"/>
        </w:trPr>
        <w:tc>
          <w:tcPr>
            <w:tcW w:w="37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8"/>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right="101"/>
              <w:jc w:val="right"/>
              <w:rPr>
                <w:rFonts w:ascii="Arial Narrow" w:hAnsi="Arial Narrow" w:cs="Arial Narrow" w:eastAsia="Arial Narrow" w:hint="default"/>
                <w:sz w:val="20"/>
                <w:szCs w:val="20"/>
              </w:rPr>
            </w:pPr>
            <w:r>
              <w:rPr>
                <w:rFonts w:ascii="Arial Narrow"/>
                <w:b/>
                <w:spacing w:val="-1"/>
                <w:sz w:val="20"/>
              </w:rPr>
              <w:t>4,531,570.19</w:t>
            </w:r>
            <w:r>
              <w:rPr>
                <w:rFonts w:ascii="Arial Narrow"/>
                <w:sz w:val="20"/>
              </w:rPr>
            </w:r>
          </w:p>
        </w:tc>
        <w:tc>
          <w:tcPr>
            <w:tcW w:w="2268"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747" w:footer="979" w:top="1060" w:bottom="1160" w:left="900" w:right="0"/>
        </w:sectPr>
      </w:pPr>
    </w:p>
    <w:p>
      <w:pPr>
        <w:spacing w:line="240" w:lineRule="auto" w:before="10"/>
        <w:rPr>
          <w:rFonts w:ascii="宋体" w:hAnsi="宋体" w:cs="宋体" w:eastAsia="宋体" w:hint="default"/>
          <w:sz w:val="24"/>
          <w:szCs w:val="24"/>
        </w:rPr>
      </w:pPr>
    </w:p>
    <w:p>
      <w:pPr>
        <w:pStyle w:val="Heading3"/>
        <w:spacing w:line="240" w:lineRule="auto" w:before="35"/>
        <w:ind w:left="234" w:right="1127"/>
        <w:jc w:val="left"/>
        <w:rPr>
          <w:b w:val="0"/>
          <w:bCs w:val="0"/>
        </w:rPr>
      </w:pPr>
      <w:bookmarkStart w:name="（2）按预付对象归集的期末余额前五名的预付款情况" w:id="224"/>
      <w:bookmarkEnd w:id="22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3747"/>
        <w:gridCol w:w="2190"/>
        <w:gridCol w:w="3933"/>
      </w:tblGrid>
      <w:tr>
        <w:trPr>
          <w:trHeight w:val="387" w:hRule="exact"/>
        </w:trPr>
        <w:tc>
          <w:tcPr>
            <w:tcW w:w="374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8"/>
              <w:ind w:left="19"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1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393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8"/>
              <w:ind w:left="380" w:right="0"/>
              <w:jc w:val="left"/>
              <w:rPr>
                <w:rFonts w:ascii="宋体" w:hAnsi="宋体" w:cs="宋体" w:eastAsia="宋体" w:hint="default"/>
                <w:sz w:val="18"/>
                <w:szCs w:val="18"/>
              </w:rPr>
            </w:pPr>
            <w:r>
              <w:rPr>
                <w:rFonts w:ascii="宋体" w:hAnsi="宋体" w:cs="宋体" w:eastAsia="宋体" w:hint="default"/>
                <w:b/>
                <w:bCs/>
                <w:sz w:val="18"/>
                <w:szCs w:val="18"/>
              </w:rPr>
              <w:t>占预付款项期末余额合计数的比例（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97" w:hRule="exact"/>
        </w:trPr>
        <w:tc>
          <w:tcPr>
            <w:tcW w:w="3747" w:type="dxa"/>
            <w:tcBorders>
              <w:top w:val="single" w:sz="4" w:space="0" w:color="000000"/>
              <w:left w:val="nil" w:sz="6" w:space="0" w:color="auto"/>
              <w:bottom w:val="nil" w:sz="6" w:space="0" w:color="auto"/>
              <w:right w:val="single" w:sz="4"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北京北科环测科技有限公司</w:t>
            </w:r>
          </w:p>
        </w:tc>
        <w:tc>
          <w:tcPr>
            <w:tcW w:w="2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101"/>
              <w:jc w:val="right"/>
              <w:rPr>
                <w:rFonts w:ascii="Arial Narrow" w:hAnsi="Arial Narrow" w:cs="Arial Narrow" w:eastAsia="Arial Narrow" w:hint="default"/>
                <w:sz w:val="20"/>
                <w:szCs w:val="20"/>
              </w:rPr>
            </w:pPr>
            <w:r>
              <w:rPr>
                <w:rFonts w:ascii="Arial Narrow"/>
                <w:spacing w:val="-1"/>
                <w:sz w:val="20"/>
              </w:rPr>
              <w:t>6,000,000.00</w:t>
            </w:r>
            <w:r>
              <w:rPr>
                <w:rFonts w:ascii="Arial Narrow"/>
                <w:sz w:val="20"/>
              </w:rPr>
            </w:r>
          </w:p>
        </w:tc>
        <w:tc>
          <w:tcPr>
            <w:tcW w:w="3933" w:type="dxa"/>
            <w:tcBorders>
              <w:top w:val="single" w:sz="4" w:space="0" w:color="000000"/>
              <w:left w:val="single" w:sz="4" w:space="0" w:color="000000"/>
              <w:bottom w:val="nil" w:sz="6" w:space="0" w:color="auto"/>
              <w:right w:val="nil" w:sz="6" w:space="0" w:color="auto"/>
            </w:tcBorders>
          </w:tcPr>
          <w:p>
            <w:pPr>
              <w:pStyle w:val="TableParagraph"/>
              <w:spacing w:line="240" w:lineRule="auto" w:before="141"/>
              <w:ind w:right="106"/>
              <w:jc w:val="right"/>
              <w:rPr>
                <w:rFonts w:ascii="Arial Narrow" w:hAnsi="Arial Narrow" w:cs="Arial Narrow" w:eastAsia="Arial Narrow" w:hint="default"/>
                <w:sz w:val="20"/>
                <w:szCs w:val="20"/>
              </w:rPr>
            </w:pPr>
            <w:r>
              <w:rPr>
                <w:rFonts w:ascii="Arial Narrow"/>
                <w:spacing w:val="-1"/>
                <w:sz w:val="20"/>
              </w:rPr>
              <w:t>5.82</w:t>
            </w:r>
            <w:r>
              <w:rPr>
                <w:rFonts w:ascii="Arial Narrow"/>
                <w:sz w:val="20"/>
              </w:rPr>
            </w:r>
          </w:p>
        </w:tc>
      </w:tr>
      <w:tr>
        <w:trPr>
          <w:trHeight w:val="425" w:hRule="exact"/>
        </w:trPr>
        <w:tc>
          <w:tcPr>
            <w:tcW w:w="3747"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河北宏天环保科技股份有限公司</w:t>
            </w:r>
          </w:p>
        </w:tc>
        <w:tc>
          <w:tcPr>
            <w:tcW w:w="2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Arial Narrow" w:hAnsi="Arial Narrow" w:cs="Arial Narrow" w:eastAsia="Arial Narrow" w:hint="default"/>
                <w:sz w:val="20"/>
                <w:szCs w:val="20"/>
              </w:rPr>
            </w:pPr>
            <w:r>
              <w:rPr>
                <w:rFonts w:ascii="Arial Narrow"/>
                <w:spacing w:val="-1"/>
                <w:sz w:val="20"/>
              </w:rPr>
              <w:t>4,000,000.00</w:t>
            </w:r>
            <w:r>
              <w:rPr>
                <w:rFonts w:ascii="Arial Narrow"/>
                <w:sz w:val="20"/>
              </w:rPr>
            </w:r>
          </w:p>
        </w:tc>
        <w:tc>
          <w:tcPr>
            <w:tcW w:w="3933"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106"/>
              <w:jc w:val="right"/>
              <w:rPr>
                <w:rFonts w:ascii="Arial Narrow" w:hAnsi="Arial Narrow" w:cs="Arial Narrow" w:eastAsia="Arial Narrow" w:hint="default"/>
                <w:sz w:val="20"/>
                <w:szCs w:val="20"/>
              </w:rPr>
            </w:pPr>
            <w:r>
              <w:rPr>
                <w:rFonts w:ascii="Arial Narrow"/>
                <w:spacing w:val="-1"/>
                <w:sz w:val="20"/>
              </w:rPr>
              <w:t>3.88</w:t>
            </w:r>
            <w:r>
              <w:rPr>
                <w:rFonts w:ascii="Arial Narrow"/>
                <w:sz w:val="20"/>
              </w:rPr>
            </w:r>
          </w:p>
        </w:tc>
      </w:tr>
      <w:tr>
        <w:trPr>
          <w:trHeight w:val="397" w:hRule="exact"/>
        </w:trPr>
        <w:tc>
          <w:tcPr>
            <w:tcW w:w="3747"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滨松光子学商贸</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p>
        </w:tc>
        <w:tc>
          <w:tcPr>
            <w:tcW w:w="219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Arial Narrow" w:hAnsi="Arial Narrow" w:cs="Arial Narrow" w:eastAsia="Arial Narrow" w:hint="default"/>
                <w:sz w:val="20"/>
                <w:szCs w:val="20"/>
              </w:rPr>
            </w:pPr>
            <w:r>
              <w:rPr>
                <w:rFonts w:ascii="Arial Narrow"/>
                <w:spacing w:val="-1"/>
                <w:sz w:val="20"/>
              </w:rPr>
              <w:t>3,062,004.69</w:t>
            </w:r>
            <w:r>
              <w:rPr>
                <w:rFonts w:ascii="Arial Narrow"/>
                <w:sz w:val="20"/>
              </w:rPr>
            </w:r>
          </w:p>
        </w:tc>
        <w:tc>
          <w:tcPr>
            <w:tcW w:w="3933"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106"/>
              <w:jc w:val="right"/>
              <w:rPr>
                <w:rFonts w:ascii="Arial Narrow" w:hAnsi="Arial Narrow" w:cs="Arial Narrow" w:eastAsia="Arial Narrow" w:hint="default"/>
                <w:sz w:val="20"/>
                <w:szCs w:val="20"/>
              </w:rPr>
            </w:pPr>
            <w:r>
              <w:rPr>
                <w:rFonts w:ascii="Arial Narrow"/>
                <w:spacing w:val="-1"/>
                <w:sz w:val="20"/>
              </w:rPr>
              <w:t>2.97</w:t>
            </w:r>
            <w:r>
              <w:rPr>
                <w:rFonts w:ascii="Arial Narrow"/>
                <w:sz w:val="20"/>
              </w:rPr>
            </w:r>
          </w:p>
        </w:tc>
      </w:tr>
      <w:tr>
        <w:trPr>
          <w:trHeight w:val="397" w:hRule="exact"/>
        </w:trPr>
        <w:tc>
          <w:tcPr>
            <w:tcW w:w="3747"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广州天怡环保科技有限公司</w:t>
            </w:r>
          </w:p>
        </w:tc>
        <w:tc>
          <w:tcPr>
            <w:tcW w:w="219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1"/>
              <w:jc w:val="right"/>
              <w:rPr>
                <w:rFonts w:ascii="Arial Narrow" w:hAnsi="Arial Narrow" w:cs="Arial Narrow" w:eastAsia="Arial Narrow" w:hint="default"/>
                <w:sz w:val="20"/>
                <w:szCs w:val="20"/>
              </w:rPr>
            </w:pPr>
            <w:r>
              <w:rPr>
                <w:rFonts w:ascii="Arial Narrow"/>
                <w:spacing w:val="-1"/>
                <w:sz w:val="20"/>
              </w:rPr>
              <w:t>2,164,001.96</w:t>
            </w:r>
            <w:r>
              <w:rPr>
                <w:rFonts w:ascii="Arial Narrow"/>
                <w:sz w:val="20"/>
              </w:rPr>
            </w:r>
          </w:p>
        </w:tc>
        <w:tc>
          <w:tcPr>
            <w:tcW w:w="3933"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6"/>
              <w:jc w:val="right"/>
              <w:rPr>
                <w:rFonts w:ascii="Arial Narrow" w:hAnsi="Arial Narrow" w:cs="Arial Narrow" w:eastAsia="Arial Narrow" w:hint="default"/>
                <w:sz w:val="20"/>
                <w:szCs w:val="20"/>
              </w:rPr>
            </w:pPr>
            <w:r>
              <w:rPr>
                <w:rFonts w:ascii="Arial Narrow"/>
                <w:spacing w:val="-1"/>
                <w:sz w:val="20"/>
              </w:rPr>
              <w:t>2.10</w:t>
            </w:r>
            <w:r>
              <w:rPr>
                <w:rFonts w:ascii="Arial Narrow"/>
                <w:sz w:val="20"/>
              </w:rPr>
            </w:r>
          </w:p>
        </w:tc>
      </w:tr>
      <w:tr>
        <w:trPr>
          <w:trHeight w:val="393" w:hRule="exact"/>
        </w:trPr>
        <w:tc>
          <w:tcPr>
            <w:tcW w:w="3747" w:type="dxa"/>
            <w:tcBorders>
              <w:top w:val="nil" w:sz="6" w:space="0" w:color="auto"/>
              <w:left w:val="nil" w:sz="6" w:space="0" w:color="auto"/>
              <w:bottom w:val="single" w:sz="4" w:space="0" w:color="000000"/>
              <w:right w:val="single" w:sz="4"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河北福江汽车贸易有限公司</w:t>
            </w:r>
          </w:p>
        </w:tc>
        <w:tc>
          <w:tcPr>
            <w:tcW w:w="2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Narrow" w:hAnsi="Arial Narrow" w:cs="Arial Narrow" w:eastAsia="Arial Narrow" w:hint="default"/>
                <w:sz w:val="20"/>
                <w:szCs w:val="20"/>
              </w:rPr>
            </w:pPr>
            <w:r>
              <w:rPr>
                <w:rFonts w:ascii="Arial Narrow"/>
                <w:spacing w:val="-1"/>
                <w:sz w:val="20"/>
              </w:rPr>
              <w:t>2,087,331.03</w:t>
            </w:r>
            <w:r>
              <w:rPr>
                <w:rFonts w:ascii="Arial Narrow"/>
                <w:sz w:val="20"/>
              </w:rPr>
            </w:r>
          </w:p>
        </w:tc>
        <w:tc>
          <w:tcPr>
            <w:tcW w:w="3933" w:type="dxa"/>
            <w:tcBorders>
              <w:top w:val="nil" w:sz="6" w:space="0" w:color="auto"/>
              <w:left w:val="single" w:sz="4" w:space="0" w:color="000000"/>
              <w:bottom w:val="single" w:sz="4" w:space="0" w:color="000000"/>
              <w:right w:val="nil" w:sz="6" w:space="0" w:color="auto"/>
            </w:tcBorders>
          </w:tcPr>
          <w:p>
            <w:pPr>
              <w:pStyle w:val="TableParagraph"/>
              <w:spacing w:line="240" w:lineRule="auto" w:before="74"/>
              <w:ind w:right="106"/>
              <w:jc w:val="right"/>
              <w:rPr>
                <w:rFonts w:ascii="Arial Narrow" w:hAnsi="Arial Narrow" w:cs="Arial Narrow" w:eastAsia="Arial Narrow" w:hint="default"/>
                <w:sz w:val="20"/>
                <w:szCs w:val="20"/>
              </w:rPr>
            </w:pPr>
            <w:r>
              <w:rPr>
                <w:rFonts w:ascii="Arial Narrow"/>
                <w:spacing w:val="-1"/>
                <w:sz w:val="20"/>
              </w:rPr>
              <w:t>2.03</w:t>
            </w:r>
            <w:r>
              <w:rPr>
                <w:rFonts w:ascii="Arial Narrow"/>
                <w:sz w:val="20"/>
              </w:rPr>
            </w:r>
          </w:p>
        </w:tc>
      </w:tr>
      <w:tr>
        <w:trPr>
          <w:trHeight w:val="406" w:hRule="exact"/>
        </w:trPr>
        <w:tc>
          <w:tcPr>
            <w:tcW w:w="3747" w:type="dxa"/>
            <w:tcBorders>
              <w:top w:val="single" w:sz="4" w:space="0" w:color="000000"/>
              <w:left w:val="nil" w:sz="6" w:space="0" w:color="auto"/>
              <w:bottom w:val="single" w:sz="12" w:space="0" w:color="000000"/>
              <w:right w:val="single" w:sz="4" w:space="0" w:color="000000"/>
            </w:tcBorders>
          </w:tcPr>
          <w:p>
            <w:pPr>
              <w:pStyle w:val="TableParagraph"/>
              <w:tabs>
                <w:tab w:pos="522" w:val="left" w:leader="none"/>
              </w:tabs>
              <w:spacing w:line="240" w:lineRule="auto" w:before="31"/>
              <w:ind w:left="19" w:right="0"/>
              <w:jc w:val="center"/>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2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Arial Narrow" w:hAnsi="Arial Narrow" w:cs="Arial Narrow" w:eastAsia="Arial Narrow" w:hint="default"/>
                <w:sz w:val="20"/>
                <w:szCs w:val="20"/>
              </w:rPr>
            </w:pPr>
            <w:r>
              <w:rPr>
                <w:rFonts w:ascii="Arial Narrow"/>
                <w:b/>
                <w:spacing w:val="-1"/>
                <w:sz w:val="20"/>
              </w:rPr>
              <w:t>17,313,337.68</w:t>
            </w:r>
            <w:r>
              <w:rPr>
                <w:rFonts w:ascii="Arial Narrow"/>
                <w:sz w:val="20"/>
              </w:rPr>
            </w:r>
          </w:p>
        </w:tc>
        <w:tc>
          <w:tcPr>
            <w:tcW w:w="39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106"/>
              <w:jc w:val="right"/>
              <w:rPr>
                <w:rFonts w:ascii="Arial Narrow" w:hAnsi="Arial Narrow" w:cs="Arial Narrow" w:eastAsia="Arial Narrow" w:hint="default"/>
                <w:sz w:val="20"/>
                <w:szCs w:val="20"/>
              </w:rPr>
            </w:pPr>
            <w:r>
              <w:rPr>
                <w:rFonts w:ascii="Arial Narrow"/>
                <w:b/>
                <w:spacing w:val="-1"/>
                <w:sz w:val="20"/>
              </w:rPr>
              <w:t>16.80</w:t>
            </w:r>
            <w:r>
              <w:rPr>
                <w:rFonts w:ascii="Arial Narrow"/>
                <w:sz w:val="20"/>
              </w:rPr>
            </w:r>
          </w:p>
        </w:tc>
      </w:tr>
    </w:tbl>
    <w:p>
      <w:pPr>
        <w:spacing w:line="240" w:lineRule="auto" w:before="5"/>
        <w:rPr>
          <w:rFonts w:ascii="宋体" w:hAnsi="宋体" w:cs="宋体" w:eastAsia="宋体" w:hint="default"/>
          <w:b/>
          <w:bCs/>
          <w:sz w:val="24"/>
          <w:szCs w:val="24"/>
        </w:rPr>
      </w:pPr>
    </w:p>
    <w:p>
      <w:pPr>
        <w:pStyle w:val="BodyText"/>
        <w:spacing w:line="240" w:lineRule="auto" w:before="44"/>
        <w:ind w:left="234" w:right="68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234" w:right="6822"/>
        <w:jc w:val="left"/>
        <w:rPr>
          <w:b w:val="0"/>
          <w:bCs w:val="0"/>
        </w:rPr>
      </w:pPr>
      <w:bookmarkStart w:name="4、其他应收款" w:id="225"/>
      <w:bookmarkEnd w:id="225"/>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98,802,386.60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97,403,408.00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98,802,386.60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97,403,408.00</w:t>
            </w:r>
          </w:p>
        </w:tc>
      </w:tr>
    </w:tbl>
    <w:p>
      <w:pPr>
        <w:spacing w:line="240" w:lineRule="auto" w:before="3"/>
        <w:rPr>
          <w:rFonts w:ascii="宋体" w:hAnsi="宋体" w:cs="宋体" w:eastAsia="宋体" w:hint="default"/>
          <w:sz w:val="19"/>
          <w:szCs w:val="19"/>
        </w:rPr>
      </w:pPr>
    </w:p>
    <w:p>
      <w:pPr>
        <w:pStyle w:val="Heading3"/>
        <w:spacing w:line="240" w:lineRule="auto" w:before="35"/>
        <w:ind w:left="234" w:right="6822"/>
        <w:jc w:val="left"/>
        <w:rPr>
          <w:b w:val="0"/>
          <w:bCs w:val="0"/>
        </w:rPr>
      </w:pPr>
      <w:bookmarkStart w:name="（1）其他应收款" w:id="226"/>
      <w:bookmarkEnd w:id="226"/>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234" w:right="6822"/>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129,041,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049.69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30,238,6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63.09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23.43%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98,802,38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6.60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119,143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,155.27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21,739,74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97,403,408.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248,735.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248,735.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248,735</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248,735.6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130,289,</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785.29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31,487,3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98.69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24.17%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98,802,38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6.60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119,391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,890.87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21,988,48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2.87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18.42%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97,403,408.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234" w:right="1127"/>
        <w:jc w:val="left"/>
      </w:pPr>
      <w:r>
        <w:rPr/>
        <w:t>期末单项金额重大并单项计提坏账准备的其他应收款：</w:t>
      </w:r>
    </w:p>
    <w:p>
      <w:pPr>
        <w:spacing w:after="0" w:line="240" w:lineRule="auto"/>
        <w:jc w:val="left"/>
        <w:sectPr>
          <w:pgSz w:w="11910" w:h="16840"/>
          <w:pgMar w:header="747" w:footer="979" w:top="1060" w:bottom="1160" w:left="90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重庆联庆仪器仪表有限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64,812,233.09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3,240,611.66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32,515,245.53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3,251,524.57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11,381,491.71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3,414,447.50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20,332,079.36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20,332,079.36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129,041,049.69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30,238,663.09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23.43%</w:t>
            </w:r>
          </w:p>
        </w:tc>
      </w:tr>
    </w:tbl>
    <w:p>
      <w:pPr>
        <w:pStyle w:val="BodyText"/>
        <w:spacing w:line="357" w:lineRule="auto" w:before="51"/>
        <w:ind w:left="514" w:right="0" w:hanging="360"/>
        <w:jc w:val="left"/>
      </w:pPr>
      <w:r>
        <w:rPr/>
        <w:t>确定该组合依据的说明： </w:t>
      </w:r>
      <w:r>
        <w:rPr>
          <w:spacing w:val="-2"/>
        </w:rPr>
        <w:t>已单独计提减值准备的其他应收款除外，公司根据以前年度与之相同或相类似的、按账龄段划分的具有类似信用风险特</w:t>
      </w:r>
    </w:p>
    <w:p>
      <w:pPr>
        <w:pStyle w:val="BodyText"/>
        <w:spacing w:line="224" w:lineRule="exact"/>
        <w:ind w:right="0"/>
        <w:jc w:val="left"/>
      </w:pPr>
      <w:r>
        <w:rPr/>
        <w:t>征的其他应收款组合的实际损失率为基础，结合现时情况分析法确定坏账准备计提的比例。</w:t>
      </w:r>
    </w:p>
    <w:p>
      <w:pPr>
        <w:pStyle w:val="BodyText"/>
        <w:spacing w:line="240" w:lineRule="auto" w:before="117"/>
        <w:ind w:right="0"/>
        <w:jc w:val="left"/>
      </w:pPr>
      <w:r>
        <w:rPr/>
        <w:t>组合中，采用余额百分比法计提坏账准备的其他应收款：</w:t>
      </w:r>
    </w:p>
    <w:p>
      <w:pPr>
        <w:pStyle w:val="BodyText"/>
        <w:spacing w:line="338" w:lineRule="auto" w:before="117"/>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2"/>
        <w:ind w:right="4460"/>
        <w:jc w:val="left"/>
      </w:pPr>
      <w:r>
        <w:rPr/>
        <w:t>本期计提坏账准备金额</w:t>
      </w:r>
      <w:r>
        <w:rPr>
          <w:spacing w:val="-47"/>
        </w:rPr>
        <w:t> </w:t>
      </w:r>
      <w:r>
        <w:rPr>
          <w:rFonts w:ascii="Times New Roman" w:hAnsi="Times New Roman" w:cs="Times New Roman" w:eastAsia="Times New Roman" w:hint="default"/>
        </w:rPr>
        <w:t>9,498,915.82</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pStyle w:val="BodyText"/>
        <w:spacing w:line="240" w:lineRule="auto" w:before="4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0"/>
        <w:jc w:val="left"/>
      </w:pPr>
      <w:r>
        <w:rPr>
          <w:rFonts w:ascii="Times New Roman" w:hAnsi="Times New Roman" w:cs="Times New Roman" w:eastAsia="Times New Roman" w:hint="default"/>
        </w:rPr>
        <w:t>3)</w:t>
      </w:r>
      <w:r>
        <w:rPr/>
        <w:t>其他应收款按款项性质分类情况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83,178,217.94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79,048,227.93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33,204,399.31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22,952,879.93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13,907,168.04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17,390,783.01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4" w:right="0"/>
              <w:jc w:val="left"/>
              <w:rPr>
                <w:rFonts w:ascii="Times New Roman" w:hAnsi="Times New Roman" w:cs="Times New Roman" w:eastAsia="Times New Roman" w:hint="default"/>
                <w:sz w:val="18"/>
                <w:szCs w:val="18"/>
              </w:rPr>
            </w:pPr>
            <w:r>
              <w:rPr>
                <w:rFonts w:ascii="Times New Roman"/>
                <w:sz w:val="18"/>
              </w:rPr>
              <w:t>130,289,785.29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0" w:right="0"/>
              <w:jc w:val="left"/>
              <w:rPr>
                <w:rFonts w:ascii="Times New Roman" w:hAnsi="Times New Roman" w:cs="Times New Roman" w:eastAsia="Times New Roman" w:hint="default"/>
                <w:sz w:val="18"/>
                <w:szCs w:val="18"/>
              </w:rPr>
            </w:pPr>
            <w:r>
              <w:rPr>
                <w:rFonts w:ascii="Times New Roman"/>
                <w:sz w:val="18"/>
              </w:rPr>
              <w:t>119,391,890.87</w:t>
            </w:r>
          </w:p>
        </w:tc>
      </w:tr>
    </w:tbl>
    <w:p>
      <w:pPr>
        <w:pStyle w:val="BodyText"/>
        <w:spacing w:line="240" w:lineRule="auto" w:before="51"/>
        <w:ind w:right="0"/>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8"/>
        <w:gridCol w:w="1061"/>
        <w:gridCol w:w="1208"/>
        <w:gridCol w:w="1980"/>
        <w:gridCol w:w="1596"/>
        <w:gridCol w:w="1595"/>
      </w:tblGrid>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河北省公共资源交易中心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18,581,920.00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103,600.00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18,478,320.00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1,853,012.00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唐山市环境保护局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8,268,000.00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413,400.00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中钢招标有限责任公司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250,000.00</w:t>
            </w:r>
          </w:p>
        </w:tc>
      </w:tr>
      <w:tr>
        <w:trPr>
          <w:trHeight w:val="102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广州市环境监测中心站</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3,193,811.00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:153,450.00</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870,064.50</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:2,170,296.50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2,438,988.35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自贡市环境保护局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2,863,500.00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143,175.00</w:t>
            </w:r>
          </w:p>
        </w:tc>
      </w:tr>
      <w:tr>
        <w:trPr>
          <w:trHeight w:val="403"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37,907,231.00</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5,098,575.35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存货" w:id="227"/>
      <w:bookmarkEnd w:id="227"/>
      <w:r>
        <w:rPr>
          <w:b w:val="0"/>
          <w:bCs w:val="0"/>
        </w:rPr>
      </w: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1）存货分类" w:id="228"/>
      <w:bookmarkEnd w:id="22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76,639,078.73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76,639,078.73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78,329,461.91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78,329,461.91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15,937,549.13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15,937,549.13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13,309,297.60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13,309,297.60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363,183,876.57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363,183,876.57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322,830,951.31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322,830,951.31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17,683,564.96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17,683,564.96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1,056,860.34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1,056,860.34</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473,444,069.39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473,444,069.39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415,526,571.16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415,526,571.16</w:t>
            </w:r>
          </w:p>
        </w:tc>
      </w:tr>
    </w:tbl>
    <w:p>
      <w:pPr>
        <w:pStyle w:val="BodyText"/>
        <w:spacing w:line="338"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2"/>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0"/>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存货跌价准备" w:id="229"/>
      <w:bookmarkEnd w:id="22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存货期末余额含有借款费用资本化金额的说明" w:id="230"/>
      <w:bookmarkEnd w:id="23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31"/>
      <w:bookmarkEnd w:id="23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其他流动资产" w:id="232"/>
      <w:bookmarkEnd w:id="232"/>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留抵增值税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2,826,175.56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3,033,723.63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预缴税款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91,684.55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2,917,860.11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43,033,723.63</w:t>
            </w:r>
          </w:p>
        </w:tc>
      </w:tr>
    </w:tbl>
    <w:p>
      <w:pPr>
        <w:pStyle w:val="BodyText"/>
        <w:spacing w:line="240" w:lineRule="auto" w:before="51"/>
        <w:ind w:right="0"/>
        <w:jc w:val="left"/>
      </w:pPr>
      <w:r>
        <w:rPr/>
        <w:t>其他说明：</w:t>
      </w:r>
    </w:p>
    <w:p>
      <w:pPr>
        <w:pStyle w:val="BodyText"/>
        <w:spacing w:line="240" w:lineRule="auto" w:before="115"/>
        <w:ind w:left="0" w:right="1080"/>
        <w:jc w:val="right"/>
      </w:pPr>
      <w:r>
        <w:rPr>
          <w:spacing w:val="-1"/>
        </w:rPr>
        <w:t>其他流动资产期末余额较期初减少</w:t>
      </w:r>
      <w:r>
        <w:rPr>
          <w:rFonts w:ascii="Times New Roman" w:hAnsi="Times New Roman" w:cs="Times New Roman" w:eastAsia="Times New Roman" w:hint="default"/>
          <w:spacing w:val="-1"/>
        </w:rPr>
        <w:t>40,115,863.52</w:t>
      </w:r>
      <w:r>
        <w:rPr>
          <w:spacing w:val="-1"/>
        </w:rPr>
        <w:t>元，降幅</w:t>
      </w:r>
      <w:r>
        <w:rPr>
          <w:rFonts w:ascii="Times New Roman" w:hAnsi="Times New Roman" w:cs="Times New Roman" w:eastAsia="Times New Roman" w:hint="default"/>
          <w:spacing w:val="-1"/>
        </w:rPr>
        <w:t>93.22%</w:t>
      </w:r>
      <w:r>
        <w:rPr>
          <w:spacing w:val="-1"/>
        </w:rPr>
        <w:t>，主要原因是上期购买理财产品在本期到期赎回所致。</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7、可供出售金融资产" w:id="233"/>
      <w:bookmarkEnd w:id="233"/>
      <w:r>
        <w:rPr>
          <w:b w:val="0"/>
          <w:bCs w:val="0"/>
        </w:rPr>
      </w:r>
      <w:r>
        <w:rPr>
          <w:rFonts w:ascii="Times New Roman" w:hAnsi="Times New Roman" w:cs="Times New Roman" w:eastAsia="Times New Roman" w:hint="default"/>
        </w:rPr>
        <w:t>7</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34"/>
      <w:bookmarkEnd w:id="234"/>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12"/>
        <w:gridCol w:w="1184"/>
        <w:gridCol w:w="1196"/>
        <w:gridCol w:w="1196"/>
        <w:gridCol w:w="1249"/>
        <w:gridCol w:w="1367"/>
        <w:gridCol w:w="1355"/>
      </w:tblGrid>
      <w:tr>
        <w:trPr>
          <w:trHeight w:val="206" w:hRule="exact"/>
        </w:trPr>
        <w:tc>
          <w:tcPr>
            <w:tcW w:w="20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75" w:type="dxa"/>
            <w:gridSpan w:val="3"/>
            <w:vMerge/>
            <w:tcBorders>
              <w:left w:val="single" w:sz="4" w:space="0" w:color="000000"/>
              <w:bottom w:val="single" w:sz="4" w:space="0" w:color="000000"/>
              <w:right w:val="single" w:sz="4" w:space="0" w:color="000000"/>
            </w:tcBorders>
            <w:shd w:val="clear" w:color="auto" w:fill="D2D2D2"/>
          </w:tcPr>
          <w:p>
            <w:pPr/>
          </w:p>
        </w:tc>
        <w:tc>
          <w:tcPr>
            <w:tcW w:w="397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12"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5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成本计量的可供出售金融资产" w:id="235"/>
      <w:bookmarkEnd w:id="235"/>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866"/>
        <w:gridCol w:w="870"/>
        <w:gridCol w:w="870"/>
        <w:gridCol w:w="870"/>
        <w:gridCol w:w="870"/>
        <w:gridCol w:w="870"/>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内蒙古先 河环保技 术有限公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30.00%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8、固定资产" w:id="236"/>
      <w:bookmarkEnd w:id="236"/>
      <w:r>
        <w:rPr>
          <w:b w:val="0"/>
          <w:bCs w:val="0"/>
        </w:rPr>
      </w:r>
      <w:r>
        <w:rPr>
          <w:rFonts w:ascii="Times New Roman" w:hAnsi="Times New Roman" w:cs="Times New Roman" w:eastAsia="Times New Roman" w:hint="default"/>
        </w:rPr>
        <w:t>8</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246,675,191.87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247,286,844.71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246,675,191.87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247,286,844.71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固定资产情况" w:id="237"/>
      <w:bookmarkEnd w:id="23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497" w:right="47" w:hanging="450"/>
              <w:jc w:val="left"/>
              <w:rPr>
                <w:rFonts w:ascii="宋体" w:hAnsi="宋体" w:cs="宋体" w:eastAsia="宋体" w:hint="default"/>
                <w:sz w:val="18"/>
                <w:szCs w:val="18"/>
              </w:rPr>
            </w:pPr>
            <w:r>
              <w:rPr>
                <w:rFonts w:ascii="宋体" w:hAnsi="宋体" w:cs="宋体" w:eastAsia="宋体" w:hint="default"/>
                <w:sz w:val="18"/>
                <w:szCs w:val="18"/>
              </w:rPr>
              <w:t>其中：房屋及建 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tabs>
                <w:tab w:pos="858" w:val="left" w:leader="none"/>
              </w:tabs>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208,067,610.47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90,923,174.09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10,871,659.67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21,759,347.97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8,532,836.28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340,154,628.48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1,087,590.47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18,490,773.61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3,032,545.64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1,414,771.56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439,860.77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24,465,542.05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1,087,590.47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18,276,479.54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3,032,545.64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1,414,771.56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439,860.77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24,251,247.98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214,294.07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214,294.07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277,308.00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277,308.00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209,155,200.94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109,413,947.70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13,900,897.31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22,914,119.53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8,958,697.05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364,342,862.53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29,501,088.18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39,610,659.22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6,631,518.09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12,768,563.88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4,355,954.40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92,867,783.77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7,229,847.00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12,495,291.29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1,226,693.49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2,815,912.40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1,284,238.01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25,051,982.19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7,229,847.00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12,412,525.62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1,226,693.49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2,815,912.40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1,284,238.01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24,969,216.52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82,765.67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82,765.67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246,999.84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252,095.30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246,999.84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252,095.30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36,730,935.18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52,105,950.51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7,854,903.58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15,337,476.44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5,638,404.95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117,667,670.66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172,424,265.76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57,307,997.19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6,045,993.73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7,576,643.09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3,320,292.10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246,675,191.87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178,566,522.29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51,312,514.87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4,240,141.58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8,990,784.09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4,176,881.88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247,286,844.71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通过经营租赁租出的固定资产" w:id="238"/>
      <w:bookmarkEnd w:id="238"/>
      <w:r>
        <w:rPr>
          <w:b w:val="0"/>
          <w:bCs w:val="0"/>
        </w:rPr>
      </w: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9,743,478.19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未办妥产权证书的固定资产情况" w:id="239"/>
      <w:bookmarkEnd w:id="239"/>
      <w:r>
        <w:rPr>
          <w:b w:val="0"/>
          <w:bCs w:val="0"/>
        </w:rPr>
      </w: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56,711,702.05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17,668,344.11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生产车间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15,983,692.36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检测中心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6,982,066.89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产品演示及商务洽谈中心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8,420,953.26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员工餐厅和活动中心等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4,349,039.51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海南保亭房产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2,348,704.63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tabs>
                <w:tab w:pos="47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112,464,502.81</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9、在建工程" w:id="240"/>
      <w:bookmarkEnd w:id="240"/>
      <w:r>
        <w:rPr>
          <w:b w:val="0"/>
          <w:bCs w:val="0"/>
        </w:rPr>
      </w:r>
      <w:r>
        <w:rPr>
          <w:rFonts w:ascii="Times New Roman" w:hAnsi="Times New Roman" w:cs="Times New Roman" w:eastAsia="Times New Roman" w:hint="default"/>
        </w:rPr>
        <w:t>9</w:t>
      </w:r>
      <w:r>
        <w:rPr/>
        <w:t>、在建工程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5,266,632.90</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3,722,428.60</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5,266,632.90</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3,722,428.60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在建工程情况" w:id="241"/>
      <w:bookmarkEnd w:id="241"/>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石家庄鸿锐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PVC</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手套尾气治理 </w:t>
            </w:r>
            <w:r>
              <w:rPr>
                <w:rFonts w:ascii="Times New Roman" w:hAnsi="Times New Roman" w:cs="Times New Roman" w:eastAsia="Times New Roman" w:hint="default"/>
                <w:sz w:val="18"/>
                <w:szCs w:val="18"/>
              </w:rPr>
              <w:t>BOT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18,306.87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18,306.87</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河北志腾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VOCs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资源化利用治理 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78,337.91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78,337.91</w:t>
            </w:r>
          </w:p>
        </w:tc>
      </w:tr>
      <w:tr>
        <w:trPr>
          <w:trHeight w:val="16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9"/>
              <w:jc w:val="both"/>
              <w:rPr>
                <w:rFonts w:ascii="宋体" w:hAnsi="宋体" w:cs="宋体" w:eastAsia="宋体" w:hint="default"/>
                <w:sz w:val="18"/>
                <w:szCs w:val="18"/>
              </w:rPr>
            </w:pPr>
            <w:r>
              <w:rPr>
                <w:rFonts w:ascii="宋体" w:hAnsi="宋体" w:cs="宋体" w:eastAsia="宋体" w:hint="default"/>
                <w:sz w:val="18"/>
                <w:szCs w:val="18"/>
              </w:rPr>
              <w:t>石家庄鸿业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PVC</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手套生产线给排 风改造及生产废 气回收与治理项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5,180,802.44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5,180,802.44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2,015,072.09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2,015,072.09</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山东承相印刷机 生产废气回收与 处理项目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1,642.81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1,642.81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雄县脱附项目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1,480,080.00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1,480,080.00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85,830.46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85,830.46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128,988.92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128,988.92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5,266,632.90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5,266,632.90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3,722,428.60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3,722,428.60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重要在建工程项目本期变动情况" w:id="242"/>
      <w:bookmarkEnd w:id="242"/>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22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石家庄 鸿锐 </w:t>
            </w: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手</w:t>
            </w:r>
          </w:p>
          <w:p>
            <w:pPr>
              <w:pStyle w:val="TableParagraph"/>
              <w:spacing w:line="316" w:lineRule="auto"/>
              <w:ind w:left="22" w:right="113"/>
              <w:jc w:val="left"/>
              <w:rPr>
                <w:rFonts w:ascii="宋体" w:hAnsi="宋体" w:cs="宋体" w:eastAsia="宋体" w:hint="default"/>
                <w:sz w:val="18"/>
                <w:szCs w:val="18"/>
              </w:rPr>
            </w:pPr>
            <w:r>
              <w:rPr>
                <w:rFonts w:ascii="宋体" w:hAnsi="宋体" w:cs="宋体" w:eastAsia="宋体" w:hint="default"/>
                <w:sz w:val="18"/>
                <w:szCs w:val="18"/>
              </w:rPr>
              <w:t>套尾气 治理 </w:t>
            </w:r>
            <w:r>
              <w:rPr>
                <w:rFonts w:ascii="Times New Roman" w:hAnsi="Times New Roman" w:cs="Times New Roman" w:eastAsia="Times New Roman" w:hint="default"/>
                <w:sz w:val="18"/>
                <w:szCs w:val="18"/>
              </w:rPr>
              <w:t>BOT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4,400,00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18,306.8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18,306.8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河北志 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VOCs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资源化 利用治 理项目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4,753,00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78,337.9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78,337.9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321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石家庄 鸿业 </w:t>
            </w: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手</w:t>
            </w:r>
          </w:p>
          <w:p>
            <w:pPr>
              <w:pStyle w:val="TableParagraph"/>
              <w:spacing w:line="319" w:lineRule="auto"/>
              <w:ind w:left="22" w:right="159"/>
              <w:jc w:val="both"/>
              <w:rPr>
                <w:rFonts w:ascii="宋体" w:hAnsi="宋体" w:cs="宋体" w:eastAsia="宋体" w:hint="default"/>
                <w:sz w:val="18"/>
                <w:szCs w:val="18"/>
              </w:rPr>
            </w:pPr>
            <w:r>
              <w:rPr>
                <w:rFonts w:ascii="宋体" w:hAnsi="宋体" w:cs="宋体" w:eastAsia="宋体" w:hint="default"/>
                <w:sz w:val="18"/>
                <w:szCs w:val="18"/>
              </w:rPr>
              <w:t>套生产 线给排 风改造 及生产 废气回 收与治 理项目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5,170,00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2,015,07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3,165,73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0.35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5,180,80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99.00%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山东承 相印刷 机生产 废气回 收与处 理项目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1,642.81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14,532.1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16,174.9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41"/>
              <w:jc w:val="righ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雄县脱 附项目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2,660,00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1,480,08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958,914.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2,438,99</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4.84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其他零 星工程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128,988.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374,800.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417,959.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85,830.4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20,283,0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3,722,42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4,513,97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8.20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2,969,77</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3.90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5,266,63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2.90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工程物资" w:id="243"/>
      <w:bookmarkEnd w:id="243"/>
      <w:r>
        <w:rPr>
          <w:b w:val="0"/>
          <w:bCs w:val="0"/>
        </w:rPr>
      </w:r>
      <w:r>
        <w:rPr/>
        <w:t>（</w:t>
      </w:r>
      <w:r>
        <w:rPr>
          <w:rFonts w:ascii="Times New Roman" w:hAnsi="Times New Roman" w:cs="Times New Roman" w:eastAsia="Times New Roman" w:hint="default"/>
        </w:rPr>
        <w:t>3</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2"/>
        <w:ind w:right="0"/>
        <w:jc w:val="left"/>
      </w:pPr>
      <w:r>
        <w:rPr/>
        <w:t>其他说明：</w:t>
      </w:r>
    </w:p>
    <w:p>
      <w:pPr>
        <w:pStyle w:val="BodyText"/>
        <w:spacing w:line="300" w:lineRule="auto" w:before="135"/>
        <w:ind w:right="0" w:firstLine="420"/>
        <w:jc w:val="left"/>
      </w:pPr>
      <w:r>
        <w:rPr>
          <w:spacing w:val="-1"/>
        </w:rPr>
        <w:t>在建工程期末余额较期初增加</w:t>
      </w:r>
      <w:r>
        <w:rPr>
          <w:rFonts w:ascii="Times New Roman" w:hAnsi="Times New Roman" w:cs="Times New Roman" w:eastAsia="Times New Roman" w:hint="default"/>
          <w:spacing w:val="-1"/>
        </w:rPr>
        <w:t>1,544,204.30</w:t>
      </w:r>
      <w:r>
        <w:rPr>
          <w:spacing w:val="-1"/>
        </w:rPr>
        <w:t>元，增幅</w:t>
      </w:r>
      <w:r>
        <w:rPr>
          <w:rFonts w:ascii="Times New Roman" w:hAnsi="Times New Roman" w:cs="Times New Roman" w:eastAsia="Times New Roman" w:hint="default"/>
          <w:spacing w:val="-1"/>
        </w:rPr>
        <w:t>41.48%</w:t>
      </w:r>
      <w:r>
        <w:rPr>
          <w:spacing w:val="-1"/>
        </w:rPr>
        <w:t>，主要原因是本公司下属子公司河北正源对石家庄鸿业</w:t>
      </w:r>
      <w:r>
        <w:rPr>
          <w:rFonts w:ascii="Times New Roman" w:hAnsi="Times New Roman" w:cs="Times New Roman" w:eastAsia="Times New Roman" w:hint="default"/>
          <w:spacing w:val="-1"/>
        </w:rPr>
        <w:t>PVC</w:t>
      </w:r>
      <w:r>
        <w:rPr>
          <w:rFonts w:ascii="Times New Roman" w:hAnsi="Times New Roman" w:cs="Times New Roman" w:eastAsia="Times New Roman" w:hint="default"/>
          <w:w w:val="99"/>
        </w:rPr>
        <w:t> </w:t>
      </w:r>
      <w:r>
        <w:rPr/>
        <w:t>手套生产线给排风改造及生产废气回收与治理项目投入增加所致。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0"/>
        <w:jc w:val="left"/>
        <w:rPr>
          <w:b w:val="0"/>
          <w:bCs w:val="0"/>
        </w:rPr>
      </w:pPr>
      <w:bookmarkStart w:name="10、无形资产" w:id="244"/>
      <w:bookmarkEnd w:id="244"/>
      <w:r>
        <w:rPr>
          <w:b w:val="0"/>
          <w:bCs w:val="0"/>
        </w:rPr>
      </w:r>
      <w:r>
        <w:rPr>
          <w:rFonts w:ascii="Times New Roman" w:hAnsi="Times New Roman" w:cs="Times New Roman" w:eastAsia="Times New Roman" w:hint="default"/>
        </w:rPr>
        <w:t>10</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45"/>
      <w:bookmarkEnd w:id="24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17,485,770.74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31,074,891.37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4,244,781.15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242,623.40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53,048,066.66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2,924,169.23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2,643,069.98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5,584,039.21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2,924,169.23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2,940,969.23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2,643,069.98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2,643,069.98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20,409,939.97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33,717,961.35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4,261,581.15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242,623.40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58,632,105.87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2,575,568.40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21,087,363.49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2,798,560.32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31,917.02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26,493,409.23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762,908.06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5,713,917.81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384,559.66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24,262.34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6,885,647.87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762,908.06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3,393,394.62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384,559.66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24,262.34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4,565,124.68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2,320,523.19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2,320,523.19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3,338,476.46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26,801,281.30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3,183,119.98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56,179.36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33,379,057.10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17,071,463.51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6,916,680.05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1,078,461.17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186,444.04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25,253,048.77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14,910,202.34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9,987,527.88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1,446,220.83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210,706.38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26,554,657.43</w:t>
            </w:r>
          </w:p>
        </w:tc>
      </w:tr>
    </w:tbl>
    <w:p>
      <w:pPr>
        <w:pStyle w:val="BodyText"/>
        <w:spacing w:line="240" w:lineRule="auto" w:before="51"/>
        <w:ind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1、商誉" w:id="246"/>
      <w:bookmarkEnd w:id="246"/>
      <w:r>
        <w:rPr>
          <w:b w:val="0"/>
          <w:bCs w:val="0"/>
        </w:rPr>
      </w:r>
      <w:r>
        <w:rPr>
          <w:rFonts w:ascii="Times New Roman" w:hAnsi="Times New Roman" w:cs="Times New Roman" w:eastAsia="Times New Roman" w:hint="default"/>
        </w:rPr>
        <w:t>11</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47"/>
      <w:bookmarkEnd w:id="247"/>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08"/>
        <w:gridCol w:w="1713"/>
        <w:gridCol w:w="850"/>
        <w:gridCol w:w="851"/>
        <w:gridCol w:w="851"/>
        <w:gridCol w:w="830"/>
        <w:gridCol w:w="1367"/>
      </w:tblGrid>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2" w:lineRule="auto" w:before="91"/>
              <w:ind w:left="22" w:right="774"/>
              <w:jc w:val="left"/>
              <w:rPr>
                <w:rFonts w:ascii="Times New Roman" w:hAnsi="Times New Roman" w:cs="Times New Roman" w:eastAsia="Times New Roman" w:hint="default"/>
                <w:sz w:val="18"/>
                <w:szCs w:val="18"/>
              </w:rPr>
            </w:pPr>
            <w:r>
              <w:rPr>
                <w:rFonts w:ascii="Times New Roman"/>
                <w:sz w:val="18"/>
              </w:rPr>
              <w:t>COOPER</w:t>
            </w:r>
            <w:r>
              <w:rPr>
                <w:rFonts w:ascii="Times New Roman"/>
                <w:spacing w:val="-14"/>
                <w:sz w:val="18"/>
              </w:rPr>
              <w:t> </w:t>
            </w:r>
            <w:r>
              <w:rPr>
                <w:rFonts w:ascii="Times New Roman"/>
                <w:sz w:val="18"/>
              </w:rPr>
              <w:t>ENVIRONMENTAL</w:t>
            </w:r>
            <w:r>
              <w:rPr>
                <w:rFonts w:ascii="Times New Roman"/>
                <w:w w:val="99"/>
                <w:sz w:val="18"/>
              </w:rPr>
              <w:t> </w:t>
            </w:r>
            <w:r>
              <w:rPr>
                <w:rFonts w:ascii="Times New Roman"/>
                <w:sz w:val="18"/>
              </w:rPr>
              <w:t>SERVICES,LLC</w:t>
            </w:r>
          </w:p>
        </w:tc>
        <w:tc>
          <w:tcPr>
            <w:tcW w:w="1713"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18,076,352.86</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18,076,352.86</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广东科迪隆科技有限公司</w:t>
            </w:r>
          </w:p>
        </w:tc>
        <w:tc>
          <w:tcPr>
            <w:tcW w:w="1713"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178,237,356.07</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178,237,356.07</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广西先得环保科技有限公司</w:t>
            </w:r>
          </w:p>
        </w:tc>
        <w:tc>
          <w:tcPr>
            <w:tcW w:w="1713"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40,416,357.79</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40,416,357.79</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四川久环环境技术有限责任公司</w:t>
            </w:r>
          </w:p>
        </w:tc>
        <w:tc>
          <w:tcPr>
            <w:tcW w:w="1713"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16,504,366.85</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16,504,366.85</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Sunset Laboratory</w:t>
            </w:r>
            <w:r>
              <w:rPr>
                <w:rFonts w:ascii="Times New Roman"/>
                <w:spacing w:val="-7"/>
                <w:sz w:val="18"/>
              </w:rPr>
              <w:t> </w:t>
            </w:r>
            <w:r>
              <w:rPr>
                <w:rFonts w:ascii="Times New Roman"/>
                <w:sz w:val="18"/>
              </w:rPr>
              <w:t>Inc.</w:t>
            </w:r>
          </w:p>
        </w:tc>
        <w:tc>
          <w:tcPr>
            <w:tcW w:w="1713"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39,875,053.99</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39,875,053.99</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四川广迈富宇建设工程有限公司</w:t>
            </w:r>
          </w:p>
        </w:tc>
        <w:tc>
          <w:tcPr>
            <w:tcW w:w="1713"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19"/>
        <w:gridCol w:w="1702"/>
        <w:gridCol w:w="850"/>
        <w:gridCol w:w="851"/>
        <w:gridCol w:w="851"/>
        <w:gridCol w:w="830"/>
        <w:gridCol w:w="1367"/>
      </w:tblGrid>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重庆渝凡实业有限公司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293,709,487.56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328,709,487.56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48"/>
      <w:bookmarkEnd w:id="248"/>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276"/>
        <w:gridCol w:w="1560"/>
        <w:gridCol w:w="991"/>
        <w:gridCol w:w="851"/>
        <w:gridCol w:w="830"/>
        <w:gridCol w:w="1367"/>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52" w:right="81" w:hanging="1171"/>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 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6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2" w:lineRule="auto" w:before="91"/>
              <w:ind w:left="22" w:right="361"/>
              <w:jc w:val="left"/>
              <w:rPr>
                <w:rFonts w:ascii="Times New Roman" w:hAnsi="Times New Roman" w:cs="Times New Roman" w:eastAsia="Times New Roman" w:hint="default"/>
                <w:sz w:val="18"/>
                <w:szCs w:val="18"/>
              </w:rPr>
            </w:pPr>
            <w:r>
              <w:rPr>
                <w:rFonts w:ascii="Times New Roman"/>
                <w:sz w:val="18"/>
              </w:rPr>
              <w:t>COOPER</w:t>
            </w:r>
            <w:r>
              <w:rPr>
                <w:rFonts w:ascii="Times New Roman"/>
                <w:spacing w:val="-14"/>
                <w:sz w:val="18"/>
              </w:rPr>
              <w:t> </w:t>
            </w:r>
            <w:r>
              <w:rPr>
                <w:rFonts w:ascii="Times New Roman"/>
                <w:sz w:val="18"/>
              </w:rPr>
              <w:t>ENVIRONMENTAL</w:t>
            </w:r>
            <w:r>
              <w:rPr>
                <w:rFonts w:ascii="Times New Roman"/>
                <w:w w:val="99"/>
                <w:sz w:val="18"/>
              </w:rPr>
              <w:t> </w:t>
            </w:r>
            <w:r>
              <w:rPr>
                <w:rFonts w:ascii="Times New Roman"/>
                <w:sz w:val="18"/>
              </w:rPr>
              <w:t>SERVICES,LLC</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广东科迪隆科技有限公司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18,058,716.05</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18,058,716.05</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广西先得环保科技有限公司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四川久环环境技术有限责任公司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Sunset Laboratory</w:t>
            </w:r>
            <w:r>
              <w:rPr>
                <w:rFonts w:ascii="Times New Roman"/>
                <w:spacing w:val="-7"/>
                <w:sz w:val="18"/>
              </w:rPr>
              <w:t> </w:t>
            </w:r>
            <w:r>
              <w:rPr>
                <w:rFonts w:ascii="Times New Roman"/>
                <w:sz w:val="18"/>
              </w:rPr>
              <w:t>Inc.</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四川广迈富宇建设工程有限公司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重庆渝凡实业有限公司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18,058,716.05</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18,058,716.05</w:t>
            </w:r>
          </w:p>
        </w:tc>
      </w:tr>
    </w:tbl>
    <w:p>
      <w:pPr>
        <w:spacing w:line="321" w:lineRule="auto"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 </w:t>
      </w:r>
      <w:r>
        <w:rPr>
          <w:rFonts w:ascii="宋体" w:hAnsi="宋体" w:cs="宋体" w:eastAsia="宋体" w:hint="default"/>
          <w:sz w:val="21"/>
          <w:szCs w:val="21"/>
        </w:rPr>
        <w:t>商誉的形成详见</w:t>
      </w:r>
      <w:r>
        <w:rPr>
          <w:rFonts w:ascii="Times New Roman" w:hAnsi="Times New Roman" w:cs="Times New Roman" w:eastAsia="Times New Roman" w:hint="default"/>
          <w:sz w:val="21"/>
          <w:szCs w:val="21"/>
        </w:rPr>
        <w:t>“</w:t>
      </w:r>
      <w:r>
        <w:rPr>
          <w:rFonts w:ascii="宋体" w:hAnsi="宋体" w:cs="宋体" w:eastAsia="宋体" w:hint="default"/>
          <w:sz w:val="21"/>
          <w:szCs w:val="21"/>
        </w:rPr>
        <w:t>八、合并范围的变更。</w:t>
      </w:r>
      <w:r>
        <w:rPr>
          <w:rFonts w:ascii="Times New Roman" w:hAnsi="Times New Roman" w:cs="Times New Roman" w:eastAsia="Times New Roman" w:hint="default"/>
          <w:sz w:val="21"/>
          <w:szCs w:val="21"/>
        </w:rPr>
        <w:t>1</w:t>
      </w:r>
      <w:r>
        <w:rPr>
          <w:rFonts w:ascii="宋体" w:hAnsi="宋体" w:cs="宋体" w:eastAsia="宋体" w:hint="default"/>
          <w:sz w:val="21"/>
          <w:szCs w:val="21"/>
        </w:rPr>
        <w:t>、非同一控制下的企业合并、（</w:t>
      </w:r>
      <w:r>
        <w:rPr>
          <w:rFonts w:ascii="Times New Roman" w:hAnsi="Times New Roman" w:cs="Times New Roman" w:eastAsia="Times New Roman" w:hint="default"/>
          <w:sz w:val="21"/>
          <w:szCs w:val="21"/>
        </w:rPr>
        <w:t>2</w:t>
      </w:r>
      <w:r>
        <w:rPr>
          <w:rFonts w:ascii="宋体" w:hAnsi="宋体" w:cs="宋体" w:eastAsia="宋体" w:hint="default"/>
          <w:sz w:val="21"/>
          <w:szCs w:val="21"/>
        </w:rPr>
        <w:t>）合并成本及商誉。</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等）及商誉减值损失的确认方法：</w:t>
      </w:r>
    </w:p>
    <w:p>
      <w:pPr>
        <w:pStyle w:val="BodyText"/>
        <w:spacing w:line="240" w:lineRule="auto" w:before="74"/>
        <w:ind w:left="675" w:right="0"/>
        <w:jc w:val="left"/>
      </w:pPr>
      <w:r>
        <w:rPr/>
        <w:t>公司期末对上述相关的各项资产组进行了减值测试，将各资产组账面价值与其可收回金额进行比较，以确定各资产组</w:t>
      </w:r>
    </w:p>
    <w:p>
      <w:pPr>
        <w:pStyle w:val="BodyText"/>
        <w:spacing w:line="240" w:lineRule="auto" w:before="76"/>
        <w:ind w:right="0"/>
        <w:jc w:val="left"/>
      </w:pPr>
      <w:r>
        <w:rPr/>
        <w:t>（包括商誉）是否发生了减值。具体测算过程如下：</w:t>
      </w:r>
    </w:p>
    <w:p>
      <w:pPr>
        <w:pStyle w:val="BodyText"/>
        <w:spacing w:line="240" w:lineRule="auto" w:before="136"/>
        <w:ind w:right="0"/>
        <w:jc w:val="left"/>
      </w:pPr>
      <w:r>
        <w:rPr>
          <w:rFonts w:ascii="宋体" w:hAnsi="宋体" w:cs="宋体" w:eastAsia="宋体" w:hint="default"/>
        </w:rPr>
        <w:t>1.  </w:t>
      </w:r>
      <w:r>
        <w:rPr/>
        <w:t>资产组的界定：上述子公司在合并后均作为独立的经济实体运行，故减值测试时均将其视为一个资产组。</w:t>
      </w:r>
    </w:p>
    <w:p>
      <w:pPr>
        <w:pStyle w:val="BodyText"/>
        <w:spacing w:line="300" w:lineRule="auto" w:before="136"/>
        <w:ind w:left="514" w:right="1128" w:hanging="360"/>
        <w:jc w:val="both"/>
      </w:pPr>
      <w:r>
        <w:rPr>
          <w:rFonts w:ascii="宋体" w:hAnsi="宋体" w:cs="宋体" w:eastAsia="宋体" w:hint="default"/>
        </w:rPr>
        <w:t>2.</w:t>
      </w:r>
      <w:r>
        <w:rPr>
          <w:rFonts w:ascii="宋体" w:hAnsi="宋体" w:cs="宋体" w:eastAsia="宋体" w:hint="default"/>
          <w:spacing w:val="35"/>
        </w:rPr>
        <w:t> </w:t>
      </w:r>
      <w:r>
        <w:rPr/>
        <w:t>预计未来现金流：根据与商誉相关的资产或资产组目前经营状况、业务特点、市场供需要情况，以未来</w:t>
      </w:r>
      <w:r>
        <w:rPr>
          <w:rFonts w:ascii="Times New Roman" w:hAnsi="Times New Roman" w:cs="Times New Roman" w:eastAsia="Times New Roman" w:hint="default"/>
        </w:rPr>
        <w:t>1-5</w:t>
      </w:r>
      <w:r>
        <w:rPr/>
        <w:t>年期现金流</w:t>
      </w:r>
      <w:r>
        <w:rPr>
          <w:spacing w:val="-88"/>
        </w:rPr>
        <w:t> </w:t>
      </w:r>
      <w:r>
        <w:rPr>
          <w:spacing w:val="-88"/>
        </w:rPr>
      </w:r>
      <w:r>
        <w:rPr/>
        <w:t>量预测为基础合理测算资产组的未来现金流。</w:t>
      </w:r>
    </w:p>
    <w:p>
      <w:pPr>
        <w:pStyle w:val="BodyText"/>
        <w:spacing w:line="316" w:lineRule="auto" w:before="91"/>
        <w:ind w:left="514" w:right="1132" w:hanging="360"/>
        <w:jc w:val="both"/>
      </w:pPr>
      <w:r>
        <w:rPr>
          <w:rFonts w:ascii="宋体" w:hAnsi="宋体" w:cs="宋体" w:eastAsia="宋体" w:hint="default"/>
        </w:rPr>
        <w:t>3.</w:t>
      </w:r>
      <w:r>
        <w:rPr>
          <w:rFonts w:ascii="宋体" w:hAnsi="宋体" w:cs="宋体" w:eastAsia="宋体" w:hint="default"/>
          <w:spacing w:val="10"/>
        </w:rPr>
        <w:t> </w:t>
      </w:r>
      <w:r>
        <w:rPr/>
        <w:t>税前折现率的确定：根据企业加权平均资金成本考虑与资产预计现金流量有关的特定风险作适当调整后确定，采用的折 现率是反映相关资产组特定风险的税前折现率。</w:t>
      </w:r>
    </w:p>
    <w:p>
      <w:pPr>
        <w:pStyle w:val="BodyText"/>
        <w:spacing w:line="316" w:lineRule="auto" w:before="79"/>
        <w:ind w:left="514" w:right="1133" w:hanging="360"/>
        <w:jc w:val="both"/>
      </w:pPr>
      <w:r>
        <w:rPr>
          <w:rFonts w:ascii="宋体" w:hAnsi="宋体" w:cs="宋体" w:eastAsia="宋体" w:hint="default"/>
        </w:rPr>
        <w:t>4.</w:t>
      </w:r>
      <w:r>
        <w:rPr>
          <w:rFonts w:ascii="宋体" w:hAnsi="宋体" w:cs="宋体" w:eastAsia="宋体" w:hint="default"/>
          <w:spacing w:val="9"/>
        </w:rPr>
        <w:t> </w:t>
      </w:r>
      <w:r>
        <w:rPr/>
        <w:t>商誉减值损失的确认：减值测试时，如与商誉相关的资产组或者资产组组合存在减值迹象的，首先对不包括商誉的资产 </w:t>
      </w:r>
      <w:r>
        <w:rPr>
          <w:spacing w:val="-2"/>
        </w:rPr>
        <w:t>组或者资产组组合进行减值测试，计算可收回金额，确认相应的减值损失。然后对包含商誉的资产组或者资产组组合进</w:t>
      </w:r>
      <w:r>
        <w:rPr/>
        <w:t> 行减值测试，比较其账面价值与可收回金额，如可收回金额低于账面价值的，确认商誉的减值损失。</w:t>
      </w:r>
    </w:p>
    <w:p>
      <w:pPr>
        <w:pStyle w:val="BodyText"/>
        <w:spacing w:line="240" w:lineRule="auto" w:before="79"/>
        <w:ind w:left="675" w:right="0"/>
        <w:jc w:val="left"/>
      </w:pPr>
      <w:r>
        <w:rPr/>
        <w:t>根据上述方法测试发现子公司广东科迪隆科技有限公司商誉本期发生减值，并计提商誉减值准备。</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360" w:lineRule="auto"/>
        <w:ind w:right="9132"/>
        <w:jc w:val="left"/>
      </w:pPr>
      <w:r>
        <w:rPr/>
        <w:t>商誉减值测试的影响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2、长期待摊费用" w:id="249"/>
      <w:bookmarkEnd w:id="249"/>
      <w:r>
        <w:rPr>
          <w:b w:val="0"/>
          <w:bCs w:val="0"/>
        </w:rPr>
      </w:r>
      <w:r>
        <w:rPr>
          <w:rFonts w:ascii="Times New Roman" w:hAnsi="Times New Roman" w:cs="Times New Roman" w:eastAsia="Times New Roman" w:hint="default"/>
        </w:rPr>
        <w:t>12</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1,587,344.60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137,087.38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658,850.88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1,065,581.10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运营成本摊销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1,799,461.75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4,203,603.47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4,296,863.34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1,706,201.88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922,651.41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1,821,892.55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2,371,401.96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373,142.00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4,309,457.76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6,162,583.40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3,030,252.84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4,296,863.34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3,144,924.98</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3、递延所得税资产/递延所得税负债" w:id="250"/>
      <w:bookmarkEnd w:id="250"/>
      <w:r>
        <w:rPr>
          <w:b w:val="0"/>
          <w:bCs w:val="0"/>
        </w:rPr>
      </w:r>
      <w:r>
        <w:rPr>
          <w:rFonts w:ascii="Times New Roman" w:hAnsi="Times New Roman" w:cs="Times New Roman" w:eastAsia="Times New Roman" w:hint="default"/>
        </w:rPr>
        <w:t>13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51"/>
      <w:bookmarkEnd w:id="25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179,427,751.74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27,427,372.19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130,042,608.70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19,654,030.84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2,833,411.71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425,011.76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182,261,163.45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27,852,383.95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130,042,608.70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19,654,030.84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52"/>
      <w:bookmarkEnd w:id="252"/>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531,189.07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79,678.36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796,783.60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119,517.54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531,189.07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79,678.36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796,783.60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119,517.54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53"/>
      <w:bookmarkEnd w:id="253"/>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27,852,383.95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19,654,030.84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79,678.36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119,517.54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未确认递延所得税资产明细" w:id="254"/>
      <w:bookmarkEnd w:id="254"/>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3,118,775.45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2,252,288.58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17,555,324.49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13,050,453.30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20,674,099.94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15,302,741.88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55"/>
      <w:bookmarkEnd w:id="255"/>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1,713,418.61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2,292,955.15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2,292,955.15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13,427,238.07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14,511,624.06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9,546,273.45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12,766,847.51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18,959,900.13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21,725,343.22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28,351,034.07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72,577,400.87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53,010,188.55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4、短期借款" w:id="256"/>
      <w:bookmarkEnd w:id="256"/>
      <w:r>
        <w:rPr>
          <w:b w:val="0"/>
          <w:bCs w:val="0"/>
        </w:rPr>
      </w:r>
      <w:r>
        <w:rPr>
          <w:rFonts w:ascii="Times New Roman" w:hAnsi="Times New Roman" w:cs="Times New Roman" w:eastAsia="Times New Roman" w:hint="default"/>
        </w:rPr>
        <w:t>14</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57"/>
      <w:bookmarkEnd w:id="25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短期借款分类的说明：</w:t>
      </w:r>
    </w:p>
    <w:p>
      <w:pPr>
        <w:pStyle w:val="BodyText"/>
        <w:spacing w:line="300" w:lineRule="auto" w:before="135"/>
        <w:ind w:right="1128" w:firstLine="429"/>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日，本公司通过中国建设银行股份有限公司石家庄分行与中国建设银行股份有限公司首尔分行签订 了跨境融资性风险参与合作协议书，取得贷款本金</w:t>
      </w:r>
      <w:r>
        <w:rPr>
          <w:rFonts w:ascii="Times New Roman" w:hAnsi="Times New Roman" w:cs="Times New Roman" w:eastAsia="Times New Roman" w:hint="default"/>
        </w:rPr>
        <w:t>134,000,000.00</w:t>
      </w:r>
      <w:r>
        <w:rPr/>
        <w:t>元，借款期限：</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日，借款利</w:t>
      </w:r>
      <w:r>
        <w:rPr>
          <w:spacing w:val="-46"/>
        </w:rPr>
        <w:t> </w:t>
      </w:r>
      <w:r>
        <w:rPr/>
        <w:t>率：</w:t>
      </w:r>
      <w:r>
        <w:rPr>
          <w:rFonts w:ascii="Times New Roman" w:hAnsi="Times New Roman" w:cs="Times New Roman" w:eastAsia="Times New Roman" w:hint="default"/>
        </w:rPr>
        <w:t>4%</w:t>
      </w:r>
      <w:r>
        <w:rPr/>
        <w:t>，结息方式：期末本息一次性结清，担保方式采用房产、土地抵押，不足部分担保方式为信用。</w:t>
      </w:r>
    </w:p>
    <w:p>
      <w:pPr>
        <w:pStyle w:val="BodyText"/>
        <w:spacing w:line="240" w:lineRule="auto" w:before="73"/>
        <w:ind w:left="584" w:right="0"/>
        <w:jc w:val="left"/>
      </w:pPr>
      <w:r>
        <w:rPr/>
        <w:t>（</w:t>
      </w:r>
      <w:r>
        <w:rPr>
          <w:rFonts w:ascii="Times New Roman" w:hAnsi="Times New Roman" w:cs="Times New Roman" w:eastAsia="Times New Roman" w:hint="default"/>
        </w:rPr>
        <w:t>2</w:t>
      </w:r>
      <w:r>
        <w:rPr/>
        <w:t>）抵押借款的抵押资产类别以及金额，参见附注七、</w:t>
      </w:r>
      <w:r>
        <w:rPr>
          <w:rFonts w:ascii="Times New Roman" w:hAnsi="Times New Roman" w:cs="Times New Roman" w:eastAsia="Times New Roman" w:hint="default"/>
        </w:rPr>
        <w:t>44</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bookmarkStart w:name="（2）已逾期未偿还的短期借款情况" w:id="258"/>
      <w:bookmarkEnd w:id="258"/>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5、应付票据及应付账款" w:id="259"/>
      <w:bookmarkEnd w:id="259"/>
      <w:r>
        <w:rPr>
          <w:b w:val="0"/>
          <w:bCs w:val="0"/>
        </w:rPr>
      </w:r>
      <w:r>
        <w:rPr>
          <w:rFonts w:ascii="Times New Roman" w:hAnsi="Times New Roman" w:cs="Times New Roman" w:eastAsia="Times New Roman" w:hint="default"/>
        </w:rPr>
        <w:t>15</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24,186,941.00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36,657,890.79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171,137,912.69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142,533,004.63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195,324,853.69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179,190,895.42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票据分类列示" w:id="260"/>
      <w:bookmarkEnd w:id="260"/>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24,186,941.00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36,657,890.79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24,186,941.00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36,657,890.79</w:t>
            </w:r>
          </w:p>
        </w:tc>
      </w:tr>
    </w:tbl>
    <w:p>
      <w:pPr>
        <w:pStyle w:val="BodyText"/>
        <w:spacing w:line="240" w:lineRule="auto" w:before="51"/>
        <w:ind w:right="0"/>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付账款列示" w:id="261"/>
      <w:bookmarkEnd w:id="261"/>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137,732,404.33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107,752,592.19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13,418,587.27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15,400,126.82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5,682,769.15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6,757,049.84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14,304,151.94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12,623,235.78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171,137,912.69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142,533,004.63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账龄超过1年的重要应付账款" w:id="262"/>
      <w:bookmarkEnd w:id="262"/>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南宁市惠盟商务信息咨询有限公司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未结算服务费</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石家庄市科恒电子有限公司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1,477,231.00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未结算材料费</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广西南宁市永常劳务信息咨询有限公司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未结算服务费</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河北立辰环保科技有限公司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737,930.00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未结算材料费</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广州禾信仪器股份有限公司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619,658.12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未结算材料费</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5,287,019.12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6、预收款项" w:id="263"/>
      <w:bookmarkEnd w:id="263"/>
      <w:r>
        <w:rPr>
          <w:b w:val="0"/>
          <w:bCs w:val="0"/>
        </w:rPr>
      </w:r>
      <w:r>
        <w:rPr>
          <w:rFonts w:ascii="Times New Roman" w:hAnsi="Times New Roman" w:cs="Times New Roman" w:eastAsia="Times New Roman" w:hint="default"/>
        </w:rPr>
        <w:t>16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64"/>
      <w:bookmarkEnd w:id="26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115,782,427.86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144,045,085.52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6,522,207.45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5,088,888.21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2,413,701.19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650,640.00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6,535,452.60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6,543,086.62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131,253,789.10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156,327,700.35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65"/>
      <w:bookmarkEnd w:id="26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成都垠洋环保工程有限公司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928,880.00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项目延期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河北亚捷电子科技有限公司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746,917.55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尚未发货</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新乡市天祥环保科技有限公司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项目延期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辽宁华亿化工实业有限公司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576,066.50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项目延期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嘉峪关市环境监测站</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项目延期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3,476,864.05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7、应付职工薪酬" w:id="266"/>
      <w:bookmarkEnd w:id="266"/>
      <w:r>
        <w:rPr>
          <w:b w:val="0"/>
          <w:bCs w:val="0"/>
        </w:rPr>
      </w:r>
      <w:r>
        <w:rPr>
          <w:rFonts w:ascii="Times New Roman" w:hAnsi="Times New Roman" w:cs="Times New Roman" w:eastAsia="Times New Roman" w:hint="default"/>
        </w:rPr>
        <w:t>17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67"/>
      <w:bookmarkEnd w:id="26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7,955,043.35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162,425,791.34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157,352,290.74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13,028,543.95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21,124.04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9,366,567.62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9,362,665.98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25,025.68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7,976,167.39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171,792,358.96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166,714,956.72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13,053,569.63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短期薪酬列示" w:id="268"/>
      <w:bookmarkEnd w:id="26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7,944,518.21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153,085,082.33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148,049,649.15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12,979,951.39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1,714,238.74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1,714,238.74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7,971.86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3,634,143.74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3,636,417.10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5,698.50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6,551.27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3,249,898.29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3,251,006.03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5,443.53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229,122.00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229,625.46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155,123.45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155,785.61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169.91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3,881,327.11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3,840,986.33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40,894.06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110,999.42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110,999.42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7,955,043.35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162,425,791.34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157,352,290.74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13,028,543.95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69"/>
      <w:bookmarkEnd w:id="26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19,794.49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9,073,720.49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9,069,624.31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23,890.67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292,847.13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293,041.67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1,135.01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21,124.04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9,366,567.62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9,362,665.98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25,025.68</w:t>
            </w:r>
          </w:p>
        </w:tc>
      </w:tr>
    </w:tbl>
    <w:p>
      <w:pPr>
        <w:pStyle w:val="BodyText"/>
        <w:spacing w:line="240" w:lineRule="auto" w:before="51"/>
        <w:ind w:right="0"/>
        <w:jc w:val="left"/>
      </w:pPr>
      <w:r>
        <w:rPr/>
        <w:t>其他说明：</w:t>
      </w:r>
    </w:p>
    <w:p>
      <w:pPr>
        <w:pStyle w:val="BodyText"/>
        <w:spacing w:line="240" w:lineRule="auto" w:before="116"/>
        <w:ind w:left="0" w:right="1042"/>
        <w:jc w:val="right"/>
      </w:pPr>
      <w:r>
        <w:rPr>
          <w:spacing w:val="-3"/>
        </w:rPr>
        <w:t>应付职工薪酬期末余额较期初增加</w:t>
      </w:r>
      <w:r>
        <w:rPr>
          <w:rFonts w:ascii="宋体" w:hAnsi="宋体" w:cs="宋体" w:eastAsia="宋体" w:hint="default"/>
          <w:spacing w:val="-3"/>
        </w:rPr>
        <w:t>5,077,402.24</w:t>
      </w:r>
      <w:r>
        <w:rPr>
          <w:spacing w:val="-3"/>
        </w:rPr>
        <w:t>元，增幅</w:t>
      </w:r>
      <w:r>
        <w:rPr>
          <w:rFonts w:ascii="宋体" w:hAnsi="宋体" w:cs="宋体" w:eastAsia="宋体" w:hint="default"/>
          <w:spacing w:val="-3"/>
        </w:rPr>
        <w:t>63.66%</w:t>
      </w:r>
      <w:r>
        <w:rPr>
          <w:spacing w:val="-3"/>
        </w:rPr>
        <w:t>，主要原因是公司业务量增大，公司人员规模扩大所致。</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8、应交税费" w:id="270"/>
      <w:bookmarkEnd w:id="270"/>
      <w:r>
        <w:rPr>
          <w:b w:val="0"/>
          <w:bCs w:val="0"/>
        </w:rPr>
      </w:r>
      <w:r>
        <w:rPr>
          <w:rFonts w:ascii="Times New Roman" w:hAnsi="Times New Roman" w:cs="Times New Roman" w:eastAsia="Times New Roman" w:hint="default"/>
        </w:rPr>
        <w:t>18</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30,601,131.89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35,218,628.18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53,119,306.83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40,086,907.97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6,149,301.64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6,077,817.17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3,424,802.63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4,395,686.20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2,252,518.77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2,967,721.76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719,968.07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403,309.36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96,267,029.83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89,150,070.64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9、其他应付款" w:id="271"/>
      <w:bookmarkEnd w:id="271"/>
      <w:r>
        <w:rPr>
          <w:b w:val="0"/>
          <w:bCs w:val="0"/>
        </w:rPr>
      </w:r>
      <w:r>
        <w:rPr>
          <w:rFonts w:ascii="Times New Roman" w:hAnsi="Times New Roman" w:cs="Times New Roman" w:eastAsia="Times New Roman" w:hint="default"/>
        </w:rPr>
        <w:t>19</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22,175,151.69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19,081,069.48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23,675,151.69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19,081,069.48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利息" w:id="272"/>
      <w:bookmarkEnd w:id="272"/>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其他应付款" w:id="273"/>
      <w:bookmarkEnd w:id="273"/>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押金、质保金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9,735,760.98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1,148,907.73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代扣保险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1,044,276.15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1,201,157.67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项目合作经费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2,939,000.00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其他往来欠款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8,456,114.56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16,731,004.08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22,175,151.69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19,081,069.48</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240" w:lineRule="auto" w:before="115"/>
        <w:ind w:left="514" w:right="0"/>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日，无账龄超过</w:t>
      </w:r>
      <w:r>
        <w:rPr>
          <w:rFonts w:ascii="Times New Roman" w:hAnsi="Times New Roman" w:cs="Times New Roman" w:eastAsia="Times New Roman" w:hint="default"/>
        </w:rPr>
        <w:t>1</w:t>
      </w:r>
      <w:r>
        <w:rPr/>
        <w:t>年的大额其他应付款。</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0、一年内到期的非流动负债" w:id="274"/>
      <w:bookmarkEnd w:id="274"/>
      <w:r>
        <w:rPr>
          <w:b w:val="0"/>
          <w:bCs w:val="0"/>
        </w:rPr>
      </w:r>
      <w:r>
        <w:rPr>
          <w:rFonts w:ascii="Times New Roman" w:hAnsi="Times New Roman" w:cs="Times New Roman" w:eastAsia="Times New Roman" w:hint="default"/>
        </w:rPr>
        <w:t>20</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年内到期的其他长期负债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9,124,564.80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8,766,998.40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9,124,564.80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8,766,998.40</w:t>
            </w:r>
          </w:p>
        </w:tc>
      </w:tr>
    </w:tbl>
    <w:p>
      <w:pPr>
        <w:pStyle w:val="BodyText"/>
        <w:spacing w:line="240" w:lineRule="auto" w:before="51"/>
        <w:ind w:right="0"/>
        <w:jc w:val="left"/>
      </w:pPr>
      <w:r>
        <w:rPr/>
        <w:t>其他说明：</w:t>
      </w:r>
    </w:p>
    <w:p>
      <w:pPr>
        <w:pStyle w:val="BodyText"/>
        <w:spacing w:line="316" w:lineRule="auto" w:before="115"/>
        <w:ind w:right="0" w:firstLine="360"/>
        <w:jc w:val="left"/>
      </w:pPr>
      <w:r>
        <w:rPr>
          <w:spacing w:val="-4"/>
        </w:rPr>
        <w:t>（</w:t>
      </w:r>
      <w:r>
        <w:rPr>
          <w:rFonts w:ascii="宋体" w:hAnsi="宋体" w:cs="宋体" w:eastAsia="宋体" w:hint="default"/>
          <w:spacing w:val="-4"/>
        </w:rPr>
        <w:t>1</w:t>
      </w:r>
      <w:r>
        <w:rPr>
          <w:spacing w:val="-4"/>
        </w:rPr>
        <w:t>）上述款项系</w:t>
      </w:r>
      <w:r>
        <w:rPr>
          <w:rFonts w:ascii="宋体" w:hAnsi="宋体" w:cs="宋体" w:eastAsia="宋体" w:hint="default"/>
          <w:spacing w:val="-4"/>
        </w:rPr>
        <w:t>2002</w:t>
      </w:r>
      <w:r>
        <w:rPr>
          <w:spacing w:val="-4"/>
        </w:rPr>
        <w:t>年本公司在中国建设银行石家庄市中华南大街支行的河北省建设投资公司委托贷款，借款期限</w:t>
      </w:r>
      <w:r>
        <w:rPr>
          <w:rFonts w:ascii="宋体" w:hAnsi="宋体" w:cs="宋体" w:eastAsia="宋体" w:hint="default"/>
          <w:spacing w:val="-4"/>
        </w:rPr>
        <w:t>2002</w:t>
      </w:r>
      <w:r>
        <w:rPr>
          <w:rFonts w:ascii="宋体" w:hAnsi="宋体" w:cs="宋体" w:eastAsia="宋体" w:hint="default"/>
        </w:rPr>
        <w:t> </w:t>
      </w:r>
      <w:r>
        <w:rPr/>
        <w:t>年</w:t>
      </w:r>
      <w:r>
        <w:rPr>
          <w:rFonts w:ascii="宋体" w:hAnsi="宋体" w:cs="宋体" w:eastAsia="宋体" w:hint="default"/>
        </w:rPr>
        <w:t>9</w:t>
      </w:r>
      <w:r>
        <w:rPr/>
        <w:t>月</w:t>
      </w:r>
      <w:r>
        <w:rPr>
          <w:rFonts w:ascii="宋体" w:hAnsi="宋体" w:cs="宋体" w:eastAsia="宋体" w:hint="default"/>
        </w:rPr>
        <w:t>18</w:t>
      </w:r>
      <w:r>
        <w:rPr/>
        <w:t>日至</w:t>
      </w:r>
      <w:r>
        <w:rPr>
          <w:rFonts w:ascii="宋体" w:hAnsi="宋体" w:cs="宋体" w:eastAsia="宋体" w:hint="default"/>
        </w:rPr>
        <w:t>2006</w:t>
      </w:r>
      <w:r>
        <w:rPr/>
        <w:t>年</w:t>
      </w:r>
      <w:r>
        <w:rPr>
          <w:rFonts w:ascii="宋体" w:hAnsi="宋体" w:cs="宋体" w:eastAsia="宋体" w:hint="default"/>
        </w:rPr>
        <w:t>9</w:t>
      </w:r>
      <w:r>
        <w:rPr/>
        <w:t>月</w:t>
      </w:r>
      <w:r>
        <w:rPr>
          <w:rFonts w:ascii="宋体" w:hAnsi="宋体" w:cs="宋体" w:eastAsia="宋体" w:hint="default"/>
        </w:rPr>
        <w:t>20</w:t>
      </w:r>
      <w:r>
        <w:rPr/>
        <w:t>日。</w:t>
      </w:r>
    </w:p>
    <w:p>
      <w:pPr>
        <w:pStyle w:val="BodyText"/>
        <w:spacing w:line="316" w:lineRule="auto" w:before="19"/>
        <w:ind w:right="1132" w:firstLine="360"/>
        <w:jc w:val="both"/>
      </w:pPr>
      <w:r>
        <w:rPr>
          <w:spacing w:val="-2"/>
        </w:rPr>
        <w:t>（</w:t>
      </w:r>
      <w:r>
        <w:rPr>
          <w:rFonts w:ascii="宋体" w:hAnsi="宋体" w:cs="宋体" w:eastAsia="宋体" w:hint="default"/>
          <w:spacing w:val="-2"/>
        </w:rPr>
        <w:t>2</w:t>
      </w:r>
      <w:r>
        <w:rPr>
          <w:spacing w:val="-2"/>
        </w:rPr>
        <w:t>）根据</w:t>
      </w:r>
      <w:r>
        <w:rPr>
          <w:rFonts w:ascii="宋体" w:hAnsi="宋体" w:cs="宋体" w:eastAsia="宋体" w:hint="default"/>
          <w:spacing w:val="-2"/>
        </w:rPr>
        <w:t>2006</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16</w:t>
      </w:r>
      <w:r>
        <w:rPr>
          <w:spacing w:val="-2"/>
        </w:rPr>
        <w:t>日河北省人民政府国有资产监督管理委员会冀国资字（</w:t>
      </w:r>
      <w:r>
        <w:rPr>
          <w:rFonts w:ascii="宋体" w:hAnsi="宋体" w:cs="宋体" w:eastAsia="宋体" w:hint="default"/>
          <w:spacing w:val="-2"/>
        </w:rPr>
        <w:t>2006</w:t>
      </w:r>
      <w:r>
        <w:rPr>
          <w:spacing w:val="-2"/>
        </w:rPr>
        <w:t>）</w:t>
      </w:r>
      <w:r>
        <w:rPr>
          <w:rFonts w:ascii="宋体" w:hAnsi="宋体" w:cs="宋体" w:eastAsia="宋体" w:hint="default"/>
          <w:spacing w:val="-2"/>
        </w:rPr>
        <w:t>15</w:t>
      </w:r>
      <w:r>
        <w:rPr>
          <w:spacing w:val="-2"/>
        </w:rPr>
        <w:t>号文以及河北省建设投资公司冀</w:t>
      </w:r>
      <w:r>
        <w:rPr/>
        <w:t> 建投函字（</w:t>
      </w:r>
      <w:r>
        <w:rPr>
          <w:rFonts w:ascii="宋体" w:hAnsi="宋体" w:cs="宋体" w:eastAsia="宋体" w:hint="default"/>
        </w:rPr>
        <w:t>2006</w:t>
      </w:r>
      <w:r>
        <w:rPr/>
        <w:t>）</w:t>
      </w:r>
      <w:r>
        <w:rPr>
          <w:rFonts w:ascii="宋体" w:hAnsi="宋体" w:cs="宋体" w:eastAsia="宋体" w:hint="default"/>
        </w:rPr>
        <w:t>32</w:t>
      </w:r>
      <w:r>
        <w:rPr/>
        <w:t>号函，将本公司在中国建设银行石家庄市中华南大街支行的河北省建设投资公司委托贷款</w:t>
      </w:r>
      <w:r>
        <w:rPr>
          <w:rFonts w:ascii="宋体" w:hAnsi="宋体" w:cs="宋体" w:eastAsia="宋体" w:hint="default"/>
        </w:rPr>
        <w:t>700</w:t>
      </w:r>
      <w:r>
        <w:rPr/>
        <w:t>万元划转 给河北省质量技术监督局，并豁免</w:t>
      </w:r>
      <w:r>
        <w:rPr>
          <w:rFonts w:ascii="宋体" w:hAnsi="宋体" w:cs="宋体" w:eastAsia="宋体" w:hint="default"/>
        </w:rPr>
        <w:t>2005</w:t>
      </w:r>
      <w:r>
        <w:rPr/>
        <w:t>年</w:t>
      </w:r>
      <w:r>
        <w:rPr>
          <w:rFonts w:ascii="宋体" w:hAnsi="宋体" w:cs="宋体" w:eastAsia="宋体" w:hint="default"/>
        </w:rPr>
        <w:t>12</w:t>
      </w:r>
      <w:r>
        <w:rPr/>
        <w:t>月</w:t>
      </w:r>
      <w:r>
        <w:rPr>
          <w:rFonts w:ascii="宋体" w:hAnsi="宋体" w:cs="宋体" w:eastAsia="宋体" w:hint="default"/>
        </w:rPr>
        <w:t>31</w:t>
      </w:r>
      <w:r>
        <w:rPr/>
        <w:t>日以前先河环保所欠利息及罚息。</w:t>
      </w:r>
    </w:p>
    <w:p>
      <w:pPr>
        <w:pStyle w:val="BodyText"/>
        <w:spacing w:line="316" w:lineRule="auto" w:before="19"/>
        <w:ind w:right="1028" w:firstLine="360"/>
        <w:jc w:val="left"/>
      </w:pP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2010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12</w:t>
      </w:r>
      <w:r>
        <w:rPr>
          <w:spacing w:val="-2"/>
        </w:rPr>
        <w:t>日，公司与经河北省质量技术监督局授权负责收回上述款项的河北省食品质量监督检验研究院签订了</w:t>
      </w:r>
      <w:r>
        <w:rPr/>
        <w:t> </w:t>
      </w:r>
      <w:r>
        <w:rPr>
          <w:spacing w:val="-2"/>
        </w:rPr>
        <w:t>还款协议。根据协议，公司应于</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日前偿还</w:t>
      </w:r>
      <w:r>
        <w:rPr>
          <w:rFonts w:ascii="宋体" w:hAnsi="宋体" w:cs="宋体" w:eastAsia="宋体" w:hint="default"/>
          <w:spacing w:val="-2"/>
        </w:rPr>
        <w:t>100</w:t>
      </w:r>
      <w:r>
        <w:rPr>
          <w:spacing w:val="-2"/>
        </w:rPr>
        <w:t>万元、</w:t>
      </w:r>
      <w:r>
        <w:rPr>
          <w:spacing w:val="-18"/>
        </w:rPr>
        <w:t> </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日前和</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日前分别偿还</w:t>
      </w:r>
      <w:r>
        <w:rPr>
          <w:rFonts w:ascii="宋体" w:hAnsi="宋体" w:cs="宋体" w:eastAsia="宋体" w:hint="default"/>
        </w:rPr>
        <w:t>300</w:t>
      </w:r>
      <w:r>
        <w:rPr/>
        <w:t>万元， </w:t>
      </w:r>
      <w:r>
        <w:rPr>
          <w:spacing w:val="-2"/>
        </w:rPr>
        <w:t>并自协议签署日起，按照同期银行贷款利率于每年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日前支付当年利息；上述款项在协议签署日前产生的利息则予以豁</w:t>
      </w:r>
      <w:r>
        <w:rPr>
          <w:spacing w:val="-60"/>
        </w:rPr>
        <w:t> </w:t>
      </w:r>
      <w:r>
        <w:rPr>
          <w:spacing w:val="-60"/>
        </w:rPr>
      </w:r>
      <w:r>
        <w:rPr/>
        <w:t>免。截止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日，共计提利息</w:t>
      </w:r>
      <w:r>
        <w:rPr>
          <w:rFonts w:ascii="宋体" w:hAnsi="宋体" w:cs="宋体" w:eastAsia="宋体" w:hint="default"/>
        </w:rPr>
        <w:t>3,124,564.80</w:t>
      </w:r>
      <w:r>
        <w:rPr/>
        <w:t>元。</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1、递延收益" w:id="275"/>
      <w:bookmarkEnd w:id="275"/>
      <w:r>
        <w:rPr>
          <w:b w:val="0"/>
          <w:bCs w:val="0"/>
        </w:rPr>
      </w:r>
      <w:r>
        <w:rPr>
          <w:rFonts w:ascii="Times New Roman" w:hAnsi="Times New Roman" w:cs="Times New Roman" w:eastAsia="Times New Roman" w:hint="default"/>
        </w:rPr>
        <w:t>21</w:t>
      </w:r>
      <w:r>
        <w:rPr/>
        <w:t>、递延收益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6,692,543.04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3,395,101.26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6,388,941.78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6,692,543.04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3,395,101.26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6,388,941.78</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大气细颗粒 物化学成分 在线监测设 备研制与应 用示范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450,831.71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450,831.71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海水溶解氧 在线监测仪 产业化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51,674.80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23,524.50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43,850.30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1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微生物膜法 </w:t>
            </w:r>
            <w:r>
              <w:rPr>
                <w:rFonts w:ascii="Times New Roman" w:hAnsi="Times New Roman" w:cs="Times New Roman" w:eastAsia="Times New Roman" w:hint="default"/>
                <w:sz w:val="18"/>
                <w:szCs w:val="18"/>
              </w:rPr>
              <w:t>BOD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在线监 测仪研制及 海水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sz w:val="18"/>
              </w:rPr>
              <w:t>PH/COD/BO</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182,752.43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54,800.00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80,929.49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156,622.94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快速在线 监测仪产业 化</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创新方法在 区域典型企 业的应用</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284,999.98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精细网格大 气动态污染 源清单技术 研发及应用 示范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327,857.14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218,571.44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109,285.70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基于质量浓 度分析的高 时间分辨率 在线源解析 系统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环境空气臭 氧前驱体及 光化学烟雾 在线监测仪 开发及应用 示范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2,161,000.00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533,388.58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3,008,111.42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大气污染防 治动态评估 与决策支持 系统开发及 应用示范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171,428.56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128,571.44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城市空气质 量自动监测 及治理信息 系统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166,426.96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19" w:right="0"/>
              <w:jc w:val="left"/>
              <w:rPr>
                <w:rFonts w:ascii="Times New Roman" w:hAnsi="Times New Roman" w:cs="Times New Roman" w:eastAsia="Times New Roman" w:hint="default"/>
                <w:sz w:val="18"/>
                <w:szCs w:val="18"/>
              </w:rPr>
            </w:pPr>
            <w:r>
              <w:rPr>
                <w:rFonts w:ascii="Times New Roman"/>
                <w:sz w:val="18"/>
              </w:rPr>
              <w:t>166,426.96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城市空气污 染防治精准 监控系统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科技新星与 领军人才培 养</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年双创促 进计划项目 补贴款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新兴产业发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1,180,000.00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展专项资金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6,692,543.04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3,091,500.00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1,180,000.00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2,048,674.30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166,426.96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6,388,941.78</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2、股本" w:id="276"/>
      <w:bookmarkEnd w:id="276"/>
      <w:r>
        <w:rPr>
          <w:b w:val="0"/>
          <w:bCs w:val="0"/>
        </w:rPr>
      </w:r>
      <w:r>
        <w:rPr>
          <w:rFonts w:ascii="Times New Roman" w:hAnsi="Times New Roman" w:cs="Times New Roman" w:eastAsia="Times New Roman" w:hint="default"/>
        </w:rPr>
        <w:t>22</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344,395,344.00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206,637,206.00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206,637,206.00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551,032,550.00</w:t>
            </w:r>
          </w:p>
        </w:tc>
      </w:tr>
    </w:tbl>
    <w:p>
      <w:pPr>
        <w:pStyle w:val="BodyText"/>
        <w:spacing w:line="240" w:lineRule="auto" w:before="51"/>
        <w:ind w:right="0"/>
        <w:jc w:val="left"/>
      </w:pPr>
      <w:r>
        <w:rPr/>
        <w:t>其他说明：</w:t>
      </w:r>
    </w:p>
    <w:p>
      <w:pPr>
        <w:pStyle w:val="BodyText"/>
        <w:spacing w:line="240" w:lineRule="auto" w:before="116"/>
        <w:ind w:left="0" w:right="1175"/>
        <w:jc w:val="right"/>
      </w:pPr>
      <w:r>
        <w:rPr/>
        <w:t>根据</w:t>
      </w:r>
      <w:r>
        <w:rPr>
          <w:rFonts w:ascii="Times New Roman" w:hAnsi="Times New Roman" w:cs="Times New Roman" w:eastAsia="Times New Roman" w:hint="default"/>
        </w:rPr>
        <w:t>2017</w:t>
      </w:r>
      <w:r>
        <w:rPr/>
        <w:t>年度股东大会决议，以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b/>
          <w:bCs/>
        </w:rPr>
        <w:t>344,395,344</w:t>
      </w:r>
      <w:r>
        <w:rPr/>
        <w:t>股为基数，按每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股转增</w:t>
      </w:r>
      <w:r>
        <w:rPr>
          <w:rFonts w:ascii="Times New Roman" w:hAnsi="Times New Roman" w:cs="Times New Roman" w:eastAsia="Times New Roman" w:hint="default"/>
        </w:rPr>
        <w:t>6</w:t>
      </w:r>
      <w:r>
        <w:rPr/>
        <w:t>股的比例，以资本</w:t>
      </w:r>
    </w:p>
    <w:p>
      <w:pPr>
        <w:pStyle w:val="BodyText"/>
        <w:spacing w:line="300" w:lineRule="auto" w:before="63"/>
        <w:ind w:right="1118"/>
        <w:jc w:val="left"/>
      </w:pPr>
      <w:r>
        <w:rPr/>
        <w:t>公积向全体股东转增股份总额</w:t>
      </w:r>
      <w:r>
        <w:rPr>
          <w:rFonts w:ascii="Times New Roman" w:hAnsi="Times New Roman" w:cs="Times New Roman" w:eastAsia="Times New Roman" w:hint="default"/>
        </w:rPr>
        <w:t>206,637,206</w:t>
      </w:r>
      <w:r>
        <w:rPr/>
        <w:t>股，每股面值</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元，计增加股本</w:t>
      </w:r>
      <w:r>
        <w:rPr>
          <w:rFonts w:ascii="Times New Roman" w:hAnsi="Times New Roman" w:cs="Times New Roman" w:eastAsia="Times New Roman" w:hint="default"/>
        </w:rPr>
        <w:t>206,637,206.00</w:t>
      </w:r>
      <w:r>
        <w:rPr/>
        <w:t>元，转增后的股本为</w:t>
      </w:r>
      <w:r>
        <w:rPr>
          <w:rFonts w:ascii="Times New Roman" w:hAnsi="Times New Roman" w:cs="Times New Roman" w:eastAsia="Times New Roman" w:hint="default"/>
        </w:rPr>
        <w:t>551,032,550.00 </w:t>
      </w:r>
      <w:r>
        <w:rPr/>
        <w:t>元。</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3、资本公积" w:id="277"/>
      <w:bookmarkEnd w:id="277"/>
      <w:r>
        <w:rPr>
          <w:b w:val="0"/>
          <w:bCs w:val="0"/>
        </w:rPr>
      </w:r>
      <w:r>
        <w:rPr>
          <w:rFonts w:ascii="Times New Roman" w:hAnsi="Times New Roman" w:cs="Times New Roman" w:eastAsia="Times New Roman" w:hint="default"/>
        </w:rPr>
        <w:t>23</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677,770,058.81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206,637,206.00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471,132,852.81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677,770,058.81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206,637,206.00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471,132,852.81</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4、库存股" w:id="278"/>
      <w:bookmarkEnd w:id="278"/>
      <w:r>
        <w:rPr>
          <w:b w:val="0"/>
          <w:bCs w:val="0"/>
        </w:rPr>
      </w:r>
      <w:r>
        <w:rPr>
          <w:rFonts w:ascii="Times New Roman" w:hAnsi="Times New Roman" w:cs="Times New Roman" w:eastAsia="Times New Roman" w:hint="default"/>
        </w:rPr>
        <w:t>24</w:t>
      </w:r>
      <w:r>
        <w:rPr/>
        <w:t>、库存股</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为员工持股计划或者股 权激励而收购的本公司 股份</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36,901,998.60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36,901,998.60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36,901,998.60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36,901,998.60</w:t>
            </w:r>
          </w:p>
        </w:tc>
      </w:tr>
    </w:tbl>
    <w:p>
      <w:pPr>
        <w:pStyle w:val="BodyText"/>
        <w:spacing w:line="357" w:lineRule="auto" w:before="51"/>
        <w:ind w:left="514" w:right="0" w:hanging="360"/>
        <w:jc w:val="left"/>
      </w:pPr>
      <w:r>
        <w:rPr/>
        <w:t>其他说明，包括本期增减变动情况、变动原因说明： </w:t>
      </w:r>
      <w:r>
        <w:rPr>
          <w:spacing w:val="-2"/>
        </w:rPr>
        <w:t>截止</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日，本公司累计通过股票回购专用证券账户以集中竞价交易方式回购本公司股份数量为</w:t>
      </w:r>
      <w:r>
        <w:rPr>
          <w:rFonts w:ascii="宋体" w:hAnsi="宋体" w:cs="宋体" w:eastAsia="宋体" w:hint="default"/>
          <w:spacing w:val="-2"/>
        </w:rPr>
        <w:t>4,613,200</w:t>
      </w:r>
      <w:r>
        <w:rPr>
          <w:spacing w:val="-2"/>
        </w:rPr>
        <w:t>股，</w:t>
      </w:r>
    </w:p>
    <w:p>
      <w:pPr>
        <w:pStyle w:val="BodyText"/>
        <w:spacing w:line="224" w:lineRule="exact"/>
        <w:ind w:right="0"/>
        <w:jc w:val="left"/>
      </w:pPr>
      <w:r>
        <w:rPr/>
        <w:t>占本公司已发行股份的总比例为</w:t>
      </w:r>
      <w:r>
        <w:rPr>
          <w:rFonts w:ascii="宋体" w:hAnsi="宋体" w:cs="宋体" w:eastAsia="宋体" w:hint="default"/>
        </w:rPr>
        <w:t>0.84%</w:t>
      </w:r>
      <w:r>
        <w:rPr/>
        <w:t>。</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5、其他综合收益" w:id="279"/>
      <w:bookmarkEnd w:id="279"/>
      <w:r>
        <w:rPr>
          <w:b w:val="0"/>
          <w:bCs w:val="0"/>
        </w:rPr>
      </w:r>
      <w:r>
        <w:rPr>
          <w:rFonts w:ascii="Times New Roman" w:hAnsi="Times New Roman" w:cs="Times New Roman" w:eastAsia="Times New Roman" w:hint="default"/>
        </w:rPr>
        <w:t>25</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本期所得</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减：前期计入</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减：所得税</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58"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372" w:right="101" w:hanging="270"/>
              <w:jc w:val="left"/>
              <w:rPr>
                <w:rFonts w:ascii="宋体" w:hAnsi="宋体" w:cs="宋体" w:eastAsia="宋体" w:hint="default"/>
                <w:sz w:val="18"/>
                <w:szCs w:val="18"/>
              </w:rPr>
            </w:pPr>
            <w:r>
              <w:rPr>
                <w:rFonts w:ascii="宋体" w:hAnsi="宋体" w:cs="宋体" w:eastAsia="宋体" w:hint="default"/>
                <w:sz w:val="18"/>
                <w:szCs w:val="18"/>
              </w:rPr>
              <w:t>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30" w:right="30"/>
              <w:jc w:val="left"/>
              <w:rPr>
                <w:rFonts w:ascii="宋体" w:hAnsi="宋体" w:cs="宋体" w:eastAsia="宋体" w:hint="default"/>
                <w:sz w:val="18"/>
                <w:szCs w:val="18"/>
              </w:rPr>
            </w:pPr>
            <w:r>
              <w:rPr>
                <w:rFonts w:ascii="宋体" w:hAnsi="宋体" w:cs="宋体" w:eastAsia="宋体" w:hint="default"/>
                <w:sz w:val="18"/>
                <w:szCs w:val="18"/>
              </w:rPr>
              <w:t>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82"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于母公司</w:t>
            </w: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372" w:right="101" w:hanging="270"/>
              <w:jc w:val="left"/>
              <w:rPr>
                <w:rFonts w:ascii="宋体" w:hAnsi="宋体" w:cs="宋体" w:eastAsia="宋体" w:hint="default"/>
                <w:sz w:val="18"/>
                <w:szCs w:val="18"/>
              </w:rPr>
            </w:pPr>
            <w:r>
              <w:rPr>
                <w:rFonts w:ascii="宋体" w:hAnsi="宋体" w:cs="宋体" w:eastAsia="宋体" w:hint="default"/>
                <w:sz w:val="18"/>
                <w:szCs w:val="18"/>
              </w:rPr>
              <w:t>于少数股 东</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317"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731,372.78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1,436,543.7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925,295.62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511,248.12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1,656,668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731,372.78</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1,436,543.7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925,295.62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511,248.12</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1,656,668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731,372.78</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1,436,543.7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925,295.62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511,248.12</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1,656,668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6、盈余公积" w:id="280"/>
      <w:bookmarkEnd w:id="280"/>
      <w:r>
        <w:rPr>
          <w:b w:val="0"/>
          <w:bCs w:val="0"/>
        </w:rPr>
      </w:r>
      <w:r>
        <w:rPr>
          <w:rFonts w:ascii="Times New Roman" w:hAnsi="Times New Roman" w:cs="Times New Roman" w:eastAsia="Times New Roman" w:hint="default"/>
        </w:rPr>
        <w:t>26</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63,828,556.20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29,501,933.69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93,330,489.89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63,828,556.20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29,501,933.69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93,330,489.89</w:t>
            </w:r>
          </w:p>
        </w:tc>
      </w:tr>
    </w:tbl>
    <w:p>
      <w:pPr>
        <w:pStyle w:val="BodyText"/>
        <w:spacing w:line="357" w:lineRule="auto" w:before="51"/>
        <w:ind w:left="514" w:right="4542" w:hanging="360"/>
        <w:jc w:val="left"/>
      </w:pPr>
      <w:r>
        <w:rPr/>
        <w:t>盈余公积说明，包括本期增减变动情况、变动原因说明： 盈余公积本期增加金额系按公司</w:t>
      </w:r>
      <w:r>
        <w:rPr>
          <w:rFonts w:ascii="宋体" w:hAnsi="宋体" w:cs="宋体" w:eastAsia="宋体" w:hint="default"/>
        </w:rPr>
        <w:t>2018</w:t>
      </w:r>
      <w:r>
        <w:rPr/>
        <w:t>年度净利润</w:t>
      </w:r>
      <w:r>
        <w:rPr>
          <w:rFonts w:ascii="宋体" w:hAnsi="宋体" w:cs="宋体" w:eastAsia="宋体" w:hint="default"/>
        </w:rPr>
        <w:t>10%</w:t>
      </w:r>
      <w:r>
        <w:rPr/>
        <w:t>提取的法定盈余公积。</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7、未分配利润" w:id="281"/>
      <w:bookmarkEnd w:id="281"/>
      <w:r>
        <w:rPr>
          <w:b w:val="0"/>
          <w:bCs w:val="0"/>
        </w:rPr>
      </w:r>
      <w:r>
        <w:rPr>
          <w:rFonts w:ascii="Times New Roman" w:hAnsi="Times New Roman" w:cs="Times New Roman" w:eastAsia="Times New Roman" w:hint="default"/>
        </w:rPr>
        <w:t>27</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515,637,231.11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381,487,196.57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515,637,231.11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381,487,196.57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259,434,109.03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188,169,290.74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29,501,933.69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19,579,721.80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17,219,767.20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34,439,534.40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-362,325.37</w:t>
            </w:r>
            <w:r>
              <w:rPr>
                <w:rFonts w:ascii="Times New Roman"/>
                <w:sz w:val="18"/>
              </w:rPr>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727,987,313.88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515,637,231.11</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8、营业收入和营业成本" w:id="282"/>
      <w:bookmarkEnd w:id="282"/>
      <w:r>
        <w:rPr>
          <w:b w:val="0"/>
          <w:bCs w:val="0"/>
        </w:rPr>
      </w:r>
      <w:r>
        <w:rPr>
          <w:rFonts w:ascii="Times New Roman" w:hAnsi="Times New Roman" w:cs="Times New Roman" w:eastAsia="Times New Roman" w:hint="default"/>
        </w:rPr>
        <w:t>28</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1,371,874,112.56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681,417,739.68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1,039,966,678.44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505,808,484.08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2,226,031.91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579,842.01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2,570,976.12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494,928.05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1,374,100,144.47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681,997,581.69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1,042,537,654.56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506,303,412.13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9、税金及附加" w:id="283"/>
      <w:bookmarkEnd w:id="283"/>
      <w:r>
        <w:rPr>
          <w:b w:val="0"/>
          <w:bCs w:val="0"/>
        </w:rPr>
      </w:r>
      <w:r>
        <w:rPr>
          <w:rFonts w:ascii="Times New Roman" w:hAnsi="Times New Roman" w:cs="Times New Roman" w:eastAsia="Times New Roman" w:hint="default"/>
        </w:rPr>
        <w:t>29</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5,413,641.07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5,074,447.03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3,878,405.06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3,626,559.12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1,522,880.33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1,709,350.93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1,255,557.14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1,197,466.15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627,636.96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572,596.39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12,698,120.56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12,180,419.62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0、销售费用" w:id="284"/>
      <w:bookmarkEnd w:id="284"/>
      <w:r>
        <w:rPr>
          <w:b w:val="0"/>
          <w:bCs w:val="0"/>
        </w:rPr>
      </w:r>
      <w:r>
        <w:rPr>
          <w:rFonts w:ascii="Times New Roman" w:hAnsi="Times New Roman" w:cs="Times New Roman" w:eastAsia="Times New Roman" w:hint="default"/>
        </w:rPr>
        <w:t>30</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64,364,525.95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59,362,980.35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9,520,797.93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8,517,925.33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业务活动费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17,716,720.42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9,178,854.94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5,047,481.82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5,887,527.96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技术服务费、中标服务费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16,882,218.62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14,672,518.28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716,395.62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925,066.18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4,018,475.28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3,678,011.22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796,540.48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2,891,778.94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22,164,388.30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13,948,606.45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2,362,328.25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3,658,641.58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现场费用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9,248,775.12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2,852,225.82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4,327,123.31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6,507,351.32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157,165,771.10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132,081,488.37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1、管理费用" w:id="285"/>
      <w:bookmarkEnd w:id="285"/>
      <w:r>
        <w:rPr>
          <w:b w:val="0"/>
          <w:bCs w:val="0"/>
        </w:rPr>
      </w:r>
      <w:r>
        <w:rPr>
          <w:rFonts w:ascii="Times New Roman" w:hAnsi="Times New Roman" w:cs="Times New Roman" w:eastAsia="Times New Roman" w:hint="default"/>
        </w:rPr>
        <w:t>31</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70,157,390.44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49,532,082.89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7,784,014.43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5,979,487.15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8,173,137.30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7,517,464.02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业务活动费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4,561,660.29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6,065,137.12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3,228,299.06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3,262,877.75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13,166,682.64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7,396,691.90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2,090,517.16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1,803,298.00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5,568,927.00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3,714,786.44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4,565,124.68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3,715,684.70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1,111,388.29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1,022,937.20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823,047.70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688,679.75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3,457,139.81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3,989,238.65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7,021,361.51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4,009,508.32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2,128,896.08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4,456,693.24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9,731,730.24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6,001,481.46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9,990,622.21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7,002,290.25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153,559,938.84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116,158,338.84</w:t>
            </w:r>
          </w:p>
        </w:tc>
      </w:tr>
    </w:tbl>
    <w:p>
      <w:pPr>
        <w:pStyle w:val="BodyText"/>
        <w:spacing w:line="240" w:lineRule="auto" w:before="51"/>
        <w:ind w:right="0"/>
        <w:jc w:val="left"/>
      </w:pPr>
      <w:r>
        <w:rPr/>
        <w:t>其他说明：</w:t>
      </w:r>
    </w:p>
    <w:p>
      <w:pPr>
        <w:pStyle w:val="BodyText"/>
        <w:spacing w:line="316" w:lineRule="auto" w:before="116"/>
        <w:ind w:right="1122" w:firstLine="360"/>
        <w:jc w:val="left"/>
      </w:pPr>
      <w:r>
        <w:rPr/>
        <w:t>管理费用本期发生额较上期发生额增加</w:t>
      </w:r>
      <w:r>
        <w:rPr>
          <w:rFonts w:ascii="宋体" w:hAnsi="宋体" w:cs="宋体" w:eastAsia="宋体" w:hint="default"/>
        </w:rPr>
        <w:t>37,401,600.00</w:t>
      </w:r>
      <w:r>
        <w:rPr/>
        <w:t>元，增幅</w:t>
      </w:r>
      <w:r>
        <w:rPr>
          <w:rFonts w:ascii="宋体" w:hAnsi="宋体" w:cs="宋体" w:eastAsia="宋体" w:hint="default"/>
        </w:rPr>
        <w:t>32.20%</w:t>
      </w:r>
      <w:r>
        <w:rPr/>
        <w:t>，主要原因是公司本期业务量增加，公司人员规 模扩大，致使本期计提工资增幅较大。</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2、研发费用" w:id="286"/>
      <w:bookmarkEnd w:id="286"/>
      <w:r>
        <w:rPr>
          <w:b w:val="0"/>
          <w:bCs w:val="0"/>
        </w:rPr>
      </w:r>
      <w:r>
        <w:rPr>
          <w:rFonts w:ascii="Times New Roman" w:hAnsi="Times New Roman" w:cs="Times New Roman" w:eastAsia="Times New Roman" w:hint="default"/>
        </w:rPr>
        <w:t>32</w:t>
      </w:r>
      <w:r>
        <w:rPr/>
        <w:t>、研发费用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16,314,584.03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13,491,941.64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25,678,544.43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24,492,126.29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3,096,373.12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3,078,332.32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331,941.07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研发成果鉴证费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238,221.21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51,469.30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4,576,186.80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2,237,683.15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技术研发外包费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2,087,007.45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2,843,463.00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测试化验加工费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2,384,459.92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878,590.38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专家咨询费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984,768.83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1,317,114.23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出版</w:t>
            </w:r>
            <w:r>
              <w:rPr>
                <w:rFonts w:ascii="Times New Roman" w:hAnsi="Times New Roman" w:cs="Times New Roman" w:eastAsia="Times New Roman" w:hint="default"/>
                <w:sz w:val="18"/>
                <w:szCs w:val="18"/>
              </w:rPr>
              <w:t>/</w:t>
            </w:r>
            <w:r>
              <w:rPr>
                <w:rFonts w:ascii="宋体" w:hAnsi="宋体" w:cs="宋体" w:eastAsia="宋体" w:hint="default"/>
                <w:sz w:val="18"/>
                <w:szCs w:val="18"/>
              </w:rPr>
              <w:t>文献</w:t>
            </w:r>
            <w:r>
              <w:rPr>
                <w:rFonts w:ascii="Times New Roman" w:hAnsi="Times New Roman" w:cs="Times New Roman" w:eastAsia="Times New Roman" w:hint="default"/>
                <w:sz w:val="18"/>
                <w:szCs w:val="18"/>
              </w:rPr>
              <w:t>/</w:t>
            </w:r>
            <w:r>
              <w:rPr>
                <w:rFonts w:ascii="宋体" w:hAnsi="宋体" w:cs="宋体" w:eastAsia="宋体" w:hint="default"/>
                <w:sz w:val="18"/>
                <w:szCs w:val="18"/>
              </w:rPr>
              <w:t>信息传播</w:t>
            </w:r>
            <w:r>
              <w:rPr>
                <w:rFonts w:ascii="Times New Roman" w:hAnsi="Times New Roman" w:cs="Times New Roman" w:eastAsia="Times New Roman" w:hint="default"/>
                <w:sz w:val="18"/>
                <w:szCs w:val="18"/>
              </w:rPr>
              <w:t>/</w:t>
            </w:r>
            <w:r>
              <w:rPr>
                <w:rFonts w:ascii="宋体" w:hAnsi="宋体" w:cs="宋体" w:eastAsia="宋体" w:hint="default"/>
                <w:sz w:val="18"/>
                <w:szCs w:val="18"/>
              </w:rPr>
              <w:t>知识产权事务费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285,979.93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477,171.69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55,978,066.79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48,867,892.00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财务费用" w:id="287"/>
      <w:bookmarkEnd w:id="287"/>
      <w:r>
        <w:rPr>
          <w:b w:val="0"/>
          <w:bCs w:val="0"/>
        </w:rPr>
      </w:r>
      <w:r>
        <w:rPr>
          <w:rFonts w:ascii="Times New Roman" w:hAnsi="Times New Roman" w:cs="Times New Roman" w:eastAsia="Times New Roman" w:hint="default"/>
        </w:rPr>
        <w:t>33</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1,857,566.40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357,566.40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5,768,104.45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3,567,586.19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980,729.19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993,841.05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汇兑净损益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-265,642.50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71,411.91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-3,195,451.36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-2,144,766.83</w:t>
            </w:r>
          </w:p>
        </w:tc>
      </w:tr>
    </w:tbl>
    <w:p>
      <w:pPr>
        <w:pStyle w:val="BodyText"/>
        <w:spacing w:line="240" w:lineRule="auto" w:before="51"/>
        <w:ind w:right="0"/>
        <w:jc w:val="left"/>
      </w:pPr>
      <w:r>
        <w:rPr/>
        <w:t>其他说明：</w:t>
      </w:r>
    </w:p>
    <w:p>
      <w:pPr>
        <w:pStyle w:val="BodyText"/>
        <w:spacing w:line="316" w:lineRule="auto" w:before="116"/>
        <w:ind w:right="0" w:firstLine="360"/>
        <w:jc w:val="left"/>
      </w:pPr>
      <w:r>
        <w:rPr>
          <w:spacing w:val="-2"/>
        </w:rPr>
        <w:t>财务费用本期发生额较上期发生额减少</w:t>
      </w:r>
      <w:r>
        <w:rPr>
          <w:rFonts w:ascii="宋体" w:hAnsi="宋体" w:cs="宋体" w:eastAsia="宋体" w:hint="default"/>
          <w:spacing w:val="-2"/>
        </w:rPr>
        <w:t>1,050,684.53</w:t>
      </w:r>
      <w:r>
        <w:rPr>
          <w:spacing w:val="-2"/>
        </w:rPr>
        <w:t>元，降幅</w:t>
      </w:r>
      <w:r>
        <w:rPr>
          <w:rFonts w:ascii="宋体" w:hAnsi="宋体" w:cs="宋体" w:eastAsia="宋体" w:hint="default"/>
          <w:spacing w:val="-2"/>
        </w:rPr>
        <w:t>48.99%</w:t>
      </w:r>
      <w:r>
        <w:rPr>
          <w:spacing w:val="-2"/>
        </w:rPr>
        <w:t>，主要原因是上期购买理财产品在本期赎回，收到</w:t>
      </w:r>
      <w:r>
        <w:rPr/>
        <w:t> 理财收益影响。</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4、资产减值损失" w:id="288"/>
      <w:bookmarkEnd w:id="288"/>
      <w:r>
        <w:rPr>
          <w:b w:val="0"/>
          <w:bCs w:val="0"/>
        </w:rPr>
      </w:r>
      <w:r>
        <w:rPr>
          <w:rFonts w:ascii="Times New Roman" w:hAnsi="Times New Roman" w:cs="Times New Roman" w:eastAsia="Times New Roman" w:hint="default"/>
        </w:rPr>
        <w:t>34</w:t>
      </w:r>
      <w:r>
        <w:rPr/>
        <w:t>、资产减值损失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34,954,006.99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28,234,422.43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18,058,716.05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53,012,723.04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28,234,422.43</w:t>
            </w:r>
          </w:p>
        </w:tc>
      </w:tr>
    </w:tbl>
    <w:p>
      <w:pPr>
        <w:pStyle w:val="BodyText"/>
        <w:spacing w:line="240" w:lineRule="auto" w:before="51"/>
        <w:ind w:right="0"/>
        <w:jc w:val="left"/>
      </w:pPr>
      <w:r>
        <w:rPr/>
        <w:t>其他说明：</w:t>
      </w:r>
    </w:p>
    <w:p>
      <w:pPr>
        <w:pStyle w:val="BodyText"/>
        <w:spacing w:line="316" w:lineRule="auto" w:before="115"/>
        <w:ind w:right="1122" w:firstLine="360"/>
        <w:jc w:val="left"/>
      </w:pPr>
      <w:r>
        <w:rPr/>
        <w:t>资产减值损失本期发生额较上期发生额增加</w:t>
      </w:r>
      <w:r>
        <w:rPr>
          <w:rFonts w:ascii="宋体" w:hAnsi="宋体" w:cs="宋体" w:eastAsia="宋体" w:hint="default"/>
        </w:rPr>
        <w:t>24,778,300.61</w:t>
      </w:r>
      <w:r>
        <w:rPr/>
        <w:t>元，增幅</w:t>
      </w:r>
      <w:r>
        <w:rPr>
          <w:rFonts w:ascii="宋体" w:hAnsi="宋体" w:cs="宋体" w:eastAsia="宋体" w:hint="default"/>
        </w:rPr>
        <w:t>87.76%</w:t>
      </w:r>
      <w:r>
        <w:rPr/>
        <w:t>，主要原因是公司期末对商誉减值测试，子 公司广东科迪隆科技有限公司商誉发生减值，计提商誉减值准备所致。</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5、其他收益" w:id="289"/>
      <w:bookmarkEnd w:id="289"/>
      <w:r>
        <w:rPr>
          <w:b w:val="0"/>
          <w:bCs w:val="0"/>
        </w:rPr>
      </w:r>
      <w:r>
        <w:rPr>
          <w:rFonts w:ascii="Times New Roman" w:hAnsi="Times New Roman" w:cs="Times New Roman" w:eastAsia="Times New Roman" w:hint="default"/>
        </w:rPr>
        <w:t>35</w:t>
      </w:r>
      <w:r>
        <w:rPr/>
        <w:t>、其他收益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47,274,441.38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31,399,343.75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47,274,441.38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31,399,343.75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6、投资收益" w:id="290"/>
      <w:bookmarkEnd w:id="290"/>
      <w:r>
        <w:rPr>
          <w:b w:val="0"/>
          <w:bCs w:val="0"/>
        </w:rPr>
      </w:r>
      <w:r>
        <w:rPr>
          <w:rFonts w:ascii="Times New Roman" w:hAnsi="Times New Roman" w:cs="Times New Roman" w:eastAsia="Times New Roman" w:hint="default"/>
        </w:rPr>
        <w:t>36</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-15,780.03</w:t>
            </w:r>
            <w:r>
              <w:rPr>
                <w:rFonts w:ascii="Times New Roman"/>
                <w:sz w:val="18"/>
              </w:rPr>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-15,780.03</w:t>
            </w:r>
            <w:r>
              <w:rPr>
                <w:rFonts w:ascii="Times New Roman"/>
                <w:sz w:val="18"/>
              </w:rPr>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7、资产处置收益" w:id="291"/>
      <w:bookmarkEnd w:id="291"/>
      <w:r>
        <w:rPr>
          <w:b w:val="0"/>
          <w:bCs w:val="0"/>
        </w:rPr>
      </w:r>
      <w:r>
        <w:rPr>
          <w:rFonts w:ascii="Times New Roman" w:hAnsi="Times New Roman" w:cs="Times New Roman" w:eastAsia="Times New Roman" w:hint="default"/>
        </w:rPr>
        <w:t>37</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38,723.98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20,786.66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38,723.98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20,786.66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8、营业外收入" w:id="292"/>
      <w:bookmarkEnd w:id="292"/>
      <w:r>
        <w:rPr>
          <w:b w:val="0"/>
          <w:bCs w:val="0"/>
        </w:rPr>
      </w:r>
      <w:r>
        <w:rPr>
          <w:rFonts w:ascii="Times New Roman" w:hAnsi="Times New Roman" w:cs="Times New Roman" w:eastAsia="Times New Roman" w:hint="default"/>
        </w:rPr>
        <w:t>38</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1,943,786.30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2,040,419.08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1,943,786.30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119,683.21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82,900.89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119,683.21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2,063,469.51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2,123,319.97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2,063,469.51</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外贸专项支 持资金进口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石家庄高新 技术产业开 发区投资服 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质监局名牌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河北省质量 技术监督局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质监局名牌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石家庄市财 政集中支付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新兴产业发 展专项资金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四川省财政 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南宁市污染 源自动监控 设施社会化 运行补助资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广州市博丽 能环保科技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47,008.77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年度石 家庄市十大 工业名牌产 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石家庄市财 政集中支付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年河北 省政府质量 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石家庄市质 量技术监督 局开发区分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02" w:lineRule="auto"/>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年河北 省知名品牌</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中共河北省 委组织部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116,777.53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160,419.08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1,943,786.30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2,040,419.08</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9、营业外支出" w:id="293"/>
      <w:bookmarkEnd w:id="293"/>
      <w:r>
        <w:rPr>
          <w:b w:val="0"/>
          <w:bCs w:val="0"/>
        </w:rPr>
      </w:r>
      <w:r>
        <w:rPr>
          <w:rFonts w:ascii="Times New Roman" w:hAnsi="Times New Roman" w:cs="Times New Roman" w:eastAsia="Times New Roman" w:hint="default"/>
        </w:rPr>
        <w:t>39</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780,128.40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113,717.95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780,128.40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92,198.46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564,081.88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92,198.46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12,212.54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12,212.54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884,539.40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677,799.83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884,539.40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0、所得税费用" w:id="294"/>
      <w:bookmarkEnd w:id="294"/>
      <w:r>
        <w:rPr>
          <w:b w:val="0"/>
          <w:bCs w:val="0"/>
        </w:rPr>
      </w:r>
      <w:r>
        <w:rPr>
          <w:rFonts w:ascii="Times New Roman" w:hAnsi="Times New Roman" w:cs="Times New Roman" w:eastAsia="Times New Roman" w:hint="default"/>
        </w:rPr>
        <w:t>40</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295"/>
      <w:bookmarkEnd w:id="29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52,392,513.76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37,585,330.01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-8,238,192.29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-3,434,118.79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44,154,321.47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34,151,211.22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296"/>
      <w:bookmarkEnd w:id="29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311,375,489.28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46,706,323.38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-1,975,919.69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-29,576.64</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-5,927,368.97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2,885,012.69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-2,367,114.03</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8,071,204.33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其他（研发费用加计扣除）</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-3,208,239.60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44,154,321.47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4" w:right="8855" w:firstLine="0"/>
        <w:jc w:val="left"/>
        <w:rPr>
          <w:rFonts w:ascii="宋体" w:hAnsi="宋体" w:cs="宋体" w:eastAsia="宋体" w:hint="default"/>
          <w:sz w:val="21"/>
          <w:szCs w:val="21"/>
        </w:rPr>
      </w:pPr>
      <w:bookmarkStart w:name="41、其他综合收益" w:id="297"/>
      <w:bookmarkEnd w:id="297"/>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pacing w:val="-18"/>
          <w:sz w:val="18"/>
          <w:szCs w:val="18"/>
        </w:rPr>
        <w:t>详见附注七、</w:t>
      </w:r>
      <w:r>
        <w:rPr>
          <w:rFonts w:ascii="Times New Roman" w:hAnsi="Times New Roman" w:cs="Times New Roman" w:eastAsia="Times New Roman" w:hint="default"/>
          <w:spacing w:val="-18"/>
          <w:sz w:val="18"/>
          <w:szCs w:val="18"/>
        </w:rPr>
        <w:t>25</w:t>
      </w:r>
      <w:r>
        <w:rPr>
          <w:rFonts w:ascii="宋体" w:hAnsi="宋体" w:cs="宋体" w:eastAsia="宋体" w:hint="default"/>
          <w:spacing w:val="-18"/>
          <w:sz w:val="18"/>
          <w:szCs w:val="18"/>
        </w:rPr>
        <w:t>。。</w:t>
      </w:r>
      <w:r>
        <w:rPr>
          <w:rFonts w:ascii="宋体" w:hAnsi="宋体" w:cs="宋体" w:eastAsia="宋体" w:hint="default"/>
          <w:spacing w:val="-90"/>
          <w:sz w:val="18"/>
          <w:szCs w:val="18"/>
        </w:rPr>
        <w:t> </w:t>
      </w:r>
      <w:bookmarkStart w:name="42、现金流量表项目" w:id="298"/>
      <w:bookmarkEnd w:id="298"/>
      <w:r>
        <w:rPr>
          <w:rFonts w:ascii="宋体" w:hAnsi="宋体" w:cs="宋体" w:eastAsia="宋体" w:hint="default"/>
          <w:spacing w:val="-90"/>
          <w:sz w:val="18"/>
          <w:szCs w:val="18"/>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0"/>
        <w:jc w:val="left"/>
        <w:rPr>
          <w:b w:val="0"/>
          <w:bCs w:val="0"/>
        </w:rPr>
      </w:pPr>
      <w:bookmarkStart w:name="（1）收到的其他与经营活动有关的现金" w:id="299"/>
      <w:bookmarkEnd w:id="29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收到的退回投标保证金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22,760,211.29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11,753,483.81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10,870,061.41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12,574,876.47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5,768,104.45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4,423,762.19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16,572,576.52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11,188,952.26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55,970,953.67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39,941,074.73</w:t>
            </w:r>
          </w:p>
        </w:tc>
      </w:tr>
    </w:tbl>
    <w:p>
      <w:pPr>
        <w:pStyle w:val="BodyText"/>
        <w:spacing w:line="240" w:lineRule="auto" w:before="51"/>
        <w:ind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300"/>
      <w:bookmarkEnd w:id="30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17,376,168.58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12,830,597.42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业务活动费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13,430,276.01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8,991,247.00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代理费、投标保证金、中标服务费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62,826,915.18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52,211,385.73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7,828,360.24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11,985,668.31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1,827,783.91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1,786,531.46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4,479,336.77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2,325,252.83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7,695,355.38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6,071,487.99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审计、咨询、培训费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11,294,967.66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9,994,451.34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移动电话费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879,536.38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746,080.26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11,694,863.21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4,248,223.01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8,432,920.09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38,649,638.69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办事处费用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487,001.96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95,958.00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2,746,446.67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2,550,831.61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6,859,759.75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4,193,345.09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856,779.58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616,698.52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7,670,786.22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11,978,229.09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166,387,257.59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169,275,626.35</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支付的其他与筹资活动有关的现金" w:id="301"/>
      <w:bookmarkEnd w:id="301"/>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回购股份</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36,901,998.60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36,901,998.60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3、现金流量表补充资料" w:id="302"/>
      <w:bookmarkEnd w:id="302"/>
      <w:r>
        <w:rPr>
          <w:b w:val="0"/>
          <w:bCs w:val="0"/>
        </w:rPr>
      </w:r>
      <w:r>
        <w:rPr>
          <w:rFonts w:ascii="Times New Roman" w:hAnsi="Times New Roman" w:cs="Times New Roman" w:eastAsia="Times New Roman" w:hint="default"/>
        </w:rPr>
        <w:t>43</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03"/>
      <w:bookmarkEnd w:id="30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267,221,167.81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199,555,107.30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53,012,723.04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28,234,422.43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24,969,216.52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23,716,901.78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4,565,124.68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3,715,684.70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3,030,252.84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2,183,083.27</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-20,786.66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112.109985pt;width:151.25pt;height:40.9pt;mso-position-horizontal-relative:page;mso-position-vertical-relative:page;z-index:-906832" coordorigin="4467,2242" coordsize="3025,818">
            <v:group style="position:absolute;left:4478;top:2254;width:2;height:393" coordorigin="4478,2254" coordsize="2,393">
              <v:shape style="position:absolute;left:4478;top:2254;width:2;height:393" coordorigin="4478,2254" coordsize="0,393" path="m4478,2254l4478,2646e" filled="false" stroked="true" strokeweight="1.140pt" strokecolor="#ffffff">
                <v:path arrowok="t"/>
              </v:shape>
            </v:group>
            <v:group style="position:absolute;left:4490;top:2254;width:3002;height:393" coordorigin="4490,2254" coordsize="3002,393">
              <v:shape style="position:absolute;left:4490;top:2254;width:3002;height:393" coordorigin="4490,2254" coordsize="3002,393" path="m4490,2646l7491,2646,7491,2254,4490,2254,4490,2646xe" filled="true" fillcolor="#ffffff" stroked="false">
                <v:path arrowok="t"/>
                <v:fill type="solid"/>
              </v:shape>
            </v:group>
            <v:group style="position:absolute;left:4478;top:2656;width:2;height:393" coordorigin="4478,2656" coordsize="2,393">
              <v:shape style="position:absolute;left:4478;top:2656;width:2;height:393" coordorigin="4478,2656" coordsize="0,393" path="m4478,2656l4478,3048e" filled="false" stroked="true" strokeweight="1.140pt" strokecolor="#ffffff">
                <v:path arrowok="t"/>
              </v:shape>
            </v:group>
            <v:group style="position:absolute;left:4490;top:2656;width:3002;height:393" coordorigin="4490,2656" coordsize="3002,393">
              <v:shape style="position:absolute;left:4490;top:2656;width:3002;height:393" coordorigin="4490,2656" coordsize="3002,393" path="m4490,3048l7491,3048,7491,2656,4490,2656,4490,304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8"/>
        <w:gridCol w:w="2011"/>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1,857,566.40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357,566.40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15,780.03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-8,198,353.11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-3,390,572.28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-39,839.18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-43,546.51</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-57,917,498.23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-140,925,105.56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-366,458,716.15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-88,040,383.49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5,694,935.91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166,054,104.14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-72,263,419.47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191,412,255.55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556,600,541.05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556,842,269.19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556,842,269.19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442,093,599.18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-241,728.14</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114,748,670.01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04"/>
      <w:bookmarkEnd w:id="304"/>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重庆渝凡实业有限公司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559,712.50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35,559,712.50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现金和现金等价物的构成" w:id="305"/>
      <w:bookmarkEnd w:id="305"/>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99"/>
        <w:gridCol w:w="3074"/>
        <w:gridCol w:w="3184"/>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556,600,541.05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556,842,269.19</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326,362.05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357,276.38</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525,254,578.88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529,803,581.12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31,019,600.12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26,681,411.69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556,600,541.05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556,842,269.19</w:t>
            </w:r>
          </w:p>
        </w:tc>
      </w:tr>
    </w:tbl>
    <w:p>
      <w:pPr>
        <w:pStyle w:val="BodyText"/>
        <w:spacing w:line="240" w:lineRule="auto" w:before="51"/>
        <w:ind w:right="0"/>
        <w:jc w:val="left"/>
      </w:pPr>
      <w:r>
        <w:rPr/>
        <w:t>其他说明：</w:t>
      </w:r>
    </w:p>
    <w:p>
      <w:pPr>
        <w:pStyle w:val="BodyText"/>
        <w:spacing w:line="300" w:lineRule="auto" w:before="116"/>
        <w:ind w:right="1167" w:firstLine="360"/>
        <w:jc w:val="left"/>
      </w:pPr>
      <w:r>
        <w:rPr/>
        <w:t>货币资金中超过三个月保函保证金</w:t>
      </w:r>
      <w:r>
        <w:rPr>
          <w:rFonts w:ascii="Times New Roman" w:hAnsi="Times New Roman" w:cs="Times New Roman" w:eastAsia="Times New Roman" w:hint="default"/>
        </w:rPr>
        <w:t>15,985,001.73</w:t>
      </w:r>
      <w:r>
        <w:rPr/>
        <w:t>元，子公司北京卫家环境技术有限公司涉诉被司法冻结</w:t>
      </w:r>
      <w:r>
        <w:rPr>
          <w:rFonts w:ascii="Times New Roman" w:hAnsi="Times New Roman" w:cs="Times New Roman" w:eastAsia="Times New Roman" w:hint="default"/>
        </w:rPr>
        <w:t>122,743.21</w:t>
      </w:r>
      <w:r>
        <w:rPr/>
        <w:t>元， 不属于现金和现金等价物，已从现金的期末余额中扣除。</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44、所有权或使用权受到限制的资产" w:id="306"/>
      <w:bookmarkEnd w:id="306"/>
      <w:r>
        <w:rPr>
          <w:b w:val="0"/>
          <w:bCs w:val="0"/>
        </w:rPr>
      </w:r>
      <w:r>
        <w:rPr>
          <w:rFonts w:ascii="Times New Roman" w:hAnsi="Times New Roman" w:cs="Times New Roman" w:eastAsia="Times New Roman" w:hint="default"/>
        </w:rPr>
        <w:t>44</w:t>
      </w:r>
      <w:r>
        <w:rPr/>
        <w:t>、所有权或使用权受到限制的资产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15,985,001.73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21,485,843.62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贷款抵押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11,869,609.09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贷款抵押</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122,743.21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9"/>
              <w:jc w:val="left"/>
              <w:rPr>
                <w:rFonts w:ascii="宋体" w:hAnsi="宋体" w:cs="宋体" w:eastAsia="宋体" w:hint="default"/>
                <w:sz w:val="18"/>
                <w:szCs w:val="18"/>
              </w:rPr>
            </w:pPr>
            <w:r>
              <w:rPr>
                <w:rFonts w:ascii="宋体" w:hAnsi="宋体" w:cs="宋体" w:eastAsia="宋体" w:hint="default"/>
                <w:sz w:val="18"/>
                <w:szCs w:val="18"/>
              </w:rPr>
              <w:t>子公司北京卫家环境技术有限公司涉诉 被司法冻结资金</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49,463,197.65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pStyle w:val="BodyText"/>
        <w:spacing w:line="316" w:lineRule="auto" w:before="115"/>
        <w:ind w:right="0" w:firstLine="360"/>
        <w:jc w:val="left"/>
      </w:pPr>
      <w:r>
        <w:rPr>
          <w:spacing w:val="-2"/>
        </w:rPr>
        <w:t>本公司于</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29</w:t>
      </w:r>
      <w:r>
        <w:rPr>
          <w:spacing w:val="-2"/>
        </w:rPr>
        <w:t>日将房屋建筑物、土地使用权作为抵押，与中国建设银行河北省分行营业部签订了在</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28</w:t>
      </w:r>
      <w:r>
        <w:rPr>
          <w:rFonts w:ascii="宋体" w:hAnsi="宋体" w:cs="宋体" w:eastAsia="宋体" w:hint="default"/>
        </w:rPr>
        <w:t> </w:t>
      </w:r>
      <w:r>
        <w:rPr/>
        <w:t>日到</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27</w:t>
      </w:r>
      <w:r>
        <w:rPr/>
        <w:t>日期间最高限额为</w:t>
      </w:r>
      <w:r>
        <w:rPr>
          <w:rFonts w:ascii="宋体" w:hAnsi="宋体" w:cs="宋体" w:eastAsia="宋体" w:hint="default"/>
        </w:rPr>
        <w:t>7,107</w:t>
      </w:r>
      <w:r>
        <w:rPr/>
        <w:t>万元的抵押贷款合同。</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5、外币货币性项目" w:id="307"/>
      <w:bookmarkEnd w:id="307"/>
      <w:r>
        <w:rPr>
          <w:b w:val="0"/>
          <w:bCs w:val="0"/>
        </w:rPr>
      </w:r>
      <w:r>
        <w:rPr>
          <w:rFonts w:ascii="Times New Roman" w:hAnsi="Times New Roman" w:cs="Times New Roman" w:eastAsia="Times New Roman" w:hint="default"/>
        </w:rPr>
        <w:t>45</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08"/>
      <w:bookmarkEnd w:id="30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12,111,527.41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1,748,253.37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11,998,612.52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14,472.00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112,914.89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13,004,553.68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1,867,063.60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12,814,030.88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24,418.80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190,522.80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9"/>
              <w:jc w:val="righ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0"/>
              <w:jc w:val="righ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0"/>
              <w:jc w:val="righ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309"/>
      <w:bookmarkEnd w:id="30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0" w:right="1229"/>
        <w:jc w:val="right"/>
        <w:rPr>
          <w:rFonts w:ascii="宋体" w:hAnsi="宋体" w:cs="宋体" w:eastAsia="宋体" w:hint="default"/>
        </w:rPr>
      </w:pPr>
      <w:r>
        <w:rPr/>
        <w:t>境外经营实体说明：本公司子公司</w:t>
      </w:r>
      <w:r>
        <w:rPr>
          <w:rFonts w:ascii="宋体" w:hAnsi="宋体" w:cs="宋体" w:eastAsia="宋体" w:hint="default"/>
        </w:rPr>
        <w:t>SAILHERO US HOLDING INC. </w:t>
      </w:r>
      <w:r>
        <w:rPr/>
        <w:t>、</w:t>
      </w:r>
      <w:r>
        <w:rPr>
          <w:rFonts w:ascii="宋体" w:hAnsi="宋体" w:cs="宋体" w:eastAsia="宋体" w:hint="default"/>
        </w:rPr>
        <w:t>SUNSET CES INCORPORATED</w:t>
      </w:r>
      <w:r>
        <w:rPr/>
        <w:t>、</w:t>
      </w:r>
      <w:r>
        <w:rPr>
          <w:rFonts w:ascii="宋体" w:hAnsi="宋体" w:cs="宋体" w:eastAsia="宋体" w:hint="default"/>
        </w:rPr>
        <w:t>COOPER ENVIRONMENTAL</w:t>
      </w:r>
    </w:p>
    <w:p>
      <w:pPr>
        <w:pStyle w:val="BodyText"/>
        <w:spacing w:line="316" w:lineRule="auto" w:before="76"/>
        <w:ind w:right="1114"/>
        <w:jc w:val="left"/>
      </w:pPr>
      <w:r>
        <w:rPr>
          <w:rFonts w:ascii="宋体" w:hAnsi="宋体" w:cs="宋体" w:eastAsia="宋体" w:hint="default"/>
        </w:rPr>
        <w:t>SERVICES,LLC</w:t>
      </w:r>
      <w:r>
        <w:rPr/>
        <w:t>、</w:t>
      </w:r>
      <w:r>
        <w:rPr>
          <w:rFonts w:ascii="宋体" w:hAnsi="宋体" w:cs="宋体" w:eastAsia="宋体" w:hint="default"/>
        </w:rPr>
        <w:t>Sunset</w:t>
      </w:r>
      <w:r>
        <w:rPr>
          <w:rFonts w:ascii="宋体" w:hAnsi="宋体" w:cs="宋体" w:eastAsia="宋体" w:hint="default"/>
          <w:spacing w:val="-41"/>
        </w:rPr>
        <w:t> </w:t>
      </w:r>
      <w:r>
        <w:rPr>
          <w:rFonts w:ascii="宋体" w:hAnsi="宋体" w:cs="宋体" w:eastAsia="宋体" w:hint="default"/>
        </w:rPr>
        <w:t>Laboratory</w:t>
      </w:r>
      <w:r>
        <w:rPr>
          <w:rFonts w:ascii="宋体" w:hAnsi="宋体" w:cs="宋体" w:eastAsia="宋体" w:hint="default"/>
          <w:spacing w:val="-41"/>
        </w:rPr>
        <w:t> </w:t>
      </w:r>
      <w:r>
        <w:rPr>
          <w:rFonts w:ascii="宋体" w:hAnsi="宋体" w:cs="宋体" w:eastAsia="宋体" w:hint="default"/>
        </w:rPr>
        <w:t>Inc.</w:t>
      </w:r>
      <w:r>
        <w:rPr/>
        <w:t>、属于在境外经营的子公司，主要经营地在美国，采用美元为记账本位币；</w:t>
      </w:r>
      <w:r>
        <w:rPr>
          <w:rFonts w:ascii="宋体" w:hAnsi="宋体" w:cs="宋体" w:eastAsia="宋体" w:hint="default"/>
        </w:rPr>
        <w:t>Sunset Laboratory Inc.</w:t>
      </w:r>
      <w:r>
        <w:rPr/>
        <w:t>在荷兰设立办事处</w:t>
      </w:r>
      <w:r>
        <w:rPr>
          <w:rFonts w:ascii="宋体" w:hAnsi="宋体" w:cs="宋体" w:eastAsia="宋体" w:hint="default"/>
        </w:rPr>
        <w:t>Sunset Laboratory BV</w:t>
      </w:r>
      <w:r>
        <w:rPr/>
        <w:t>，采用欧元为记账本位币。</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6、政府补助" w:id="310"/>
      <w:bookmarkEnd w:id="310"/>
      <w:r>
        <w:rPr>
          <w:b w:val="0"/>
          <w:bCs w:val="0"/>
        </w:rPr>
      </w:r>
      <w:r>
        <w:rPr>
          <w:rFonts w:ascii="Times New Roman" w:hAnsi="Times New Roman" w:cs="Times New Roman" w:eastAsia="Times New Roman" w:hint="default"/>
        </w:rPr>
        <w:t>46</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11"/>
      <w:bookmarkEnd w:id="311"/>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12"/>
        <w:gridCol w:w="1559"/>
        <w:gridCol w:w="1506"/>
        <w:gridCol w:w="2392"/>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软件产品增值税退税收入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40,780,408.03</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40,780,408.03</w:t>
            </w:r>
          </w:p>
        </w:tc>
      </w:tr>
      <w:tr>
        <w:trPr>
          <w:trHeight w:val="71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大气细颗粒物化学成分在线监测设备研制与应用示 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450,831.71</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450,831.71</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海水溶解氧在线监测仪产业化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23,524.50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23,524.50</w:t>
            </w:r>
          </w:p>
        </w:tc>
      </w:tr>
      <w:tr>
        <w:trPr>
          <w:trHeight w:val="71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微生物膜法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BOD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在线监测仪研制及海水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PH/COD/BOD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快速在线监测仪产业化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80,929.49</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80,929.49</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创新方法在区域典型企业的应用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75,000.02</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75,000.02</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基于质量浓度分析的高时间分辨率在线源解析系统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r>
      <w:tr>
        <w:trPr>
          <w:trHeight w:val="71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大气污染防治动态评估与决策支持系统开发及应用 示范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171,428.56</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171,428.56</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精细网格大气动态污染源清单技术研发及应用示范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218,571.44</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218,571.44</w:t>
            </w:r>
          </w:p>
        </w:tc>
      </w:tr>
      <w:tr>
        <w:trPr>
          <w:trHeight w:val="71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环境空气臭氧前驱体及光化学烟雾在线监测仪开发 及应用示范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533,388.58</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533,388.58</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城市空气污染防治精准监控系统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315,000.00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高新技术企业政府补助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年高企认定后补助省级资金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年市级双创专项资金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年省级工业转型升级（技改）专项资金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112"/>
        <w:gridCol w:w="1559"/>
        <w:gridCol w:w="1506"/>
        <w:gridCol w:w="2392"/>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年科技项目资金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71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大气污染防治网格化精准监控及决策支持系统研究 项目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年度企业研究开发省级财政补助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263,800.00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263,800.00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年区科技项目经费项目验收尾款补助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135,000.00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越秀区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年度瞪羚企业项目补助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210,000.00</w:t>
            </w:r>
          </w:p>
        </w:tc>
      </w:tr>
      <w:tr>
        <w:trPr>
          <w:trHeight w:val="71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广州市工业和信息化委员会中国制造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2025 </w:t>
            </w:r>
            <w:r>
              <w:rPr>
                <w:rFonts w:ascii="宋体" w:hAnsi="宋体" w:cs="宋体" w:eastAsia="宋体" w:hint="default"/>
                <w:sz w:val="18"/>
                <w:szCs w:val="18"/>
              </w:rPr>
              <w:t>创新项目 补贴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年新增规模以上软件企业支持专项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年度省研发费用后补助财政拨款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475,500.00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475,500.00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年市财政研发费用后补助款（</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118,900.00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天河软件园产业扶持政策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CMMI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资质奖励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天河软件园产业扶持政策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ISO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资质奖励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年度广东省产业技术创新与科技金融项目资金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202,159.05</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202,159.05</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新兴产业发展专项资金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1,180,000.00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南宁市污染源自动监控设施社会化运行补助资金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47,008.77</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47,008.77</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年度石家庄市十大工业名牌产品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年河北省政府质量奖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年河北省知名品牌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116,777.53</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116,777.53</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49,218,227.68</w:t>
            </w:r>
          </w:p>
        </w:tc>
        <w:tc>
          <w:tcPr>
            <w:tcW w:w="150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49,218,227.68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政府补助退回情况" w:id="312"/>
      <w:bookmarkEnd w:id="312"/>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92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合并范围的变更" w:id="313"/>
      <w:bookmarkEnd w:id="313"/>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314"/>
      <w:bookmarkEnd w:id="314"/>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非同一控制下企业合并" w:id="315"/>
      <w:bookmarkEnd w:id="31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9"/>
              <w:jc w:val="left"/>
              <w:rPr>
                <w:rFonts w:ascii="宋体" w:hAnsi="宋体" w:cs="宋体" w:eastAsia="宋体" w:hint="default"/>
                <w:sz w:val="18"/>
                <w:szCs w:val="18"/>
              </w:rPr>
            </w:pPr>
            <w:r>
              <w:rPr>
                <w:rFonts w:ascii="宋体" w:hAnsi="宋体" w:cs="宋体" w:eastAsia="宋体" w:hint="default"/>
                <w:sz w:val="18"/>
                <w:szCs w:val="18"/>
              </w:rPr>
              <w:t>重庆渝凡实 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实际取得对 被购买方的 控制权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其他说明：</w:t>
      </w:r>
    </w:p>
    <w:p>
      <w:pPr>
        <w:pStyle w:val="BodyText"/>
        <w:spacing w:line="300" w:lineRule="auto" w:before="116"/>
        <w:ind w:right="1259" w:firstLine="360"/>
        <w:jc w:val="both"/>
      </w:pPr>
      <w:r>
        <w:rPr/>
        <w:t>本公司下属子公司河北先河正合环境科技有限公司以</w:t>
      </w:r>
      <w:r>
        <w:rPr>
          <w:rFonts w:ascii="Times New Roman" w:hAnsi="Times New Roman" w:cs="Times New Roman" w:eastAsia="Times New Roman" w:hint="default"/>
        </w:rPr>
        <w:t>35,000,000.00</w:t>
      </w:r>
      <w:r>
        <w:rPr/>
        <w:t>元收购了重庆全来环保科技发展有限公司持有重庆 渝凡实业有限公司</w:t>
      </w:r>
      <w:r>
        <w:rPr>
          <w:rFonts w:ascii="Times New Roman" w:hAnsi="Times New Roman" w:cs="Times New Roman" w:eastAsia="Times New Roman" w:hint="default"/>
        </w:rPr>
        <w:t>100%</w:t>
      </w:r>
      <w:r>
        <w:rPr/>
        <w:t>的股权，形成非同一控制下企业合并。双方于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日签订了股权转让协议并于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 </w:t>
      </w:r>
      <w:r>
        <w:rPr/>
        <w:t>日办妥股权变更手续，股权转让款于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日支付完毕。</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合并成本及商誉" w:id="316"/>
      <w:bookmarkEnd w:id="31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487" w:right="0"/>
              <w:jc w:val="left"/>
              <w:rPr>
                <w:rFonts w:ascii="宋体" w:hAnsi="宋体" w:cs="宋体" w:eastAsia="宋体" w:hint="default"/>
                <w:sz w:val="18"/>
                <w:szCs w:val="18"/>
              </w:rPr>
            </w:pPr>
            <w:r>
              <w:rPr>
                <w:rFonts w:ascii="宋体" w:hAnsi="宋体" w:cs="宋体" w:eastAsia="宋体" w:hint="default"/>
                <w:sz w:val="18"/>
                <w:szCs w:val="18"/>
              </w:rPr>
              <w:t>重庆渝凡实业有限公司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35,000,000.00</w:t>
            </w:r>
          </w:p>
        </w:tc>
      </w:tr>
    </w:tbl>
    <w:p>
      <w:pPr>
        <w:pStyle w:val="BodyText"/>
        <w:spacing w:line="357" w:lineRule="auto" w:before="51"/>
        <w:ind w:left="574" w:right="2412" w:hanging="420"/>
        <w:jc w:val="left"/>
      </w:pPr>
      <w:r>
        <w:rPr/>
        <w:t>合并成本公允价值的确定方法、或有对价及其变动的说明： 本公司以支付现金取得对被购买方的控制权。合并成本以现金支付，其公允价值以现金支付数确认。</w:t>
      </w:r>
    </w:p>
    <w:p>
      <w:pPr>
        <w:spacing w:line="240" w:lineRule="auto" w:before="1"/>
        <w:rPr>
          <w:rFonts w:ascii="宋体" w:hAnsi="宋体" w:cs="宋体" w:eastAsia="宋体" w:hint="default"/>
          <w:sz w:val="26"/>
          <w:szCs w:val="26"/>
        </w:rPr>
      </w:pPr>
    </w:p>
    <w:p>
      <w:pPr>
        <w:pStyle w:val="BodyText"/>
        <w:spacing w:line="357" w:lineRule="auto"/>
        <w:ind w:left="574" w:right="1152" w:hanging="420"/>
        <w:jc w:val="left"/>
      </w:pPr>
      <w:r>
        <w:rPr/>
        <w:t>大额商誉形成的主要原因： 重庆渝凡实业有限公司拥有建筑工程施工总承包壹级、市政公用工程施工总承包壹级、公路工程施工总承包贰级、建</w:t>
      </w:r>
    </w:p>
    <w:p>
      <w:pPr>
        <w:pStyle w:val="BodyText"/>
        <w:spacing w:line="224" w:lineRule="exact"/>
        <w:ind w:right="0"/>
        <w:jc w:val="left"/>
      </w:pPr>
      <w:r>
        <w:rPr>
          <w:spacing w:val="-4"/>
        </w:rPr>
        <w:t>筑装修装饰工程专业承包贰级资质，属于不可辨认资产，而重庆渝凡实业有限公司于购买日可辨认资产、负债公允价值为零，</w:t>
      </w:r>
    </w:p>
    <w:p>
      <w:pPr>
        <w:pStyle w:val="BodyText"/>
        <w:spacing w:line="340" w:lineRule="auto" w:before="76"/>
        <w:ind w:right="5937"/>
        <w:jc w:val="left"/>
      </w:pPr>
      <w:r>
        <w:rPr/>
        <w:t>即可辨认净资产公允价值为零，故形成商誉</w:t>
      </w:r>
      <w:r>
        <w:rPr>
          <w:rFonts w:ascii="Times New Roman" w:hAnsi="Times New Roman" w:cs="Times New Roman" w:eastAsia="Times New Roman" w:hint="default"/>
        </w:rPr>
        <w:t>35,000,000.00</w:t>
      </w:r>
      <w:r>
        <w:rPr/>
        <w:t>元。 其他说明：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被购买方于购买日可辨认资产、负债" w:id="317"/>
      <w:bookmarkEnd w:id="31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right="6612"/>
        <w:jc w:val="left"/>
      </w:pPr>
      <w:r>
        <w:rPr/>
        <w:t>可辨认资产、负债公允价值的确定方法： 被购买方于购买日可辨认资产、负债公允价值为零。 企业合并中承担的被购买方的或有负债：</w:t>
      </w:r>
    </w:p>
    <w:p>
      <w:pPr>
        <w:pStyle w:val="BodyText"/>
        <w:spacing w:line="240" w:lineRule="auto" w:before="26"/>
        <w:ind w:right="0"/>
        <w:jc w:val="left"/>
      </w:pPr>
      <w:r>
        <w:rPr/>
        <w:t>其他说明：</w:t>
      </w:r>
    </w:p>
    <w:p>
      <w:pPr>
        <w:spacing w:before="139"/>
        <w:ind w:left="574" w:right="0" w:firstLine="0"/>
        <w:jc w:val="left"/>
        <w:rPr>
          <w:rFonts w:ascii="宋体" w:hAnsi="宋体" w:cs="宋体" w:eastAsia="宋体" w:hint="default"/>
          <w:sz w:val="15"/>
          <w:szCs w:val="15"/>
        </w:rPr>
      </w:pPr>
      <w:r>
        <w:rPr>
          <w:rFonts w:ascii="宋体" w:hAnsi="宋体" w:cs="宋体" w:eastAsia="宋体" w:hint="default"/>
          <w:sz w:val="15"/>
          <w:szCs w:val="15"/>
        </w:rPr>
        <w:t>收购相关的现金流量</w:t>
      </w:r>
    </w:p>
    <w:p>
      <w:pPr>
        <w:spacing w:line="240" w:lineRule="auto" w:before="4"/>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3895"/>
        <w:gridCol w:w="4485"/>
      </w:tblGrid>
      <w:tr>
        <w:trPr>
          <w:trHeight w:val="405" w:hRule="exact"/>
        </w:trPr>
        <w:tc>
          <w:tcPr>
            <w:tcW w:w="389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7"/>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4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7"/>
              <w:ind w:left="1424" w:right="0"/>
              <w:jc w:val="left"/>
              <w:rPr>
                <w:rFonts w:ascii="宋体" w:hAnsi="宋体" w:cs="宋体" w:eastAsia="宋体" w:hint="default"/>
                <w:sz w:val="18"/>
                <w:szCs w:val="18"/>
              </w:rPr>
            </w:pPr>
            <w:r>
              <w:rPr>
                <w:rFonts w:ascii="宋体" w:hAnsi="宋体" w:cs="宋体" w:eastAsia="宋体" w:hint="default"/>
                <w:b/>
                <w:bCs/>
                <w:sz w:val="18"/>
                <w:szCs w:val="18"/>
              </w:rPr>
              <w:t>重庆渝凡实业有限公司</w:t>
            </w:r>
            <w:r>
              <w:rPr>
                <w:rFonts w:ascii="宋体" w:hAnsi="宋体" w:cs="宋体" w:eastAsia="宋体" w:hint="default"/>
                <w:sz w:val="18"/>
                <w:szCs w:val="18"/>
              </w:rPr>
            </w:r>
          </w:p>
        </w:tc>
      </w:tr>
      <w:tr>
        <w:trPr>
          <w:trHeight w:val="392" w:hRule="exact"/>
        </w:trPr>
        <w:tc>
          <w:tcPr>
            <w:tcW w:w="3895" w:type="dxa"/>
            <w:tcBorders>
              <w:top w:val="single" w:sz="4" w:space="0" w:color="000000"/>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以现金或现金等价物支付的对价</w:t>
            </w:r>
          </w:p>
        </w:tc>
        <w:tc>
          <w:tcPr>
            <w:tcW w:w="4485" w:type="dxa"/>
            <w:vMerge w:val="restart"/>
            <w:tcBorders>
              <w:top w:val="single" w:sz="4" w:space="0" w:color="000000"/>
              <w:left w:val="single" w:sz="4" w:space="0" w:color="000000"/>
              <w:right w:val="nil" w:sz="6" w:space="0" w:color="auto"/>
            </w:tcBorders>
          </w:tcPr>
          <w:p>
            <w:pPr>
              <w:pStyle w:val="TableParagraph"/>
              <w:spacing w:line="240" w:lineRule="auto" w:before="89"/>
              <w:ind w:right="107"/>
              <w:jc w:val="right"/>
              <w:rPr>
                <w:rFonts w:ascii="Arial Narrow" w:hAnsi="Arial Narrow" w:cs="Arial Narrow" w:eastAsia="Arial Narrow" w:hint="default"/>
                <w:sz w:val="18"/>
                <w:szCs w:val="18"/>
              </w:rPr>
            </w:pPr>
            <w:r>
              <w:rPr>
                <w:rFonts w:ascii="Arial Narrow"/>
                <w:spacing w:val="-1"/>
                <w:sz w:val="18"/>
              </w:rPr>
              <w:t>35,000,000.00</w:t>
            </w:r>
          </w:p>
        </w:tc>
      </w:tr>
      <w:tr>
        <w:trPr>
          <w:trHeight w:val="390" w:hRule="exact"/>
        </w:trPr>
        <w:tc>
          <w:tcPr>
            <w:tcW w:w="3895"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减：取得的被收购方现金及现金等价物</w:t>
            </w:r>
          </w:p>
        </w:tc>
        <w:tc>
          <w:tcPr>
            <w:tcW w:w="4485" w:type="dxa"/>
            <w:vMerge/>
            <w:tcBorders>
              <w:left w:val="single" w:sz="4" w:space="0" w:color="000000"/>
              <w:bottom w:val="single" w:sz="4" w:space="0" w:color="000000"/>
              <w:right w:val="nil" w:sz="6" w:space="0" w:color="auto"/>
            </w:tcBorders>
          </w:tcPr>
          <w:p>
            <w:pPr/>
          </w:p>
        </w:tc>
      </w:tr>
      <w:tr>
        <w:trPr>
          <w:trHeight w:val="406" w:hRule="exact"/>
        </w:trPr>
        <w:tc>
          <w:tcPr>
            <w:tcW w:w="38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b/>
                <w:bCs/>
                <w:sz w:val="18"/>
                <w:szCs w:val="18"/>
              </w:rPr>
              <w:t>企业合并支付的现金净额</w:t>
            </w:r>
            <w:r>
              <w:rPr>
                <w:rFonts w:ascii="宋体" w:hAnsi="宋体" w:cs="宋体" w:eastAsia="宋体" w:hint="default"/>
                <w:sz w:val="18"/>
                <w:szCs w:val="18"/>
              </w:rPr>
            </w:r>
          </w:p>
        </w:tc>
        <w:tc>
          <w:tcPr>
            <w:tcW w:w="44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8"/>
              <w:ind w:right="107"/>
              <w:jc w:val="right"/>
              <w:rPr>
                <w:rFonts w:ascii="Arial Narrow" w:hAnsi="Arial Narrow" w:cs="Arial Narrow" w:eastAsia="Arial Narrow" w:hint="default"/>
                <w:sz w:val="18"/>
                <w:szCs w:val="18"/>
              </w:rPr>
            </w:pPr>
            <w:r>
              <w:rPr>
                <w:rFonts w:ascii="Arial Narrow"/>
                <w:b/>
                <w:spacing w:val="-1"/>
                <w:sz w:val="18"/>
              </w:rPr>
              <w:t>35,000,000.00</w:t>
            </w:r>
            <w:r>
              <w:rPr>
                <w:rFonts w:ascii="Arial Narrow"/>
                <w:spacing w:val="-1"/>
                <w:sz w:val="18"/>
              </w:rPr>
            </w:r>
          </w:p>
        </w:tc>
      </w:tr>
    </w:tbl>
    <w:p>
      <w:pPr>
        <w:spacing w:after="0" w:line="240" w:lineRule="auto"/>
        <w:jc w:val="right"/>
        <w:rPr>
          <w:rFonts w:ascii="Arial Narrow" w:hAnsi="Arial Narrow" w:cs="Arial Narrow" w:eastAsia="Arial Narrow"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r>
        <w:rPr/>
        <w:pict>
          <v:group style="position:absolute;margin-left:331.720001pt;margin-top:652.119995pt;width:65.6pt;height:19.6pt;mso-position-horizontal-relative:page;mso-position-vertical-relative:page;z-index:-906808" coordorigin="6634,13042" coordsize="1312,392">
            <v:shape style="position:absolute;left:6634;top:13042;width:1312;height:392" coordorigin="6634,13042" coordsize="1312,392" path="m6634,13434l7946,13434,7946,13042,6634,13042,6634,13434xe" filled="true" fillcolor="#ffffff" stroked="false">
              <v:path arrowok="t"/>
              <v:fill type="solid"/>
            </v:shape>
            <w10:wrap type="none"/>
          </v:group>
        </w:pict>
      </w:r>
    </w:p>
    <w:p>
      <w:pPr>
        <w:pStyle w:val="Heading3"/>
        <w:spacing w:line="240" w:lineRule="auto" w:before="35"/>
        <w:ind w:right="0"/>
        <w:jc w:val="left"/>
        <w:rPr>
          <w:b w:val="0"/>
          <w:bCs w:val="0"/>
        </w:rPr>
      </w:pPr>
      <w:bookmarkStart w:name="（4）购买日之前持有的股权按照公允价值重新计量产生的利得或损失" w:id="318"/>
      <w:bookmarkEnd w:id="31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处置子公司" w:id="319"/>
      <w:bookmarkEnd w:id="319"/>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38" w:lineRule="auto" w:before="117"/>
        <w:ind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其他原因的合并范围变动" w:id="320"/>
      <w:bookmarkEnd w:id="320"/>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302" w:lineRule="auto" w:before="115"/>
        <w:ind w:right="1032"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日，经公司第三届董事会第五次会议审议通过，公司与河北智旅投资有限公司、河北鹏瑜环保科技有限公 </w:t>
      </w:r>
      <w:r>
        <w:rPr>
          <w:spacing w:val="-2"/>
        </w:rPr>
        <w:t>司、袁安明共同投资设立河北先河正合环境科技有限公司，设立时注册资本</w:t>
      </w:r>
      <w:r>
        <w:rPr>
          <w:rFonts w:ascii="Times New Roman" w:hAnsi="Times New Roman" w:cs="Times New Roman" w:eastAsia="Times New Roman" w:hint="default"/>
          <w:spacing w:val="-2"/>
        </w:rPr>
        <w:t>17,000.00</w:t>
      </w:r>
      <w:r>
        <w:rPr>
          <w:spacing w:val="-2"/>
        </w:rPr>
        <w:t>万元，其中公司认缴</w:t>
      </w:r>
      <w:r>
        <w:rPr>
          <w:rFonts w:ascii="Times New Roman" w:hAnsi="Times New Roman" w:cs="Times New Roman" w:eastAsia="Times New Roman" w:hint="default"/>
          <w:spacing w:val="-2"/>
        </w:rPr>
        <w:t>10,600.00</w:t>
      </w:r>
      <w:r>
        <w:rPr>
          <w:spacing w:val="-2"/>
        </w:rPr>
        <w:t>万元，河</w:t>
      </w:r>
      <w:r>
        <w:rPr>
          <w:spacing w:val="-50"/>
        </w:rPr>
        <w:t> </w:t>
      </w:r>
      <w:r>
        <w:rPr>
          <w:spacing w:val="-50"/>
        </w:rPr>
      </w:r>
      <w:r>
        <w:rPr/>
        <w:t>北智旅投资有限公司认缴</w:t>
      </w:r>
      <w:r>
        <w:rPr>
          <w:rFonts w:ascii="Times New Roman" w:hAnsi="Times New Roman" w:cs="Times New Roman" w:eastAsia="Times New Roman" w:hint="default"/>
        </w:rPr>
        <w:t>4,000.00</w:t>
      </w:r>
      <w:r>
        <w:rPr/>
        <w:t>万元、河北鹏瑜环保科技有限公司认缴</w:t>
      </w:r>
      <w:r>
        <w:rPr>
          <w:rFonts w:ascii="Times New Roman" w:hAnsi="Times New Roman" w:cs="Times New Roman" w:eastAsia="Times New Roman" w:hint="default"/>
        </w:rPr>
        <w:t>1,800.00</w:t>
      </w:r>
      <w:r>
        <w:rPr/>
        <w:t>万元、袁安明认缴</w:t>
      </w:r>
      <w:r>
        <w:rPr>
          <w:rFonts w:ascii="Times New Roman" w:hAnsi="Times New Roman" w:cs="Times New Roman" w:eastAsia="Times New Roman" w:hint="default"/>
        </w:rPr>
        <w:t>600.00</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 </w:t>
      </w:r>
      <w:r>
        <w:rPr>
          <w:spacing w:val="-2"/>
        </w:rPr>
        <w:t>日经公司第三届董事会第六次会议审议通过，河北先河正合环境科技有限公司通过增资扩股的方式引入投资者，其中石家庄</w:t>
      </w:r>
      <w:r>
        <w:rPr>
          <w:spacing w:val="-64"/>
        </w:rPr>
        <w:t> </w:t>
      </w:r>
      <w:r>
        <w:rPr>
          <w:spacing w:val="-64"/>
        </w:rPr>
      </w:r>
      <w:r>
        <w:rPr>
          <w:spacing w:val="-2"/>
        </w:rPr>
        <w:t>荣驰环境治理中心（有限合伙）以货币增资</w:t>
      </w:r>
      <w:r>
        <w:rPr>
          <w:rFonts w:ascii="Times New Roman" w:hAnsi="Times New Roman" w:cs="Times New Roman" w:eastAsia="Times New Roman" w:hint="default"/>
          <w:spacing w:val="-2"/>
        </w:rPr>
        <w:t>1,400.00</w:t>
      </w:r>
      <w:r>
        <w:rPr>
          <w:spacing w:val="-2"/>
        </w:rPr>
        <w:t>万元，重庆全来环保科技发展有限公司以货币增资</w:t>
      </w:r>
      <w:r>
        <w:rPr>
          <w:rFonts w:ascii="Times New Roman" w:hAnsi="Times New Roman" w:cs="Times New Roman" w:eastAsia="Times New Roman" w:hint="default"/>
          <w:spacing w:val="-2"/>
        </w:rPr>
        <w:t>1,600.00</w:t>
      </w:r>
      <w:r>
        <w:rPr>
          <w:spacing w:val="-2"/>
        </w:rPr>
        <w:t>万元，增资完</w:t>
      </w:r>
      <w:r>
        <w:rPr>
          <w:spacing w:val="-52"/>
        </w:rPr>
        <w:t> </w:t>
      </w:r>
      <w:r>
        <w:rPr>
          <w:spacing w:val="-52"/>
        </w:rPr>
      </w:r>
      <w:r>
        <w:rPr>
          <w:spacing w:val="-1"/>
        </w:rPr>
        <w:t>成后，河北先河正合环境科技有限公司注册资本变为人民币</w:t>
      </w:r>
      <w:r>
        <w:rPr>
          <w:rFonts w:ascii="Times New Roman" w:hAnsi="Times New Roman" w:cs="Times New Roman" w:eastAsia="Times New Roman" w:hint="default"/>
          <w:spacing w:val="-1"/>
        </w:rPr>
        <w:t>2</w:t>
      </w:r>
      <w:r>
        <w:rPr>
          <w:spacing w:val="-1"/>
        </w:rPr>
        <w:t>亿元，本公司出资占其注册资本的</w:t>
      </w:r>
      <w:r>
        <w:rPr>
          <w:rFonts w:ascii="Times New Roman" w:hAnsi="Times New Roman" w:cs="Times New Roman" w:eastAsia="Times New Roman" w:hint="default"/>
          <w:spacing w:val="-1"/>
        </w:rPr>
        <w:t>53%</w:t>
      </w: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spacing w:val="-84"/>
        </w:rPr>
        <w:t> </w:t>
      </w:r>
      <w:r>
        <w:rPr>
          <w:spacing w:val="-2"/>
        </w:rPr>
        <w:t>本公司实际缴纳出资</w:t>
      </w:r>
      <w:r>
        <w:rPr>
          <w:rFonts w:ascii="Times New Roman" w:hAnsi="Times New Roman" w:cs="Times New Roman" w:eastAsia="Times New Roman" w:hint="default"/>
          <w:spacing w:val="-2"/>
        </w:rPr>
        <w:t>4,000.00</w:t>
      </w:r>
      <w:r>
        <w:rPr>
          <w:spacing w:val="-2"/>
        </w:rPr>
        <w:t>万元，其他股东均未实际出资。本公司拥有对其实质控制权，故在</w:t>
      </w:r>
      <w:r>
        <w:rPr>
          <w:rFonts w:ascii="Times New Roman" w:hAnsi="Times New Roman" w:cs="Times New Roman" w:eastAsia="Times New Roman" w:hint="default"/>
          <w:spacing w:val="-2"/>
        </w:rPr>
        <w:t>2018</w:t>
      </w:r>
      <w:r>
        <w:rPr>
          <w:spacing w:val="-2"/>
        </w:rPr>
        <w:t>年度将其纳入合并范围。</w:t>
      </w:r>
    </w:p>
    <w:p>
      <w:pPr>
        <w:spacing w:line="240" w:lineRule="auto" w:before="12"/>
        <w:rPr>
          <w:rFonts w:ascii="宋体" w:hAnsi="宋体" w:cs="宋体" w:eastAsia="宋体" w:hint="default"/>
          <w:sz w:val="21"/>
          <w:szCs w:val="21"/>
        </w:rPr>
      </w:pPr>
    </w:p>
    <w:p>
      <w:pPr>
        <w:spacing w:line="487" w:lineRule="auto" w:before="0"/>
        <w:ind w:left="154" w:right="7692" w:firstLine="0"/>
        <w:jc w:val="left"/>
        <w:rPr>
          <w:rFonts w:ascii="宋体" w:hAnsi="宋体" w:cs="宋体" w:eastAsia="宋体" w:hint="default"/>
          <w:sz w:val="21"/>
          <w:szCs w:val="21"/>
        </w:rPr>
      </w:pPr>
      <w:bookmarkStart w:name="4、其他" w:id="321"/>
      <w:bookmarkEnd w:id="32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22"/>
      <w:bookmarkEnd w:id="322"/>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23"/>
      <w:bookmarkEnd w:id="323"/>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324"/>
      <w:bookmarkEnd w:id="32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北京先河中润科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环保设备的安装</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山东先河环保科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36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62"/>
              <w:jc w:val="both"/>
              <w:rPr>
                <w:rFonts w:ascii="宋体" w:hAnsi="宋体" w:cs="宋体" w:eastAsia="宋体" w:hint="default"/>
                <w:sz w:val="18"/>
                <w:szCs w:val="18"/>
              </w:rPr>
            </w:pPr>
            <w:r>
              <w:rPr>
                <w:rFonts w:ascii="宋体" w:hAnsi="宋体" w:cs="宋体" w:eastAsia="宋体" w:hint="default"/>
                <w:sz w:val="18"/>
                <w:szCs w:val="18"/>
              </w:rPr>
              <w:t>环保专用设备的 </w:t>
            </w:r>
            <w:r>
              <w:rPr>
                <w:rFonts w:ascii="宋体" w:hAnsi="宋体" w:cs="宋体" w:eastAsia="宋体" w:hint="default"/>
                <w:spacing w:val="-6"/>
                <w:sz w:val="18"/>
                <w:szCs w:val="18"/>
              </w:rPr>
              <w:t>开发、技术咨询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销售、安装</w:t>
            </w:r>
          </w:p>
        </w:tc>
        <w:tc>
          <w:tcPr>
            <w:tcW w:w="378" w:type="dxa"/>
            <w:tcBorders>
              <w:top w:val="single" w:sz="4" w:space="0" w:color="000000"/>
              <w:left w:val="single" w:sz="13"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四川先河环保科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2"/>
              <w:jc w:val="left"/>
              <w:rPr>
                <w:rFonts w:ascii="宋体" w:hAnsi="宋体" w:cs="宋体" w:eastAsia="宋体" w:hint="default"/>
                <w:sz w:val="18"/>
                <w:szCs w:val="18"/>
              </w:rPr>
            </w:pPr>
            <w:r>
              <w:rPr>
                <w:rFonts w:ascii="宋体" w:hAnsi="宋体" w:cs="宋体" w:eastAsia="宋体" w:hint="default"/>
                <w:sz w:val="18"/>
                <w:szCs w:val="18"/>
              </w:rPr>
              <w:t>环保设备、计量 仪器研制开发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河北先河金瑞环 保设施运营服务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环保专用设备的 安装、维修及技</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141.919983pt;width:74.05pt;height:31.2pt;mso-position-horizontal-relative:page;mso-position-vertical-relative:page;z-index:-906760"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331.720001pt;margin-top:240.019989pt;width:65.6pt;height:19.650pt;mso-position-horizontal-relative:page;mso-position-vertical-relative:page;z-index:-906736" coordorigin="6634,4800" coordsize="1312,393">
            <v:shape style="position:absolute;left:6634;top:4800;width:1312;height:393" coordorigin="6634,4800" coordsize="1312,393" path="m6634,5193l7946,5193,7946,4800,6634,4800,6634,519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术咨询服务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河北先河正源环 境治理技术有限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废气治理技术研 发、生产、销售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77"/>
              <w:jc w:val="left"/>
              <w:rPr>
                <w:rFonts w:ascii="宋体" w:hAnsi="宋体" w:cs="宋体" w:eastAsia="宋体" w:hint="default"/>
                <w:sz w:val="18"/>
                <w:szCs w:val="18"/>
              </w:rPr>
            </w:pPr>
            <w:r>
              <w:rPr>
                <w:rFonts w:ascii="宋体" w:hAnsi="宋体" w:cs="宋体" w:eastAsia="宋体" w:hint="default"/>
                <w:sz w:val="18"/>
                <w:szCs w:val="18"/>
              </w:rPr>
              <w:t>北京卫家环境技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pacing w:val="-6"/>
                <w:sz w:val="18"/>
                <w:szCs w:val="18"/>
              </w:rPr>
              <w:t>技术开发、转让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咨询、服务；销 售家用电器、计 算机、软件及辅 助设备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67.9pt;height:31.2pt;mso-position-horizontal-relative:char;mso-position-vertical-relative:line" coordorigin="0,0" coordsize="1358,624">
                  <v:group style="position:absolute;left:0;top:0;width:1358;height:624" coordorigin="0,0" coordsize="1358,624">
                    <v:shape style="position:absolute;left:0;top:0;width:1358;height:624" coordorigin="0,0" coordsize="1358,624" path="m0,624l1357,624,1357,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保定先河正源环 境资源科技有限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雄县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雄县</w:t>
            </w:r>
          </w:p>
        </w:tc>
        <w:tc>
          <w:tcPr>
            <w:tcW w:w="136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从事环保治理设 </w:t>
            </w:r>
            <w:r>
              <w:rPr>
                <w:rFonts w:ascii="宋体" w:hAnsi="宋体" w:cs="宋体" w:eastAsia="宋体" w:hint="default"/>
                <w:spacing w:val="-6"/>
                <w:sz w:val="18"/>
                <w:szCs w:val="18"/>
              </w:rPr>
              <w:t>施、设备的研发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生产、加工安装</w:t>
            </w:r>
          </w:p>
        </w:tc>
        <w:tc>
          <w:tcPr>
            <w:tcW w:w="136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河北先河正态环 境检测有限公司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第三方检测服务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河北先河正阳环 保设备销售有限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环境设备的销售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河北先河正达环 保技术服务有限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环境监测设施、 环境治理设施的 运营技术服务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重庆冀华环保科 技发展有限公司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环保设备的安装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重庆冀华正态检 测技术有限公司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环境质量检测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四川广迈富宇建 设工程有限公司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18"/>
              <w:jc w:val="left"/>
              <w:rPr>
                <w:rFonts w:ascii="Times New Roman" w:hAnsi="Times New Roman" w:cs="Times New Roman" w:eastAsia="Times New Roman" w:hint="default"/>
                <w:sz w:val="18"/>
                <w:szCs w:val="18"/>
              </w:rPr>
            </w:pPr>
            <w:r>
              <w:rPr>
                <w:rFonts w:ascii="Times New Roman"/>
                <w:sz w:val="18"/>
              </w:rPr>
              <w:t>SAILHERO</w:t>
            </w:r>
            <w:r>
              <w:rPr>
                <w:rFonts w:ascii="Times New Roman"/>
                <w:spacing w:val="-1"/>
                <w:sz w:val="18"/>
              </w:rPr>
              <w:t> </w:t>
            </w:r>
            <w:r>
              <w:rPr>
                <w:rFonts w:ascii="Times New Roman"/>
                <w:sz w:val="18"/>
              </w:rPr>
              <w:t>US</w:t>
            </w:r>
            <w:r>
              <w:rPr>
                <w:rFonts w:ascii="Times New Roman"/>
                <w:w w:val="99"/>
                <w:sz w:val="18"/>
              </w:rPr>
              <w:t> </w:t>
            </w:r>
            <w:r>
              <w:rPr>
                <w:rFonts w:ascii="Times New Roman"/>
                <w:sz w:val="18"/>
              </w:rPr>
              <w:t>HOLDING</w:t>
            </w:r>
            <w:r>
              <w:rPr>
                <w:rFonts w:ascii="Times New Roman"/>
                <w:spacing w:val="-3"/>
                <w:sz w:val="18"/>
              </w:rPr>
              <w:t> </w:t>
            </w:r>
            <w:r>
              <w:rPr>
                <w:rFonts w:ascii="Times New Roman"/>
                <w:sz w:val="18"/>
              </w:rPr>
              <w: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美国特拉华州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美国特拉华州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投资控股、国际 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97"/>
              <w:jc w:val="left"/>
              <w:rPr>
                <w:rFonts w:ascii="Times New Roman" w:hAnsi="Times New Roman" w:cs="Times New Roman" w:eastAsia="Times New Roman" w:hint="default"/>
                <w:sz w:val="18"/>
                <w:szCs w:val="18"/>
              </w:rPr>
            </w:pPr>
            <w:r>
              <w:rPr>
                <w:rFonts w:ascii="Times New Roman"/>
                <w:sz w:val="18"/>
              </w:rPr>
              <w:t>SUNSET</w:t>
            </w:r>
            <w:r>
              <w:rPr>
                <w:rFonts w:ascii="Times New Roman"/>
                <w:spacing w:val="-4"/>
                <w:sz w:val="18"/>
              </w:rPr>
              <w:t> </w:t>
            </w:r>
            <w:r>
              <w:rPr>
                <w:rFonts w:ascii="Times New Roman"/>
                <w:sz w:val="18"/>
              </w:rPr>
              <w:t>CES</w:t>
            </w:r>
            <w:r>
              <w:rPr>
                <w:rFonts w:ascii="Times New Roman"/>
                <w:sz w:val="18"/>
              </w:rPr>
              <w:t> </w:t>
            </w:r>
            <w:r>
              <w:rPr>
                <w:rFonts w:ascii="Times New Roman"/>
                <w:spacing w:val="-2"/>
                <w:sz w:val="18"/>
              </w:rPr>
              <w:t>INCORPORATE</w:t>
            </w:r>
            <w:r>
              <w:rPr>
                <w:rFonts w:ascii="Times New Roman"/>
                <w:sz w:val="18"/>
              </w:rPr>
              <w:t> 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美国俄勒冈州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美国俄勒冈州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8"/>
              <w:jc w:val="left"/>
              <w:rPr>
                <w:rFonts w:ascii="Times New Roman" w:hAnsi="Times New Roman" w:cs="Times New Roman" w:eastAsia="Times New Roman" w:hint="default"/>
                <w:sz w:val="18"/>
                <w:szCs w:val="18"/>
              </w:rPr>
            </w:pPr>
            <w:r>
              <w:rPr>
                <w:rFonts w:ascii="Times New Roman"/>
                <w:sz w:val="18"/>
              </w:rPr>
              <w:t>COOPER</w:t>
            </w:r>
            <w:r>
              <w:rPr>
                <w:rFonts w:ascii="Times New Roman"/>
                <w:w w:val="99"/>
                <w:sz w:val="18"/>
              </w:rPr>
              <w:t> </w:t>
            </w:r>
            <w:r>
              <w:rPr>
                <w:rFonts w:ascii="Times New Roman"/>
                <w:sz w:val="18"/>
              </w:rPr>
              <w:t>ENVIRONMENT</w:t>
            </w:r>
            <w:r>
              <w:rPr>
                <w:rFonts w:ascii="Times New Roman"/>
                <w:sz w:val="18"/>
              </w:rPr>
              <w:t> AL</w:t>
            </w:r>
            <w:r>
              <w:rPr>
                <w:rFonts w:ascii="Times New Roman"/>
                <w:w w:val="99"/>
                <w:sz w:val="18"/>
              </w:rPr>
              <w:t> </w:t>
            </w:r>
            <w:r>
              <w:rPr>
                <w:rFonts w:ascii="Times New Roman"/>
                <w:sz w:val="18"/>
              </w:rPr>
              <w:t>SERVICES,LLC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美国俄勒冈州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美国俄勒冈州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18"/>
              <w:jc w:val="left"/>
              <w:rPr>
                <w:rFonts w:ascii="Times New Roman" w:hAnsi="Times New Roman" w:cs="Times New Roman" w:eastAsia="Times New Roman" w:hint="default"/>
                <w:sz w:val="18"/>
                <w:szCs w:val="18"/>
              </w:rPr>
            </w:pPr>
            <w:r>
              <w:rPr>
                <w:rFonts w:ascii="Times New Roman"/>
                <w:sz w:val="18"/>
              </w:rPr>
              <w:t>Sunset Laboratory</w:t>
            </w:r>
            <w:r>
              <w:rPr>
                <w:rFonts w:ascii="Times New Roman"/>
                <w:spacing w:val="-3"/>
                <w:sz w:val="18"/>
              </w:rPr>
              <w:t> </w:t>
            </w:r>
            <w:r>
              <w:rPr>
                <w:rFonts w:ascii="Times New Roman"/>
                <w:sz w:val="18"/>
              </w:rPr>
              <w: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美国俄勒冈州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美国俄勒冈州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广东科迪隆科技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环境监测专用仪 器销售、研发及 运营服务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31.720001pt;margin-top:262.099976pt;width:65.6pt;height:19.650pt;mso-position-horizontal-relative:page;mso-position-vertical-relative:page;z-index:-906712" coordorigin="6634,5242" coordsize="1312,393">
            <v:shape style="position:absolute;left:6634;top:5242;width:1312;height:393" coordorigin="6634,5242" coordsize="1312,393" path="m6634,5634l7946,5634,7946,5242,6634,5242,6634,563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423"/>
        <w:gridCol w:w="944"/>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广州博世芬科技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环保仪器及工程 设计、货物进出 口</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广州市云景信息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技术软件开发和 服务</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广西先得环保科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环境监测专用仪 器销售、研发及 运营服务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广西科测检测技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环境技术咨询服 务；环境检测</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四川久环环境技 术有限责任公司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1367"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环境监测设备销 </w:t>
            </w:r>
            <w:r>
              <w:rPr>
                <w:rFonts w:ascii="宋体" w:hAnsi="宋体" w:cs="宋体" w:eastAsia="宋体" w:hint="default"/>
                <w:spacing w:val="-6"/>
                <w:sz w:val="18"/>
                <w:szCs w:val="18"/>
              </w:rPr>
              <w:t>售、安装、运营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软件研发</w:t>
            </w:r>
          </w:p>
        </w:tc>
        <w:tc>
          <w:tcPr>
            <w:tcW w:w="423" w:type="dxa"/>
            <w:tcBorders>
              <w:top w:val="single" w:sz="4" w:space="0" w:color="000000"/>
              <w:left w:val="single" w:sz="13" w:space="0" w:color="FFFFFF"/>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9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河北先河正合环 境科技有限公司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环境污染技术治 理研发、技术咨 询、技术服务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53.00%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重庆渝凡实业有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从事建筑相关业 务</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bl>
    <w:p>
      <w:pPr>
        <w:pStyle w:val="BodyText"/>
        <w:spacing w:line="360" w:lineRule="auto" w:before="51"/>
        <w:ind w:right="283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right="7692"/>
        <w:jc w:val="left"/>
      </w:pPr>
      <w:r>
        <w:rPr/>
        <w:t>确定公司是代理人还是委托人的依据： 其他说明：</w:t>
      </w:r>
    </w:p>
    <w:p>
      <w:pPr>
        <w:pStyle w:val="BodyText"/>
        <w:spacing w:line="300" w:lineRule="auto" w:before="107"/>
        <w:ind w:right="1032" w:firstLine="360"/>
        <w:jc w:val="left"/>
      </w:pPr>
      <w:r>
        <w:rPr/>
        <w:t>河北先河正源环境治理技术有限公司注册资本</w:t>
      </w:r>
      <w:r>
        <w:rPr>
          <w:rFonts w:ascii="Times New Roman" w:hAnsi="Times New Roman" w:cs="Times New Roman" w:eastAsia="Times New Roman" w:hint="default"/>
        </w:rPr>
        <w:t>3,000.00</w:t>
      </w:r>
      <w:r>
        <w:rPr/>
        <w:t>万元，实收资本</w:t>
      </w:r>
      <w:r>
        <w:rPr>
          <w:rFonts w:ascii="Times New Roman" w:hAnsi="Times New Roman" w:cs="Times New Roman" w:eastAsia="Times New Roman" w:hint="default"/>
        </w:rPr>
        <w:t>2,700.00</w:t>
      </w:r>
      <w:r>
        <w:rPr/>
        <w:t>万元，均由本公司认缴。根据双方约定， 股东按照实缴的出资比例享有收益，承担亏损。本公司在编制合并报表时对该公司按</w:t>
      </w:r>
      <w:r>
        <w:rPr>
          <w:rFonts w:ascii="Times New Roman" w:hAnsi="Times New Roman" w:cs="Times New Roman" w:eastAsia="Times New Roman" w:hint="default"/>
        </w:rPr>
        <w:t>100%</w:t>
      </w:r>
      <w:r>
        <w:rPr/>
        <w:t>股权比例进行合并。</w:t>
      </w:r>
    </w:p>
    <w:p>
      <w:pPr>
        <w:pStyle w:val="BodyText"/>
        <w:spacing w:line="300" w:lineRule="auto" w:before="133"/>
        <w:ind w:right="1131" w:firstLine="360"/>
        <w:jc w:val="right"/>
      </w:pPr>
      <w:r>
        <w:rPr>
          <w:spacing w:val="-1"/>
        </w:rPr>
        <w:t>河北先河正阳环保设备销售有限公司注册资本</w:t>
      </w:r>
      <w:r>
        <w:rPr>
          <w:rFonts w:ascii="Times New Roman" w:hAnsi="Times New Roman" w:cs="Times New Roman" w:eastAsia="Times New Roman" w:hint="default"/>
          <w:spacing w:val="-1"/>
        </w:rPr>
        <w:t>2,000.00</w:t>
      </w:r>
      <w:r>
        <w:rPr>
          <w:spacing w:val="-1"/>
        </w:rPr>
        <w:t>万元，公司及其他股东均未实缴出资，根据补充协议，在其他股</w:t>
      </w:r>
      <w:r>
        <w:rPr/>
        <w:t> 东未实际出资前，由公司享有资产收益和重大决策等权利。本公司在编制合并报表时对该公司按</w:t>
      </w:r>
      <w:r>
        <w:rPr>
          <w:rFonts w:ascii="Times New Roman" w:hAnsi="Times New Roman" w:cs="Times New Roman" w:eastAsia="Times New Roman" w:hint="default"/>
        </w:rPr>
        <w:t>100%</w:t>
      </w:r>
      <w:r>
        <w:rPr/>
        <w:t>股权比例进行合并。</w:t>
      </w:r>
    </w:p>
    <w:p>
      <w:pPr>
        <w:pStyle w:val="BodyText"/>
        <w:spacing w:line="300" w:lineRule="auto" w:before="133"/>
        <w:ind w:right="0" w:firstLine="360"/>
        <w:jc w:val="left"/>
      </w:pPr>
      <w:r>
        <w:rPr>
          <w:spacing w:val="-1"/>
        </w:rPr>
        <w:t>河北先河正达环保技术服务有限公司注册资本</w:t>
      </w:r>
      <w:r>
        <w:rPr>
          <w:rFonts w:ascii="Times New Roman" w:hAnsi="Times New Roman" w:cs="Times New Roman" w:eastAsia="Times New Roman" w:hint="default"/>
          <w:spacing w:val="-1"/>
        </w:rPr>
        <w:t>800.00</w:t>
      </w:r>
      <w:r>
        <w:rPr>
          <w:spacing w:val="-1"/>
        </w:rPr>
        <w:t>万元，公司及其他股东均未实缴出资，根据补充协议，在其他股东</w:t>
      </w:r>
      <w:r>
        <w:rPr/>
        <w:t> 未实际出资前，由公司享有资产收益和重大决策等权利。本公司在编制合并报表时对该公司按</w:t>
      </w:r>
      <w:r>
        <w:rPr>
          <w:rFonts w:ascii="Times New Roman" w:hAnsi="Times New Roman" w:cs="Times New Roman" w:eastAsia="Times New Roman" w:hint="default"/>
        </w:rPr>
        <w:t>100%</w:t>
      </w:r>
      <w:r>
        <w:rPr/>
        <w:t>股权比例进行合并。</w:t>
      </w:r>
    </w:p>
    <w:p>
      <w:pPr>
        <w:pStyle w:val="BodyText"/>
        <w:spacing w:line="309" w:lineRule="auto" w:before="133"/>
        <w:ind w:right="0" w:firstLine="505"/>
        <w:jc w:val="left"/>
      </w:pPr>
      <w:r>
        <w:rPr/>
        <w:t>河北先河正合环境科技有限公司注册资本</w:t>
      </w:r>
      <w:r>
        <w:rPr>
          <w:rFonts w:ascii="Times New Roman" w:hAnsi="Times New Roman" w:cs="Times New Roman" w:eastAsia="Times New Roman" w:hint="default"/>
        </w:rPr>
        <w:t>20,000.00</w:t>
      </w:r>
      <w:r>
        <w:rPr/>
        <w:t>万元，截止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日，本公司已缴纳出资</w:t>
      </w:r>
      <w:r>
        <w:rPr>
          <w:rFonts w:ascii="Times New Roman" w:hAnsi="Times New Roman" w:cs="Times New Roman" w:eastAsia="Times New Roman" w:hint="default"/>
        </w:rPr>
        <w:t>4,000.00</w:t>
      </w:r>
      <w:r>
        <w:rPr/>
        <w:t>万元，其 </w:t>
      </w:r>
      <w:r>
        <w:rPr>
          <w:spacing w:val="-4"/>
        </w:rPr>
        <w:t>他股东均未实缴出资，根据股东约定协议，股东各方按照实际缴纳的出资额比例分取红利、分享收益、分配利润、承担亏损。</w:t>
      </w:r>
      <w:r>
        <w:rPr>
          <w:spacing w:val="-44"/>
        </w:rPr>
        <w:t> </w:t>
      </w:r>
      <w:r>
        <w:rPr>
          <w:spacing w:val="-44"/>
        </w:rPr>
      </w:r>
      <w:r>
        <w:rPr/>
        <w:t>本公司在编制合并报表时对该公司按</w:t>
      </w:r>
      <w:r>
        <w:rPr>
          <w:rFonts w:ascii="Times New Roman" w:hAnsi="Times New Roman" w:cs="Times New Roman" w:eastAsia="Times New Roman" w:hint="default"/>
        </w:rPr>
        <w:t>100%</w:t>
      </w:r>
      <w:r>
        <w:rPr/>
        <w:t>股权比例进行合并。</w:t>
      </w:r>
    </w:p>
    <w:p>
      <w:pPr>
        <w:pStyle w:val="BodyText"/>
        <w:spacing w:line="300" w:lineRule="auto" w:before="5"/>
        <w:ind w:right="1131" w:firstLine="505"/>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日，本公司与江寒签署了股权转让协议，将其持有四川先河环保科技有限公司</w:t>
      </w:r>
      <w:r>
        <w:rPr>
          <w:rFonts w:ascii="Times New Roman" w:hAnsi="Times New Roman" w:cs="Times New Roman" w:eastAsia="Times New Roman" w:hint="default"/>
        </w:rPr>
        <w:t>10%</w:t>
      </w:r>
      <w:r>
        <w:rPr/>
        <w:t>的股权以</w:t>
      </w:r>
      <w:r>
        <w:rPr>
          <w:rFonts w:ascii="Times New Roman" w:hAnsi="Times New Roman" w:cs="Times New Roman" w:eastAsia="Times New Roman" w:hint="default"/>
        </w:rPr>
        <w:t>5,173,446.20 </w:t>
      </w:r>
      <w:r>
        <w:rPr>
          <w:spacing w:val="-2"/>
        </w:rPr>
        <w:t>元的价格转让给江寒，截止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日，江寒尚未支付股权转让款，出于谨慎性原则，本公司在编制合并报表时对四川</w:t>
      </w:r>
      <w:r>
        <w:rPr>
          <w:spacing w:val="-58"/>
        </w:rPr>
        <w:t> </w:t>
      </w:r>
      <w:r>
        <w:rPr>
          <w:spacing w:val="-58"/>
        </w:rPr>
      </w:r>
      <w:r>
        <w:rPr/>
        <w:t>先河环保科技有限公司仍按</w:t>
      </w:r>
      <w:r>
        <w:rPr>
          <w:rFonts w:ascii="Times New Roman" w:hAnsi="Times New Roman" w:cs="Times New Roman" w:eastAsia="Times New Roman" w:hint="default"/>
        </w:rPr>
        <w:t>100%</w:t>
      </w:r>
      <w:r>
        <w:rPr/>
        <w:t>股权比例进行合并。</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重要的非全资子公司" w:id="325"/>
      <w:bookmarkEnd w:id="32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01"/>
      </w:tblGrid>
      <w:tr>
        <w:trPr>
          <w:trHeight w:val="362"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本期归属于少数股东的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本期向少数股东宣告分</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402"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河北先河金瑞环保设施 运营服务有限公司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-308,202.74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-1,999,299.77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重庆冀华环保科技发展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-1,105,372.73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812,071.94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12"/>
              <w:jc w:val="left"/>
              <w:rPr>
                <w:rFonts w:ascii="Times New Roman" w:hAnsi="Times New Roman" w:cs="Times New Roman" w:eastAsia="Times New Roman" w:hint="default"/>
                <w:sz w:val="18"/>
                <w:szCs w:val="18"/>
              </w:rPr>
            </w:pPr>
            <w:r>
              <w:rPr>
                <w:rFonts w:ascii="Times New Roman"/>
                <w:sz w:val="18"/>
              </w:rPr>
              <w:t>SUNSET</w:t>
            </w:r>
            <w:r>
              <w:rPr>
                <w:rFonts w:ascii="Times New Roman"/>
                <w:spacing w:val="-4"/>
                <w:sz w:val="18"/>
              </w:rPr>
              <w:t> </w:t>
            </w:r>
            <w:r>
              <w:rPr>
                <w:rFonts w:ascii="Times New Roman"/>
                <w:sz w:val="18"/>
              </w:rPr>
              <w:t>CES</w:t>
            </w:r>
            <w:r>
              <w:rPr>
                <w:rFonts w:ascii="Times New Roman"/>
                <w:sz w:val="18"/>
              </w:rPr>
              <w:t> </w:t>
            </w:r>
            <w:r>
              <w:rPr>
                <w:rFonts w:ascii="Times New Roman"/>
                <w:spacing w:val="-2"/>
                <w:sz w:val="18"/>
              </w:rPr>
              <w:t>INCORPORATED</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1,512,523.47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925,055.04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11,088,825.27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广东科迪隆科技有限公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5,936,880.95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4,496,504.00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32,122,503.37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广西先得环保科技有限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657,741.40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1,401,400.00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9,145,950.04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四川久环环境技术有限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1,093,488.43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1,996,371.76</w:t>
            </w:r>
          </w:p>
        </w:tc>
      </w:tr>
    </w:tbl>
    <w:p>
      <w:pPr>
        <w:pStyle w:val="BodyText"/>
        <w:spacing w:line="360" w:lineRule="auto" w:before="51"/>
        <w:ind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重要非全资子公司的主要财务信息" w:id="326"/>
      <w:bookmarkEnd w:id="32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河北先 河金瑞 环保设 施运营 服务有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217,401.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17,340.9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234,742.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8,231,94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1.32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8,231,94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425,427.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34,601.6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460,028.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7,224,41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6.97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7,224,41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6.97</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重庆冀 华环保 科技发 展有限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81,151,7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60.93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1,645,65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82,797,4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19.23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80,767,2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39.42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80,767,2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57,884,4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55.68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2,760,41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9.75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60,644,8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75.43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56,757,0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77.20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56,757,0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77.20</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3"/>
              <w:jc w:val="left"/>
              <w:rPr>
                <w:rFonts w:ascii="Times New Roman" w:hAnsi="Times New Roman" w:cs="Times New Roman" w:eastAsia="Times New Roman" w:hint="default"/>
                <w:sz w:val="18"/>
                <w:szCs w:val="18"/>
              </w:rPr>
            </w:pPr>
            <w:r>
              <w:rPr>
                <w:rFonts w:ascii="Times New Roman"/>
                <w:sz w:val="18"/>
              </w:rPr>
              <w:t>SUNSET CES INCORP</w:t>
            </w:r>
            <w:r>
              <w:rPr>
                <w:rFonts w:ascii="Times New Roman"/>
                <w:w w:val="99"/>
                <w:sz w:val="18"/>
              </w:rPr>
              <w:t> </w:t>
            </w:r>
            <w:r>
              <w:rPr>
                <w:rFonts w:ascii="Times New Roman"/>
                <w:spacing w:val="-5"/>
                <w:sz w:val="18"/>
              </w:rPr>
              <w:t>ORATE</w:t>
            </w:r>
            <w:r>
              <w:rPr>
                <w:rFonts w:ascii="Times New Roman"/>
                <w:spacing w:val="-43"/>
                <w:sz w:val="18"/>
              </w:rPr>
              <w:t> </w:t>
            </w:r>
            <w:r>
              <w:rPr>
                <w:rFonts w:ascii="Times New Roman"/>
                <w:spacing w:val="-43"/>
                <w:sz w:val="18"/>
              </w:rPr>
            </w:r>
            <w:r>
              <w:rPr>
                <w:rFonts w:ascii="Times New Roman"/>
                <w:sz w:val="18"/>
              </w:rPr>
              <w:t>D</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34,427,1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70.95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65,255,7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67.03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99,682,9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37.98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9,388,41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3.12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9,388,41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3.12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23,825,8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9,018,23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8.78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32,844,0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79.64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7,526,61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9.07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7,526,61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9.07</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1"/>
              <w:jc w:val="left"/>
              <w:rPr>
                <w:rFonts w:ascii="宋体" w:hAnsi="宋体" w:cs="宋体" w:eastAsia="宋体" w:hint="default"/>
                <w:sz w:val="18"/>
                <w:szCs w:val="18"/>
              </w:rPr>
            </w:pPr>
            <w:r>
              <w:rPr>
                <w:rFonts w:ascii="宋体" w:hAnsi="宋体" w:cs="宋体" w:eastAsia="宋体" w:hint="default"/>
                <w:sz w:val="18"/>
                <w:szCs w:val="18"/>
              </w:rPr>
              <w:t>广东科 迪隆科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197,631,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336.89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11,147,5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74.33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208,778,</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911.22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90,702,6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46.85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90,702,6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46.85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172,489,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844.85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10,702,2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47.59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183,192,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092.44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65,526,1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67.72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481,426.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66,007,5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94.68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6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技有限 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广西先 得环保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76,284,4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48.66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5,944,15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82,228,6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03.45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38,498,4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06.34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38,498,4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65,647,6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4,084,18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5.43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69,731,8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63.92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22,828,3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65.65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22,828,3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65.65</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四川久 环环境 技术有 限责任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48,518,5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60.03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1,165,20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49,683,7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62.29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39,422,2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25.12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279,678.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39,701,9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03.48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13,074,5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26.20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964,771.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14,039,2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9,405,36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119,517.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9,524,88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0.66</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河北先河金 瑞环保设施 运营服务有 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-1,232,810.95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-1,232,810.95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-191,010.49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-2,445,160.74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-2,445,160.74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78,354.73</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重庆冀华环 保科技发展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20,563,349.1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-2,763,431.85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-2,763,431.85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508,127.40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23,952,315.8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-3,368,909.61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-3,368,909.61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-332,637.06</w:t>
            </w:r>
            <w:r>
              <w:rPr>
                <w:rFonts w:ascii="Times New Roman"/>
                <w:sz w:val="18"/>
              </w:rPr>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19"/>
              <w:jc w:val="left"/>
              <w:rPr>
                <w:rFonts w:ascii="Times New Roman" w:hAnsi="Times New Roman" w:cs="Times New Roman" w:eastAsia="Times New Roman" w:hint="default"/>
                <w:sz w:val="18"/>
                <w:szCs w:val="18"/>
              </w:rPr>
            </w:pPr>
            <w:r>
              <w:rPr>
                <w:rFonts w:ascii="Times New Roman"/>
                <w:sz w:val="18"/>
              </w:rPr>
              <w:t>SUNSET CES INCORPOR</w:t>
            </w:r>
            <w:r>
              <w:rPr>
                <w:rFonts w:ascii="Times New Roman"/>
                <w:w w:val="99"/>
                <w:sz w:val="18"/>
              </w:rPr>
              <w:t> </w:t>
            </w:r>
            <w:r>
              <w:rPr>
                <w:rFonts w:ascii="Times New Roman"/>
                <w:spacing w:val="-6"/>
                <w:sz w:val="18"/>
              </w:rPr>
              <w:t>ATED</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67,369,357.0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3,482,609.53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4,919,153.27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-1,206,923.65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56,449,705.3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7,214,313.25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5,781,305.46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7,417,875.34</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广东科迪隆 科技有限公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138,607,703.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18,721,766.6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18,721,766.6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13,317,573.3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164,243,086.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33,327,059.2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33,327,059.2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54,404,113.9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广西先得环 保科技有限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66,289,316.4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3,833,698.84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3,833,698.84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1,021,065.01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45,026,261.2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4,528,375.09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4,528,375.09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-31,844,995.0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四川久环环 境技术有限 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38,705,935.7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5,467,442.14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5,467,442.14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-2,070,608.05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17,224,099.6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2,982,862.96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2,982,862.96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3,030,362.06</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在子公司的所有者权益份额发生变化且仍控制子公司的交易" w:id="327"/>
      <w:bookmarkEnd w:id="32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28"/>
      <w:bookmarkEnd w:id="328"/>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与金融工具相关的风险" w:id="329"/>
      <w:bookmarkEnd w:id="329"/>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42" w:firstLine="420"/>
        <w:jc w:val="both"/>
      </w:pPr>
      <w:r>
        <w:rPr/>
        <w:t>本公司从事风险管理的目标是在风险和收益之间取得适当的平衡，将风险对本公司经营业绩的负面影响降低到最低水 </w:t>
      </w:r>
      <w:r>
        <w:rPr>
          <w:spacing w:val="-2"/>
        </w:rPr>
        <w:t>平，使股东及其他权益投资者的利益最大化。基于该风险管理目标，本公司风险管理的基本策略是确定和分析本公司所面临</w:t>
      </w:r>
      <w:r>
        <w:rPr>
          <w:spacing w:val="-66"/>
        </w:rPr>
        <w:t> </w:t>
      </w:r>
      <w:r>
        <w:rPr>
          <w:spacing w:val="-66"/>
        </w:rPr>
      </w:r>
      <w:r>
        <w:rPr>
          <w:spacing w:val="-4"/>
        </w:rPr>
        <w:t>的各种风险，建立适当的风险承受底线和进行风险管理，并及时可靠地对各种风险进行监督，将风险控制在限定的范围之内。</w:t>
      </w:r>
    </w:p>
    <w:p>
      <w:pPr>
        <w:pStyle w:val="BodyText"/>
        <w:spacing w:line="316" w:lineRule="auto" w:before="19"/>
        <w:ind w:right="1133" w:firstLine="420"/>
        <w:jc w:val="both"/>
      </w:pPr>
      <w:r>
        <w:rPr/>
        <w:t>本公司的主要金融工具包括股权投资、借款、应收账款、应付账款等，各项金融工具的详细情况说明见本附注六相关 项目。与这些金融工具有关的风险，主要包括市场风险、信用风险和流动风险。</w:t>
      </w:r>
    </w:p>
    <w:p>
      <w:pPr>
        <w:pStyle w:val="Heading5"/>
        <w:spacing w:line="240" w:lineRule="auto" w:before="19"/>
        <w:ind w:left="576" w:right="0"/>
        <w:jc w:val="left"/>
        <w:rPr>
          <w:b w:val="0"/>
          <w:bCs w:val="0"/>
        </w:rPr>
      </w:pPr>
      <w:r>
        <w:rPr>
          <w:rFonts w:ascii="Times New Roman" w:hAnsi="Times New Roman" w:cs="Times New Roman" w:eastAsia="Times New Roman" w:hint="default"/>
        </w:rPr>
        <w:t>1</w:t>
      </w:r>
      <w:r>
        <w:rPr/>
        <w:t>、市场风险</w:t>
      </w:r>
      <w:r>
        <w:rPr>
          <w:b w:val="0"/>
          <w:bCs w:val="0"/>
        </w:rPr>
      </w:r>
    </w:p>
    <w:p>
      <w:pPr>
        <w:pStyle w:val="BodyText"/>
        <w:spacing w:line="300" w:lineRule="auto" w:before="123"/>
        <w:ind w:left="574" w:right="1118" w:hanging="203"/>
        <w:jc w:val="left"/>
      </w:pPr>
      <w:r>
        <w:rPr/>
        <w:t>（</w:t>
      </w:r>
      <w:r>
        <w:rPr>
          <w:rFonts w:ascii="Times New Roman" w:hAnsi="Times New Roman" w:cs="Times New Roman" w:eastAsia="Times New Roman" w:hint="default"/>
        </w:rPr>
        <w:t>1</w:t>
      </w:r>
      <w:r>
        <w:rPr/>
        <w:t>）外汇风险 外汇风险指因汇率变动产生损失的风险。于本财务报告年间，由于本公司的主要经营业务开展于中国大陆，其主要的</w:t>
      </w:r>
    </w:p>
    <w:p>
      <w:pPr>
        <w:pStyle w:val="BodyText"/>
        <w:spacing w:line="240" w:lineRule="auto" w:before="31"/>
        <w:ind w:right="0"/>
        <w:jc w:val="left"/>
      </w:pPr>
      <w:r>
        <w:rPr/>
        <w:t>收入和支出主要以人民币计价。外币汇率的浮动对本公司的经营业绩预期并不产生重大影响。</w:t>
      </w:r>
    </w:p>
    <w:p>
      <w:pPr>
        <w:pStyle w:val="BodyText"/>
        <w:spacing w:line="300" w:lineRule="auto" w:before="136"/>
        <w:ind w:right="0" w:firstLine="290"/>
        <w:jc w:val="left"/>
      </w:pPr>
      <w:r>
        <w:rPr/>
        <w:t>（</w:t>
      </w:r>
      <w:r>
        <w:rPr>
          <w:rFonts w:ascii="Times New Roman" w:hAnsi="Times New Roman" w:cs="Times New Roman" w:eastAsia="Times New Roman" w:hint="default"/>
        </w:rPr>
        <w:t>2</w:t>
      </w:r>
      <w:r>
        <w:rPr/>
        <w:t>）利率风险：是指金融工具的公允价值或未来现金流量因市场利率变动而发生波动的风险。本公司面临的市场风险 主要与本公司以浮动利率计息的借款有关。</w:t>
      </w:r>
    </w:p>
    <w:p>
      <w:pPr>
        <w:pStyle w:val="BodyText"/>
        <w:spacing w:line="300" w:lineRule="auto" w:before="31"/>
        <w:ind w:right="0" w:firstLine="526"/>
        <w:jc w:val="left"/>
      </w:pP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日，公司短期借款</w:t>
      </w:r>
      <w:r>
        <w:rPr>
          <w:rFonts w:ascii="Times New Roman" w:hAnsi="Times New Roman" w:cs="Times New Roman" w:eastAsia="Times New Roman" w:hint="default"/>
          <w:spacing w:val="-1"/>
        </w:rPr>
        <w:t>13,400</w:t>
      </w:r>
      <w:r>
        <w:rPr>
          <w:spacing w:val="-1"/>
        </w:rPr>
        <w:t>万元，在其他变量不变的假设下，利率发生合理变动时，将不会对公司的</w:t>
      </w:r>
      <w:r>
        <w:rPr/>
        <w:t> 营业利润和股东权益产生重大的影响。</w:t>
      </w:r>
    </w:p>
    <w:p>
      <w:pPr>
        <w:pStyle w:val="BodyText"/>
        <w:spacing w:line="300" w:lineRule="auto" w:before="31"/>
        <w:ind w:left="574" w:right="1118" w:firstLine="2"/>
        <w:jc w:val="left"/>
      </w:pPr>
      <w:r>
        <w:rPr>
          <w:rFonts w:ascii="Times New Roman" w:hAnsi="Times New Roman" w:cs="Times New Roman" w:eastAsia="Times New Roman" w:hint="default"/>
          <w:b/>
          <w:bCs/>
        </w:rPr>
        <w:t>2</w:t>
      </w:r>
      <w:r>
        <w:rPr>
          <w:rFonts w:ascii="宋体" w:hAnsi="宋体" w:cs="宋体" w:eastAsia="宋体" w:hint="default"/>
          <w:b/>
          <w:bCs/>
        </w:rPr>
        <w:t>、信用风险</w:t>
      </w:r>
      <w:r>
        <w:rPr>
          <w:rFonts w:ascii="宋体" w:hAnsi="宋体" w:cs="宋体" w:eastAsia="宋体" w:hint="default"/>
          <w:b/>
          <w:bCs/>
          <w:w w:val="99"/>
        </w:rPr>
        <w:t> </w:t>
      </w:r>
      <w:r>
        <w:rPr/>
        <w:t>信用风险，是指金融工具的一方不能履行义务，造成另一方发生财务损失的风险。本公司的信用风险来自银行存款、</w:t>
      </w:r>
    </w:p>
    <w:p>
      <w:pPr>
        <w:pStyle w:val="BodyText"/>
        <w:spacing w:line="240" w:lineRule="auto" w:before="31"/>
        <w:ind w:right="0"/>
        <w:jc w:val="left"/>
      </w:pPr>
      <w:r>
        <w:rPr/>
        <w:t>应收款项。</w:t>
      </w:r>
    </w:p>
    <w:p>
      <w:pPr>
        <w:pStyle w:val="BodyText"/>
        <w:spacing w:line="316" w:lineRule="auto" w:before="76"/>
        <w:ind w:left="574" w:right="0"/>
        <w:jc w:val="left"/>
      </w:pPr>
      <w:r>
        <w:rPr/>
        <w:t>本公司的大部分银行存款存放在信用评级较高的大型国有银行，本公司认为该等资产不存在重大的信用风险。 对于应收账款、其他应收款和应收票据，销售部基于财务状况、历史经验及其它因素来评估客户的信用品质。本公司</w:t>
      </w:r>
    </w:p>
    <w:p>
      <w:pPr>
        <w:pStyle w:val="BodyText"/>
        <w:spacing w:line="316" w:lineRule="auto" w:before="19"/>
        <w:ind w:right="1118"/>
        <w:jc w:val="left"/>
      </w:pPr>
      <w:r>
        <w:rPr>
          <w:spacing w:val="-2"/>
        </w:rPr>
        <w:t>定期评估客户的信用品质并且认为在财务报表中已经计提了足额坏账准备。管理层认为不存在由于对方违约带来的进一步损</w:t>
      </w:r>
      <w:r>
        <w:rPr>
          <w:spacing w:val="-64"/>
        </w:rPr>
        <w:t> </w:t>
      </w:r>
      <w:r>
        <w:rPr>
          <w:spacing w:val="-64"/>
        </w:rPr>
      </w:r>
      <w:r>
        <w:rPr/>
        <w:t>失。</w:t>
      </w:r>
    </w:p>
    <w:p>
      <w:pPr>
        <w:pStyle w:val="BodyText"/>
        <w:spacing w:line="240" w:lineRule="auto" w:before="19"/>
        <w:ind w:left="574" w:right="0"/>
        <w:jc w:val="left"/>
      </w:pPr>
      <w:r>
        <w:rPr/>
        <w:t>由于本公司的风险敞口分布在多个合同方和多个客户，因此本公司没有重大的信用集中风险。</w:t>
      </w:r>
    </w:p>
    <w:p>
      <w:pPr>
        <w:pStyle w:val="BodyText"/>
        <w:spacing w:line="309" w:lineRule="auto" w:before="76"/>
        <w:ind w:right="0" w:firstLine="422"/>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w w:val="99"/>
        </w:rPr>
        <w:t> </w:t>
      </w:r>
      <w:r>
        <w:rPr>
          <w:spacing w:val="-2"/>
        </w:rPr>
        <w:t>流动风险，是指企业在履行以交付现金或其他金融资产的方式结算的义务时发生资金短缺的风险。管理流动风险时，本公司</w:t>
      </w:r>
      <w:r>
        <w:rPr>
          <w:spacing w:val="-66"/>
        </w:rPr>
        <w:t> </w:t>
      </w:r>
      <w:r>
        <w:rPr>
          <w:spacing w:val="-66"/>
        </w:rPr>
      </w:r>
      <w:r>
        <w:rPr/>
        <w:t>保持管理层认为充分的现金及现金等价物并对其进行监控，以满足本公司经营需要，并降低现金流量波动的影响。</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十一、关联方及关联交易" w:id="330"/>
      <w:bookmarkEnd w:id="330"/>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331"/>
      <w:bookmarkEnd w:id="331"/>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240" w:lineRule="auto" w:before="52"/>
        <w:ind w:right="0"/>
        <w:jc w:val="left"/>
      </w:pPr>
      <w:r>
        <w:rPr/>
        <w:t>本企业的母公司情况的说明</w:t>
      </w:r>
    </w:p>
    <w:p>
      <w:pPr>
        <w:pStyle w:val="BodyText"/>
        <w:spacing w:line="300" w:lineRule="auto" w:before="115"/>
        <w:ind w:right="1197"/>
        <w:jc w:val="left"/>
      </w:pPr>
      <w:r>
        <w:rPr/>
        <w:t>本公司第一大股东和实际控制人为：李玉国，截止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日李玉国持股比例和表决权比例同为</w:t>
      </w:r>
      <w:r>
        <w:rPr>
          <w:rFonts w:ascii="Times New Roman" w:hAnsi="Times New Roman" w:cs="Times New Roman" w:eastAsia="Times New Roman" w:hint="default"/>
        </w:rPr>
        <w:t>14.86%</w:t>
      </w:r>
      <w:r>
        <w:rPr/>
        <w:t>。本公司最终 控制人为李玉国。</w:t>
      </w:r>
    </w:p>
    <w:p>
      <w:pPr>
        <w:pStyle w:val="BodyText"/>
        <w:spacing w:line="240" w:lineRule="auto" w:before="72"/>
        <w:ind w:right="0"/>
        <w:jc w:val="left"/>
      </w:pPr>
      <w:r>
        <w:rPr/>
        <w:t>本企业最终控制方是李玉国。</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spacing w:line="547" w:lineRule="auto" w:before="0"/>
        <w:ind w:left="154" w:right="6162" w:firstLine="0"/>
        <w:jc w:val="left"/>
        <w:rPr>
          <w:rFonts w:ascii="宋体" w:hAnsi="宋体" w:cs="宋体" w:eastAsia="宋体" w:hint="default"/>
          <w:sz w:val="21"/>
          <w:szCs w:val="21"/>
        </w:rPr>
      </w:pPr>
      <w:bookmarkStart w:name="2、本企业的子公司情况" w:id="332"/>
      <w:bookmarkEnd w:id="33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333"/>
      <w:bookmarkEnd w:id="33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57" w:lineRule="auto" w:before="51"/>
        <w:ind w:right="2292"/>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关联交易情况" w:id="334"/>
      <w:bookmarkEnd w:id="334"/>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关键管理人员报酬" w:id="335"/>
      <w:bookmarkEnd w:id="335"/>
      <w:r>
        <w:rPr>
          <w:b w:val="0"/>
          <w:bCs w:val="0"/>
        </w:rPr>
      </w:r>
      <w:r>
        <w:rPr/>
        <w:t>（</w:t>
      </w:r>
      <w:r>
        <w:rPr>
          <w:rFonts w:ascii="Times New Roman" w:hAnsi="Times New Roman" w:cs="Times New Roman" w:eastAsia="Times New Roman" w:hint="default"/>
        </w:rPr>
        <w:t>1</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2,336,654.40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2,997,310.00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关联方承诺" w:id="336"/>
      <w:bookmarkEnd w:id="336"/>
      <w:r>
        <w:rPr>
          <w:b w:val="0"/>
          <w:bCs w:val="0"/>
        </w:rPr>
      </w:r>
      <w:r>
        <w:rPr>
          <w:rFonts w:ascii="Times New Roman" w:hAnsi="Times New Roman" w:cs="Times New Roman" w:eastAsia="Times New Roman" w:hint="default"/>
        </w:rPr>
        <w:t>5</w:t>
      </w:r>
      <w:r>
        <w:rPr/>
        <w:t>、关联方承诺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565" w:right="0"/>
        <w:jc w:val="left"/>
      </w:pPr>
      <w:r>
        <w:rPr/>
        <w:t>报告期内本公司未发生关联方承诺事项。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2"/>
        <w:spacing w:line="240" w:lineRule="auto"/>
        <w:ind w:right="0"/>
        <w:jc w:val="left"/>
        <w:rPr>
          <w:b w:val="0"/>
          <w:bCs w:val="0"/>
        </w:rPr>
      </w:pPr>
      <w:bookmarkStart w:name="十二、承诺及或有事项" w:id="337"/>
      <w:bookmarkEnd w:id="337"/>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338"/>
      <w:bookmarkEnd w:id="338"/>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9"/>
        <w:rPr>
          <w:rFonts w:ascii="宋体" w:hAnsi="宋体" w:cs="宋体" w:eastAsia="宋体" w:hint="default"/>
          <w:b/>
          <w:bCs/>
          <w:sz w:val="26"/>
          <w:szCs w:val="26"/>
        </w:rPr>
      </w:pPr>
    </w:p>
    <w:p>
      <w:pPr>
        <w:pStyle w:val="BodyText"/>
        <w:spacing w:line="376" w:lineRule="auto"/>
        <w:ind w:left="580" w:right="7806" w:hanging="426"/>
        <w:jc w:val="left"/>
      </w:pPr>
      <w:r>
        <w:rPr/>
        <w:t>资产负债表日存在的重要承诺 本公司无需披露的重大承诺事项</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pStyle w:val="Heading3"/>
        <w:spacing w:line="240" w:lineRule="auto"/>
        <w:ind w:right="0"/>
        <w:jc w:val="left"/>
        <w:rPr>
          <w:b w:val="0"/>
          <w:bCs w:val="0"/>
        </w:rPr>
      </w:pPr>
      <w:bookmarkStart w:name="2、或有事项" w:id="339"/>
      <w:bookmarkEnd w:id="33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340"/>
      <w:bookmarkEnd w:id="34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日，本公司已开具未到期的信用保函共计</w:t>
      </w:r>
      <w:r>
        <w:rPr>
          <w:rFonts w:ascii="Times New Roman" w:hAnsi="Times New Roman" w:cs="Times New Roman" w:eastAsia="Times New Roman" w:hint="default"/>
        </w:rPr>
        <w:t>20,041,137.80</w:t>
      </w:r>
      <w:r>
        <w:rPr/>
        <w:t>元，本期末已到期尚未释放的信用保函共计</w:t>
      </w:r>
    </w:p>
    <w:p>
      <w:pPr>
        <w:pStyle w:val="BodyText"/>
        <w:spacing w:line="240" w:lineRule="auto" w:before="63"/>
        <w:ind w:right="0"/>
        <w:jc w:val="left"/>
      </w:pPr>
      <w:r>
        <w:rPr>
          <w:rFonts w:ascii="Times New Roman" w:hAnsi="Times New Roman" w:cs="Times New Roman" w:eastAsia="Times New Roman" w:hint="default"/>
        </w:rPr>
        <w:t>4,109,400.00</w:t>
      </w:r>
      <w:r>
        <w:rPr/>
        <w:t>元。</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公司没有需要披露的重要或有事项，也应予以说明" w:id="341"/>
      <w:bookmarkEnd w:id="34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十三、资产负债表日后事项" w:id="342"/>
      <w:bookmarkEnd w:id="342"/>
      <w:r>
        <w:rPr>
          <w:b w:val="0"/>
          <w:bCs w:val="0"/>
        </w:rPr>
      </w:r>
      <w:r>
        <w:rPr/>
        <w:t>十三、资产负债表日后事项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利润分配情况" w:id="343"/>
      <w:bookmarkEnd w:id="343"/>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其他资产负债表日后事项说明" w:id="344"/>
      <w:bookmarkEnd w:id="344"/>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四、母公司财务报表主要项目注释" w:id="345"/>
      <w:bookmarkEnd w:id="345"/>
      <w:r>
        <w:rPr>
          <w:b w:val="0"/>
          <w:bCs w:val="0"/>
        </w:rPr>
      </w:r>
      <w:r>
        <w:rPr/>
        <w:t>十四、母公司财务报表主要项目注释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及应收账款" w:id="346"/>
      <w:bookmarkEnd w:id="346"/>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504,134,384.18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275,549,504.29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504,134,384.18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275,549,504.29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347"/>
      <w:bookmarkEnd w:id="347"/>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期末公司已背书或贴现且在资产负债表日尚未到期的应收票据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8,436,615.00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8,436,615.00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收账款" w:id="348"/>
      <w:bookmarkEnd w:id="348"/>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46"/>
        <w:gridCol w:w="752"/>
        <w:gridCol w:w="762"/>
        <w:gridCol w:w="774"/>
        <w:gridCol w:w="739"/>
        <w:gridCol w:w="800"/>
        <w:gridCol w:w="655"/>
        <w:gridCol w:w="762"/>
        <w:gridCol w:w="813"/>
        <w:gridCol w:w="932"/>
        <w:gridCol w:w="932"/>
      </w:tblGrid>
      <w:tr>
        <w:trPr>
          <w:trHeight w:val="397"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74"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39"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87,095,9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13.87%</w:t>
            </w:r>
          </w:p>
        </w:tc>
        <w:tc>
          <w:tcPr>
            <w:tcW w:w="77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87,095,90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1" w:right="0"/>
              <w:jc w:val="left"/>
              <w:rPr>
                <w:rFonts w:ascii="Times New Roman" w:hAnsi="Times New Roman" w:cs="Times New Roman" w:eastAsia="Times New Roman" w:hint="default"/>
                <w:sz w:val="18"/>
                <w:szCs w:val="18"/>
              </w:rPr>
            </w:pPr>
            <w:r>
              <w:rPr>
                <w:rFonts w:ascii="Times New Roman"/>
                <w:sz w:val="18"/>
              </w:rPr>
              <w:t>62,629,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16.31%</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62,629,566.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独计提坏账准备的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Times New Roman" w:hAnsi="Times New Roman" w:cs="Times New Roman" w:eastAsia="Times New Roman" w:hint="default"/>
                <w:sz w:val="18"/>
                <w:szCs w:val="18"/>
              </w:rPr>
            </w:pPr>
            <w:r>
              <w:rPr>
                <w:rFonts w:ascii="Times New Roman"/>
                <w:sz w:val="18"/>
              </w:rPr>
              <w:t>04.63</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Times New Roman" w:hAnsi="Times New Roman" w:cs="Times New Roman" w:eastAsia="Times New Roman" w:hint="default"/>
                <w:sz w:val="18"/>
                <w:szCs w:val="18"/>
              </w:rPr>
            </w:pPr>
            <w:r>
              <w:rPr>
                <w:rFonts w:ascii="Times New Roman"/>
                <w:sz w:val="18"/>
              </w:rPr>
              <w:t>4.63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 w:right="0"/>
              <w:jc w:val="left"/>
              <w:rPr>
                <w:rFonts w:ascii="Times New Roman" w:hAnsi="Times New Roman" w:cs="Times New Roman" w:eastAsia="Times New Roman" w:hint="default"/>
                <w:sz w:val="18"/>
                <w:szCs w:val="18"/>
              </w:rPr>
            </w:pPr>
            <w:r>
              <w:rPr>
                <w:rFonts w:ascii="Times New Roman"/>
                <w:sz w:val="18"/>
              </w:rPr>
              <w:t>566.23</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23</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539,920,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058.79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123,867,</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124.24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22.94%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416,052,9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34.55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320,959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,526.46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83.60%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108,388,9</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33.40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212,570,59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3.06</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985,545.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985,545.0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349,345</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349,345.00</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628,001,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508.42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123,867,</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124.24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504,134,3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84.18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383,938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,437.69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108,388,9</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33.40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28.23%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275,549,50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4.29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重庆冀华环保科技发展 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45,006,127.60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四川先河环保科技有限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12,253,135.60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60"/>
              <w:jc w:val="left"/>
              <w:rPr>
                <w:rFonts w:ascii="宋体" w:hAnsi="宋体" w:cs="宋体" w:eastAsia="宋体" w:hint="default"/>
                <w:sz w:val="18"/>
                <w:szCs w:val="18"/>
              </w:rPr>
            </w:pPr>
            <w:r>
              <w:rPr>
                <w:rFonts w:ascii="宋体" w:hAnsi="宋体" w:cs="宋体" w:eastAsia="宋体" w:hint="default"/>
                <w:sz w:val="18"/>
                <w:szCs w:val="18"/>
              </w:rPr>
              <w:t>河北先河正达环保技术 服务有限公司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10,302,696.31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河北先河正态环境检测 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9,407,500.00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广东科迪隆科技有限公 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7,851,085.12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北京先河中润科技有限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2,275,360.00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87,095,904.63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378,720,840.43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18,936,042.02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50,672,642.32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5,067,264.23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15,232,511.50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4,569,753.45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95,294,064.54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95,294,064.54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539,920,058.79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123,867,124.24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22.94%</w:t>
            </w:r>
          </w:p>
        </w:tc>
      </w:tr>
    </w:tbl>
    <w:p>
      <w:pPr>
        <w:pStyle w:val="BodyText"/>
        <w:spacing w:line="240" w:lineRule="auto" w:before="51"/>
        <w:ind w:right="0"/>
        <w:jc w:val="left"/>
      </w:pPr>
      <w:r>
        <w:rPr/>
        <w:t>确定该组合依据的说明：</w:t>
      </w:r>
    </w:p>
    <w:p>
      <w:pPr>
        <w:pStyle w:val="BodyText"/>
        <w:spacing w:line="338" w:lineRule="auto" w:before="116"/>
        <w:ind w:right="1140"/>
        <w:jc w:val="left"/>
      </w:pPr>
      <w:r>
        <w:rPr/>
        <w:t>已单独计提减值准备的应收账款除外，公司根据以前年度与之相同或相类似的、按账</w:t>
      </w:r>
      <w:r>
        <w:rPr>
          <w:spacing w:val="-18"/>
        </w:rPr>
        <w:t> </w:t>
      </w:r>
      <w:r>
        <w:rPr/>
        <w:t>龄段划分的具有类似信用风险特征的</w:t>
      </w:r>
      <w:r>
        <w:rPr/>
        <w:t> 应收账款组合的实际损失率为基础，结合现时情况分析法确定坏账准备计提的比例。 组合中，采用余额百分比法计提坏账准备的应收账款：</w:t>
      </w:r>
    </w:p>
    <w:p>
      <w:pPr>
        <w:pStyle w:val="BodyText"/>
        <w:spacing w:line="348" w:lineRule="auto" w:before="43"/>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38" w:lineRule="auto" w:before="14"/>
        <w:ind w:right="4369"/>
        <w:jc w:val="left"/>
      </w:pPr>
      <w:r>
        <w:rPr/>
        <w:t>本期计提坏账准备金额</w:t>
      </w:r>
      <w:r>
        <w:rPr>
          <w:spacing w:val="-47"/>
        </w:rPr>
        <w:t> </w:t>
      </w:r>
      <w:r>
        <w:rPr>
          <w:rFonts w:ascii="Times New Roman" w:hAnsi="Times New Roman" w:cs="Times New Roman" w:eastAsia="Times New Roman" w:hint="default"/>
        </w:rPr>
        <w:t>15,478,190.84</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pStyle w:val="BodyText"/>
        <w:spacing w:line="240" w:lineRule="auto" w:before="4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按欠款方归集的期末余额前五名的应收账款情况</w:t>
      </w:r>
    </w:p>
    <w:p>
      <w:pPr>
        <w:spacing w:line="240" w:lineRule="auto" w:before="0"/>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3291"/>
        <w:gridCol w:w="1738"/>
        <w:gridCol w:w="2297"/>
        <w:gridCol w:w="1621"/>
      </w:tblGrid>
      <w:tr>
        <w:trPr>
          <w:trHeight w:val="386" w:hRule="exact"/>
        </w:trPr>
        <w:tc>
          <w:tcPr>
            <w:tcW w:w="3291"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565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8"/>
              <w:ind w:right="4"/>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7" w:hRule="exact"/>
        </w:trPr>
        <w:tc>
          <w:tcPr>
            <w:tcW w:w="3291" w:type="dxa"/>
            <w:vMerge/>
            <w:tcBorders>
              <w:left w:val="nil" w:sz="6" w:space="0" w:color="auto"/>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03"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b/>
                <w:bCs/>
                <w:w w:val="95"/>
                <w:sz w:val="18"/>
                <w:szCs w:val="18"/>
              </w:rPr>
              <w:t>占应收账款合计数比例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44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5" w:hRule="exact"/>
        </w:trPr>
        <w:tc>
          <w:tcPr>
            <w:tcW w:w="3291" w:type="dxa"/>
            <w:tcBorders>
              <w:top w:val="single" w:sz="4" w:space="0" w:color="000000"/>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河北省环境监测站</w:t>
            </w:r>
          </w:p>
        </w:tc>
        <w:tc>
          <w:tcPr>
            <w:tcW w:w="17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right="101"/>
              <w:jc w:val="right"/>
              <w:rPr>
                <w:rFonts w:ascii="Arial Narrow" w:hAnsi="Arial Narrow" w:cs="Arial Narrow" w:eastAsia="Arial Narrow" w:hint="default"/>
                <w:sz w:val="20"/>
                <w:szCs w:val="20"/>
              </w:rPr>
            </w:pPr>
            <w:r>
              <w:rPr>
                <w:rFonts w:ascii="Arial Narrow"/>
                <w:spacing w:val="-1"/>
                <w:sz w:val="20"/>
              </w:rPr>
              <w:t>145,168,500.00</w:t>
            </w:r>
            <w:r>
              <w:rPr>
                <w:rFonts w:ascii="Arial Narrow"/>
                <w:sz w:val="20"/>
              </w:rPr>
            </w:r>
          </w:p>
        </w:tc>
        <w:tc>
          <w:tcPr>
            <w:tcW w:w="22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right="102"/>
              <w:jc w:val="right"/>
              <w:rPr>
                <w:rFonts w:ascii="Arial Narrow" w:hAnsi="Arial Narrow" w:cs="Arial Narrow" w:eastAsia="Arial Narrow" w:hint="default"/>
                <w:sz w:val="20"/>
                <w:szCs w:val="20"/>
              </w:rPr>
            </w:pPr>
            <w:r>
              <w:rPr>
                <w:rFonts w:ascii="Arial Narrow"/>
                <w:spacing w:val="-1"/>
                <w:sz w:val="20"/>
              </w:rPr>
              <w:t>23.12</w:t>
            </w:r>
            <w:r>
              <w:rPr>
                <w:rFonts w:ascii="Arial Narrow"/>
                <w:sz w:val="20"/>
              </w:rPr>
            </w:r>
          </w:p>
        </w:tc>
        <w:tc>
          <w:tcPr>
            <w:tcW w:w="1621" w:type="dxa"/>
            <w:tcBorders>
              <w:top w:val="single" w:sz="4" w:space="0" w:color="000000"/>
              <w:left w:val="single" w:sz="4" w:space="0" w:color="000000"/>
              <w:bottom w:val="nil" w:sz="6" w:space="0" w:color="auto"/>
              <w:right w:val="nil" w:sz="6" w:space="0" w:color="auto"/>
            </w:tcBorders>
          </w:tcPr>
          <w:p>
            <w:pPr>
              <w:pStyle w:val="TableParagraph"/>
              <w:spacing w:line="240" w:lineRule="auto" w:before="80"/>
              <w:ind w:right="105"/>
              <w:jc w:val="right"/>
              <w:rPr>
                <w:rFonts w:ascii="Arial Narrow" w:hAnsi="Arial Narrow" w:cs="Arial Narrow" w:eastAsia="Arial Narrow" w:hint="default"/>
                <w:sz w:val="20"/>
                <w:szCs w:val="20"/>
              </w:rPr>
            </w:pPr>
            <w:r>
              <w:rPr>
                <w:rFonts w:ascii="Arial Narrow"/>
                <w:spacing w:val="-1"/>
                <w:sz w:val="20"/>
              </w:rPr>
              <w:t>7,258,425.00</w:t>
            </w:r>
            <w:r>
              <w:rPr>
                <w:rFonts w:ascii="Arial Narrow"/>
                <w:sz w:val="20"/>
              </w:rPr>
            </w:r>
          </w:p>
        </w:tc>
      </w:tr>
      <w:tr>
        <w:trPr>
          <w:trHeight w:val="394" w:hRule="exact"/>
        </w:trPr>
        <w:tc>
          <w:tcPr>
            <w:tcW w:w="3291"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18"/>
                <w:szCs w:val="18"/>
              </w:rPr>
            </w:pPr>
            <w:r>
              <w:rPr>
                <w:rFonts w:ascii="宋体" w:hAnsi="宋体" w:cs="宋体" w:eastAsia="宋体" w:hint="default"/>
                <w:sz w:val="18"/>
                <w:szCs w:val="18"/>
              </w:rPr>
              <w:t>重庆冀华环保科技发展有限公司</w:t>
            </w:r>
          </w:p>
        </w:tc>
        <w:tc>
          <w:tcPr>
            <w:tcW w:w="173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1"/>
              <w:jc w:val="right"/>
              <w:rPr>
                <w:rFonts w:ascii="Arial Narrow" w:hAnsi="Arial Narrow" w:cs="Arial Narrow" w:eastAsia="Arial Narrow" w:hint="default"/>
                <w:sz w:val="20"/>
                <w:szCs w:val="20"/>
              </w:rPr>
            </w:pPr>
            <w:r>
              <w:rPr>
                <w:rFonts w:ascii="Arial Narrow"/>
                <w:spacing w:val="-1"/>
                <w:sz w:val="20"/>
              </w:rPr>
              <w:t>45,006,127.60</w:t>
            </w:r>
            <w:r>
              <w:rPr>
                <w:rFonts w:ascii="Arial Narrow"/>
                <w:sz w:val="20"/>
              </w:rPr>
            </w:r>
          </w:p>
        </w:tc>
        <w:tc>
          <w:tcPr>
            <w:tcW w:w="229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2"/>
              <w:jc w:val="right"/>
              <w:rPr>
                <w:rFonts w:ascii="Arial Narrow" w:hAnsi="Arial Narrow" w:cs="Arial Narrow" w:eastAsia="Arial Narrow" w:hint="default"/>
                <w:sz w:val="20"/>
                <w:szCs w:val="20"/>
              </w:rPr>
            </w:pPr>
            <w:r>
              <w:rPr>
                <w:rFonts w:ascii="Arial Narrow"/>
                <w:spacing w:val="-1"/>
                <w:sz w:val="20"/>
              </w:rPr>
              <w:t>7.17</w:t>
            </w:r>
            <w:r>
              <w:rPr>
                <w:rFonts w:ascii="Arial Narrow"/>
                <w:sz w:val="20"/>
              </w:rPr>
            </w:r>
          </w:p>
        </w:tc>
        <w:tc>
          <w:tcPr>
            <w:tcW w:w="1621" w:type="dxa"/>
            <w:tcBorders>
              <w:top w:val="nil" w:sz="6" w:space="0" w:color="auto"/>
              <w:left w:val="single" w:sz="4" w:space="0" w:color="000000"/>
              <w:bottom w:val="nil" w:sz="6" w:space="0" w:color="auto"/>
              <w:right w:val="nil" w:sz="6" w:space="0" w:color="auto"/>
            </w:tcBorders>
          </w:tcPr>
          <w:p>
            <w:pPr/>
          </w:p>
        </w:tc>
      </w:tr>
      <w:tr>
        <w:trPr>
          <w:trHeight w:val="397" w:hRule="exact"/>
        </w:trPr>
        <w:tc>
          <w:tcPr>
            <w:tcW w:w="3291"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唐山市环境保护局</w:t>
            </w:r>
          </w:p>
        </w:tc>
        <w:tc>
          <w:tcPr>
            <w:tcW w:w="1738"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1"/>
              <w:jc w:val="right"/>
              <w:rPr>
                <w:rFonts w:ascii="Arial Narrow" w:hAnsi="Arial Narrow" w:cs="Arial Narrow" w:eastAsia="Arial Narrow" w:hint="default"/>
                <w:sz w:val="20"/>
                <w:szCs w:val="20"/>
              </w:rPr>
            </w:pPr>
            <w:r>
              <w:rPr>
                <w:rFonts w:ascii="Arial Narrow"/>
                <w:spacing w:val="-1"/>
                <w:sz w:val="20"/>
              </w:rPr>
              <w:t>27,862,088.00</w:t>
            </w:r>
            <w:r>
              <w:rPr>
                <w:rFonts w:ascii="Arial Narrow"/>
                <w:sz w:val="20"/>
              </w:rPr>
            </w:r>
          </w:p>
        </w:tc>
        <w:tc>
          <w:tcPr>
            <w:tcW w:w="2297"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2"/>
              <w:jc w:val="right"/>
              <w:rPr>
                <w:rFonts w:ascii="Arial Narrow" w:hAnsi="Arial Narrow" w:cs="Arial Narrow" w:eastAsia="Arial Narrow" w:hint="default"/>
                <w:sz w:val="20"/>
                <w:szCs w:val="20"/>
              </w:rPr>
            </w:pPr>
            <w:r>
              <w:rPr>
                <w:rFonts w:ascii="Arial Narrow"/>
                <w:spacing w:val="-1"/>
                <w:sz w:val="20"/>
              </w:rPr>
              <w:t>4.44</w:t>
            </w:r>
            <w:r>
              <w:rPr>
                <w:rFonts w:ascii="Arial Narrow"/>
                <w:sz w:val="20"/>
              </w:rPr>
            </w:r>
          </w:p>
        </w:tc>
        <w:tc>
          <w:tcPr>
            <w:tcW w:w="1621"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5"/>
              <w:jc w:val="right"/>
              <w:rPr>
                <w:rFonts w:ascii="Arial Narrow" w:hAnsi="Arial Narrow" w:cs="Arial Narrow" w:eastAsia="Arial Narrow" w:hint="default"/>
                <w:sz w:val="20"/>
                <w:szCs w:val="20"/>
              </w:rPr>
            </w:pPr>
            <w:r>
              <w:rPr>
                <w:rFonts w:ascii="Arial Narrow"/>
                <w:spacing w:val="-1"/>
                <w:sz w:val="20"/>
              </w:rPr>
              <w:t>1,393,104.40</w:t>
            </w:r>
            <w:r>
              <w:rPr>
                <w:rFonts w:ascii="Arial Narrow"/>
                <w:sz w:val="20"/>
              </w:rPr>
            </w:r>
          </w:p>
        </w:tc>
      </w:tr>
      <w:tr>
        <w:trPr>
          <w:trHeight w:val="397" w:hRule="exact"/>
        </w:trPr>
        <w:tc>
          <w:tcPr>
            <w:tcW w:w="3291"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石家庄市环境保护局</w:t>
            </w:r>
          </w:p>
        </w:tc>
        <w:tc>
          <w:tcPr>
            <w:tcW w:w="1738"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1"/>
              <w:jc w:val="right"/>
              <w:rPr>
                <w:rFonts w:ascii="Arial Narrow" w:hAnsi="Arial Narrow" w:cs="Arial Narrow" w:eastAsia="Arial Narrow" w:hint="default"/>
                <w:sz w:val="20"/>
                <w:szCs w:val="20"/>
              </w:rPr>
            </w:pPr>
            <w:r>
              <w:rPr>
                <w:rFonts w:ascii="Arial Narrow"/>
                <w:spacing w:val="-1"/>
                <w:sz w:val="20"/>
              </w:rPr>
              <w:t>14,799,800.00</w:t>
            </w:r>
            <w:r>
              <w:rPr>
                <w:rFonts w:ascii="Arial Narrow"/>
                <w:sz w:val="20"/>
              </w:rPr>
            </w:r>
          </w:p>
        </w:tc>
        <w:tc>
          <w:tcPr>
            <w:tcW w:w="2297"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2"/>
              <w:jc w:val="right"/>
              <w:rPr>
                <w:rFonts w:ascii="Arial Narrow" w:hAnsi="Arial Narrow" w:cs="Arial Narrow" w:eastAsia="Arial Narrow" w:hint="default"/>
                <w:sz w:val="20"/>
                <w:szCs w:val="20"/>
              </w:rPr>
            </w:pPr>
            <w:r>
              <w:rPr>
                <w:rFonts w:ascii="Arial Narrow"/>
                <w:spacing w:val="-1"/>
                <w:sz w:val="20"/>
              </w:rPr>
              <w:t>2.36</w:t>
            </w:r>
            <w:r>
              <w:rPr>
                <w:rFonts w:ascii="Arial Narrow"/>
                <w:sz w:val="20"/>
              </w:rPr>
            </w:r>
          </w:p>
        </w:tc>
        <w:tc>
          <w:tcPr>
            <w:tcW w:w="1621"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5"/>
              <w:jc w:val="right"/>
              <w:rPr>
                <w:rFonts w:ascii="Arial Narrow" w:hAnsi="Arial Narrow" w:cs="Arial Narrow" w:eastAsia="Arial Narrow" w:hint="default"/>
                <w:sz w:val="20"/>
                <w:szCs w:val="20"/>
              </w:rPr>
            </w:pPr>
            <w:r>
              <w:rPr>
                <w:rFonts w:ascii="Arial Narrow"/>
                <w:spacing w:val="-1"/>
                <w:sz w:val="20"/>
              </w:rPr>
              <w:t>739,990.00</w:t>
            </w:r>
            <w:r>
              <w:rPr>
                <w:rFonts w:ascii="Arial Narrow"/>
                <w:sz w:val="20"/>
              </w:rPr>
            </w:r>
          </w:p>
        </w:tc>
      </w:tr>
      <w:tr>
        <w:trPr>
          <w:trHeight w:val="391" w:hRule="exact"/>
        </w:trPr>
        <w:tc>
          <w:tcPr>
            <w:tcW w:w="3291" w:type="dxa"/>
            <w:tcBorders>
              <w:top w:val="nil" w:sz="6" w:space="0" w:color="auto"/>
              <w:left w:val="nil" w:sz="6" w:space="0" w:color="auto"/>
              <w:bottom w:val="single" w:sz="4" w:space="0" w:color="000000"/>
              <w:right w:val="single" w:sz="4"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四川先河环保科技有限公司</w:t>
            </w:r>
          </w:p>
        </w:tc>
        <w:tc>
          <w:tcPr>
            <w:tcW w:w="17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Narrow" w:hAnsi="Arial Narrow" w:cs="Arial Narrow" w:eastAsia="Arial Narrow" w:hint="default"/>
                <w:sz w:val="20"/>
                <w:szCs w:val="20"/>
              </w:rPr>
            </w:pPr>
            <w:r>
              <w:rPr>
                <w:rFonts w:ascii="Arial Narrow"/>
                <w:spacing w:val="-1"/>
                <w:sz w:val="20"/>
              </w:rPr>
              <w:t>12,253,135.60</w:t>
            </w:r>
            <w:r>
              <w:rPr>
                <w:rFonts w:ascii="Arial Narrow"/>
                <w:sz w:val="20"/>
              </w:rPr>
            </w:r>
          </w:p>
        </w:tc>
        <w:tc>
          <w:tcPr>
            <w:tcW w:w="22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102"/>
              <w:jc w:val="right"/>
              <w:rPr>
                <w:rFonts w:ascii="Arial Narrow" w:hAnsi="Arial Narrow" w:cs="Arial Narrow" w:eastAsia="Arial Narrow" w:hint="default"/>
                <w:sz w:val="20"/>
                <w:szCs w:val="20"/>
              </w:rPr>
            </w:pPr>
            <w:r>
              <w:rPr>
                <w:rFonts w:ascii="Arial Narrow"/>
                <w:spacing w:val="-1"/>
                <w:sz w:val="20"/>
              </w:rPr>
              <w:t>1.95</w:t>
            </w:r>
            <w:r>
              <w:rPr>
                <w:rFonts w:ascii="Arial Narrow"/>
                <w:sz w:val="20"/>
              </w:rPr>
            </w:r>
          </w:p>
        </w:tc>
        <w:tc>
          <w:tcPr>
            <w:tcW w:w="1621" w:type="dxa"/>
            <w:tcBorders>
              <w:top w:val="nil" w:sz="6" w:space="0" w:color="auto"/>
              <w:left w:val="single" w:sz="4" w:space="0" w:color="000000"/>
              <w:bottom w:val="single" w:sz="4" w:space="0" w:color="000000"/>
              <w:right w:val="nil" w:sz="6" w:space="0" w:color="auto"/>
            </w:tcBorders>
          </w:tcPr>
          <w:p>
            <w:pPr/>
          </w:p>
        </w:tc>
      </w:tr>
      <w:tr>
        <w:trPr>
          <w:trHeight w:val="407" w:hRule="exact"/>
        </w:trPr>
        <w:tc>
          <w:tcPr>
            <w:tcW w:w="32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b/>
                <w:spacing w:val="-1"/>
                <w:sz w:val="20"/>
              </w:rPr>
              <w:t>245,089,651.20</w:t>
            </w:r>
            <w:r>
              <w:rPr>
                <w:rFonts w:ascii="Arial Narrow"/>
                <w:sz w:val="20"/>
              </w:rPr>
            </w:r>
          </w:p>
        </w:tc>
        <w:tc>
          <w:tcPr>
            <w:tcW w:w="22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102"/>
              <w:jc w:val="right"/>
              <w:rPr>
                <w:rFonts w:ascii="Arial Narrow" w:hAnsi="Arial Narrow" w:cs="Arial Narrow" w:eastAsia="Arial Narrow" w:hint="default"/>
                <w:sz w:val="20"/>
                <w:szCs w:val="20"/>
              </w:rPr>
            </w:pPr>
            <w:r>
              <w:rPr>
                <w:rFonts w:ascii="Arial Narrow"/>
                <w:b/>
                <w:spacing w:val="-1"/>
                <w:sz w:val="20"/>
              </w:rPr>
              <w:t>39.04</w:t>
            </w:r>
            <w:r>
              <w:rPr>
                <w:rFonts w:ascii="Arial Narrow"/>
                <w:sz w:val="20"/>
              </w:rPr>
            </w:r>
          </w:p>
        </w:tc>
        <w:tc>
          <w:tcPr>
            <w:tcW w:w="16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9"/>
              <w:ind w:right="105"/>
              <w:jc w:val="right"/>
              <w:rPr>
                <w:rFonts w:ascii="Arial Narrow" w:hAnsi="Arial Narrow" w:cs="Arial Narrow" w:eastAsia="Arial Narrow" w:hint="default"/>
                <w:sz w:val="20"/>
                <w:szCs w:val="20"/>
              </w:rPr>
            </w:pPr>
            <w:r>
              <w:rPr>
                <w:rFonts w:ascii="Arial Narrow"/>
                <w:b/>
                <w:spacing w:val="-1"/>
                <w:sz w:val="20"/>
              </w:rPr>
              <w:t>9,391,519.40</w:t>
            </w:r>
            <w:r>
              <w:rPr>
                <w:rFonts w:ascii="Arial Narrow"/>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2、其他应收款" w:id="349"/>
      <w:bookmarkEnd w:id="34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193,527,072.46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132,148,442.51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193,527,072.46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132,148,442.51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其他应收款" w:id="350"/>
      <w:bookmarkEnd w:id="350"/>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161"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11" w:type="dxa"/>
            <w:vMerge/>
            <w:tcBorders>
              <w:left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135,435,</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725.23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63.45%</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135,435,7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25.23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74,953,</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129.97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51.72%</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74,953,129.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76,376,8</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60.59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19,923,1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63.15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26.09%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56,453,69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7.44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68,941,</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124.70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12,778,47</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7.23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18.54%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56,162,647.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1,637,64</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9.79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1,637,649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1,032,6</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65.07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0.71%</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1,032,665.0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213,450,</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235.61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19,923,1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63.15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9.33%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193,527,0</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72.46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144,926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,919.74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12,778,47</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7.23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8.82%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132,148,44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2.51</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4"/>
        <w:gridCol w:w="1986"/>
        <w:gridCol w:w="1134"/>
        <w:gridCol w:w="994"/>
        <w:gridCol w:w="1913"/>
      </w:tblGrid>
      <w:tr>
        <w:trPr>
          <w:trHeight w:val="402" w:hRule="exact"/>
        </w:trPr>
        <w:tc>
          <w:tcPr>
            <w:tcW w:w="35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66"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60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544" w:type="dxa"/>
            <w:vMerge/>
            <w:tcBorders>
              <w:left w:val="single" w:sz="4" w:space="0" w:color="000000"/>
              <w:bottom w:val="single" w:sz="4" w:space="0" w:color="000000"/>
              <w:right w:val="single" w:sz="4" w:space="0" w:color="000000"/>
            </w:tcBorders>
            <w:shd w:val="clear" w:color="auto" w:fill="D2D2D2"/>
          </w:tcPr>
          <w:p>
            <w:pP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重庆冀华环保科技发展有限公司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河北先河正源环境治理技术有限公司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24,098,886.51</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四川久环环境技术有限责任公司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22,453,912.73</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河北先河正合环境科技有限公司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19,005,119.00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北京卫家环境技术有限公司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12,204,016.62</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广西先得环保科技有限公司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8,766,088.00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河北先河金瑞环保设施运营服务有限公司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8,283,428.58</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四川先河环保科技有限公司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5,958,100.00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北京先河中润科技有限公司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5,366,173.79</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135,435,725.23</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31,069,259.81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1,553,462.99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24,242,744.83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2,424,274.48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7,313,471.81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2,194,041.54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13,751,384.14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13,751,384.14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76,376,860.59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19,923,163.15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26.09%</w:t>
            </w:r>
          </w:p>
        </w:tc>
      </w:tr>
    </w:tbl>
    <w:p>
      <w:pPr>
        <w:pStyle w:val="BodyText"/>
        <w:spacing w:line="357" w:lineRule="auto" w:before="51"/>
        <w:ind w:left="514" w:right="0" w:hanging="360"/>
        <w:jc w:val="left"/>
      </w:pPr>
      <w:r>
        <w:rPr/>
        <w:t>确定该组合依据的说明： </w:t>
      </w:r>
      <w:r>
        <w:rPr>
          <w:spacing w:val="-2"/>
        </w:rPr>
        <w:t>已单独计提减值准备的其他应收款除外，公司根据以前年度与之相同或相类似的、按账龄段划分的具有类似信用风险特</w:t>
      </w:r>
    </w:p>
    <w:p>
      <w:pPr>
        <w:pStyle w:val="BodyText"/>
        <w:spacing w:line="224" w:lineRule="exact"/>
        <w:ind w:right="0"/>
        <w:jc w:val="left"/>
      </w:pPr>
      <w:r>
        <w:rPr/>
        <w:t>征的应收账款组合的实际损失率为基础，结合现时情况分析法确定坏账准备计提的比例。</w:t>
      </w:r>
    </w:p>
    <w:p>
      <w:pPr>
        <w:pStyle w:val="BodyText"/>
        <w:spacing w:line="240" w:lineRule="auto" w:before="117"/>
        <w:ind w:right="0"/>
        <w:jc w:val="left"/>
      </w:pPr>
      <w:r>
        <w:rPr/>
        <w:t>组合中，采用余额百分比法计提坏账准备的其他应收款：</w:t>
      </w:r>
    </w:p>
    <w:p>
      <w:pPr>
        <w:pStyle w:val="BodyText"/>
        <w:spacing w:line="338" w:lineRule="auto" w:before="117"/>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right="4460"/>
        <w:jc w:val="left"/>
      </w:pPr>
      <w:r>
        <w:rPr/>
        <w:t>本期计提坏账准备金额</w:t>
      </w:r>
      <w:r>
        <w:rPr>
          <w:spacing w:val="-47"/>
        </w:rPr>
        <w:t> </w:t>
      </w:r>
      <w:r>
        <w:rPr>
          <w:rFonts w:ascii="Times New Roman" w:hAnsi="Times New Roman" w:cs="Times New Roman" w:eastAsia="Times New Roman" w:hint="default"/>
        </w:rPr>
        <w:t>7,144,685.92</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pStyle w:val="BodyText"/>
        <w:spacing w:line="240" w:lineRule="auto" w:before="4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其他应收款按款项性质分类情况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61,532,848.57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53,705,798.69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6,876,796.79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9,174,395.41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关联单位往来款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137,073,375.02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75,985,795.04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7,967,215.23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6,060,930.60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213,450,235.61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144,926,919.74</w:t>
            </w:r>
          </w:p>
        </w:tc>
      </w:tr>
    </w:tbl>
    <w:p>
      <w:pPr>
        <w:pStyle w:val="BodyText"/>
        <w:spacing w:line="240" w:lineRule="auto" w:before="51"/>
        <w:ind w:right="0"/>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134"/>
        <w:gridCol w:w="1417"/>
        <w:gridCol w:w="1559"/>
        <w:gridCol w:w="1560"/>
        <w:gridCol w:w="1205"/>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 w:right="54"/>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6" w:right="56"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重庆冀华环保科技发展有限公司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13.73%</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河北先河正源环境治理技术有限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24,098,886.51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11.29%</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四川久环环境技术有限责任公司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22,453,912.73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10.52%</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河北先河正合环境科技有限公司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19,005,119.00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河北省公共资源交易中心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18,581,920.00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tabs>
                <w:tab w:pos="1102" w:val="left" w:leader="none"/>
              </w:tabs>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103,600.00</w:t>
              <w:tab/>
              <w:t>1-2</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18,478,320.00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1,853,012.00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113,439,838.24</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1,853,012.00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长期股权投资" w:id="351"/>
      <w:bookmarkEnd w:id="35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512,276,948.90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512,276,948.90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472,276,948.90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472,276,948.90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512,276,948.90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512,276,948.90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472,276,948.90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472,276,948.90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52"/>
      <w:bookmarkEnd w:id="35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276"/>
        <w:gridCol w:w="992"/>
        <w:gridCol w:w="1134"/>
        <w:gridCol w:w="1276"/>
        <w:gridCol w:w="992"/>
        <w:gridCol w:w="1061"/>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5" w:right="73"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北京先河中润科技有限公司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河北先河金瑞环保设施运营服务有 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山东先河环保科技有限公司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四川先河环保科技有限公司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河北先河正源环境治理技术有限公 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河北先河正态环境检测有限公司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重庆冀华环保科技发展有限公司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SAILHERO US HOLDING</w:t>
            </w:r>
            <w:r>
              <w:rPr>
                <w:rFonts w:ascii="Times New Roman"/>
                <w:spacing w:val="-5"/>
                <w:sz w:val="18"/>
              </w:rPr>
              <w:t> </w:t>
            </w:r>
            <w:r>
              <w:rPr>
                <w:rFonts w:ascii="Times New Roman"/>
                <w:sz w:val="18"/>
              </w:rPr>
              <w:t>INC.</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83,826,948.90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83,826,948.90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广东科迪隆科技有限公司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广西先得环保科技有限公司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四川久环环境技术有限责任公司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河北先河正阳环保设备销售有限公 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河北先河正达环保技术服务有限公 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河北先河正合环境科技有限公司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472,276,948.90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512,276,948.90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其他说明" w:id="353"/>
      <w:bookmarkEnd w:id="353"/>
      <w:r>
        <w:rPr>
          <w:b w:val="0"/>
          <w:bCs w:val="0"/>
        </w:rPr>
      </w:r>
      <w:r>
        <w:rPr/>
        <w:t>（</w:t>
      </w:r>
      <w:r>
        <w:rPr>
          <w:rFonts w:ascii="Times New Roman" w:hAnsi="Times New Roman" w:cs="Times New Roman" w:eastAsia="Times New Roman" w:hint="default"/>
        </w:rPr>
        <w:t>2</w:t>
      </w:r>
      <w:r>
        <w:rPr/>
        <w:t>）其他说明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本公司对河北先河正阳环保设备销售有限公司、河北先河正达环保技术服务有限公司均尚未实际出资。</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营业收入和营业成本" w:id="354"/>
      <w:bookmarkEnd w:id="35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965,844,731.64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462,320,397.46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752,062,381.33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369,865,304.88</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1,169,286.12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310,500.30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1,919,971.92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310,500.30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967,014,017.76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462,630,897.76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753,982,353.25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370,175,805.18</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投资收益" w:id="355"/>
      <w:bookmarkEnd w:id="35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18,939,096.00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17,071,281.72</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18,939,096.00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17,071,281.72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356"/>
      <w:bookmarkEnd w:id="356"/>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五、补充资料" w:id="357"/>
      <w:bookmarkEnd w:id="357"/>
      <w:r>
        <w:rPr>
          <w:b w:val="0"/>
          <w:bCs w:val="0"/>
        </w:rPr>
      </w:r>
      <w:r>
        <w:rPr/>
        <w:t>十五、补充资料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58"/>
      <w:bookmarkEnd w:id="35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26,511.44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8,437,819.65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-752,643.65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3,236,430.03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1,373,797.04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1,339,511.51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8,234,808.92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净资产收益率及每股收益" w:id="359"/>
      <w:bookmarkEnd w:id="35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0.46</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360"/>
      <w:bookmarkEnd w:id="360"/>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361"/>
      <w:bookmarkEnd w:id="361"/>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362"/>
      <w:bookmarkEnd w:id="362"/>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十二节 备查文件目录" w:id="363"/>
      <w:bookmarkEnd w:id="363"/>
      <w:r>
        <w:rPr>
          <w:b w:val="0"/>
          <w:bCs w:val="0"/>
        </w:rPr>
      </w:r>
      <w:bookmarkStart w:name="_bookmark11" w:id="364"/>
      <w:bookmarkEnd w:id="364"/>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Heading4"/>
        <w:spacing w:line="273" w:lineRule="auto"/>
        <w:ind w:right="0"/>
        <w:jc w:val="left"/>
      </w:pPr>
      <w:r>
        <w:rPr>
          <w:spacing w:val="-1"/>
        </w:rPr>
        <w:t>（一）载有法定代表人李玉国先生、主管会计工作负责人李国壁先生、会计机构负责人王才宁先生签名盖</w:t>
      </w:r>
      <w:r>
        <w:rPr>
          <w:spacing w:val="-83"/>
        </w:rPr>
        <w:t> </w:t>
      </w:r>
      <w:r>
        <w:rPr>
          <w:spacing w:val="-83"/>
        </w:rPr>
      </w:r>
      <w:r>
        <w:rPr/>
        <w:t>章的财务报表。</w:t>
      </w:r>
    </w:p>
    <w:p>
      <w:pPr>
        <w:pStyle w:val="Heading4"/>
        <w:spacing w:line="273" w:lineRule="auto" w:before="7"/>
        <w:ind w:right="1118"/>
        <w:jc w:val="left"/>
      </w:pPr>
      <w:r>
        <w:rPr>
          <w:spacing w:val="-1"/>
        </w:rPr>
        <w:t>（二）载有利安达会计师事务所（特殊普通合伙）盖章、注册会计师邱淦泳、许海丽签名并盖章的审计报</w:t>
      </w:r>
      <w:r>
        <w:rPr>
          <w:spacing w:val="-83"/>
        </w:rPr>
        <w:t> </w:t>
      </w:r>
      <w:r>
        <w:rPr>
          <w:spacing w:val="-83"/>
        </w:rPr>
      </w:r>
      <w:r>
        <w:rPr/>
        <w:t>告原件。</w:t>
      </w:r>
    </w:p>
    <w:p>
      <w:pPr>
        <w:pStyle w:val="Heading4"/>
        <w:spacing w:line="580" w:lineRule="auto" w:before="7"/>
        <w:ind w:right="2562"/>
        <w:jc w:val="left"/>
      </w:pPr>
      <w:r>
        <w:rPr/>
        <w:t>（三）报告期内在中国证监会指定网站上公开披露过的所有公司文件的正本及公告原稿。 以上文件置备于公司证券部，地址为石家庄市高新区湘江道</w:t>
      </w:r>
      <w:r>
        <w:rPr>
          <w:rFonts w:ascii="Times New Roman" w:hAnsi="Times New Roman" w:cs="Times New Roman" w:eastAsia="Times New Roman" w:hint="default"/>
        </w:rPr>
        <w:t>251</w:t>
      </w:r>
      <w:r>
        <w:rPr/>
        <w:t>号</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08104" type="#_x0000_t75" stroked="false">
          <v:imagedata r:id="rId1" o:title=""/>
        </v:shape>
      </w:pict>
    </w:r>
    <w:r>
      <w:rPr/>
      <w:pict>
        <v:shape style="position:absolute;margin-left:533.179993pt;margin-top:795.517944pt;width:6.5pt;height:11pt;mso-position-horizontal-relative:page;mso-position-vertical-relative:page;z-index:-9080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08056" type="#_x0000_t75" stroked="false">
          <v:imagedata r:id="rId1" o:title=""/>
        </v:shape>
      </w:pict>
    </w:r>
    <w:r>
      <w:rPr/>
      <w:pict>
        <v:shape style="position:absolute;margin-left:527.679993pt;margin-top:781.957947pt;width:13pt;height:11pt;mso-position-horizontal-relative:page;mso-position-vertical-relative:page;z-index:-908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08008" type="#_x0000_t75" stroked="false">
          <v:imagedata r:id="rId1" o:title=""/>
        </v:shape>
      </w:pict>
    </w:r>
    <w:r>
      <w:rPr/>
      <w:pict>
        <v:shape style="position:absolute;margin-left:527.679993pt;margin-top:781.957947pt;width:13pt;height:11pt;mso-position-horizontal-relative:page;mso-position-vertical-relative:page;z-index:-907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07960" type="#_x0000_t75" stroked="false">
          <v:imagedata r:id="rId1" o:title=""/>
        </v:shape>
      </w:pict>
    </w:r>
    <w:r>
      <w:rPr/>
      <w:pict>
        <v:shape style="position:absolute;margin-left:524.179993pt;margin-top:781.957947pt;width:15.5pt;height:11pt;mso-position-horizontal-relative:page;mso-position-vertical-relative:page;z-index:-9079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07912" type="#_x0000_t75" stroked="false">
          <v:imagedata r:id="rId1" o:title=""/>
        </v:shape>
      </w:pict>
    </w:r>
    <w:r>
      <w:rPr/>
      <w:pict>
        <v:shape style="position:absolute;margin-left:523.179993pt;margin-top:781.957947pt;width:17.5pt;height:11pt;mso-position-horizontal-relative:page;mso-position-vertical-relative:page;z-index:-907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908128" type="#_x0000_t202" filled="false" stroked="false">
          <v:textbox inset="0,0,0,0">
            <w:txbxContent>
              <w:p>
                <w:pPr>
                  <w:pStyle w:val="BodyText"/>
                  <w:spacing w:line="214" w:lineRule="exact"/>
                  <w:ind w:left="20" w:right="0"/>
                  <w:jc w:val="left"/>
                </w:pPr>
                <w:r>
                  <w:rPr/>
                  <w:t>河北先河环保科技股份有限公司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4"/>
    </w:pPr>
    <w:rPr>
      <w:rFonts w:ascii="宋体" w:hAnsi="宋体" w:eastAsia="宋体"/>
      <w:sz w:val="28"/>
      <w:szCs w:val="2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148"/>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154"/>
      <w:outlineLvl w:val="4"/>
    </w:pPr>
    <w:rPr>
      <w:rFonts w:ascii="宋体" w:hAnsi="宋体" w:eastAsia="宋体"/>
      <w:sz w:val="21"/>
      <w:szCs w:val="21"/>
    </w:rPr>
  </w:style>
  <w:style w:styleId="Heading5" w:type="paragraph">
    <w:name w:val="Heading 5"/>
    <w:basedOn w:val="Normal"/>
    <w:uiPriority w:val="1"/>
    <w:qFormat/>
    <w:pPr>
      <w:spacing w:before="63"/>
      <w:ind w:left="515"/>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sailhero.com.cn/" TargetMode="External"/><Relationship Id="rId9" Type="http://schemas.openxmlformats.org/officeDocument/2006/relationships/hyperlink" Target="mailto:xhhbzq@sailhero.com.cn" TargetMode="External"/><Relationship Id="rId10" Type="http://schemas.openxmlformats.org/officeDocument/2006/relationships/hyperlink" Target="http://www.cninfo.com.cn/" TargetMode="External"/><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footer" Target="footer4.xml"/><Relationship Id="rId14"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河北先河环保科技股份有限公司</dc:creator>
  <dc:title>河北先河环保科技股份有限公司2018年年度报告全文</dc:title>
  <dcterms:created xsi:type="dcterms:W3CDTF">2020-05-05T02:41:59Z</dcterms:created>
  <dcterms:modified xsi:type="dcterms:W3CDTF">2020-05-05T02:41:59Z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Office Word 2007</vt:lpwstr>
  </property>
  <property fmtid="{D5CDD505-2E9C-101B-9397-08002B2CF9AE}" pid="4" name="LastSaved">
    <vt:filetime>2020-05-04T00:00:00Z</vt:filetime>
  </property>
</Properties>
</file>