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3"/>
          <w:szCs w:val="13"/>
        </w:rPr>
      </w:pPr>
    </w:p>
    <w:p>
      <w:pPr>
        <w:spacing w:line="1634" w:lineRule="exact"/>
        <w:ind w:left="259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2"/>
          <w:sz w:val="20"/>
          <w:szCs w:val="20"/>
        </w:rPr>
        <w:drawing>
          <wp:inline distT="0" distB="0" distL="0" distR="0">
            <wp:extent cx="3011459" cy="1037844"/>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3011459" cy="1037844"/>
                    </a:xfrm>
                    <a:prstGeom prst="rect">
                      <a:avLst/>
                    </a:prstGeom>
                  </pic:spPr>
                </pic:pic>
              </a:graphicData>
            </a:graphic>
          </wp:inline>
        </w:drawing>
      </w:r>
      <w:r>
        <w:rPr>
          <w:rFonts w:ascii="Times New Roman" w:hAnsi="Times New Roman" w:cs="Times New Roman" w:eastAsia="Times New Roman" w:hint="default"/>
          <w:position w:val="-3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p>
      <w:pPr>
        <w:spacing w:line="460" w:lineRule="exact" w:before="0"/>
        <w:ind w:left="133" w:right="1117" w:firstLine="0"/>
        <w:jc w:val="center"/>
        <w:rPr>
          <w:rFonts w:ascii="宋体" w:hAnsi="宋体" w:cs="宋体" w:eastAsia="宋体" w:hint="default"/>
          <w:sz w:val="36"/>
          <w:szCs w:val="36"/>
        </w:rPr>
      </w:pPr>
      <w:r>
        <w:rPr>
          <w:rFonts w:ascii="宋体" w:hAnsi="宋体" w:cs="宋体" w:eastAsia="宋体" w:hint="default"/>
          <w:b/>
          <w:bCs/>
          <w:sz w:val="36"/>
          <w:szCs w:val="36"/>
        </w:rPr>
        <w:t>河北先河环保科技股份有限公司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133" w:right="111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133" w:right="111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1133"/>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公司负责人李玉国、主管会计工作负责人李国壁及会计机构负责人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王才宁声明：保证年度报告中财务报告的真实、准确、完整。</w:t>
      </w:r>
      <w:r>
        <w:rPr>
          <w:rFonts w:ascii="宋体" w:hAnsi="宋体" w:cs="宋体" w:eastAsia="宋体" w:hint="default"/>
          <w:sz w:val="28"/>
          <w:szCs w:val="28"/>
        </w:rPr>
      </w:r>
    </w:p>
    <w:p>
      <w:pPr>
        <w:spacing w:line="472"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本报告中如有涉及未来的计划、业绩预测等方面的内容，均不构成本公司</w:t>
      </w:r>
      <w:r>
        <w:rPr>
          <w:rFonts w:ascii="宋体" w:hAnsi="宋体" w:cs="宋体" w:eastAsia="宋体" w:hint="default"/>
          <w:spacing w:val="2"/>
          <w:sz w:val="28"/>
          <w:szCs w:val="28"/>
        </w:rPr>
      </w:r>
    </w:p>
    <w:p>
      <w:pPr>
        <w:spacing w:line="408" w:lineRule="auto" w:before="0"/>
        <w:ind w:left="152" w:right="1129" w:firstLine="0"/>
        <w:jc w:val="left"/>
        <w:rPr>
          <w:rFonts w:ascii="宋体" w:hAnsi="宋体" w:cs="宋体" w:eastAsia="宋体" w:hint="default"/>
          <w:sz w:val="28"/>
          <w:szCs w:val="28"/>
        </w:rPr>
      </w:pPr>
      <w:r>
        <w:rPr>
          <w:rFonts w:ascii="宋体" w:hAnsi="宋体" w:cs="宋体" w:eastAsia="宋体" w:hint="default"/>
          <w:b/>
          <w:bCs/>
          <w:spacing w:val="2"/>
          <w:sz w:val="28"/>
          <w:szCs w:val="28"/>
        </w:rPr>
        <w:t>对任何投资者及相关人士的承诺，投资者及相关人士均应对此保持足够的风险</w:t>
      </w:r>
      <w:r>
        <w:rPr>
          <w:rFonts w:ascii="宋体" w:hAnsi="宋体" w:cs="宋体" w:eastAsia="宋体" w:hint="default"/>
          <w:b/>
          <w:bCs/>
          <w:w w:val="99"/>
          <w:sz w:val="28"/>
          <w:szCs w:val="28"/>
        </w:rPr>
        <w:t> </w:t>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line="386" w:lineRule="auto" w:before="162"/>
        <w:ind w:left="152" w:right="1130" w:firstLine="562"/>
        <w:jc w:val="both"/>
        <w:rPr>
          <w:rFonts w:ascii="宋体" w:hAnsi="宋体" w:cs="宋体" w:eastAsia="宋体" w:hint="default"/>
          <w:sz w:val="28"/>
          <w:szCs w:val="28"/>
        </w:rPr>
      </w:pPr>
      <w:r>
        <w:rPr>
          <w:rFonts w:ascii="宋体" w:hAnsi="宋体" w:cs="宋体" w:eastAsia="宋体" w:hint="default"/>
          <w:b/>
          <w:bCs/>
          <w:spacing w:val="8"/>
          <w:sz w:val="28"/>
          <w:szCs w:val="28"/>
        </w:rPr>
        <w:t>本报告第四节</w:t>
      </w:r>
      <w:r>
        <w:rPr>
          <w:rFonts w:ascii="Times New Roman" w:hAnsi="Times New Roman" w:cs="Times New Roman" w:eastAsia="Times New Roman" w:hint="default"/>
          <w:b/>
          <w:bCs/>
          <w:spacing w:val="8"/>
          <w:sz w:val="28"/>
          <w:szCs w:val="28"/>
        </w:rPr>
        <w:t>“</w:t>
      </w:r>
      <w:r>
        <w:rPr>
          <w:rFonts w:ascii="宋体" w:hAnsi="宋体" w:cs="宋体" w:eastAsia="宋体" w:hint="default"/>
          <w:b/>
          <w:bCs/>
          <w:spacing w:val="8"/>
          <w:sz w:val="28"/>
          <w:szCs w:val="28"/>
        </w:rPr>
        <w:t>经营情况讨论与分析</w:t>
      </w:r>
      <w:r>
        <w:rPr>
          <w:rFonts w:ascii="Times New Roman" w:hAnsi="Times New Roman" w:cs="Times New Roman" w:eastAsia="Times New Roman" w:hint="default"/>
          <w:b/>
          <w:bCs/>
          <w:spacing w:val="8"/>
          <w:sz w:val="28"/>
          <w:szCs w:val="28"/>
        </w:rPr>
        <w:t>-</w:t>
      </w:r>
      <w:r>
        <w:rPr>
          <w:rFonts w:ascii="宋体" w:hAnsi="宋体" w:cs="宋体" w:eastAsia="宋体" w:hint="default"/>
          <w:b/>
          <w:bCs/>
          <w:spacing w:val="8"/>
          <w:sz w:val="28"/>
          <w:szCs w:val="28"/>
        </w:rPr>
        <w:t>公司未来发展的展望</w:t>
      </w:r>
      <w:r>
        <w:rPr>
          <w:rFonts w:ascii="Times New Roman" w:hAnsi="Times New Roman" w:cs="Times New Roman" w:eastAsia="Times New Roman" w:hint="default"/>
          <w:b/>
          <w:bCs/>
          <w:spacing w:val="8"/>
          <w:sz w:val="28"/>
          <w:szCs w:val="28"/>
        </w:rPr>
        <w:t>”</w:t>
      </w:r>
      <w:r>
        <w:rPr>
          <w:rFonts w:ascii="宋体" w:hAnsi="宋体" w:cs="宋体" w:eastAsia="宋体" w:hint="default"/>
          <w:b/>
          <w:bCs/>
          <w:spacing w:val="8"/>
          <w:sz w:val="28"/>
          <w:szCs w:val="28"/>
        </w:rPr>
        <w:t>中已详述公司</w:t>
      </w:r>
      <w:r>
        <w:rPr>
          <w:rFonts w:ascii="宋体" w:hAnsi="宋体" w:cs="宋体" w:eastAsia="宋体" w:hint="default"/>
          <w:b/>
          <w:bCs/>
          <w:w w:val="99"/>
          <w:sz w:val="28"/>
          <w:szCs w:val="28"/>
        </w:rPr>
        <w:t> </w:t>
      </w:r>
      <w:r>
        <w:rPr>
          <w:rFonts w:ascii="宋体" w:hAnsi="宋体" w:cs="宋体" w:eastAsia="宋体" w:hint="default"/>
          <w:b/>
          <w:bCs/>
          <w:sz w:val="28"/>
          <w:szCs w:val="28"/>
        </w:rPr>
        <w:t>风险因素提示，敬请关注</w:t>
      </w:r>
      <w:r>
        <w:rPr>
          <w:rFonts w:ascii="宋体" w:hAnsi="宋体" w:cs="宋体" w:eastAsia="宋体" w:hint="default"/>
          <w:b/>
          <w:bCs/>
          <w:spacing w:val="-1"/>
          <w:sz w:val="28"/>
          <w:szCs w:val="28"/>
        </w:rPr>
        <w:t> </w:t>
      </w:r>
      <w:r>
        <w:rPr>
          <w:rFonts w:ascii="宋体" w:hAnsi="宋体" w:cs="宋体" w:eastAsia="宋体" w:hint="default"/>
          <w:b/>
          <w:bCs/>
          <w:sz w:val="28"/>
          <w:szCs w:val="28"/>
        </w:rPr>
        <w:t>。</w:t>
      </w:r>
      <w:r>
        <w:rPr>
          <w:rFonts w:ascii="宋体" w:hAnsi="宋体" w:cs="宋体" w:eastAsia="宋体" w:hint="default"/>
          <w:sz w:val="28"/>
          <w:szCs w:val="28"/>
        </w:rPr>
      </w:r>
    </w:p>
    <w:p>
      <w:pPr>
        <w:spacing w:before="187"/>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6"/>
          <w:sz w:val="28"/>
          <w:szCs w:val="28"/>
        </w:rPr>
        <w:t> </w:t>
      </w:r>
      <w:r>
        <w:rPr>
          <w:rFonts w:ascii="Times New Roman" w:hAnsi="Times New Roman" w:cs="Times New Roman" w:eastAsia="Times New Roman" w:hint="default"/>
          <w:b/>
          <w:bCs/>
          <w:sz w:val="28"/>
          <w:szCs w:val="28"/>
        </w:rPr>
        <w:t>545,374,010</w:t>
      </w:r>
      <w:r>
        <w:rPr>
          <w:rFonts w:ascii="Times New Roman" w:hAnsi="Times New Roman" w:cs="Times New Roman" w:eastAsia="Times New Roman" w:hint="default"/>
          <w:b/>
          <w:bCs/>
          <w:spacing w:val="-17"/>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6"/>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1</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5"/>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15"/>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72"/>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5"/>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15"/>
          <w:w w:val="99"/>
          <w:sz w:val="28"/>
          <w:szCs w:val="28"/>
        </w:rPr>
        <w:t>，</w:t>
      </w:r>
      <w:r>
        <w:rPr>
          <w:rFonts w:ascii="宋体" w:hAnsi="宋体" w:cs="宋体" w:eastAsia="宋体" w:hint="default"/>
          <w:b/>
          <w:bCs/>
          <w:w w:val="99"/>
          <w:sz w:val="28"/>
          <w:szCs w:val="28"/>
        </w:rPr>
        <w:t>以资</w:t>
      </w:r>
      <w:r>
        <w:rPr>
          <w:rFonts w:ascii="宋体" w:hAnsi="宋体" w:cs="宋体" w:eastAsia="宋体" w:hint="default"/>
          <w:b/>
          <w:bCs/>
          <w:spacing w:val="2"/>
          <w:w w:val="99"/>
          <w:sz w:val="28"/>
          <w:szCs w:val="28"/>
        </w:rPr>
        <w:t>本</w:t>
      </w:r>
      <w:r>
        <w:rPr>
          <w:rFonts w:ascii="宋体" w:hAnsi="宋体" w:cs="宋体" w:eastAsia="宋体" w:hint="default"/>
          <w:b/>
          <w:bCs/>
          <w:w w:val="99"/>
          <w:sz w:val="28"/>
          <w:szCs w:val="28"/>
        </w:rPr>
        <w:t>公积</w:t>
      </w:r>
      <w:r>
        <w:rPr>
          <w:rFonts w:ascii="宋体" w:hAnsi="宋体" w:cs="宋体" w:eastAsia="宋体" w:hint="default"/>
          <w:sz w:val="28"/>
          <w:szCs w:val="28"/>
        </w:rPr>
      </w:r>
    </w:p>
    <w:p>
      <w:pPr>
        <w:spacing w:before="236"/>
        <w:ind w:left="152" w:right="1133" w:firstLine="0"/>
        <w:jc w:val="left"/>
        <w:rPr>
          <w:rFonts w:ascii="宋体" w:hAnsi="宋体" w:cs="宋体" w:eastAsia="宋体" w:hint="default"/>
          <w:sz w:val="28"/>
          <w:szCs w:val="28"/>
        </w:rPr>
      </w:pPr>
      <w:r>
        <w:rPr>
          <w:rFonts w:ascii="宋体" w:hAnsi="宋体" w:cs="宋体" w:eastAsia="宋体" w:hint="default"/>
          <w:b/>
          <w:bCs/>
          <w:sz w:val="28"/>
          <w:szCs w:val="28"/>
        </w:rPr>
        <w:t>金向全体股东每</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133" w:right="111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4" w:val="right" w:leader="dot"/>
            </w:tabs>
            <w:spacing w:line="240" w:lineRule="auto" w:before="0"/>
            <w:ind w:right="0"/>
            <w:jc w:val="left"/>
            <w:rPr>
              <w:rFonts w:ascii="宋体" w:hAnsi="宋体" w:cs="宋体" w:eastAsia="宋体"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宋体" w:hAnsi="宋体" w:cs="宋体" w:eastAsia="宋体" w:hint="default"/>
              </w:rPr>
              <w:tab/>
              <w:t>2</w:t>
            </w:r>
          </w:hyperlink>
        </w:p>
        <w:p>
          <w:pPr>
            <w:pStyle w:val="TOC1"/>
            <w:tabs>
              <w:tab w:pos="9784" w:val="right" w:leader="dot"/>
            </w:tabs>
            <w:spacing w:line="240" w:lineRule="auto" w:before="299"/>
            <w:ind w:right="0"/>
            <w:jc w:val="left"/>
            <w:rPr>
              <w:rFonts w:ascii="宋体" w:hAnsi="宋体" w:cs="宋体" w:eastAsia="宋体" w:hint="default"/>
            </w:rPr>
          </w:pPr>
          <w:hyperlink w:history="true" w:anchor="_bookmark1">
            <w:r>
              <w:rPr/>
              <w:t>第二节</w:t>
            </w:r>
            <w:r>
              <w:rPr>
                <w:spacing w:val="-1"/>
              </w:rPr>
              <w:t> </w:t>
            </w:r>
            <w:r>
              <w:rPr/>
              <w:t>公司简介和主要财务指标</w:t>
            </w:r>
            <w:r>
              <w:rPr>
                <w:rFonts w:ascii="宋体" w:hAnsi="宋体" w:cs="宋体" w:eastAsia="宋体" w:hint="default"/>
              </w:rPr>
              <w:tab/>
              <w:t>5</w:t>
            </w:r>
          </w:hyperlink>
        </w:p>
        <w:p>
          <w:pPr>
            <w:pStyle w:val="TOC1"/>
            <w:tabs>
              <w:tab w:pos="9784" w:val="right" w:leader="dot"/>
            </w:tabs>
            <w:spacing w:line="240" w:lineRule="auto" w:before="296"/>
            <w:ind w:right="0"/>
            <w:jc w:val="left"/>
            <w:rPr>
              <w:rFonts w:ascii="宋体" w:hAnsi="宋体" w:cs="宋体" w:eastAsia="宋体" w:hint="default"/>
            </w:rPr>
          </w:pPr>
          <w:hyperlink w:history="true" w:anchor="_bookmark2">
            <w:r>
              <w:rPr/>
              <w:t>第三节</w:t>
            </w:r>
            <w:r>
              <w:rPr>
                <w:spacing w:val="-1"/>
              </w:rPr>
              <w:t> </w:t>
            </w:r>
            <w:r>
              <w:rPr/>
              <w:t>公司业务概要</w:t>
            </w:r>
            <w:r>
              <w:rPr>
                <w:rFonts w:ascii="宋体" w:hAnsi="宋体" w:cs="宋体" w:eastAsia="宋体" w:hint="default"/>
              </w:rPr>
              <w:tab/>
              <w:t>8</w:t>
            </w:r>
          </w:hyperlink>
        </w:p>
        <w:p>
          <w:pPr>
            <w:pStyle w:val="TOC1"/>
            <w:tabs>
              <w:tab w:pos="9785" w:val="right" w:leader="dot"/>
            </w:tabs>
            <w:spacing w:line="240" w:lineRule="auto"/>
            <w:ind w:right="0"/>
            <w:jc w:val="left"/>
            <w:rPr>
              <w:rFonts w:ascii="宋体" w:hAnsi="宋体" w:cs="宋体" w:eastAsia="宋体" w:hint="default"/>
            </w:rPr>
          </w:pPr>
          <w:hyperlink w:history="true" w:anchor="_bookmark3">
            <w:r>
              <w:rPr/>
              <w:t>第四节</w:t>
            </w:r>
            <w:r>
              <w:rPr>
                <w:spacing w:val="-1"/>
              </w:rPr>
              <w:t> </w:t>
            </w:r>
            <w:r>
              <w:rPr/>
              <w:t>经营情况讨论与分析</w:t>
            </w:r>
            <w:r>
              <w:rPr>
                <w:rFonts w:ascii="宋体" w:hAnsi="宋体" w:cs="宋体" w:eastAsia="宋体" w:hint="default"/>
              </w:rPr>
              <w:tab/>
              <w:t>11</w:t>
            </w:r>
          </w:hyperlink>
        </w:p>
        <w:p>
          <w:pPr>
            <w:pStyle w:val="TOC1"/>
            <w:tabs>
              <w:tab w:pos="9785" w:val="right" w:leader="dot"/>
            </w:tabs>
            <w:spacing w:line="240" w:lineRule="auto"/>
            <w:ind w:right="0"/>
            <w:jc w:val="left"/>
            <w:rPr>
              <w:rFonts w:ascii="宋体" w:hAnsi="宋体" w:cs="宋体" w:eastAsia="宋体" w:hint="default"/>
            </w:rPr>
          </w:pPr>
          <w:hyperlink w:history="true" w:anchor="_bookmark4">
            <w:r>
              <w:rPr/>
              <w:t>第五节</w:t>
            </w:r>
            <w:r>
              <w:rPr>
                <w:spacing w:val="-1"/>
              </w:rPr>
              <w:t> </w:t>
            </w:r>
            <w:r>
              <w:rPr/>
              <w:t>重要事项</w:t>
            </w:r>
            <w:r>
              <w:rPr>
                <w:rFonts w:ascii="宋体" w:hAnsi="宋体" w:cs="宋体" w:eastAsia="宋体" w:hint="default"/>
              </w:rPr>
              <w:tab/>
              <w:t>23</w:t>
            </w:r>
          </w:hyperlink>
        </w:p>
        <w:p>
          <w:pPr>
            <w:pStyle w:val="TOC1"/>
            <w:tabs>
              <w:tab w:pos="9785" w:val="right" w:leader="dot"/>
            </w:tabs>
            <w:spacing w:line="240" w:lineRule="auto" w:before="296"/>
            <w:ind w:right="0"/>
            <w:jc w:val="left"/>
            <w:rPr>
              <w:rFonts w:ascii="宋体" w:hAnsi="宋体" w:cs="宋体" w:eastAsia="宋体" w:hint="default"/>
            </w:rPr>
          </w:pPr>
          <w:hyperlink w:history="true" w:anchor="_bookmark5">
            <w:r>
              <w:rPr/>
              <w:t>第六节</w:t>
            </w:r>
            <w:r>
              <w:rPr>
                <w:spacing w:val="-1"/>
              </w:rPr>
              <w:t> </w:t>
            </w:r>
            <w:r>
              <w:rPr/>
              <w:t>股份变动及股东情况</w:t>
            </w:r>
            <w:r>
              <w:rPr>
                <w:rFonts w:ascii="宋体" w:hAnsi="宋体" w:cs="宋体" w:eastAsia="宋体" w:hint="default"/>
              </w:rPr>
              <w:tab/>
              <w:t>44</w:t>
            </w:r>
          </w:hyperlink>
        </w:p>
        <w:p>
          <w:pPr>
            <w:pStyle w:val="TOC1"/>
            <w:tabs>
              <w:tab w:pos="9785" w:val="right" w:leader="dot"/>
            </w:tabs>
            <w:spacing w:line="240" w:lineRule="auto"/>
            <w:ind w:right="0"/>
            <w:jc w:val="left"/>
            <w:rPr>
              <w:rFonts w:ascii="宋体" w:hAnsi="宋体" w:cs="宋体" w:eastAsia="宋体" w:hint="default"/>
            </w:rPr>
          </w:pPr>
          <w:hyperlink w:history="true" w:anchor="_bookmark6">
            <w:r>
              <w:rPr/>
              <w:t>第七节</w:t>
            </w:r>
            <w:r>
              <w:rPr>
                <w:spacing w:val="-1"/>
              </w:rPr>
              <w:t> </w:t>
            </w:r>
            <w:r>
              <w:rPr/>
              <w:t>优先股相关情况</w:t>
            </w:r>
            <w:r>
              <w:rPr>
                <w:rFonts w:ascii="宋体" w:hAnsi="宋体" w:cs="宋体" w:eastAsia="宋体" w:hint="default"/>
              </w:rPr>
              <w:tab/>
              <w:t>50</w:t>
            </w:r>
          </w:hyperlink>
        </w:p>
        <w:p>
          <w:pPr>
            <w:pStyle w:val="TOC1"/>
            <w:tabs>
              <w:tab w:pos="9785" w:val="right" w:leader="dot"/>
            </w:tabs>
            <w:spacing w:line="240" w:lineRule="auto"/>
            <w:ind w:right="0"/>
            <w:jc w:val="left"/>
            <w:rPr>
              <w:rFonts w:ascii="宋体" w:hAnsi="宋体" w:cs="宋体" w:eastAsia="宋体" w:hint="default"/>
            </w:rPr>
          </w:pPr>
          <w:hyperlink w:history="true" w:anchor="_bookmark7">
            <w:r>
              <w:rPr/>
              <w:t>第八节</w:t>
            </w:r>
            <w:r>
              <w:rPr>
                <w:spacing w:val="-1"/>
              </w:rPr>
              <w:t> </w:t>
            </w:r>
            <w:r>
              <w:rPr/>
              <w:t>可转换公司债券相关情况</w:t>
            </w:r>
            <w:r>
              <w:rPr>
                <w:rFonts w:ascii="宋体" w:hAnsi="宋体" w:cs="宋体" w:eastAsia="宋体" w:hint="default"/>
              </w:rPr>
              <w:tab/>
              <w:t>51</w:t>
            </w:r>
          </w:hyperlink>
        </w:p>
        <w:p>
          <w:pPr>
            <w:pStyle w:val="TOC1"/>
            <w:tabs>
              <w:tab w:pos="9785" w:val="right" w:leader="dot"/>
            </w:tabs>
            <w:spacing w:line="240" w:lineRule="auto" w:before="296"/>
            <w:ind w:right="0"/>
            <w:jc w:val="left"/>
            <w:rPr>
              <w:rFonts w:ascii="宋体" w:hAnsi="宋体" w:cs="宋体" w:eastAsia="宋体" w:hint="default"/>
            </w:rPr>
          </w:pPr>
          <w:hyperlink w:history="true" w:anchor="_bookmark8">
            <w:r>
              <w:rPr/>
              <w:t>第九节</w:t>
            </w:r>
            <w:r>
              <w:rPr>
                <w:spacing w:val="-1"/>
              </w:rPr>
              <w:t> </w:t>
            </w:r>
            <w:r>
              <w:rPr/>
              <w:t>董事、监事、高级管理人员和员工情况</w:t>
            </w:r>
            <w:r>
              <w:rPr>
                <w:rFonts w:ascii="宋体" w:hAnsi="宋体" w:cs="宋体" w:eastAsia="宋体" w:hint="default"/>
              </w:rPr>
              <w:tab/>
              <w:t>52</w:t>
            </w:r>
          </w:hyperlink>
        </w:p>
        <w:p>
          <w:pPr>
            <w:pStyle w:val="TOC1"/>
            <w:tabs>
              <w:tab w:pos="9785" w:val="right" w:leader="dot"/>
            </w:tabs>
            <w:spacing w:line="240" w:lineRule="auto"/>
            <w:ind w:right="0"/>
            <w:jc w:val="left"/>
            <w:rPr>
              <w:rFonts w:ascii="宋体" w:hAnsi="宋体" w:cs="宋体" w:eastAsia="宋体" w:hint="default"/>
            </w:rPr>
          </w:pPr>
          <w:hyperlink w:history="true" w:anchor="_bookmark9">
            <w:r>
              <w:rPr/>
              <w:t>第十节</w:t>
            </w:r>
            <w:r>
              <w:rPr>
                <w:spacing w:val="-1"/>
              </w:rPr>
              <w:t> </w:t>
            </w:r>
            <w:r>
              <w:rPr/>
              <w:t>公司治理</w:t>
            </w:r>
            <w:r>
              <w:rPr>
                <w:rFonts w:ascii="宋体" w:hAnsi="宋体" w:cs="宋体" w:eastAsia="宋体" w:hint="default"/>
              </w:rPr>
              <w:tab/>
              <w:t>58</w:t>
            </w:r>
          </w:hyperlink>
        </w:p>
        <w:p>
          <w:pPr>
            <w:pStyle w:val="TOC1"/>
            <w:tabs>
              <w:tab w:pos="9785" w:val="right" w:leader="dot"/>
            </w:tabs>
            <w:spacing w:line="240" w:lineRule="auto"/>
            <w:ind w:right="0"/>
            <w:jc w:val="left"/>
            <w:rPr>
              <w:rFonts w:ascii="宋体" w:hAnsi="宋体" w:cs="宋体" w:eastAsia="宋体" w:hint="default"/>
            </w:rPr>
          </w:pPr>
          <w:hyperlink w:history="true" w:anchor="_bookmark10">
            <w:r>
              <w:rPr/>
              <w:t>第十一节</w:t>
            </w:r>
            <w:r>
              <w:rPr>
                <w:spacing w:val="-1"/>
              </w:rPr>
              <w:t> </w:t>
            </w:r>
            <w:r>
              <w:rPr/>
              <w:t>公司债券相关情况</w:t>
            </w:r>
            <w:r>
              <w:rPr>
                <w:rFonts w:ascii="宋体" w:hAnsi="宋体" w:cs="宋体" w:eastAsia="宋体" w:hint="default"/>
              </w:rPr>
              <w:tab/>
              <w:t>62</w:t>
            </w:r>
          </w:hyperlink>
        </w:p>
        <w:p>
          <w:pPr>
            <w:pStyle w:val="TOC1"/>
            <w:tabs>
              <w:tab w:pos="9785" w:val="right" w:leader="dot"/>
            </w:tabs>
            <w:spacing w:line="240" w:lineRule="auto" w:before="296"/>
            <w:ind w:right="0"/>
            <w:jc w:val="left"/>
            <w:rPr>
              <w:rFonts w:ascii="宋体" w:hAnsi="宋体" w:cs="宋体" w:eastAsia="宋体" w:hint="default"/>
            </w:rPr>
          </w:pPr>
          <w:hyperlink w:history="true" w:anchor="_bookmark11">
            <w:r>
              <w:rPr/>
              <w:t>第十二节</w:t>
            </w:r>
            <w:r>
              <w:rPr>
                <w:spacing w:val="-1"/>
              </w:rPr>
              <w:t> </w:t>
            </w:r>
            <w:r>
              <w:rPr/>
              <w:t>财务报告</w:t>
            </w:r>
            <w:r>
              <w:rPr>
                <w:rFonts w:ascii="宋体" w:hAnsi="宋体" w:cs="宋体" w:eastAsia="宋体" w:hint="default"/>
              </w:rPr>
              <w:tab/>
              <w:t>63</w:t>
            </w:r>
          </w:hyperlink>
        </w:p>
        <w:p>
          <w:pPr>
            <w:pStyle w:val="TOC1"/>
            <w:tabs>
              <w:tab w:pos="9784" w:val="right" w:leader="dot"/>
            </w:tabs>
            <w:spacing w:line="240" w:lineRule="auto"/>
            <w:ind w:right="0"/>
            <w:jc w:val="left"/>
            <w:rPr>
              <w:rFonts w:ascii="宋体" w:hAnsi="宋体" w:cs="宋体" w:eastAsia="宋体" w:hint="default"/>
            </w:rPr>
          </w:pPr>
          <w:hyperlink w:history="true" w:anchor="_bookmark12">
            <w:r>
              <w:rPr/>
              <w:t>第十三节</w:t>
            </w:r>
            <w:r>
              <w:rPr>
                <w:spacing w:val="-1"/>
              </w:rPr>
              <w:t> </w:t>
            </w:r>
            <w:r>
              <w:rPr/>
              <w:t>备查文件目录</w:t>
            </w:r>
            <w:r>
              <w:rPr>
                <w:rFonts w:ascii="宋体" w:hAnsi="宋体" w:cs="宋体" w:eastAsia="宋体" w:hint="default"/>
              </w:rPr>
              <w:tab/>
              <w:t>173</w:t>
            </w:r>
          </w:hyperlink>
        </w:p>
        <w:p>
          <w:pPr/>
          <w:r>
            <w:fldChar w:fldCharType="end"/>
          </w:r>
        </w:p>
      </w:sdtContent>
    </w:sdt>
    <w:p>
      <w:pPr>
        <w:spacing w:after="0"/>
        <w:sectPr>
          <w:pgSz w:w="11910" w:h="16840"/>
          <w:pgMar w:header="745" w:footer="980" w:top="1060" w:bottom="1160" w:left="980" w:right="0"/>
        </w:sectPr>
      </w:pPr>
    </w:p>
    <w:p>
      <w:pPr>
        <w:spacing w:before="945"/>
        <w:ind w:left="133" w:right="111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610"/>
        <w:gridCol w:w="5425"/>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本公司、先河环保、先河或公司</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河北先河环保科技股份有限公司股东大会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河北先河环保科技股份有限公司董事会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河北先河环保科技股份有限公司监事会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河北先河环保科技股份有限公司章程</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环境监测</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运用现代科学技术手段对代表环境污染和环境质量的各种环境要素</w:t>
            </w:r>
          </w:p>
          <w:p>
            <w:pPr>
              <w:pStyle w:val="TableParagraph"/>
              <w:spacing w:line="316" w:lineRule="auto" w:before="76"/>
              <w:ind w:left="17" w:right="20"/>
              <w:jc w:val="left"/>
              <w:rPr>
                <w:rFonts w:ascii="宋体" w:hAnsi="宋体" w:cs="宋体" w:eastAsia="宋体" w:hint="default"/>
                <w:sz w:val="18"/>
                <w:szCs w:val="18"/>
              </w:rPr>
            </w:pPr>
            <w:r>
              <w:rPr>
                <w:rFonts w:ascii="宋体" w:hAnsi="宋体" w:cs="宋体" w:eastAsia="宋体" w:hint="default"/>
                <w:spacing w:val="-2"/>
                <w:sz w:val="18"/>
                <w:szCs w:val="18"/>
              </w:rPr>
              <w:t>（环境污染物）的监视、监控和测定，从而科学评价环境质量及其变</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化趋势的操作过程</w:t>
            </w:r>
          </w:p>
        </w:tc>
      </w:tr>
      <w:tr>
        <w:trPr>
          <w:trHeight w:val="394"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125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管理咨询</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20"/>
              <w:jc w:val="left"/>
              <w:rPr>
                <w:rFonts w:ascii="宋体" w:hAnsi="宋体" w:cs="宋体" w:eastAsia="宋体" w:hint="default"/>
                <w:sz w:val="18"/>
                <w:szCs w:val="18"/>
              </w:rPr>
            </w:pPr>
            <w:r>
              <w:rPr>
                <w:rFonts w:ascii="宋体" w:hAnsi="宋体" w:cs="宋体" w:eastAsia="宋体" w:hint="default"/>
                <w:spacing w:val="-2"/>
                <w:sz w:val="18"/>
                <w:szCs w:val="18"/>
              </w:rPr>
              <w:t>由具有较丰富的环境管理知识和经验、并且掌握了咨询技术的人员所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从事的高智能的咨询服务业务，是环境管理咨询人员在当地环保管理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部门提出要求的基础上深入调查了解当地的大气环境质量状况及气 </w:t>
            </w:r>
            <w:r>
              <w:rPr>
                <w:rFonts w:ascii="宋体" w:hAnsi="宋体" w:cs="宋体" w:eastAsia="宋体" w:hint="default"/>
                <w:spacing w:val="-2"/>
                <w:sz w:val="18"/>
                <w:szCs w:val="18"/>
              </w:rPr>
              <w:t>象、气候等诸多因素，和当地环境管理人员密切结合，应用大数据的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分析方法，</w:t>
            </w:r>
            <w:r>
              <w:rPr>
                <w:rFonts w:ascii="宋体" w:hAnsi="宋体" w:cs="宋体" w:eastAsia="宋体" w:hint="default"/>
                <w:spacing w:val="1"/>
                <w:sz w:val="18"/>
                <w:szCs w:val="18"/>
              </w:rPr>
              <w:t> </w:t>
            </w:r>
            <w:r>
              <w:rPr>
                <w:rFonts w:ascii="宋体" w:hAnsi="宋体" w:cs="宋体" w:eastAsia="宋体" w:hint="default"/>
                <w:sz w:val="18"/>
                <w:szCs w:val="18"/>
              </w:rPr>
              <w:t>找出当地大气环境质量现状存在的主要问题，进行定量</w:t>
            </w:r>
            <w:r>
              <w:rPr>
                <w:rFonts w:ascii="宋体" w:hAnsi="宋体" w:cs="宋体" w:eastAsia="宋体" w:hint="default"/>
                <w:sz w:val="18"/>
                <w:szCs w:val="18"/>
              </w:rPr>
              <w:t> 和确有论据的定性分析，</w:t>
            </w:r>
            <w:r>
              <w:rPr>
                <w:rFonts w:ascii="宋体" w:hAnsi="宋体" w:cs="宋体" w:eastAsia="宋体" w:hint="default"/>
                <w:spacing w:val="1"/>
                <w:sz w:val="18"/>
                <w:szCs w:val="18"/>
              </w:rPr>
              <w:t> </w:t>
            </w:r>
            <w:r>
              <w:rPr>
                <w:rFonts w:ascii="宋体" w:hAnsi="宋体" w:cs="宋体" w:eastAsia="宋体" w:hint="default"/>
                <w:sz w:val="18"/>
                <w:szCs w:val="18"/>
              </w:rPr>
              <w:t>排查出所存在大气环境问题的原因，提出</w:t>
            </w:r>
            <w:r>
              <w:rPr>
                <w:rFonts w:ascii="宋体" w:hAnsi="宋体" w:cs="宋体" w:eastAsia="宋体" w:hint="default"/>
                <w:sz w:val="18"/>
                <w:szCs w:val="18"/>
              </w:rPr>
              <w:t> </w:t>
            </w:r>
            <w:r>
              <w:rPr>
                <w:rFonts w:ascii="宋体" w:hAnsi="宋体" w:cs="宋体" w:eastAsia="宋体" w:hint="default"/>
                <w:spacing w:val="-2"/>
                <w:sz w:val="18"/>
                <w:szCs w:val="18"/>
              </w:rPr>
              <w:t>切实可行的污染治理行动方案，并指导和推动实施方案，使当地的大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气环境质量状况得到改善，进而取得良好的环境效益的系统化的管理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咨询活动。</w:t>
            </w:r>
          </w:p>
        </w:tc>
      </w:tr>
      <w:tr>
        <w:trPr>
          <w:trHeight w:val="391"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D2D2D2"/>
              <w:right w:val="single" w:sz="4" w:space="0" w:color="000000"/>
            </w:tcBorders>
          </w:tcPr>
          <w:p>
            <w:pPr/>
          </w:p>
        </w:tc>
      </w:tr>
      <w:tr>
        <w:trPr>
          <w:trHeight w:val="1253"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网格化</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300" w:lineRule="auto" w:before="49"/>
              <w:ind w:left="17" w:right="19"/>
              <w:jc w:val="both"/>
              <w:rPr>
                <w:rFonts w:ascii="宋体" w:hAnsi="宋体" w:cs="宋体" w:eastAsia="宋体" w:hint="default"/>
                <w:sz w:val="18"/>
                <w:szCs w:val="18"/>
              </w:rPr>
            </w:pPr>
            <w:r>
              <w:rPr>
                <w:rFonts w:ascii="宋体" w:hAnsi="宋体" w:cs="宋体" w:eastAsia="宋体" w:hint="default"/>
                <w:sz w:val="18"/>
                <w:szCs w:val="18"/>
              </w:rPr>
              <w:t>采用最新的小型化、微型化组合监测技术，以</w:t>
            </w:r>
            <w:r>
              <w:rPr>
                <w:rFonts w:ascii="Times New Roman" w:hAnsi="Times New Roman" w:cs="Times New Roman" w:eastAsia="Times New Roman" w:hint="default"/>
                <w:sz w:val="18"/>
                <w:szCs w:val="18"/>
              </w:rPr>
              <w:t>"</w:t>
            </w:r>
            <w:r>
              <w:rPr>
                <w:rFonts w:ascii="宋体" w:hAnsi="宋体" w:cs="宋体" w:eastAsia="宋体" w:hint="default"/>
                <w:sz w:val="18"/>
                <w:szCs w:val="18"/>
              </w:rPr>
              <w:t>全面布点、全面联网</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为宗旨，通过大范围、高密度</w:t>
            </w:r>
            <w:r>
              <w:rPr>
                <w:rFonts w:ascii="Times New Roman" w:hAnsi="Times New Roman" w:cs="Times New Roman" w:eastAsia="Times New Roman" w:hint="default"/>
                <w:sz w:val="18"/>
                <w:szCs w:val="18"/>
              </w:rPr>
              <w:t>"</w:t>
            </w:r>
            <w:r>
              <w:rPr>
                <w:rFonts w:ascii="宋体" w:hAnsi="宋体" w:cs="宋体" w:eastAsia="宋体" w:hint="default"/>
                <w:sz w:val="18"/>
                <w:szCs w:val="18"/>
              </w:rPr>
              <w:t>网格组合布点</w:t>
            </w:r>
            <w:r>
              <w:rPr>
                <w:rFonts w:ascii="Times New Roman" w:hAnsi="Times New Roman" w:cs="Times New Roman" w:eastAsia="Times New Roman" w:hint="default"/>
                <w:sz w:val="18"/>
                <w:szCs w:val="18"/>
              </w:rPr>
              <w:t>"</w:t>
            </w:r>
            <w:r>
              <w:rPr>
                <w:rFonts w:ascii="宋体" w:hAnsi="宋体" w:cs="宋体" w:eastAsia="宋体" w:hint="default"/>
                <w:sz w:val="18"/>
                <w:szCs w:val="18"/>
              </w:rPr>
              <w:t>，结合立体监测、移动 监测等，形成覆盖整个区域的在线监控网格</w:t>
            </w:r>
          </w:p>
        </w:tc>
      </w:tr>
      <w:tr>
        <w:trPr>
          <w:trHeight w:val="394"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中登公司</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中国证券登记结算有限责任公司深圳分公司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723" w:right="1133"/>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pict>
          <v:group style="position:absolute;margin-left:172.339996pt;margin-top:114.681595pt;width:361.55pt;height:19.75pt;mso-position-horizontal-relative:page;mso-position-vertical-relative:paragraph;z-index:-1058536" coordorigin="3447,2294" coordsize="7231,395">
            <v:shape style="position:absolute;left:3447;top:2294;width:7231;height:395" coordorigin="3447,2294" coordsize="7231,395" path="m3447,2688l10677,2688,10677,2294,3447,2294,3447,2688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先河环保</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300137</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先河环保</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Hebei Sailhero Environmental Protection    High-tech</w:t>
            </w:r>
            <w:r>
              <w:rPr>
                <w:rFonts w:ascii="Times New Roman"/>
                <w:spacing w:val="-18"/>
                <w:sz w:val="18"/>
              </w:rPr>
              <w:t> </w:t>
            </w:r>
            <w:r>
              <w:rPr>
                <w:rFonts w:ascii="Times New Roman"/>
                <w:sz w:val="18"/>
              </w:rPr>
              <w:t>Co.,ltd</w:t>
            </w:r>
          </w:p>
        </w:tc>
      </w:tr>
      <w:tr>
        <w:trPr>
          <w:trHeight w:val="404"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SailheroEnviroprotec</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李玉国</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石家庄市湘江道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251 </w:t>
            </w:r>
            <w:r>
              <w:rPr>
                <w:rFonts w:ascii="宋体" w:hAnsi="宋体" w:cs="宋体" w:eastAsia="宋体" w:hint="default"/>
                <w:sz w:val="18"/>
                <w:szCs w:val="18"/>
              </w:rPr>
              <w:t>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050035</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石家庄市湘江道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251 </w:t>
            </w:r>
            <w:r>
              <w:rPr>
                <w:rFonts w:ascii="宋体" w:hAnsi="宋体" w:cs="宋体" w:eastAsia="宋体" w:hint="default"/>
                <w:sz w:val="18"/>
                <w:szCs w:val="18"/>
              </w:rPr>
              <w:t>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050035</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http://www.sailhero.com.cn</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xhhbzq@sailhero.com.cn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王少军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孟利利</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石家庄市湘江道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石家庄市湘江道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251 </w:t>
            </w:r>
            <w:r>
              <w:rPr>
                <w:rFonts w:ascii="宋体" w:hAnsi="宋体" w:cs="宋体" w:eastAsia="宋体" w:hint="default"/>
                <w:sz w:val="18"/>
                <w:szCs w:val="18"/>
              </w:rPr>
              <w:t>号</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0311-85323900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0311-85323900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0311-85329383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0311-85329383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xhhbzq@sailhero.com.cn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xhhbzq@sailhero.com.cn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石家庄市湘江道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号公司三楼（证券部）</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四、其他有关资料" w:id="8"/>
      <w:bookmarkEnd w:id="8"/>
      <w:r>
        <w:rPr>
          <w:b w:val="0"/>
          <w:bCs w:val="0"/>
        </w:rPr>
      </w: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公司聘请的会计师事务所</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利安达会计师事务所（特殊普通合伙）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北京市朝阳区慈云寺北里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号远洋国际二期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邱淦泳、许海丽</w:t>
            </w:r>
          </w:p>
        </w:tc>
      </w:tr>
    </w:tbl>
    <w:p>
      <w:pPr>
        <w:pStyle w:val="BodyText"/>
        <w:spacing w:line="240" w:lineRule="auto" w:before="49"/>
        <w:ind w:right="1133"/>
        <w:jc w:val="left"/>
      </w:pPr>
      <w:r>
        <w:rPr/>
        <w:t>公司聘请的报告期内履行持续督导职责的保荐机构</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公司是否需追溯调整或重述以前年度会计数据</w:t>
      </w:r>
    </w:p>
    <w:p>
      <w:pPr>
        <w:pStyle w:val="BodyText"/>
        <w:spacing w:line="240" w:lineRule="auto" w:before="118"/>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1,374,326,135.32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1,374,100,144.47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1,042,537,654.56</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262,648,290.96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259,434,109.03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188,169,290.74</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253,526,402.00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251,199,300.11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177,269,049.66</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352,722,392.00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-72,263,419.47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588.11%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191,412,255.55</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0.34</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0.34</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12.19%</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2,532,378,571.10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2,470,571,877.87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2,120,996,274.54</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2,062,694,664.65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1,808,237,876.38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1,602,362,562.90</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256,613,217.62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413,590,027.13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286,194,171.65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417,928,718.92</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23,719,039.10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72,317,935.96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80,331,215.44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86,280,100.46</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23,029,192.87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67,747,436.38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80,307,982.00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82,441,790.75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45,499,010.50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-41,187,351.91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46,643,045.77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301,767,687.64</w:t>
            </w:r>
          </w:p>
        </w:tc>
      </w:tr>
    </w:tbl>
    <w:p>
      <w:pPr>
        <w:pStyle w:val="BodyText"/>
        <w:spacing w:line="240" w:lineRule="auto" w:before="49"/>
        <w:ind w:right="1133"/>
        <w:jc w:val="left"/>
      </w:pPr>
      <w:r>
        <w:rPr/>
        <w:t>上述财务指标或其加总数是否与公司已披露季度报告、半年度报告相关财务指标存在重大差异</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9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322,394.38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26,511.44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20,786.66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11,994,814.16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8,437,819.65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14,701,025.32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-972,600.55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-752,643.65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-594,898.94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148,586.95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3,236,430.03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2,034,349.36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1,373,797.04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2,123,209.12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336,956.62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1,339,511.51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1,103,462.84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9,121,888.96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8,234,808.92</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10,900,241.08</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8"/>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1133"/>
        <w:jc w:val="left"/>
        <w:rPr>
          <w:b w:val="0"/>
          <w:bCs w:val="0"/>
        </w:rPr>
      </w:pPr>
      <w:bookmarkStart w:name="第三节公司业务概要" w:id="15"/>
      <w:bookmarkEnd w:id="15"/>
      <w:r>
        <w:rPr>
          <w:b w:val="0"/>
          <w:bCs w:val="0"/>
        </w:rPr>
      </w:r>
      <w:bookmarkStart w:name="_bookmark2" w:id="16"/>
      <w:bookmarkEnd w:id="16"/>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1130" w:firstLine="360"/>
        <w:jc w:val="both"/>
      </w:pPr>
      <w:r>
        <w:rPr>
          <w:rFonts w:ascii="Times New Roman" w:hAnsi="Times New Roman" w:cs="Times New Roman" w:eastAsia="Times New Roman" w:hint="default"/>
          <w:spacing w:val="-2"/>
        </w:rPr>
        <w:t>2019</w:t>
      </w:r>
      <w:r>
        <w:rPr>
          <w:spacing w:val="-2"/>
        </w:rPr>
        <w:t>年是新中国成立</w:t>
      </w:r>
      <w:r>
        <w:rPr>
          <w:rFonts w:ascii="Times New Roman" w:hAnsi="Times New Roman" w:cs="Times New Roman" w:eastAsia="Times New Roman" w:hint="default"/>
          <w:spacing w:val="-2"/>
        </w:rPr>
        <w:t>70</w:t>
      </w:r>
      <w:r>
        <w:rPr>
          <w:spacing w:val="-2"/>
        </w:rPr>
        <w:t>周年，是打好污染防治攻坚战、决胜全面建成小康社会的关键一年。习近平总书记在中央经济工</w:t>
      </w:r>
      <w:r>
        <w:rPr/>
        <w:t> </w:t>
      </w:r>
      <w:r>
        <w:rPr>
          <w:spacing w:val="-2"/>
        </w:rPr>
        <w:t>作会议上强调，要打好污染防治攻坚战，坚持方向不变、力度不减，突出精准治污、科学治污、依法治污，推动生态环境质</w:t>
      </w:r>
      <w:r>
        <w:rPr>
          <w:spacing w:val="-73"/>
        </w:rPr>
        <w:t> </w:t>
      </w:r>
      <w:r>
        <w:rPr>
          <w:spacing w:val="-73"/>
        </w:rPr>
      </w:r>
      <w:r>
        <w:rPr>
          <w:spacing w:val="-2"/>
        </w:rPr>
        <w:t>量持续好转。小康全面不全面，生态环境很关键。确保如期实现全面建成小康社会目标，必须打好污染防治攻坚战，否则就</w:t>
      </w:r>
      <w:r>
        <w:rPr>
          <w:spacing w:val="-67"/>
        </w:rPr>
        <w:t> </w:t>
      </w:r>
      <w:r>
        <w:rPr>
          <w:spacing w:val="-67"/>
        </w:rPr>
      </w:r>
      <w:r>
        <w:rPr>
          <w:spacing w:val="-2"/>
        </w:rPr>
        <w:t>会严重影响全面建成小康社会的成色。中央全面深化改革委员会第十一次会议，审议通过《关于构建现代环境治理体系的指</w:t>
      </w:r>
      <w:r>
        <w:rPr>
          <w:spacing w:val="-63"/>
        </w:rPr>
        <w:t> </w:t>
      </w:r>
      <w:r>
        <w:rPr>
          <w:spacing w:val="-63"/>
        </w:rPr>
      </w:r>
      <w:r>
        <w:rPr>
          <w:spacing w:val="-2"/>
        </w:rPr>
        <w:t>导意见》，要以解决制约生态环境保护事业发展的体制机制问题为重点，加快构建源头严防、过程严管、损害严惩、责任追</w:t>
      </w:r>
      <w:r>
        <w:rPr>
          <w:spacing w:val="-68"/>
        </w:rPr>
        <w:t> </w:t>
      </w:r>
      <w:r>
        <w:rPr>
          <w:spacing w:val="-68"/>
        </w:rPr>
      </w:r>
      <w:r>
        <w:rPr>
          <w:spacing w:val="-2"/>
        </w:rPr>
        <w:t>究的生态环境保护体系和党委领导、政府主导、企业主体、社会组织和公众共同参与的生态环境治理体系。李克强总理在政</w:t>
      </w:r>
      <w:r>
        <w:rPr>
          <w:spacing w:val="-66"/>
        </w:rPr>
        <w:t> </w:t>
      </w:r>
      <w:r>
        <w:rPr>
          <w:spacing w:val="-66"/>
        </w:rPr>
      </w:r>
      <w:r>
        <w:rPr/>
        <w:t>府工作报告指出要持续推进污染防治，巩固扩大蓝天保卫战成果。环境治理将以</w:t>
      </w:r>
      <w:r>
        <w:rPr>
          <w:rFonts w:ascii="Times New Roman" w:hAnsi="Times New Roman" w:cs="Times New Roman" w:eastAsia="Times New Roman" w:hint="default"/>
        </w:rPr>
        <w:t>“</w:t>
      </w:r>
      <w:r>
        <w:rPr/>
        <w:t>效果化</w:t>
      </w:r>
      <w:r>
        <w:rPr>
          <w:rFonts w:ascii="Times New Roman" w:hAnsi="Times New Roman" w:cs="Times New Roman" w:eastAsia="Times New Roman" w:hint="default"/>
        </w:rPr>
        <w:t>”</w:t>
      </w:r>
      <w:r>
        <w:rPr/>
        <w:t>为导向，进入强监管时代。</w:t>
      </w:r>
    </w:p>
    <w:p>
      <w:pPr>
        <w:pStyle w:val="BodyText"/>
        <w:spacing w:line="309" w:lineRule="auto" w:before="1"/>
        <w:ind w:right="1132" w:firstLine="360"/>
        <w:jc w:val="both"/>
      </w:pPr>
      <w:r>
        <w:rPr>
          <w:spacing w:val="-2"/>
        </w:rPr>
        <w:t>公司作为国内高端环境监测仪器仪表领军企业，已发展成为集环境监测、治理、服务为一体的集团化公司，业务涵盖生</w:t>
      </w:r>
      <w:r>
        <w:rPr/>
        <w:t> 态环境监测装备、运维服务、社会化检测、环境大数据分析及决策支持服务、</w:t>
      </w:r>
      <w:r>
        <w:rPr>
          <w:rFonts w:ascii="Times New Roman" w:hAnsi="Times New Roman" w:cs="Times New Roman" w:eastAsia="Times New Roman" w:hint="default"/>
        </w:rPr>
        <w:t>VOCs</w:t>
      </w:r>
      <w:r>
        <w:rPr/>
        <w:t>治理、农村分散污水治理等领域，具有</w:t>
      </w:r>
      <w:r>
        <w:rPr>
          <w:spacing w:val="-84"/>
        </w:rPr>
        <w:t> </w:t>
      </w:r>
      <w:r>
        <w:rPr>
          <w:spacing w:val="-84"/>
        </w:rPr>
      </w:r>
      <w:r>
        <w:rPr/>
        <w:t>全产业链服务优势，在行业中具有较强的竞争力。</w:t>
      </w:r>
    </w:p>
    <w:p>
      <w:pPr>
        <w:pStyle w:val="BodyText"/>
        <w:spacing w:line="240" w:lineRule="auto" w:before="24"/>
        <w:ind w:left="513" w:right="1133"/>
        <w:jc w:val="left"/>
      </w:pPr>
      <w:r>
        <w:rPr/>
        <w:t>（一）行业所处的发展趋势</w:t>
      </w:r>
    </w:p>
    <w:p>
      <w:pPr>
        <w:pStyle w:val="BodyText"/>
        <w:spacing w:line="304" w:lineRule="auto" w:before="76"/>
        <w:ind w:right="1071" w:firstLine="360"/>
        <w:jc w:val="both"/>
      </w:pPr>
      <w:r>
        <w:rPr>
          <w:rFonts w:ascii="Times New Roman" w:hAnsi="Times New Roman" w:cs="Times New Roman" w:eastAsia="Times New Roman" w:hint="default"/>
        </w:rPr>
        <w:t>1</w:t>
      </w:r>
      <w:r>
        <w:rPr/>
        <w:t>、自《打赢蓝天保卫战三年行动计划》发布以来，大气监测这几年的工作重点一直是</w:t>
      </w:r>
      <w:r>
        <w:rPr>
          <w:rFonts w:ascii="Times New Roman" w:hAnsi="Times New Roman" w:cs="Times New Roman" w:eastAsia="Times New Roman" w:hint="default"/>
        </w:rPr>
        <w:t>“</w:t>
      </w:r>
      <w:r>
        <w:rPr/>
        <w:t>细化</w:t>
      </w:r>
      <w:r>
        <w:rPr>
          <w:rFonts w:ascii="Times New Roman" w:hAnsi="Times New Roman" w:cs="Times New Roman" w:eastAsia="Times New Roman" w:hint="default"/>
        </w:rPr>
        <w:t>”</w:t>
      </w:r>
      <w:r>
        <w:rPr/>
        <w:t>，根据不同地区情况，从 国家层面划分重点区域和重点监测因子，如京津冀地区、长三角地区、汾渭平原、颗粒物组分网、光化学组分网等。</w:t>
      </w:r>
      <w:r>
        <w:rPr>
          <w:rFonts w:ascii="Times New Roman" w:hAnsi="Times New Roman" w:cs="Times New Roman" w:eastAsia="Times New Roman" w:hint="default"/>
        </w:rPr>
        <w:t>2019</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spacing w:val="-2"/>
        </w:rPr>
        <w:t>年空气质量监测的需求主要来自于乡镇空气监测、扬尘监测、激光雷达、机动车尾气监测、微型站、大气溯源组分监测等方</w:t>
      </w:r>
      <w:r>
        <w:rPr>
          <w:spacing w:val="-67"/>
        </w:rPr>
        <w:t> </w:t>
      </w:r>
      <w:r>
        <w:rPr>
          <w:spacing w:val="-67"/>
        </w:rPr>
      </w:r>
      <w:r>
        <w:rPr/>
        <w:t>面；随着</w:t>
      </w:r>
      <w:r>
        <w:rPr>
          <w:rFonts w:ascii="Times New Roman" w:hAnsi="Times New Roman" w:cs="Times New Roman" w:eastAsia="Times New Roman" w:hint="default"/>
        </w:rPr>
        <w:t>“</w:t>
      </w:r>
      <w:r>
        <w:rPr/>
        <w:t>中国环境监测总站国家地表水自动监测系统建设及运行维护项目</w:t>
      </w:r>
      <w:r>
        <w:rPr>
          <w:rFonts w:ascii="Times New Roman" w:hAnsi="Times New Roman" w:cs="Times New Roman" w:eastAsia="Times New Roman" w:hint="default"/>
        </w:rPr>
        <w:t>”</w:t>
      </w:r>
      <w:r>
        <w:rPr/>
        <w:t>拉开了我国地表水水质自动监测站建设的序幕， </w:t>
      </w:r>
      <w:r>
        <w:rPr>
          <w:rFonts w:ascii="Times New Roman" w:hAnsi="Times New Roman" w:cs="Times New Roman" w:eastAsia="Times New Roman" w:hint="default"/>
        </w:rPr>
        <w:t>2019</w:t>
      </w:r>
      <w:r>
        <w:rPr/>
        <w:t>年各省市开始了自动水质监测网络的建设。</w:t>
      </w:r>
    </w:p>
    <w:p>
      <w:pPr>
        <w:pStyle w:val="BodyText"/>
        <w:spacing w:line="300" w:lineRule="auto" w:before="9"/>
        <w:ind w:right="1034" w:firstLine="360"/>
        <w:jc w:val="left"/>
      </w:pPr>
      <w:r>
        <w:rPr/>
        <w:t>生态环境部部长李干杰在</w:t>
      </w:r>
      <w:r>
        <w:rPr>
          <w:rFonts w:ascii="Times New Roman" w:hAnsi="Times New Roman" w:cs="Times New Roman" w:eastAsia="Times New Roman" w:hint="default"/>
        </w:rPr>
        <w:t>2020</w:t>
      </w:r>
      <w:r>
        <w:rPr/>
        <w:t>年全国生态环境保护工作会议上的讲话中提出，完善生态环境监测体系，完成</w:t>
      </w:r>
      <w:r>
        <w:rPr>
          <w:rFonts w:ascii="Times New Roman" w:hAnsi="Times New Roman" w:cs="Times New Roman" w:eastAsia="Times New Roman" w:hint="default"/>
        </w:rPr>
        <w:t>“</w:t>
      </w:r>
      <w:r>
        <w:rPr/>
        <w:t>十四五</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国家环境空气、地表水、海洋生态环境监测网络优化调整，其中，空气站点从</w:t>
      </w:r>
      <w:r>
        <w:rPr>
          <w:rFonts w:ascii="Times New Roman" w:hAnsi="Times New Roman" w:cs="Times New Roman" w:eastAsia="Times New Roman" w:hint="default"/>
        </w:rPr>
        <w:t>1436</w:t>
      </w:r>
      <w:r>
        <w:rPr/>
        <w:t>个增加至近</w:t>
      </w:r>
      <w:r>
        <w:rPr>
          <w:rFonts w:ascii="Times New Roman" w:hAnsi="Times New Roman" w:cs="Times New Roman" w:eastAsia="Times New Roman" w:hint="default"/>
        </w:rPr>
        <w:t>1800</w:t>
      </w:r>
      <w:r>
        <w:rPr/>
        <w:t>个，填平补齐城市站点； </w:t>
      </w:r>
      <w:r>
        <w:rPr>
          <w:spacing w:val="-3"/>
        </w:rPr>
        <w:t>地表水断面从</w:t>
      </w:r>
      <w:r>
        <w:rPr>
          <w:rFonts w:ascii="Times New Roman" w:hAnsi="Times New Roman" w:cs="Times New Roman" w:eastAsia="Times New Roman" w:hint="default"/>
          <w:spacing w:val="-3"/>
        </w:rPr>
        <w:t>1940</w:t>
      </w:r>
      <w:r>
        <w:rPr>
          <w:spacing w:val="-3"/>
        </w:rPr>
        <w:t>个增加至近</w:t>
      </w:r>
      <w:r>
        <w:rPr>
          <w:rFonts w:ascii="Times New Roman" w:hAnsi="Times New Roman" w:cs="Times New Roman" w:eastAsia="Times New Roman" w:hint="default"/>
          <w:spacing w:val="-3"/>
        </w:rPr>
        <w:t>3700</w:t>
      </w:r>
      <w:r>
        <w:rPr>
          <w:spacing w:val="-3"/>
        </w:rPr>
        <w:t>个，实现十大流域干流及重要支流、地级及以上城市、重要水体省市界和重要水功能区</w:t>
      </w:r>
      <w:r>
        <w:rPr>
          <w:rFonts w:ascii="Times New Roman" w:hAnsi="Times New Roman" w:cs="Times New Roman" w:eastAsia="Times New Roman" w:hint="default"/>
          <w:spacing w:val="-3"/>
        </w:rPr>
        <w:t>“</w:t>
      </w:r>
      <w:r>
        <w:rPr>
          <w:spacing w:val="-3"/>
        </w:rPr>
        <w:t>四</w:t>
      </w:r>
      <w:r>
        <w:rPr>
          <w:spacing w:val="-80"/>
        </w:rPr>
        <w:t> </w:t>
      </w:r>
      <w:r>
        <w:rPr/>
        <w:t>个全覆盖</w:t>
      </w:r>
      <w:r>
        <w:rPr>
          <w:rFonts w:ascii="Times New Roman" w:hAnsi="Times New Roman" w:cs="Times New Roman" w:eastAsia="Times New Roman" w:hint="default"/>
        </w:rPr>
        <w:t>”</w:t>
      </w:r>
      <w:r>
        <w:rPr/>
        <w:t>；海洋监测点位整合优化到</w:t>
      </w:r>
      <w:r>
        <w:rPr>
          <w:rFonts w:ascii="Times New Roman" w:hAnsi="Times New Roman" w:cs="Times New Roman" w:eastAsia="Times New Roman" w:hint="default"/>
        </w:rPr>
        <w:t>1400</w:t>
      </w:r>
      <w:r>
        <w:rPr/>
        <w:t>个，实现近岸与近海统筹。这将释放新的增量市场。</w:t>
      </w:r>
    </w:p>
    <w:p>
      <w:pPr>
        <w:pStyle w:val="BodyText"/>
        <w:spacing w:line="309" w:lineRule="auto" w:before="13"/>
        <w:ind w:right="1130" w:firstLine="360"/>
        <w:jc w:val="both"/>
      </w:pPr>
      <w:r>
        <w:rPr>
          <w:rFonts w:ascii="Times New Roman" w:hAnsi="Times New Roman" w:cs="Times New Roman" w:eastAsia="Times New Roman" w:hint="default"/>
          <w:spacing w:val="-2"/>
        </w:rPr>
        <w:t>2020</w:t>
      </w:r>
      <w:r>
        <w:rPr>
          <w:spacing w:val="-2"/>
        </w:rPr>
        <w:t>年是十三五收官之年，各地政府和企业面临环境治理成效考核压力，环境监测需求相应增加，环境监测任务逐步向</w:t>
      </w:r>
      <w:r>
        <w:rPr/>
        <w:t> </w:t>
      </w:r>
      <w:r>
        <w:rPr>
          <w:spacing w:val="-2"/>
        </w:rPr>
        <w:t>生态状况监测和环境风险预警领域拓展；从常规理化指标监测向有毒有害、生物、生态指标监测拓展，将促进细分技术领域</w:t>
      </w:r>
      <w:r>
        <w:rPr>
          <w:spacing w:val="-64"/>
        </w:rPr>
        <w:t> </w:t>
      </w:r>
      <w:r>
        <w:rPr>
          <w:spacing w:val="-64"/>
        </w:rPr>
      </w:r>
      <w:r>
        <w:rPr/>
        <w:t>专业化发展。</w:t>
      </w:r>
    </w:p>
    <w:p>
      <w:pPr>
        <w:pStyle w:val="BodyText"/>
        <w:spacing w:line="316" w:lineRule="auto" w:before="24"/>
        <w:ind w:right="1130" w:firstLine="360"/>
        <w:jc w:val="both"/>
      </w:pPr>
      <w:r>
        <w:rPr>
          <w:spacing w:val="-2"/>
        </w:rPr>
        <w:t>目前，全国范围内建立了国家级、省级、市级、移动监测等多层次、多技术类别的地面大气监测网络。随着雷达、无人</w:t>
      </w:r>
      <w:r>
        <w:rPr/>
        <w:t> </w:t>
      </w:r>
      <w:r>
        <w:rPr>
          <w:spacing w:val="-2"/>
        </w:rPr>
        <w:t>机、卫星等技术的大规模应用，大气质量监测已经形成立体综合监测态势。由于数据源众多，需要进行数据融合应用，利用</w:t>
      </w:r>
      <w:r>
        <w:rPr>
          <w:spacing w:val="-67"/>
        </w:rPr>
        <w:t> </w:t>
      </w:r>
      <w:r>
        <w:rPr>
          <w:spacing w:val="-67"/>
        </w:rPr>
      </w:r>
      <w:r>
        <w:rPr>
          <w:spacing w:val="-2"/>
        </w:rPr>
        <w:t>人工智能技术，建立智能可靠的大气数据模型，为生态环境管理提供支撑。在区域环境达标的基础上，大数据应用的广度深</w:t>
      </w:r>
      <w:r>
        <w:rPr>
          <w:spacing w:val="-65"/>
        </w:rPr>
        <w:t> </w:t>
      </w:r>
      <w:r>
        <w:rPr>
          <w:spacing w:val="-65"/>
        </w:rPr>
      </w:r>
      <w:r>
        <w:rPr>
          <w:spacing w:val="-2"/>
        </w:rPr>
        <w:t>度方面，将继续向智慧环保方向发展。管理咨询服务将延伸到企业端的环保管家服务，在综合分析区域整体空气质量的基础</w:t>
      </w:r>
      <w:r>
        <w:rPr>
          <w:spacing w:val="-63"/>
        </w:rPr>
        <w:t> </w:t>
      </w:r>
      <w:r>
        <w:rPr>
          <w:spacing w:val="-63"/>
        </w:rPr>
      </w:r>
      <w:r>
        <w:rPr/>
        <w:t>上，为政府的环境管理提供治理建议，并协助企业提升治理能力，减少污染排放，降低环保运行费用。</w:t>
      </w:r>
    </w:p>
    <w:p>
      <w:pPr>
        <w:pStyle w:val="BodyText"/>
        <w:spacing w:line="240" w:lineRule="auto" w:before="19"/>
        <w:ind w:left="513" w:right="1133"/>
        <w:jc w:val="left"/>
      </w:pPr>
      <w:r>
        <w:rPr/>
        <w:t>随着省控水质监测网络的建设、长江大保护、黄河大保护等行动规划的稳步推进，水环境监测市场空间巨大。</w:t>
      </w:r>
    </w:p>
    <w:p>
      <w:pPr>
        <w:pStyle w:val="BodyText"/>
        <w:spacing w:line="300" w:lineRule="auto" w:before="77"/>
        <w:ind w:right="1130" w:firstLine="360"/>
        <w:jc w:val="both"/>
      </w:pPr>
      <w:r>
        <w:rPr>
          <w:rFonts w:ascii="Times New Roman" w:hAnsi="Times New Roman" w:cs="Times New Roman" w:eastAsia="Times New Roman" w:hint="default"/>
        </w:rPr>
        <w:t>2</w:t>
      </w:r>
      <w:r>
        <w:rPr/>
        <w:t>、随着</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月生态环境部印发《重点行业挥发性有机物综合治理方案》，涉及</w:t>
      </w:r>
      <w:r>
        <w:rPr>
          <w:rFonts w:ascii="Times New Roman" w:hAnsi="Times New Roman" w:cs="Times New Roman" w:eastAsia="Times New Roman" w:hint="default"/>
        </w:rPr>
        <w:t>VOCs</w:t>
      </w:r>
      <w:r>
        <w:rPr/>
        <w:t>污染控制方面的标准规范制订 工作持续推进，</w:t>
      </w:r>
      <w:r>
        <w:rPr>
          <w:rFonts w:ascii="Times New Roman" w:hAnsi="Times New Roman" w:cs="Times New Roman" w:eastAsia="Times New Roman" w:hint="default"/>
        </w:rPr>
        <w:t>VOCs</w:t>
      </w:r>
      <w:r>
        <w:rPr/>
        <w:t>相关政策标准管理体系逐渐完善，</w:t>
      </w:r>
      <w:r>
        <w:rPr>
          <w:rFonts w:ascii="Times New Roman" w:hAnsi="Times New Roman" w:cs="Times New Roman" w:eastAsia="Times New Roman" w:hint="default"/>
        </w:rPr>
        <w:t>VOCs</w:t>
      </w:r>
      <w:r>
        <w:rPr/>
        <w:t>的减排与控制行业将延续精细化、规范化的发展方向。</w:t>
      </w:r>
      <w:r>
        <w:rPr>
          <w:rFonts w:ascii="Times New Roman" w:hAnsi="Times New Roman" w:cs="Times New Roman" w:eastAsia="Times New Roman" w:hint="default"/>
        </w:rPr>
        <w:t>2020</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年将继续以重点行业为主要着力点，继续实施重点行业</w:t>
      </w:r>
      <w:r>
        <w:rPr>
          <w:rFonts w:ascii="Times New Roman" w:hAnsi="Times New Roman" w:cs="Times New Roman" w:eastAsia="Times New Roman" w:hint="default"/>
        </w:rPr>
        <w:t>VOCs</w:t>
      </w:r>
      <w:r>
        <w:rPr/>
        <w:t>治理和工业园区综合整治工作，逐步提升污染源监管及监督性</w:t>
      </w:r>
      <w:r>
        <w:rPr>
          <w:spacing w:val="-84"/>
        </w:rPr>
        <w:t> </w:t>
      </w:r>
      <w:r>
        <w:rPr>
          <w:spacing w:val="-84"/>
        </w:rPr>
      </w:r>
      <w:r>
        <w:rPr/>
        <w:t>监测能力建设，削减</w:t>
      </w:r>
      <w:r>
        <w:rPr>
          <w:rFonts w:ascii="Times New Roman" w:hAnsi="Times New Roman" w:cs="Times New Roman" w:eastAsia="Times New Roman" w:hint="default"/>
        </w:rPr>
        <w:t>VOCs</w:t>
      </w:r>
      <w:r>
        <w:rPr/>
        <w:t>排放总量。加强无组织排放控制，措施性要求与限值要求并重，采用密闭生产技术，提高废气收</w:t>
      </w:r>
      <w:r>
        <w:rPr>
          <w:spacing w:val="-85"/>
        </w:rPr>
        <w:t> </w:t>
      </w:r>
      <w:r>
        <w:rPr>
          <w:spacing w:val="-85"/>
        </w:rPr>
      </w:r>
      <w:r>
        <w:rPr/>
        <w:t>集效率，减少无组织逸散，将成为化工、涂装、印刷、制药等</w:t>
      </w:r>
      <w:r>
        <w:rPr>
          <w:rFonts w:ascii="Times New Roman" w:hAnsi="Times New Roman" w:cs="Times New Roman" w:eastAsia="Times New Roman" w:hint="default"/>
        </w:rPr>
        <w:t>VOCs</w:t>
      </w:r>
      <w:r>
        <w:rPr/>
        <w:t>排放重点行业的治理工作重点；末端治理方面，国家将</w:t>
      </w:r>
      <w:r>
        <w:rPr>
          <w:spacing w:val="-84"/>
        </w:rPr>
        <w:t> </w:t>
      </w:r>
      <w:r>
        <w:rPr>
          <w:spacing w:val="-84"/>
        </w:rPr>
      </w:r>
      <w:r>
        <w:rPr/>
        <w:t>发布包装印刷、表面涂装等重点行业污染防治可行技术指南，</w:t>
      </w:r>
      <w:r>
        <w:rPr>
          <w:rFonts w:ascii="Times New Roman" w:hAnsi="Times New Roman" w:cs="Times New Roman" w:eastAsia="Times New Roman" w:hint="default"/>
        </w:rPr>
        <w:t>VOCs</w:t>
      </w:r>
      <w:r>
        <w:rPr/>
        <w:t>治理工作将继续朝着规范化方向发展。</w:t>
      </w:r>
    </w:p>
    <w:p>
      <w:pPr>
        <w:pStyle w:val="BodyText"/>
        <w:spacing w:line="300" w:lineRule="auto" w:before="13"/>
        <w:ind w:right="1034" w:firstLine="360"/>
        <w:jc w:val="left"/>
      </w:pPr>
      <w:r>
        <w:rPr>
          <w:rFonts w:ascii="Times New Roman" w:hAnsi="Times New Roman" w:cs="Times New Roman" w:eastAsia="Times New Roman" w:hint="default"/>
          <w:spacing w:val="-2"/>
        </w:rPr>
        <w:t>3</w:t>
      </w:r>
      <w:r>
        <w:rPr>
          <w:spacing w:val="-2"/>
        </w:rPr>
        <w:t>、为补齐农村水环境治理的短板，</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月，中央农办、农业农村部、生态环境部等九部门联合印发《关于推进农村</w:t>
      </w:r>
      <w:r>
        <w:rPr/>
        <w:t> 生活污水治理的指导意见》，结合国内不同地区的发展水平现状，明确提出了到</w:t>
      </w:r>
      <w:r>
        <w:rPr>
          <w:rFonts w:ascii="Times New Roman" w:hAnsi="Times New Roman" w:cs="Times New Roman" w:eastAsia="Times New Roman" w:hint="default"/>
        </w:rPr>
        <w:t>2020</w:t>
      </w:r>
      <w:r>
        <w:rPr/>
        <w:t>年农村污水治理需要达到的目标要求。 </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月，生态环境部发布《农村黑臭水体治理工作指南（试行）》，全面推动农村地区启动黑臭水体治理工作，促进形</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成一批可复制、可推广的农村黑臭水体治理模式。</w:t>
      </w:r>
    </w:p>
    <w:p>
      <w:pPr>
        <w:pStyle w:val="BodyText"/>
        <w:spacing w:line="316" w:lineRule="auto" w:before="77"/>
        <w:ind w:left="513" w:right="1043"/>
        <w:jc w:val="left"/>
      </w:pPr>
      <w:r>
        <w:rPr/>
        <w:t>（二）竞争格局 环境监测行业一方面吸引了众多小体量技术型公司纷纷进入市场，推动环境监测新技术发展应用；另一方面，</w:t>
      </w:r>
      <w:r>
        <w:rPr>
          <w:rFonts w:ascii="Times New Roman" w:hAnsi="Times New Roman" w:cs="Times New Roman" w:eastAsia="Times New Roman" w:hint="default"/>
        </w:rPr>
        <w:t>IT</w:t>
      </w:r>
      <w:r>
        <w:rPr/>
        <w:t>公司、</w:t>
      </w:r>
    </w:p>
    <w:p>
      <w:pPr>
        <w:pStyle w:val="BodyText"/>
        <w:spacing w:line="312" w:lineRule="auto"/>
        <w:ind w:right="1034"/>
        <w:jc w:val="left"/>
      </w:pPr>
      <w:r>
        <w:rPr>
          <w:spacing w:val="-2"/>
        </w:rPr>
        <w:t>治理公司甚至房地产公司等其它行业公司，跨界进入环境监测领域，市场呈现竞争加剧态势。公司可以提供生态环境全产业</w:t>
      </w:r>
      <w:r>
        <w:rPr>
          <w:spacing w:val="-63"/>
        </w:rPr>
        <w:t> </w:t>
      </w:r>
      <w:r>
        <w:rPr>
          <w:spacing w:val="-63"/>
        </w:rPr>
      </w:r>
      <w:r>
        <w:rPr>
          <w:spacing w:val="-2"/>
        </w:rPr>
        <w:t>链综合服务，为政府提供环境监测、咨询服务、治理为一体的全方位、一站式环境改善方案，具有全产业链服务优势，在行</w:t>
      </w:r>
      <w:r>
        <w:rPr>
          <w:spacing w:val="-68"/>
        </w:rPr>
        <w:t> </w:t>
      </w:r>
      <w:r>
        <w:rPr>
          <w:spacing w:val="-68"/>
        </w:rPr>
      </w:r>
      <w:r>
        <w:rPr>
          <w:spacing w:val="-2"/>
        </w:rPr>
        <w:t>业中具有较强的竞争力。其中在常规空气监测市场，公司仍继续保持较高市场份额；在网格化监测市场及大气污染防治管理</w:t>
      </w:r>
      <w:r>
        <w:rPr>
          <w:spacing w:val="-63"/>
        </w:rPr>
        <w:t> </w:t>
      </w:r>
      <w:r>
        <w:rPr>
          <w:spacing w:val="-63"/>
        </w:rPr>
      </w:r>
      <w:r>
        <w:rPr>
          <w:spacing w:val="-2"/>
        </w:rPr>
        <w:t>咨询服务市场，公司拥有着齐全的产品线和完善的质控体系，拥有着专业的专家团队，结合网格化的数据应用，均占据市场</w:t>
      </w:r>
      <w:r>
        <w:rPr>
          <w:spacing w:val="-63"/>
        </w:rPr>
        <w:t> </w:t>
      </w:r>
      <w:r>
        <w:rPr>
          <w:spacing w:val="-63"/>
        </w:rPr>
      </w:r>
      <w:r>
        <w:rPr/>
        <w:t>领先地位。同时，公司通过河北省先进环保产业创新中心创建环保应用新模式：一是区域全面感知、智慧诊断、科学减排、 精准治理、持续达标；二是 </w:t>
      </w:r>
      <w:r>
        <w:rPr>
          <w:rFonts w:ascii="Times New Roman" w:hAnsi="Times New Roman" w:cs="Times New Roman" w:eastAsia="Times New Roman" w:hint="default"/>
        </w:rPr>
        <w:t>“</w:t>
      </w:r>
      <w:r>
        <w:rPr/>
        <w:t>测管治联动</w:t>
      </w:r>
      <w:r>
        <w:rPr>
          <w:rFonts w:ascii="Times New Roman" w:hAnsi="Times New Roman" w:cs="Times New Roman" w:eastAsia="Times New Roman" w:hint="default"/>
        </w:rPr>
        <w:t>”</w:t>
      </w:r>
      <w:r>
        <w:rPr/>
        <w:t>一站式第三方服务，实现区域环境质量改善与经济协调、绿色发展。该模式契合</w:t>
      </w:r>
      <w:r>
        <w:rPr>
          <w:spacing w:val="-70"/>
        </w:rPr>
        <w:t> </w:t>
      </w:r>
      <w:r>
        <w:rPr>
          <w:spacing w:val="-70"/>
        </w:rPr>
      </w:r>
      <w:r>
        <w:rPr/>
        <w:t>了《关于构建现代环境治理体系指导意见》中提出的</w:t>
      </w:r>
      <w:r>
        <w:rPr>
          <w:rFonts w:ascii="Times New Roman" w:hAnsi="Times New Roman" w:cs="Times New Roman" w:eastAsia="Times New Roman" w:hint="default"/>
        </w:rPr>
        <w:t>“</w:t>
      </w:r>
      <w:r>
        <w:rPr/>
        <w:t>创新环境治理模式。积极推行环境污染第三方治理，开展园区污染防</w:t>
      </w:r>
      <w:r>
        <w:rPr>
          <w:spacing w:val="-75"/>
        </w:rPr>
        <w:t> </w:t>
      </w:r>
      <w:r>
        <w:rPr>
          <w:spacing w:val="-75"/>
        </w:rPr>
      </w:r>
      <w:r>
        <w:rPr>
          <w:spacing w:val="-2"/>
        </w:rPr>
        <w:t>治第三方治理示范，探索统一规划、统一监测、统一治理的一体化服务模式。开展小城镇环境综合治理托管服务试点，强化</w:t>
      </w:r>
      <w:r>
        <w:rPr>
          <w:spacing w:val="-67"/>
        </w:rPr>
        <w:t> </w:t>
      </w:r>
      <w:r>
        <w:rPr>
          <w:spacing w:val="-67"/>
        </w:rPr>
      </w:r>
      <w:r>
        <w:rPr/>
        <w:t>系统治理，实行按效付费。</w:t>
      </w:r>
      <w:r>
        <w:rPr>
          <w:rFonts w:ascii="Times New Roman" w:hAnsi="Times New Roman" w:cs="Times New Roman" w:eastAsia="Times New Roman" w:hint="default"/>
        </w:rPr>
        <w:t>”</w:t>
      </w:r>
      <w:r>
        <w:rPr/>
        <w:t>目前公司提出的环保应用新模式已正在辛集实施应用，与邯郸市永年区也于签署了相关框架协</w:t>
      </w:r>
      <w:r>
        <w:rPr>
          <w:spacing w:val="-76"/>
        </w:rPr>
        <w:t> </w:t>
      </w:r>
      <w:r>
        <w:rPr>
          <w:spacing w:val="-76"/>
        </w:rPr>
      </w:r>
      <w:r>
        <w:rPr/>
        <w:t>议。通过项目的示范引领作用将进一步推动公司业务的拓展，增强公司的综合竞争力。</w:t>
      </w:r>
    </w:p>
    <w:p>
      <w:pPr>
        <w:spacing w:line="240" w:lineRule="auto" w:before="2"/>
        <w:rPr>
          <w:rFonts w:ascii="宋体" w:hAnsi="宋体" w:cs="宋体" w:eastAsia="宋体" w:hint="default"/>
          <w:sz w:val="21"/>
          <w:szCs w:val="21"/>
        </w:rPr>
      </w:pPr>
    </w:p>
    <w:p>
      <w:pPr>
        <w:pStyle w:val="Heading2"/>
        <w:spacing w:line="240" w:lineRule="auto"/>
        <w:ind w:right="1133"/>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844"/>
        <w:gridCol w:w="7727"/>
      </w:tblGrid>
      <w:tr>
        <w:trPr>
          <w:trHeight w:val="76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557"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货币资金期末余额较期初增加</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185,143,018.16</w:t>
            </w:r>
            <w:r>
              <w:rPr>
                <w:rFonts w:ascii="Times New Roman" w:hAnsi="Times New Roman" w:cs="Times New Roman" w:eastAsia="Times New Roman" w:hint="default"/>
                <w:spacing w:val="8"/>
                <w:sz w:val="18"/>
                <w:szCs w:val="18"/>
              </w:rPr>
              <w:t> </w:t>
            </w:r>
            <w:r>
              <w:rPr>
                <w:rFonts w:ascii="宋体" w:hAnsi="宋体" w:cs="宋体" w:eastAsia="宋体" w:hint="default"/>
                <w:spacing w:val="-12"/>
                <w:sz w:val="18"/>
                <w:szCs w:val="18"/>
              </w:rPr>
              <w:t>元，增幅</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32.33%</w:t>
            </w:r>
            <w:r>
              <w:rPr>
                <w:rFonts w:ascii="宋体" w:hAnsi="宋体" w:cs="宋体" w:eastAsia="宋体" w:hint="default"/>
                <w:spacing w:val="-3"/>
                <w:sz w:val="18"/>
                <w:szCs w:val="18"/>
              </w:rPr>
              <w:t>，主要原因是本公司经营活动产生的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现金流量增加所致。</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应收票据期末余额较期初增加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9,699,979.36</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元，增幅</w:t>
            </w:r>
            <w:r>
              <w:rPr>
                <w:rFonts w:ascii="宋体" w:hAnsi="宋体" w:cs="宋体" w:eastAsia="宋体" w:hint="default"/>
                <w:spacing w:val="-46"/>
                <w:sz w:val="18"/>
                <w:szCs w:val="18"/>
              </w:rPr>
              <w:t> </w:t>
            </w:r>
            <w:r>
              <w:rPr>
                <w:rFonts w:ascii="Times New Roman" w:hAnsi="Times New Roman" w:cs="Times New Roman" w:eastAsia="Times New Roman" w:hint="default"/>
                <w:spacing w:val="-2"/>
                <w:sz w:val="18"/>
                <w:szCs w:val="18"/>
              </w:rPr>
              <w:t>1057.45%</w:t>
            </w:r>
            <w:r>
              <w:rPr>
                <w:rFonts w:ascii="宋体" w:hAnsi="宋体" w:cs="宋体" w:eastAsia="宋体" w:hint="default"/>
                <w:spacing w:val="-2"/>
                <w:sz w:val="18"/>
                <w:szCs w:val="18"/>
              </w:rPr>
              <w:t>，主要原因是本公司期末以承兑汇票</w:t>
            </w:r>
            <w:r>
              <w:rPr>
                <w:rFonts w:ascii="宋体" w:hAnsi="宋体" w:cs="宋体" w:eastAsia="宋体" w:hint="default"/>
                <w:sz w:val="18"/>
                <w:szCs w:val="18"/>
              </w:rPr>
              <w:t> 形式收回欠款增加所致。</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6"/>
              <w:jc w:val="left"/>
              <w:rPr>
                <w:rFonts w:ascii="宋体" w:hAnsi="宋体" w:cs="宋体" w:eastAsia="宋体" w:hint="default"/>
                <w:sz w:val="18"/>
                <w:szCs w:val="18"/>
              </w:rPr>
            </w:pPr>
            <w:r>
              <w:rPr>
                <w:rFonts w:ascii="宋体" w:hAnsi="宋体" w:cs="宋体" w:eastAsia="宋体" w:hint="default"/>
                <w:sz w:val="18"/>
                <w:szCs w:val="18"/>
              </w:rPr>
              <w:t>其他应收款期末余额较期初减少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37,944,888.67 </w:t>
            </w:r>
            <w:r>
              <w:rPr>
                <w:rFonts w:ascii="宋体" w:hAnsi="宋体" w:cs="宋体" w:eastAsia="宋体" w:hint="default"/>
                <w:sz w:val="18"/>
                <w:szCs w:val="18"/>
              </w:rPr>
              <w:t>元，降幅</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38.40%</w:t>
            </w:r>
            <w:r>
              <w:rPr>
                <w:rFonts w:ascii="宋体" w:hAnsi="宋体" w:cs="宋体" w:eastAsia="宋体" w:hint="default"/>
                <w:sz w:val="18"/>
                <w:szCs w:val="18"/>
              </w:rPr>
              <w:t>，主要原因是本公司前期支付的保 证金在本期收回影响。</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其他流动资产期末余额较期初减少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1,319,618.03</w:t>
            </w:r>
            <w:r>
              <w:rPr>
                <w:rFonts w:ascii="Times New Roman" w:hAnsi="Times New Roman" w:cs="Times New Roman" w:eastAsia="Times New Roman" w:hint="default"/>
                <w:spacing w:val="5"/>
                <w:sz w:val="18"/>
                <w:szCs w:val="18"/>
              </w:rPr>
              <w:t> </w:t>
            </w:r>
            <w:r>
              <w:rPr>
                <w:rFonts w:ascii="宋体" w:hAnsi="宋体" w:cs="宋体" w:eastAsia="宋体" w:hint="default"/>
                <w:spacing w:val="-11"/>
                <w:sz w:val="18"/>
                <w:szCs w:val="18"/>
              </w:rPr>
              <w:t>元，降幅</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45.23%</w:t>
            </w:r>
            <w:r>
              <w:rPr>
                <w:rFonts w:ascii="宋体" w:hAnsi="宋体" w:cs="宋体" w:eastAsia="宋体" w:hint="default"/>
                <w:spacing w:val="-3"/>
                <w:sz w:val="18"/>
                <w:szCs w:val="18"/>
              </w:rPr>
              <w:t>，主要原因是本期留抵增值税额减</w:t>
            </w:r>
            <w:r>
              <w:rPr>
                <w:rFonts w:ascii="宋体" w:hAnsi="宋体" w:cs="宋体" w:eastAsia="宋体" w:hint="default"/>
                <w:sz w:val="18"/>
                <w:szCs w:val="18"/>
              </w:rPr>
              <w:t> 少所致。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1129"/>
        <w:jc w:val="left"/>
      </w:pPr>
      <w:r>
        <w:rPr>
          <w:rFonts w:ascii="Times New Roman" w:hAnsi="Times New Roman" w:cs="Times New Roman" w:eastAsia="Times New Roman" w:hint="default"/>
        </w:rPr>
        <w:t>1</w:t>
      </w:r>
      <w:r>
        <w:rPr/>
        <w:t>、创新优势 </w:t>
      </w:r>
      <w:r>
        <w:rPr>
          <w:spacing w:val="-2"/>
        </w:rPr>
        <w:t>公司一直坚持以自主研发为先导，加大科研投入，加强科技创新人才队伍建设。通过建立省级企业技术中心、省级工程</w:t>
      </w:r>
    </w:p>
    <w:p>
      <w:pPr>
        <w:pStyle w:val="BodyText"/>
        <w:spacing w:line="316" w:lineRule="auto" w:before="31"/>
        <w:ind w:right="1133"/>
        <w:jc w:val="left"/>
      </w:pPr>
      <w:r>
        <w:rPr>
          <w:spacing w:val="-2"/>
        </w:rPr>
        <w:t>技术研究中心、国家工程实验室，承担国家项目，同时与国内各大院校建立紧密的技术合作，形成了大量的科技成果、科技</w:t>
      </w:r>
      <w:r>
        <w:rPr>
          <w:spacing w:val="-67"/>
        </w:rPr>
        <w:t> </w:t>
      </w:r>
      <w:r>
        <w:rPr>
          <w:spacing w:val="-67"/>
        </w:rPr>
      </w:r>
      <w:r>
        <w:rPr/>
        <w:t>奖励和专利；根据市场的发展趋势，公司对技术、产品进行及时更新和优化，带动了公司技术进步。</w:t>
      </w:r>
    </w:p>
    <w:p>
      <w:pPr>
        <w:pStyle w:val="BodyText"/>
        <w:spacing w:line="307" w:lineRule="auto" w:before="19"/>
        <w:ind w:right="1034" w:firstLine="360"/>
        <w:jc w:val="left"/>
      </w:pPr>
      <w:r>
        <w:rPr>
          <w:spacing w:val="-2"/>
        </w:rPr>
        <w:t>公司推出的</w:t>
      </w:r>
      <w:r>
        <w:rPr>
          <w:rFonts w:ascii="Times New Roman" w:hAnsi="Times New Roman" w:cs="Times New Roman" w:eastAsia="Times New Roman" w:hint="default"/>
          <w:spacing w:val="-2"/>
        </w:rPr>
        <w:t>“</w:t>
      </w:r>
      <w:r>
        <w:rPr>
          <w:spacing w:val="-2"/>
        </w:rPr>
        <w:t>大气污染网格化精准监控及决策支持系统</w:t>
      </w:r>
      <w:r>
        <w:rPr>
          <w:rFonts w:ascii="Times New Roman" w:hAnsi="Times New Roman" w:cs="Times New Roman" w:eastAsia="Times New Roman" w:hint="default"/>
          <w:spacing w:val="-2"/>
        </w:rPr>
        <w:t>”</w:t>
      </w:r>
      <w:r>
        <w:rPr>
          <w:spacing w:val="-2"/>
        </w:rPr>
        <w:t>不断迭代、更新、优化、提升，形成了完备的产品体系、科学的</w:t>
      </w:r>
      <w:r>
        <w:rPr/>
        <w:t> </w:t>
      </w:r>
      <w:r>
        <w:rPr>
          <w:spacing w:val="-2"/>
        </w:rPr>
        <w:t>质控体系、全面的应用体系、专家人才支撑体系、服务和硬件设施保障体系、规范的标准体系等六大支撑体系。网格化系统</w:t>
      </w:r>
      <w:r>
        <w:rPr>
          <w:spacing w:val="-67"/>
        </w:rPr>
        <w:t> </w:t>
      </w:r>
      <w:r>
        <w:rPr>
          <w:spacing w:val="-67"/>
        </w:rPr>
      </w:r>
      <w:r>
        <w:rPr/>
        <w:t>融合多元化数据来源，提高大数据综合分析能力，着眼于构建天地一体的生态环境监测体系，助力打造和完善</w:t>
      </w:r>
      <w:r>
        <w:rPr>
          <w:rFonts w:ascii="Times New Roman" w:hAnsi="Times New Roman" w:cs="Times New Roman" w:eastAsia="Times New Roman" w:hint="default"/>
        </w:rPr>
        <w:t>“</w:t>
      </w:r>
      <w:r>
        <w:rPr/>
        <w:t>智慧城市</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总体改善方案，实现对城市环境实现全面感知、智能控制、广泛交互和深度融合，在为政府提供精准溯源、污染来源解析、</w:t>
      </w:r>
    </w:p>
    <w:p>
      <w:pPr>
        <w:spacing w:after="0" w:line="307"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1129" w:hanging="361"/>
        <w:jc w:val="left"/>
      </w:pPr>
      <w:r>
        <w:rPr/>
        <w:t>预警预报、达标规划、监管咨询、环境治理等深度支撑中，发挥更突出、更全面、更有价值的服务优势。 </w:t>
      </w:r>
      <w:r>
        <w:rPr>
          <w:spacing w:val="-2"/>
        </w:rPr>
        <w:t>依托在水质监测及治理方面长期积累的技术和经验，进行技术攻关，公司研发出小型光伏生活污水处理系统。依据相关</w:t>
      </w:r>
    </w:p>
    <w:p>
      <w:pPr>
        <w:pStyle w:val="BodyText"/>
        <w:spacing w:line="312" w:lineRule="auto" w:before="17"/>
        <w:ind w:right="1130"/>
        <w:jc w:val="both"/>
      </w:pPr>
      <w:r>
        <w:rPr>
          <w:spacing w:val="-2"/>
        </w:rPr>
        <w:t>环保法规、标准的规定，该系统结合农村实际的排污情况及排放规律，具有独特的结构设计、最小的能耗，符合相关环保法</w:t>
      </w:r>
      <w:r>
        <w:rPr>
          <w:spacing w:val="-67"/>
        </w:rPr>
        <w:t> </w:t>
      </w:r>
      <w:r>
        <w:rPr>
          <w:spacing w:val="-67"/>
        </w:rPr>
      </w:r>
      <w:r>
        <w:rPr>
          <w:spacing w:val="-2"/>
        </w:rPr>
        <w:t>规、标准的规定。装置模块化，小巧轻便、有利于运输及安装；装置成本低、且系统运行管理简单，无需委派专人维护，无</w:t>
      </w:r>
      <w:r>
        <w:rPr>
          <w:spacing w:val="-65"/>
        </w:rPr>
        <w:t> </w:t>
      </w:r>
      <w:r>
        <w:rPr>
          <w:spacing w:val="-65"/>
        </w:rPr>
      </w:r>
      <w:r>
        <w:rPr>
          <w:spacing w:val="-2"/>
        </w:rPr>
        <w:t>需外接市电来维持装置的运行，特别适合于农村分散污水的处理和净化，出水水质达到国家</w:t>
      </w:r>
      <w:r>
        <w:rPr>
          <w:rFonts w:ascii="Times New Roman" w:hAnsi="Times New Roman" w:cs="Times New Roman" w:eastAsia="Times New Roman" w:hint="default"/>
          <w:spacing w:val="-2"/>
        </w:rPr>
        <w:t>GB18918-2002</w:t>
      </w:r>
      <w:r>
        <w:rPr>
          <w:spacing w:val="-2"/>
        </w:rPr>
        <w:t>一级</w:t>
      </w:r>
      <w:r>
        <w:rPr>
          <w:rFonts w:ascii="Times New Roman" w:hAnsi="Times New Roman" w:cs="Times New Roman" w:eastAsia="Times New Roman" w:hint="default"/>
          <w:spacing w:val="-2"/>
        </w:rPr>
        <w:t>A</w:t>
      </w:r>
      <w:r>
        <w:rPr>
          <w:spacing w:val="-2"/>
        </w:rPr>
        <w:t>标准和一级</w:t>
      </w:r>
      <w:r>
        <w:rPr>
          <w:spacing w:val="-45"/>
        </w:rPr>
        <w:t> </w:t>
      </w:r>
      <w:r>
        <w:rPr>
          <w:rFonts w:ascii="Times New Roman" w:hAnsi="Times New Roman" w:cs="Times New Roman" w:eastAsia="Times New Roman" w:hint="default"/>
        </w:rPr>
        <w:t>B</w:t>
      </w:r>
      <w:r>
        <w:rPr/>
        <w:t>标准要求。</w:t>
      </w:r>
    </w:p>
    <w:p>
      <w:pPr>
        <w:pStyle w:val="BodyText"/>
        <w:spacing w:line="307" w:lineRule="auto" w:before="3"/>
        <w:ind w:right="1134" w:firstLine="360"/>
        <w:jc w:val="both"/>
      </w:pPr>
      <w:r>
        <w:rPr>
          <w:spacing w:val="-2"/>
        </w:rPr>
        <w:t>公司通过河北省先进环保产业创新中心创建环保应用新模式：一是区域全面感知、智慧诊断、科学减排、精准治理、持</w:t>
      </w:r>
      <w:r>
        <w:rPr/>
        <w:t> 续达标；二是</w:t>
      </w:r>
      <w:r>
        <w:rPr>
          <w:spacing w:val="-18"/>
        </w:rPr>
        <w:t> </w:t>
      </w:r>
      <w:r>
        <w:rPr>
          <w:rFonts w:ascii="Times New Roman" w:hAnsi="Times New Roman" w:cs="Times New Roman" w:eastAsia="Times New Roman" w:hint="default"/>
        </w:rPr>
        <w:t>“</w:t>
      </w:r>
      <w:r>
        <w:rPr/>
        <w:t>测管治联动</w:t>
      </w:r>
      <w:r>
        <w:rPr>
          <w:rFonts w:ascii="Times New Roman" w:hAnsi="Times New Roman" w:cs="Times New Roman" w:eastAsia="Times New Roman" w:hint="default"/>
        </w:rPr>
        <w:t>”</w:t>
      </w:r>
      <w:r>
        <w:rPr/>
        <w:t>一站式第三方服务，实现区域环境质量改善与经济协调、绿色发展。该模式契合了《关于构建 现代环境治理体系指导意见》中提出的</w:t>
      </w:r>
      <w:r>
        <w:rPr>
          <w:rFonts w:ascii="Times New Roman" w:hAnsi="Times New Roman" w:cs="Times New Roman" w:eastAsia="Times New Roman" w:hint="default"/>
        </w:rPr>
        <w:t>“</w:t>
      </w:r>
      <w:r>
        <w:rPr/>
        <w:t>创新环境治理模式。积极推行环境污染第三方治理，开展园区污染防治第三方治理 示范，探索统一规划、统一监测、统一治理的一体化服务模式。</w:t>
      </w:r>
      <w:r>
        <w:rPr>
          <w:rFonts w:ascii="Times New Roman" w:hAnsi="Times New Roman" w:cs="Times New Roman" w:eastAsia="Times New Roman" w:hint="default"/>
        </w:rPr>
        <w:t>”</w:t>
      </w:r>
      <w:r>
        <w:rPr/>
        <w:t>将进一步推动公司业务的拓展，增强公司的综合竞争力。</w:t>
      </w:r>
    </w:p>
    <w:p>
      <w:pPr>
        <w:pStyle w:val="BodyText"/>
        <w:spacing w:line="309" w:lineRule="auto" w:before="7"/>
        <w:ind w:left="513" w:right="1133"/>
        <w:jc w:val="left"/>
      </w:pPr>
      <w:r>
        <w:rPr>
          <w:rFonts w:ascii="Times New Roman" w:hAnsi="Times New Roman" w:cs="Times New Roman" w:eastAsia="Times New Roman" w:hint="default"/>
        </w:rPr>
        <w:t>2</w:t>
      </w:r>
      <w:r>
        <w:rPr/>
        <w:t>、全产业链服务优势 公司提供生态环境全产业链综合服务，为政府提供监测、咨询服务、治理为一体的全方位、一站式环境改善方案。 </w:t>
      </w:r>
      <w:r>
        <w:rPr>
          <w:spacing w:val="-2"/>
        </w:rPr>
        <w:t>基于二十余年技术积累，公司拥有齐全的产品线、全参数有效性监测，结合物联网技术，将小、快、灵的微型空气、水</w:t>
      </w:r>
    </w:p>
    <w:p>
      <w:pPr>
        <w:pStyle w:val="BodyText"/>
        <w:spacing w:line="312" w:lineRule="auto" w:before="24"/>
        <w:ind w:right="0"/>
        <w:jc w:val="left"/>
      </w:pPr>
      <w:r>
        <w:rPr>
          <w:spacing w:val="-2"/>
        </w:rPr>
        <w:t>环境监测传感器应用到监控点位，实现精准溯源；同时，利用大数据应用技术挖掘数据之间的关系，结合气象数据、地理信</w:t>
      </w:r>
      <w:r>
        <w:rPr>
          <w:spacing w:val="-65"/>
        </w:rPr>
        <w:t> </w:t>
      </w:r>
      <w:r>
        <w:rPr>
          <w:spacing w:val="-65"/>
        </w:rPr>
      </w:r>
      <w:r>
        <w:rPr>
          <w:spacing w:val="-2"/>
        </w:rPr>
        <w:t>息数据、多种环境质量模型等进行分析研判，甄别影响区域环境质量的主要因素及其污染贡献率，并针对不同区域不同污染</w:t>
      </w:r>
      <w:r>
        <w:rPr>
          <w:spacing w:val="-63"/>
        </w:rPr>
        <w:t> </w:t>
      </w:r>
      <w:r>
        <w:rPr>
          <w:spacing w:val="-63"/>
        </w:rPr>
      </w:r>
      <w:r>
        <w:rPr>
          <w:spacing w:val="-2"/>
        </w:rPr>
        <w:t>源问题实时提供管理咨询、管控与治理方案；</w:t>
      </w:r>
      <w:r>
        <w:rPr>
          <w:rFonts w:ascii="Times New Roman" w:hAnsi="Times New Roman" w:cs="Times New Roman" w:eastAsia="Times New Roman" w:hint="default"/>
          <w:spacing w:val="-2"/>
        </w:rPr>
        <w:t>VOCs</w:t>
      </w:r>
      <w:r>
        <w:rPr>
          <w:spacing w:val="-2"/>
        </w:rPr>
        <w:t>综合治理上，创新性地提出了</w:t>
      </w:r>
      <w:r>
        <w:rPr>
          <w:rFonts w:ascii="Times New Roman" w:hAnsi="Times New Roman" w:cs="Times New Roman" w:eastAsia="Times New Roman" w:hint="default"/>
          <w:spacing w:val="-2"/>
        </w:rPr>
        <w:t>“</w:t>
      </w:r>
      <w:r>
        <w:rPr>
          <w:spacing w:val="-2"/>
        </w:rPr>
        <w:t>低成本分散回收，规模化集中处理，资源</w:t>
      </w:r>
      <w:r>
        <w:rPr>
          <w:spacing w:val="-54"/>
        </w:rPr>
        <w:t> </w:t>
      </w:r>
      <w:r>
        <w:rPr>
          <w:spacing w:val="-54"/>
        </w:rPr>
      </w:r>
      <w:r>
        <w:rPr>
          <w:spacing w:val="-2"/>
        </w:rPr>
        <w:t>化循环利用</w:t>
      </w:r>
      <w:r>
        <w:rPr>
          <w:rFonts w:ascii="Times New Roman" w:hAnsi="Times New Roman" w:cs="Times New Roman" w:eastAsia="Times New Roman" w:hint="default"/>
          <w:spacing w:val="-2"/>
        </w:rPr>
        <w:t>”</w:t>
      </w:r>
      <w:r>
        <w:rPr>
          <w:spacing w:val="-2"/>
        </w:rPr>
        <w:t>的</w:t>
      </w:r>
      <w:r>
        <w:rPr>
          <w:rFonts w:ascii="Times New Roman" w:hAnsi="Times New Roman" w:cs="Times New Roman" w:eastAsia="Times New Roman" w:hint="default"/>
          <w:spacing w:val="-2"/>
        </w:rPr>
        <w:t>VOCs</w:t>
      </w:r>
      <w:r>
        <w:rPr>
          <w:spacing w:val="-2"/>
        </w:rPr>
        <w:t>第三方治理新模式，既能有效降低</w:t>
      </w:r>
      <w:r>
        <w:rPr>
          <w:rFonts w:ascii="Times New Roman" w:hAnsi="Times New Roman" w:cs="Times New Roman" w:eastAsia="Times New Roman" w:hint="default"/>
          <w:spacing w:val="-2"/>
        </w:rPr>
        <w:t>VOCs</w:t>
      </w:r>
      <w:r>
        <w:rPr>
          <w:spacing w:val="-2"/>
        </w:rPr>
        <w:t>的排放量，也降低了企业的</w:t>
      </w:r>
      <w:r>
        <w:rPr>
          <w:rFonts w:ascii="Times New Roman" w:hAnsi="Times New Roman" w:cs="Times New Roman" w:eastAsia="Times New Roman" w:hint="default"/>
          <w:spacing w:val="-2"/>
        </w:rPr>
        <w:t>VOCs</w:t>
      </w:r>
      <w:r>
        <w:rPr>
          <w:spacing w:val="-2"/>
        </w:rPr>
        <w:t>治理成本；一体化分散式污水</w:t>
      </w:r>
      <w:r>
        <w:rPr>
          <w:spacing w:val="-49"/>
        </w:rPr>
        <w:t> </w:t>
      </w:r>
      <w:r>
        <w:rPr>
          <w:spacing w:val="-49"/>
        </w:rPr>
      </w:r>
      <w:r>
        <w:rPr>
          <w:spacing w:val="-4"/>
        </w:rPr>
        <w:t>处理系统主要应用于城中村、布局分散的小城镇、农村和偏远山区，可将其产生的生活和工业污水进行分别收集、就地处理、</w:t>
      </w:r>
      <w:r>
        <w:rPr>
          <w:spacing w:val="-46"/>
        </w:rPr>
        <w:t> </w:t>
      </w:r>
      <w:r>
        <w:rPr>
          <w:spacing w:val="-46"/>
        </w:rPr>
      </w:r>
      <w:r>
        <w:rPr/>
        <w:t>达标排放或回用，从而构建新型环保的污水处理模式。</w:t>
      </w:r>
    </w:p>
    <w:p>
      <w:pPr>
        <w:spacing w:after="0" w:line="312"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33"/>
        <w:jc w:val="left"/>
        <w:rPr>
          <w:b w:val="0"/>
          <w:bCs w:val="0"/>
        </w:rPr>
      </w:pPr>
      <w:bookmarkStart w:name="第四节经营情况讨论与分析" w:id="22"/>
      <w:bookmarkEnd w:id="22"/>
      <w:r>
        <w:rPr>
          <w:b w:val="0"/>
          <w:bCs w:val="0"/>
        </w:rPr>
      </w:r>
      <w:bookmarkStart w:name="_bookmark3" w:id="23"/>
      <w:bookmarkEnd w:id="23"/>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4"/>
      <w:bookmarkEnd w:id="24"/>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26" w:firstLine="360"/>
        <w:jc w:val="both"/>
      </w:pPr>
      <w:r>
        <w:rPr>
          <w:rFonts w:ascii="Times New Roman" w:hAnsi="Times New Roman" w:cs="Times New Roman" w:eastAsia="Times New Roman" w:hint="default"/>
          <w:spacing w:val="-2"/>
        </w:rPr>
        <w:t>2019</w:t>
      </w:r>
      <w:r>
        <w:rPr>
          <w:spacing w:val="-2"/>
        </w:rPr>
        <w:t>年在公司董事会及管理层的领导下，全体员工勇于拼搏、致力创新、团结奋斗，取得了较好的经营业绩，公司经营</w:t>
      </w:r>
      <w:r>
        <w:rPr/>
        <w:t> 质量持续提高。</w:t>
      </w:r>
      <w:r>
        <w:rPr>
          <w:rFonts w:ascii="Times New Roman" w:hAnsi="Times New Roman" w:cs="Times New Roman" w:eastAsia="Times New Roman" w:hint="default"/>
        </w:rPr>
        <w:t>2019</w:t>
      </w:r>
      <w:r>
        <w:rPr/>
        <w:t>年公司实现营业收入</w:t>
      </w:r>
      <w:r>
        <w:rPr>
          <w:rFonts w:ascii="Times New Roman" w:hAnsi="Times New Roman" w:cs="Times New Roman" w:eastAsia="Times New Roman" w:hint="default"/>
        </w:rPr>
        <w:t>1,374,326,135.32</w:t>
      </w:r>
      <w:r>
        <w:rPr/>
        <w:t>元，实现归属于上市公司股东的净利润</w:t>
      </w:r>
      <w:r>
        <w:rPr>
          <w:rFonts w:ascii="Times New Roman" w:hAnsi="Times New Roman" w:cs="Times New Roman" w:eastAsia="Times New Roman" w:hint="default"/>
        </w:rPr>
        <w:t>262,648,290.96</w:t>
      </w:r>
      <w:r>
        <w:rPr/>
        <w:t>元，较上年</w:t>
      </w:r>
      <w:r>
        <w:rPr>
          <w:spacing w:val="-54"/>
        </w:rPr>
        <w:t> </w:t>
      </w:r>
      <w:r>
        <w:rPr>
          <w:spacing w:val="-54"/>
        </w:rPr>
      </w:r>
      <w:r>
        <w:rPr>
          <w:spacing w:val="-1"/>
        </w:rPr>
        <w:t>同期增长</w:t>
      </w:r>
      <w:r>
        <w:rPr>
          <w:rFonts w:ascii="Times New Roman" w:hAnsi="Times New Roman" w:cs="Times New Roman" w:eastAsia="Times New Roman" w:hint="default"/>
          <w:spacing w:val="-1"/>
        </w:rPr>
        <w:t>1.24%</w:t>
      </w:r>
      <w:r>
        <w:rPr>
          <w:spacing w:val="-1"/>
        </w:rPr>
        <w:t>。截至报告期末，公司资产总额达到</w:t>
      </w:r>
      <w:r>
        <w:rPr>
          <w:rFonts w:ascii="Times New Roman" w:hAnsi="Times New Roman" w:cs="Times New Roman" w:eastAsia="Times New Roman" w:hint="default"/>
          <w:spacing w:val="-1"/>
        </w:rPr>
        <w:t>2,532,378,571.10</w:t>
      </w:r>
      <w:r>
        <w:rPr>
          <w:spacing w:val="-1"/>
        </w:rPr>
        <w:t>元，归属于上市公司股东的净资产</w:t>
      </w:r>
      <w:r>
        <w:rPr>
          <w:rFonts w:ascii="Times New Roman" w:hAnsi="Times New Roman" w:cs="Times New Roman" w:eastAsia="Times New Roman" w:hint="default"/>
          <w:spacing w:val="-1"/>
        </w:rPr>
        <w:t>2,062,694,664.65</w:t>
      </w:r>
      <w:r>
        <w:rPr>
          <w:spacing w:val="-1"/>
        </w:rPr>
        <w:t>元，</w:t>
      </w:r>
      <w:r>
        <w:rPr>
          <w:spacing w:val="-31"/>
        </w:rPr>
        <w:t> </w:t>
      </w:r>
      <w:r>
        <w:rPr/>
        <w:t>分别较上年期末增长</w:t>
      </w:r>
      <w:r>
        <w:rPr>
          <w:rFonts w:ascii="Times New Roman" w:hAnsi="Times New Roman" w:cs="Times New Roman" w:eastAsia="Times New Roman" w:hint="default"/>
        </w:rPr>
        <w:t>2.50%</w:t>
      </w:r>
      <w:r>
        <w:rPr/>
        <w:t>、</w:t>
      </w:r>
      <w:r>
        <w:rPr>
          <w:spacing w:val="-21"/>
        </w:rPr>
        <w:t> </w:t>
      </w:r>
      <w:r>
        <w:rPr>
          <w:rFonts w:ascii="Times New Roman" w:hAnsi="Times New Roman" w:cs="Times New Roman" w:eastAsia="Times New Roman" w:hint="default"/>
        </w:rPr>
        <w:t>14.07%</w:t>
      </w:r>
      <w:r>
        <w:rPr/>
        <w:t>。</w:t>
      </w:r>
    </w:p>
    <w:p>
      <w:pPr>
        <w:pStyle w:val="BodyText"/>
        <w:spacing w:line="240" w:lineRule="auto" w:before="13"/>
        <w:ind w:left="513" w:right="1133"/>
        <w:jc w:val="left"/>
      </w:pPr>
      <w:r>
        <w:rPr>
          <w:rFonts w:ascii="Times New Roman" w:hAnsi="Times New Roman" w:cs="Times New Roman" w:eastAsia="Times New Roman" w:hint="default"/>
        </w:rPr>
        <w:t>1</w:t>
      </w:r>
      <w:r>
        <w:rPr/>
        <w:t>、市场开拓实现突破</w:t>
      </w:r>
    </w:p>
    <w:p>
      <w:pPr>
        <w:pStyle w:val="BodyText"/>
        <w:spacing w:line="304" w:lineRule="auto" w:before="63"/>
        <w:ind w:right="1034" w:firstLine="360"/>
        <w:jc w:val="left"/>
      </w:pPr>
      <w:r>
        <w:rPr>
          <w:rFonts w:ascii="Times New Roman" w:hAnsi="Times New Roman" w:cs="Times New Roman" w:eastAsia="Times New Roman" w:hint="default"/>
          <w:spacing w:val="-2"/>
        </w:rPr>
        <w:t>2019</w:t>
      </w:r>
      <w:r>
        <w:rPr>
          <w:spacing w:val="-2"/>
        </w:rPr>
        <w:t>年，国内大气监测设备市场继续下沉，不断延伸到区县、乡镇等市场，监测设备市场竞争趋于激烈。公司依托产品</w:t>
      </w:r>
      <w:r>
        <w:rPr/>
        <w:t> 全面化的业务支撑，积极契合市场需求，力争满足客户要求，在大气监测、网格化监控系统仍占有较高的市场份额。此外， 运维服务成为拉动业绩的新动力，管理咨询服务再上新台阶。报告期内，运维及管理咨询服务实现收入</w:t>
      </w:r>
      <w:r>
        <w:rPr>
          <w:rFonts w:ascii="Times New Roman" w:hAnsi="Times New Roman" w:cs="Times New Roman" w:eastAsia="Times New Roman" w:hint="default"/>
        </w:rPr>
        <w:t>354,321,675.93</w:t>
      </w:r>
      <w:r>
        <w:rPr/>
        <w:t>元，</w:t>
      </w:r>
      <w:r>
        <w:rPr>
          <w:spacing w:val="-44"/>
        </w:rPr>
        <w:t> </w:t>
      </w:r>
      <w:r>
        <w:rPr/>
        <w:t>较去年同期增长</w:t>
      </w:r>
      <w:r>
        <w:rPr>
          <w:rFonts w:ascii="Times New Roman" w:hAnsi="Times New Roman" w:cs="Times New Roman" w:eastAsia="Times New Roman" w:hint="default"/>
        </w:rPr>
        <w:t>64.17%</w:t>
      </w:r>
      <w:r>
        <w:rPr/>
        <w:t>，在营业收入结构占比中较去年同期占比提高，进一步促进了公司由环境监测设备研发、制造商转</w:t>
      </w:r>
      <w:r>
        <w:rPr>
          <w:spacing w:val="-21"/>
        </w:rPr>
        <w:t> </w:t>
      </w:r>
      <w:r>
        <w:rPr>
          <w:spacing w:val="-21"/>
        </w:rPr>
      </w:r>
      <w:r>
        <w:rPr/>
        <w:t>型成为全产业链综合服务商。</w:t>
      </w:r>
    </w:p>
    <w:p>
      <w:pPr>
        <w:pStyle w:val="BodyText"/>
        <w:spacing w:line="300" w:lineRule="auto" w:before="28"/>
        <w:ind w:right="1131" w:firstLine="360"/>
        <w:jc w:val="both"/>
      </w:pPr>
      <w:r>
        <w:rPr>
          <w:spacing w:val="-2"/>
        </w:rPr>
        <w:t>报告期内，经联合国内罗毕办事处（</w:t>
      </w:r>
      <w:r>
        <w:rPr>
          <w:rFonts w:ascii="Times New Roman" w:hAnsi="Times New Roman" w:cs="Times New Roman" w:eastAsia="Times New Roman" w:hint="default"/>
          <w:spacing w:val="-2"/>
        </w:rPr>
        <w:t>UNON</w:t>
      </w:r>
      <w:r>
        <w:rPr>
          <w:spacing w:val="-2"/>
        </w:rPr>
        <w:t>）邀请，公司申请加入联合国全球采购平台（</w:t>
      </w:r>
      <w:r>
        <w:rPr>
          <w:rFonts w:ascii="Times New Roman" w:hAnsi="Times New Roman" w:cs="Times New Roman" w:eastAsia="Times New Roman" w:hint="default"/>
          <w:spacing w:val="-2"/>
        </w:rPr>
        <w:t>UNGM</w:t>
      </w:r>
      <w:r>
        <w:rPr>
          <w:spacing w:val="-2"/>
        </w:rPr>
        <w:t>）并收到联合国世界气</w:t>
      </w:r>
      <w:r>
        <w:rPr/>
        <w:t> 象组织（</w:t>
      </w:r>
      <w:r>
        <w:rPr>
          <w:rFonts w:ascii="Times New Roman" w:hAnsi="Times New Roman" w:cs="Times New Roman" w:eastAsia="Times New Roman" w:hint="default"/>
        </w:rPr>
        <w:t>WMO</w:t>
      </w:r>
      <w:r>
        <w:rPr/>
        <w:t>）、世界粮农组织（</w:t>
      </w:r>
      <w:r>
        <w:rPr>
          <w:rFonts w:ascii="Times New Roman" w:hAnsi="Times New Roman" w:cs="Times New Roman" w:eastAsia="Times New Roman" w:hint="default"/>
        </w:rPr>
        <w:t>FAO</w:t>
      </w:r>
      <w:r>
        <w:rPr/>
        <w:t>）发来的通过申请登记为联合国全球供应商的确认函，标志着公司被列入联合国全 球采购系统合格供应商名册。</w:t>
      </w:r>
    </w:p>
    <w:p>
      <w:pPr>
        <w:pStyle w:val="BodyText"/>
        <w:spacing w:line="300" w:lineRule="auto" w:before="31"/>
        <w:ind w:left="513" w:right="1133"/>
        <w:jc w:val="left"/>
      </w:pPr>
      <w:r>
        <w:rPr>
          <w:rFonts w:ascii="Times New Roman" w:hAnsi="Times New Roman" w:cs="Times New Roman" w:eastAsia="Times New Roman" w:hint="default"/>
        </w:rPr>
        <w:t>2</w:t>
      </w:r>
      <w:r>
        <w:rPr/>
        <w:t>、坚持创新驱动发展 </w:t>
      </w:r>
      <w:r>
        <w:rPr>
          <w:spacing w:val="-2"/>
        </w:rPr>
        <w:t>报告期内，公司新研发了污染源质控设备、恶臭、尾气等监测设备，对于水质监测产品不断升级改进，进一步丰富了公</w:t>
      </w:r>
    </w:p>
    <w:p>
      <w:pPr>
        <w:pStyle w:val="BodyText"/>
        <w:spacing w:line="307" w:lineRule="auto" w:before="31"/>
        <w:ind w:right="1128"/>
        <w:jc w:val="both"/>
      </w:pPr>
      <w:r>
        <w:rPr>
          <w:spacing w:val="-2"/>
        </w:rPr>
        <w:t>司产品线，为业务拓展提供了支撑；公司主导完成并发布扬尘在线监测系统建设及运行技术规范地方标准；报告期内，公司</w:t>
      </w:r>
      <w:r>
        <w:rPr>
          <w:spacing w:val="-64"/>
        </w:rPr>
        <w:t> </w:t>
      </w:r>
      <w:r>
        <w:rPr>
          <w:spacing w:val="-64"/>
        </w:rPr>
      </w:r>
      <w:r>
        <w:rPr/>
        <w:t>完成</w:t>
      </w:r>
      <w:r>
        <w:rPr>
          <w:rFonts w:ascii="Times New Roman" w:hAnsi="Times New Roman" w:cs="Times New Roman" w:eastAsia="Times New Roman" w:hint="default"/>
        </w:rPr>
        <w:t>2</w:t>
      </w:r>
      <w:r>
        <w:rPr/>
        <w:t>项国家级科研项目验收，其中</w:t>
      </w:r>
      <w:r>
        <w:rPr>
          <w:rFonts w:ascii="Times New Roman" w:hAnsi="Times New Roman" w:cs="Times New Roman" w:eastAsia="Times New Roman" w:hint="default"/>
        </w:rPr>
        <w:t>“</w:t>
      </w:r>
      <w:r>
        <w:rPr/>
        <w:t>环境大气细粒子（</w:t>
      </w:r>
      <w:r>
        <w:rPr>
          <w:rFonts w:ascii="Times New Roman" w:hAnsi="Times New Roman" w:cs="Times New Roman" w:eastAsia="Times New Roman" w:hint="default"/>
        </w:rPr>
        <w:t>PM2.5</w:t>
      </w:r>
      <w:r>
        <w:rPr/>
        <w:t>）监测设备开发与应用</w:t>
      </w:r>
      <w:r>
        <w:rPr>
          <w:rFonts w:ascii="Times New Roman" w:hAnsi="Times New Roman" w:cs="Times New Roman" w:eastAsia="Times New Roman" w:hint="default"/>
        </w:rPr>
        <w:t>”</w:t>
      </w:r>
      <w:r>
        <w:rPr/>
        <w:t>项目为国家重大科学仪器设备开发专</w:t>
      </w:r>
      <w:r>
        <w:rPr>
          <w:spacing w:val="-18"/>
        </w:rPr>
        <w:t> </w:t>
      </w:r>
      <w:r>
        <w:rPr>
          <w:spacing w:val="-18"/>
        </w:rPr>
      </w:r>
      <w:r>
        <w:rPr/>
        <w:t>项，有效支撑了国家空气质量监测网能力建设，带动了国产</w:t>
      </w:r>
      <w:r>
        <w:rPr>
          <w:rFonts w:ascii="Times New Roman" w:hAnsi="Times New Roman" w:cs="Times New Roman" w:eastAsia="Times New Roman" w:hint="default"/>
        </w:rPr>
        <w:t>PM2.5</w:t>
      </w:r>
      <w:r>
        <w:rPr/>
        <w:t>监测设备的技术进步。公司参与承担的国家水专项</w:t>
      </w:r>
      <w:r>
        <w:rPr>
          <w:rFonts w:ascii="Times New Roman" w:hAnsi="Times New Roman" w:cs="Times New Roman" w:eastAsia="Times New Roman" w:hint="default"/>
        </w:rPr>
        <w:t>“</w:t>
      </w:r>
      <w:r>
        <w:rPr/>
        <w:t>水环</w:t>
      </w:r>
      <w:r>
        <w:rPr>
          <w:spacing w:val="-20"/>
        </w:rPr>
        <w:t> </w:t>
      </w:r>
      <w:r>
        <w:rPr/>
        <w:t>境监测仪器研发与在线监测社会化服务产业化示范</w:t>
      </w:r>
      <w:r>
        <w:rPr>
          <w:rFonts w:ascii="Times New Roman" w:hAnsi="Times New Roman" w:cs="Times New Roman" w:eastAsia="Times New Roman" w:hint="default"/>
        </w:rPr>
        <w:t>”</w:t>
      </w:r>
      <w:r>
        <w:rPr/>
        <w:t>中的子任务，顺利通过科技部科技评估中心组织的综合验收。</w:t>
      </w:r>
    </w:p>
    <w:p>
      <w:pPr>
        <w:pStyle w:val="BodyText"/>
        <w:spacing w:line="300" w:lineRule="auto" w:before="7"/>
        <w:ind w:right="1129" w:firstLine="360"/>
        <w:jc w:val="both"/>
      </w:pPr>
      <w:r>
        <w:rPr>
          <w:spacing w:val="-2"/>
        </w:rPr>
        <w:t>报告期内公司院士工作站成功获批，成为</w:t>
      </w:r>
      <w:r>
        <w:rPr>
          <w:rFonts w:ascii="Times New Roman" w:hAnsi="Times New Roman" w:cs="Times New Roman" w:eastAsia="Times New Roman" w:hint="default"/>
          <w:spacing w:val="-2"/>
        </w:rPr>
        <w:t>2019</w:t>
      </w:r>
      <w:r>
        <w:rPr>
          <w:spacing w:val="-2"/>
        </w:rPr>
        <w:t>年度河北省首批院士工作站建站单位。同时，公司获批牵头组建河北省先</w:t>
      </w:r>
      <w:r>
        <w:rPr/>
        <w:t> </w:t>
      </w:r>
      <w:r>
        <w:rPr>
          <w:spacing w:val="-5"/>
        </w:rPr>
        <w:t>进环保产业创新中心，提出创建环保应用新模式：一是区域全面感知、智慧诊断、科学减排、精准治理、持续达标；二是</w:t>
      </w:r>
      <w:r>
        <w:rPr>
          <w:spacing w:val="8"/>
        </w:rPr>
        <w:t> </w:t>
      </w:r>
      <w:r>
        <w:rPr>
          <w:rFonts w:ascii="Times New Roman" w:hAnsi="Times New Roman" w:cs="Times New Roman" w:eastAsia="Times New Roman" w:hint="default"/>
        </w:rPr>
        <w:t>“</w:t>
      </w:r>
      <w:r>
        <w:rPr/>
        <w:t>测</w:t>
      </w:r>
      <w:r>
        <w:rPr>
          <w:spacing w:val="-87"/>
        </w:rPr>
        <w:t> </w:t>
      </w:r>
      <w:r>
        <w:rPr/>
        <w:t>管治联动</w:t>
      </w:r>
      <w:r>
        <w:rPr>
          <w:rFonts w:ascii="Times New Roman" w:hAnsi="Times New Roman" w:cs="Times New Roman" w:eastAsia="Times New Roman" w:hint="default"/>
        </w:rPr>
        <w:t>”</w:t>
      </w:r>
      <w:r>
        <w:rPr/>
        <w:t>一站式第三方服务，实现区域环境质量改善与经济协调、绿色发展。该模式契合了《关于构建现代环境治理体系</w:t>
      </w:r>
      <w:r>
        <w:rPr>
          <w:spacing w:val="-74"/>
        </w:rPr>
        <w:t> </w:t>
      </w:r>
      <w:r>
        <w:rPr>
          <w:spacing w:val="-74"/>
        </w:rPr>
      </w:r>
      <w:r>
        <w:rPr/>
        <w:t>指导意见》中提出的</w:t>
      </w:r>
      <w:r>
        <w:rPr>
          <w:rFonts w:ascii="Times New Roman" w:hAnsi="Times New Roman" w:cs="Times New Roman" w:eastAsia="Times New Roman" w:hint="default"/>
        </w:rPr>
        <w:t>“</w:t>
      </w:r>
      <w:r>
        <w:rPr/>
        <w:t>创新环境治理模式。积极推行环境污染第三方治理，开展园区污染防治第三方治理示范，探索统一规</w:t>
      </w:r>
      <w:r>
        <w:rPr>
          <w:spacing w:val="-76"/>
        </w:rPr>
        <w:t> </w:t>
      </w:r>
      <w:r>
        <w:rPr>
          <w:spacing w:val="-76"/>
        </w:rPr>
      </w:r>
      <w:r>
        <w:rPr/>
        <w:t>划、统一监测、统一治理的一体化服务模式。</w:t>
      </w:r>
      <w:r>
        <w:rPr>
          <w:rFonts w:ascii="Times New Roman" w:hAnsi="Times New Roman" w:cs="Times New Roman" w:eastAsia="Times New Roman" w:hint="default"/>
        </w:rPr>
        <w:t>”</w:t>
      </w:r>
      <w:r>
        <w:rPr/>
        <w:t>该新模式已正在辛集实施应用，与邯郸市永年区也已签署相关框架协议。通</w:t>
      </w:r>
      <w:r>
        <w:rPr>
          <w:spacing w:val="-75"/>
        </w:rPr>
        <w:t> </w:t>
      </w:r>
      <w:r>
        <w:rPr>
          <w:spacing w:val="-75"/>
        </w:rPr>
      </w:r>
      <w:r>
        <w:rPr/>
        <w:t>过项目的示范引领作用将进一步推动公司业务的拓展。</w:t>
      </w:r>
    </w:p>
    <w:p>
      <w:pPr>
        <w:pStyle w:val="BodyText"/>
        <w:spacing w:line="300" w:lineRule="auto" w:before="31"/>
        <w:ind w:left="513" w:right="1129"/>
        <w:jc w:val="left"/>
      </w:pPr>
      <w:r>
        <w:rPr>
          <w:rFonts w:ascii="Times New Roman" w:hAnsi="Times New Roman" w:cs="Times New Roman" w:eastAsia="Times New Roman" w:hint="default"/>
        </w:rPr>
        <w:t>3</w:t>
      </w:r>
      <w:r>
        <w:rPr/>
        <w:t>、管理风险能力有效提升 </w:t>
      </w:r>
      <w:r>
        <w:rPr>
          <w:spacing w:val="-2"/>
        </w:rPr>
        <w:t>面对内外部复杂的环境和生产经营压力，公司继续加强风险控制管理，不断提升经营管理水平，提高经营效益，保障公</w:t>
      </w:r>
    </w:p>
    <w:p>
      <w:pPr>
        <w:pStyle w:val="BodyText"/>
        <w:spacing w:line="312" w:lineRule="auto" w:before="31"/>
        <w:ind w:right="1131"/>
        <w:jc w:val="both"/>
      </w:pPr>
      <w:r>
        <w:rPr>
          <w:spacing w:val="-2"/>
        </w:rPr>
        <w:t>司健康可持续发展。报告期内，公司强化资金管控，加强应收账款的回收力度，经营性现金流持续改善，经营活动产生的现</w:t>
      </w:r>
      <w:r>
        <w:rPr>
          <w:spacing w:val="-66"/>
        </w:rPr>
        <w:t> </w:t>
      </w:r>
      <w:r>
        <w:rPr>
          <w:spacing w:val="-66"/>
        </w:rPr>
      </w:r>
      <w:r>
        <w:rPr>
          <w:spacing w:val="-1"/>
        </w:rPr>
        <w:t>金流量净额为</w:t>
      </w:r>
      <w:r>
        <w:rPr>
          <w:rFonts w:ascii="Times New Roman" w:hAnsi="Times New Roman" w:cs="Times New Roman" w:eastAsia="Times New Roman" w:hint="default"/>
          <w:spacing w:val="-1"/>
        </w:rPr>
        <w:t>352,722,392.00</w:t>
      </w:r>
      <w:r>
        <w:rPr>
          <w:spacing w:val="-1"/>
        </w:rPr>
        <w:t>元，去年同期为</w:t>
      </w:r>
      <w:r>
        <w:rPr>
          <w:rFonts w:ascii="Times New Roman" w:hAnsi="Times New Roman" w:cs="Times New Roman" w:eastAsia="Times New Roman" w:hint="default"/>
          <w:spacing w:val="-1"/>
        </w:rPr>
        <w:t>-72,263,419.47</w:t>
      </w:r>
      <w:r>
        <w:rPr>
          <w:spacing w:val="-1"/>
        </w:rPr>
        <w:t>元，本报告期较上年同期增加</w:t>
      </w:r>
      <w:r>
        <w:rPr>
          <w:rFonts w:ascii="Times New Roman" w:hAnsi="Times New Roman" w:cs="Times New Roman" w:eastAsia="Times New Roman" w:hint="default"/>
          <w:spacing w:val="-1"/>
        </w:rPr>
        <w:t>424,985,811.47</w:t>
      </w:r>
      <w:r>
        <w:rPr>
          <w:spacing w:val="-1"/>
        </w:rPr>
        <w:t>元；公司负债规模及</w:t>
      </w:r>
      <w:r>
        <w:rPr>
          <w:spacing w:val="-37"/>
        </w:rPr>
        <w:t> </w:t>
      </w:r>
      <w:r>
        <w:rPr>
          <w:spacing w:val="-37"/>
        </w:rPr>
      </w:r>
      <w:r>
        <w:rPr>
          <w:spacing w:val="-2"/>
        </w:rPr>
        <w:t>资产负债率均有明显下降，财务状况持续改善，经营管理质量得到进一步提升。同时，公司持续强化内部管理、推进制度建</w:t>
      </w:r>
      <w:r>
        <w:rPr>
          <w:spacing w:val="-67"/>
        </w:rPr>
        <w:t> </w:t>
      </w:r>
      <w:r>
        <w:rPr>
          <w:spacing w:val="-67"/>
        </w:rPr>
      </w:r>
      <w:r>
        <w:rPr/>
        <w:t>设，不断规范和优化业务流程，强化内部控制，在防范管理风险的同时有效提升合同执行能力。</w:t>
      </w:r>
    </w:p>
    <w:p>
      <w:pPr>
        <w:spacing w:line="240" w:lineRule="auto" w:before="2"/>
        <w:rPr>
          <w:rFonts w:ascii="宋体" w:hAnsi="宋体" w:cs="宋体" w:eastAsia="宋体" w:hint="default"/>
          <w:sz w:val="21"/>
          <w:szCs w:val="21"/>
        </w:rPr>
      </w:pPr>
    </w:p>
    <w:p>
      <w:pPr>
        <w:pStyle w:val="Heading2"/>
        <w:spacing w:line="240" w:lineRule="auto"/>
        <w:ind w:right="0"/>
        <w:jc w:val="both"/>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营业收入整体情况</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1,374,326,135.32</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1,374,100,144.47</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0.02%</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1,372,227,610.70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99.85%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1,371,874,112.56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99.84%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2,098,524.62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2,226,031.91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0.16%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环境监测系统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898,956,664.48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65.41%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979,273,744.11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71.27%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运营及咨询服务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354,321,675.93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25.78%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215,821,711.58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15.71%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64.17%</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121,047,794.91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179,004,688.78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13.03%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-32.38%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1,340,445,687.14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97.53%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1,323,320,410.74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96.30%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33,880,448.18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50,779,733.73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3.70%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-33.28%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1,372,227,610.70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698,741,351.63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环境监测系统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898,956,664.48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472,943,492.63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运营及咨询服务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354,321,675.93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146,583,704.20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58.63%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64.17%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55.51%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2.30%</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1,340,445,687.14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686,175,821.79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-0.79%</w:t>
            </w:r>
          </w:p>
        </w:tc>
      </w:tr>
    </w:tbl>
    <w:p>
      <w:pPr>
        <w:pStyle w:val="BodyText"/>
        <w:spacing w:line="240" w:lineRule="auto" w:before="49"/>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-0.84%</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-21.57%</w:t>
            </w:r>
          </w:p>
        </w:tc>
      </w:tr>
    </w:tbl>
    <w:p>
      <w:pPr>
        <w:pStyle w:val="BodyText"/>
        <w:spacing w:line="240" w:lineRule="auto" w:before="49"/>
        <w:ind w:right="113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57" w:lineRule="auto" w:before="44"/>
        <w:ind w:right="-20"/>
        <w:jc w:val="left"/>
      </w:pPr>
      <w:r>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73" w:space="8047"/>
            <w:col w:w="201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502,075,940.99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539,866,603.22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8" w:right="0"/>
              <w:jc w:val="left"/>
              <w:rPr>
                <w:rFonts w:ascii="Times New Roman" w:hAnsi="Times New Roman" w:cs="Times New Roman" w:eastAsia="Times New Roman" w:hint="default"/>
                <w:sz w:val="18"/>
                <w:szCs w:val="18"/>
              </w:rPr>
            </w:pPr>
            <w:r>
              <w:rPr>
                <w:rFonts w:ascii="Times New Roman"/>
                <w:sz w:val="18"/>
              </w:rPr>
              <w:t>-7.00%</w:t>
            </w:r>
          </w:p>
        </w:tc>
      </w:tr>
    </w:tbl>
    <w:p>
      <w:pPr>
        <w:pStyle w:val="BodyText"/>
        <w:spacing w:line="240" w:lineRule="auto" w:before="49"/>
        <w:ind w:right="1133"/>
        <w:jc w:val="left"/>
      </w:pPr>
      <w:r>
        <w:rPr/>
        <w:t>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240" w:lineRule="auto" w:before="123"/>
        <w:ind w:left="573" w:right="1133"/>
        <w:jc w:val="left"/>
      </w:pPr>
      <w:r>
        <w:rPr/>
        <w:t>①处置子公司</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1875"/>
        <w:gridCol w:w="1385"/>
        <w:gridCol w:w="792"/>
        <w:gridCol w:w="1109"/>
        <w:gridCol w:w="1133"/>
        <w:gridCol w:w="1382"/>
        <w:gridCol w:w="1553"/>
      </w:tblGrid>
      <w:tr>
        <w:trPr>
          <w:trHeight w:val="1580" w:hRule="exact"/>
        </w:trPr>
        <w:tc>
          <w:tcPr>
            <w:tcW w:w="1875"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49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46"/>
              <w:jc w:val="right"/>
              <w:rPr>
                <w:rFonts w:ascii="宋体" w:hAnsi="宋体" w:cs="宋体" w:eastAsia="宋体" w:hint="default"/>
                <w:sz w:val="18"/>
                <w:szCs w:val="18"/>
              </w:rPr>
            </w:pPr>
            <w:r>
              <w:rPr>
                <w:rFonts w:ascii="宋体" w:hAnsi="宋体" w:cs="宋体" w:eastAsia="宋体" w:hint="default"/>
                <w:sz w:val="18"/>
                <w:szCs w:val="18"/>
              </w:rPr>
              <w:t>股权处置价款</w:t>
            </w:r>
          </w:p>
        </w:tc>
        <w:tc>
          <w:tcPr>
            <w:tcW w:w="7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22" w:right="119"/>
              <w:jc w:val="left"/>
              <w:rPr>
                <w:rFonts w:ascii="宋体" w:hAnsi="宋体" w:cs="宋体" w:eastAsia="宋体" w:hint="default"/>
                <w:sz w:val="18"/>
                <w:szCs w:val="18"/>
              </w:rPr>
            </w:pPr>
            <w:r>
              <w:rPr>
                <w:rFonts w:ascii="宋体" w:hAnsi="宋体" w:cs="宋体" w:eastAsia="宋体" w:hint="default"/>
                <w:sz w:val="18"/>
                <w:szCs w:val="18"/>
              </w:rPr>
              <w:t>股权处 置比例</w:t>
            </w:r>
          </w:p>
          <w:p>
            <w:pPr>
              <w:pStyle w:val="TableParagraph"/>
              <w:spacing w:line="240" w:lineRule="auto" w:before="19"/>
              <w:ind w:left="16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1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369" w:right="187" w:hanging="180"/>
              <w:jc w:val="left"/>
              <w:rPr>
                <w:rFonts w:ascii="宋体" w:hAnsi="宋体" w:cs="宋体" w:eastAsia="宋体" w:hint="default"/>
                <w:sz w:val="18"/>
                <w:szCs w:val="18"/>
              </w:rPr>
            </w:pPr>
            <w:r>
              <w:rPr>
                <w:rFonts w:ascii="宋体" w:hAnsi="宋体" w:cs="宋体" w:eastAsia="宋体" w:hint="default"/>
                <w:sz w:val="18"/>
                <w:szCs w:val="18"/>
              </w:rPr>
              <w:t>股权处置 方式</w:t>
            </w:r>
          </w:p>
        </w:tc>
        <w:tc>
          <w:tcPr>
            <w:tcW w:w="11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90" w:right="110" w:hanging="180"/>
              <w:jc w:val="left"/>
              <w:rPr>
                <w:rFonts w:ascii="宋体" w:hAnsi="宋体" w:cs="宋体" w:eastAsia="宋体" w:hint="default"/>
                <w:sz w:val="18"/>
                <w:szCs w:val="18"/>
              </w:rPr>
            </w:pPr>
            <w:r>
              <w:rPr>
                <w:rFonts w:ascii="宋体" w:hAnsi="宋体" w:cs="宋体" w:eastAsia="宋体" w:hint="default"/>
                <w:sz w:val="18"/>
                <w:szCs w:val="18"/>
              </w:rPr>
              <w:t>丧失控制权 的时点</w:t>
            </w:r>
          </w:p>
        </w:tc>
        <w:tc>
          <w:tcPr>
            <w:tcW w:w="13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46" w:right="144"/>
              <w:jc w:val="left"/>
              <w:rPr>
                <w:rFonts w:ascii="宋体" w:hAnsi="宋体" w:cs="宋体" w:eastAsia="宋体" w:hint="default"/>
                <w:sz w:val="18"/>
                <w:szCs w:val="18"/>
              </w:rPr>
            </w:pPr>
            <w:r>
              <w:rPr>
                <w:rFonts w:ascii="宋体" w:hAnsi="宋体" w:cs="宋体" w:eastAsia="宋体" w:hint="default"/>
                <w:sz w:val="18"/>
                <w:szCs w:val="18"/>
              </w:rPr>
              <w:t>丧失控制权时 点的确定依据</w:t>
            </w:r>
          </w:p>
        </w:tc>
        <w:tc>
          <w:tcPr>
            <w:tcW w:w="1553" w:type="dxa"/>
            <w:tcBorders>
              <w:top w:val="single" w:sz="12" w:space="0" w:color="000000"/>
              <w:left w:val="single" w:sz="4" w:space="0" w:color="000000"/>
              <w:bottom w:val="single" w:sz="4" w:space="0" w:color="000000"/>
              <w:right w:val="nil" w:sz="6" w:space="0" w:color="auto"/>
            </w:tcBorders>
          </w:tcPr>
          <w:p>
            <w:pPr>
              <w:pStyle w:val="TableParagraph"/>
              <w:spacing w:line="319" w:lineRule="auto" w:before="8"/>
              <w:ind w:left="144" w:right="143"/>
              <w:jc w:val="both"/>
              <w:rPr>
                <w:rFonts w:ascii="宋体" w:hAnsi="宋体" w:cs="宋体" w:eastAsia="宋体" w:hint="default"/>
                <w:sz w:val="18"/>
                <w:szCs w:val="18"/>
              </w:rPr>
            </w:pPr>
            <w:r>
              <w:rPr>
                <w:rFonts w:ascii="宋体" w:hAnsi="宋体" w:cs="宋体" w:eastAsia="宋体" w:hint="default"/>
                <w:sz w:val="18"/>
                <w:szCs w:val="18"/>
              </w:rPr>
              <w:t>处置价款与处置 投资对应的合并 财务报表层面享 有该子公司净资 产份额的差额</w:t>
            </w:r>
          </w:p>
        </w:tc>
      </w:tr>
      <w:tr>
        <w:trPr>
          <w:trHeight w:val="627" w:hRule="exact"/>
        </w:trPr>
        <w:tc>
          <w:tcPr>
            <w:tcW w:w="1875" w:type="dxa"/>
            <w:tcBorders>
              <w:top w:val="single" w:sz="4" w:space="0" w:color="000000"/>
              <w:left w:val="nil" w:sz="6" w:space="0" w:color="auto"/>
              <w:bottom w:val="nil" w:sz="6" w:space="0" w:color="auto"/>
              <w:right w:val="single" w:sz="4" w:space="0" w:color="000000"/>
            </w:tcBorders>
          </w:tcPr>
          <w:p>
            <w:pPr>
              <w:pStyle w:val="TableParagraph"/>
              <w:spacing w:line="316" w:lineRule="auto" w:before="8"/>
              <w:ind w:left="122" w:right="125"/>
              <w:jc w:val="left"/>
              <w:rPr>
                <w:rFonts w:ascii="宋体" w:hAnsi="宋体" w:cs="宋体" w:eastAsia="宋体" w:hint="default"/>
                <w:sz w:val="18"/>
                <w:szCs w:val="18"/>
              </w:rPr>
            </w:pPr>
            <w:r>
              <w:rPr>
                <w:rFonts w:ascii="宋体" w:hAnsi="宋体" w:cs="宋体" w:eastAsia="宋体" w:hint="default"/>
                <w:sz w:val="18"/>
                <w:szCs w:val="18"/>
              </w:rPr>
              <w:t>山东先河环保科技有 限公司</w:t>
            </w:r>
          </w:p>
        </w:tc>
        <w:tc>
          <w:tcPr>
            <w:tcW w:w="13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宋体" w:hAnsi="宋体" w:cs="宋体" w:eastAsia="宋体" w:hint="default"/>
                <w:sz w:val="18"/>
                <w:szCs w:val="18"/>
              </w:rPr>
            </w:pPr>
            <w:r>
              <w:rPr>
                <w:rFonts w:ascii="宋体"/>
                <w:sz w:val="18"/>
              </w:rPr>
              <w:t>0.00</w:t>
            </w:r>
          </w:p>
        </w:tc>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宋体" w:hAnsi="宋体" w:cs="宋体" w:eastAsia="宋体" w:hint="default"/>
                <w:sz w:val="18"/>
                <w:szCs w:val="18"/>
              </w:rPr>
            </w:pPr>
            <w:r>
              <w:rPr>
                <w:rFonts w:ascii="宋体"/>
                <w:sz w:val="18"/>
              </w:rPr>
              <w:t>100%</w:t>
            </w:r>
          </w:p>
        </w:tc>
        <w:tc>
          <w:tcPr>
            <w:tcW w:w="11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6" w:right="0"/>
              <w:jc w:val="center"/>
              <w:rPr>
                <w:rFonts w:ascii="宋体" w:hAnsi="宋体" w:cs="宋体" w:eastAsia="宋体" w:hint="default"/>
                <w:sz w:val="18"/>
                <w:szCs w:val="18"/>
              </w:rPr>
            </w:pPr>
            <w:r>
              <w:rPr>
                <w:rFonts w:ascii="宋体"/>
                <w:sz w:val="18"/>
              </w:rPr>
              <w:t>2019/3/26</w:t>
            </w:r>
          </w:p>
        </w:tc>
        <w:tc>
          <w:tcPr>
            <w:tcW w:w="13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工商注销</w:t>
            </w:r>
          </w:p>
        </w:tc>
        <w:tc>
          <w:tcPr>
            <w:tcW w:w="1553" w:type="dxa"/>
            <w:tcBorders>
              <w:top w:val="single" w:sz="4"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-1,206,038.85</w:t>
            </w:r>
          </w:p>
        </w:tc>
      </w:tr>
      <w:tr>
        <w:trPr>
          <w:trHeight w:val="624" w:hRule="exact"/>
        </w:trPr>
        <w:tc>
          <w:tcPr>
            <w:tcW w:w="1875" w:type="dxa"/>
            <w:tcBorders>
              <w:top w:val="nil" w:sz="6" w:space="0" w:color="auto"/>
              <w:left w:val="nil" w:sz="6" w:space="0" w:color="auto"/>
              <w:bottom w:val="nil" w:sz="6" w:space="0" w:color="auto"/>
              <w:right w:val="single" w:sz="4" w:space="0" w:color="000000"/>
            </w:tcBorders>
          </w:tcPr>
          <w:p>
            <w:pPr>
              <w:pStyle w:val="TableParagraph"/>
              <w:spacing w:line="316" w:lineRule="auto" w:before="10"/>
              <w:ind w:left="122" w:right="125"/>
              <w:jc w:val="left"/>
              <w:rPr>
                <w:rFonts w:ascii="宋体" w:hAnsi="宋体" w:cs="宋体" w:eastAsia="宋体" w:hint="default"/>
                <w:sz w:val="18"/>
                <w:szCs w:val="18"/>
              </w:rPr>
            </w:pPr>
            <w:r>
              <w:rPr>
                <w:rFonts w:ascii="宋体" w:hAnsi="宋体" w:cs="宋体" w:eastAsia="宋体" w:hint="default"/>
                <w:sz w:val="18"/>
                <w:szCs w:val="18"/>
              </w:rPr>
              <w:t>广州市云景信息科技 有限公司</w:t>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15,000,000.00</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47.12%</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6" w:right="0"/>
              <w:jc w:val="center"/>
              <w:rPr>
                <w:rFonts w:ascii="宋体" w:hAnsi="宋体" w:cs="宋体" w:eastAsia="宋体" w:hint="default"/>
                <w:sz w:val="18"/>
                <w:szCs w:val="18"/>
              </w:rPr>
            </w:pPr>
            <w:r>
              <w:rPr>
                <w:rFonts w:ascii="宋体"/>
                <w:sz w:val="18"/>
              </w:rPr>
              <w:t>2019/6/30</w:t>
            </w:r>
          </w:p>
        </w:tc>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收到转让价款</w:t>
            </w:r>
          </w:p>
        </w:tc>
        <w:tc>
          <w:tcPr>
            <w:tcW w:w="1553"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1,453,457.32</w:t>
            </w:r>
          </w:p>
        </w:tc>
      </w:tr>
      <w:tr>
        <w:trPr>
          <w:trHeight w:val="643" w:hRule="exact"/>
        </w:trPr>
        <w:tc>
          <w:tcPr>
            <w:tcW w:w="1875" w:type="dxa"/>
            <w:tcBorders>
              <w:top w:val="nil" w:sz="6" w:space="0" w:color="auto"/>
              <w:left w:val="nil" w:sz="6" w:space="0" w:color="auto"/>
              <w:bottom w:val="single" w:sz="12" w:space="0" w:color="000000"/>
              <w:right w:val="single" w:sz="4" w:space="0" w:color="000000"/>
            </w:tcBorders>
          </w:tcPr>
          <w:p>
            <w:pPr>
              <w:pStyle w:val="TableParagraph"/>
              <w:spacing w:line="316" w:lineRule="auto" w:before="10"/>
              <w:ind w:left="122" w:right="125"/>
              <w:jc w:val="left"/>
              <w:rPr>
                <w:rFonts w:ascii="宋体" w:hAnsi="宋体" w:cs="宋体" w:eastAsia="宋体" w:hint="default"/>
                <w:sz w:val="18"/>
                <w:szCs w:val="18"/>
              </w:rPr>
            </w:pPr>
            <w:r>
              <w:rPr>
                <w:rFonts w:ascii="宋体" w:hAnsi="宋体" w:cs="宋体" w:eastAsia="宋体" w:hint="default"/>
                <w:sz w:val="18"/>
                <w:szCs w:val="18"/>
              </w:rPr>
              <w:t>重庆冀华正态检测技 术有限公司</w:t>
            </w:r>
          </w:p>
        </w:tc>
        <w:tc>
          <w:tcPr>
            <w:tcW w:w="138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300,000.00</w:t>
            </w:r>
          </w:p>
        </w:tc>
        <w:tc>
          <w:tcPr>
            <w:tcW w:w="79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85.00%</w:t>
            </w:r>
          </w:p>
        </w:tc>
        <w:tc>
          <w:tcPr>
            <w:tcW w:w="110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13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 w:right="0"/>
              <w:jc w:val="center"/>
              <w:rPr>
                <w:rFonts w:ascii="宋体" w:hAnsi="宋体" w:cs="宋体" w:eastAsia="宋体" w:hint="default"/>
                <w:sz w:val="18"/>
                <w:szCs w:val="18"/>
              </w:rPr>
            </w:pPr>
            <w:r>
              <w:rPr>
                <w:rFonts w:ascii="宋体"/>
                <w:sz w:val="18"/>
              </w:rPr>
              <w:t>2019/11/26</w:t>
            </w:r>
          </w:p>
        </w:tc>
        <w:tc>
          <w:tcPr>
            <w:tcW w:w="138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收到转让价款</w:t>
            </w:r>
          </w:p>
        </w:tc>
        <w:tc>
          <w:tcPr>
            <w:tcW w:w="1553" w:type="dxa"/>
            <w:tcBorders>
              <w:top w:val="nil" w:sz="6" w:space="0" w:color="auto"/>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-160,645.22</w:t>
            </w:r>
          </w:p>
        </w:tc>
      </w:tr>
    </w:tbl>
    <w:p>
      <w:pPr>
        <w:spacing w:line="240" w:lineRule="auto" w:before="12"/>
        <w:rPr>
          <w:rFonts w:ascii="宋体" w:hAnsi="宋体" w:cs="宋体" w:eastAsia="宋体" w:hint="default"/>
          <w:sz w:val="6"/>
          <w:szCs w:val="6"/>
        </w:rPr>
      </w:pPr>
    </w:p>
    <w:p>
      <w:pPr>
        <w:pStyle w:val="BodyText"/>
        <w:spacing w:line="240" w:lineRule="auto" w:before="44"/>
        <w:ind w:left="513" w:right="1133"/>
        <w:jc w:val="left"/>
      </w:pPr>
      <w:r>
        <w:rPr/>
        <w:t>（续）</w:t>
      </w:r>
    </w:p>
    <w:p>
      <w:pPr>
        <w:spacing w:after="0" w:line="240" w:lineRule="auto"/>
        <w:jc w:val="lef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935"/>
        <w:gridCol w:w="1241"/>
        <w:gridCol w:w="1234"/>
        <w:gridCol w:w="994"/>
        <w:gridCol w:w="1133"/>
        <w:gridCol w:w="1135"/>
        <w:gridCol w:w="1416"/>
      </w:tblGrid>
      <w:tr>
        <w:trPr>
          <w:trHeight w:val="1580" w:hRule="exact"/>
        </w:trPr>
        <w:tc>
          <w:tcPr>
            <w:tcW w:w="1935"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52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65" w:right="164"/>
              <w:jc w:val="both"/>
              <w:rPr>
                <w:rFonts w:ascii="宋体" w:hAnsi="宋体" w:cs="宋体" w:eastAsia="宋体" w:hint="default"/>
                <w:sz w:val="18"/>
                <w:szCs w:val="18"/>
              </w:rPr>
            </w:pPr>
            <w:r>
              <w:rPr>
                <w:rFonts w:ascii="宋体" w:hAnsi="宋体" w:cs="宋体" w:eastAsia="宋体" w:hint="default"/>
                <w:sz w:val="18"/>
                <w:szCs w:val="18"/>
              </w:rPr>
              <w:t>丧失控制权 之日剩余股 权的比例</w:t>
            </w:r>
          </w:p>
        </w:tc>
        <w:tc>
          <w:tcPr>
            <w:tcW w:w="12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63" w:right="158"/>
              <w:jc w:val="center"/>
              <w:rPr>
                <w:rFonts w:ascii="宋体" w:hAnsi="宋体" w:cs="宋体" w:eastAsia="宋体" w:hint="default"/>
                <w:sz w:val="18"/>
                <w:szCs w:val="18"/>
              </w:rPr>
            </w:pPr>
            <w:r>
              <w:rPr>
                <w:rFonts w:ascii="宋体" w:hAnsi="宋体" w:cs="宋体" w:eastAsia="宋体" w:hint="default"/>
                <w:sz w:val="18"/>
                <w:szCs w:val="18"/>
              </w:rPr>
              <w:t>丧失控制权 之日剩余股 权的账面价 值</w:t>
            </w:r>
          </w:p>
        </w:tc>
        <w:tc>
          <w:tcPr>
            <w:tcW w:w="9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31" w:right="130"/>
              <w:jc w:val="both"/>
              <w:rPr>
                <w:rFonts w:ascii="宋体" w:hAnsi="宋体" w:cs="宋体" w:eastAsia="宋体" w:hint="default"/>
                <w:sz w:val="18"/>
                <w:szCs w:val="18"/>
              </w:rPr>
            </w:pPr>
            <w:r>
              <w:rPr>
                <w:rFonts w:ascii="宋体" w:hAnsi="宋体" w:cs="宋体" w:eastAsia="宋体" w:hint="default"/>
                <w:sz w:val="18"/>
                <w:szCs w:val="18"/>
              </w:rPr>
              <w:t>丧失控制 权之日剩 余股权的 公允价值</w:t>
            </w:r>
          </w:p>
        </w:tc>
        <w:tc>
          <w:tcPr>
            <w:tcW w:w="1133"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0"/>
              <w:ind w:left="110" w:right="110"/>
              <w:jc w:val="center"/>
              <w:rPr>
                <w:rFonts w:ascii="宋体" w:hAnsi="宋体" w:cs="宋体" w:eastAsia="宋体" w:hint="default"/>
                <w:sz w:val="18"/>
                <w:szCs w:val="18"/>
              </w:rPr>
            </w:pPr>
            <w:r>
              <w:rPr>
                <w:rFonts w:ascii="宋体" w:hAnsi="宋体" w:cs="宋体" w:eastAsia="宋体" w:hint="default"/>
                <w:sz w:val="18"/>
                <w:szCs w:val="18"/>
              </w:rPr>
              <w:t>按照公允价 值重新计量 剩余股权产 生的利得或 损失</w:t>
            </w:r>
          </w:p>
        </w:tc>
        <w:tc>
          <w:tcPr>
            <w:tcW w:w="1135"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0"/>
              <w:ind w:left="112" w:right="110"/>
              <w:jc w:val="both"/>
              <w:rPr>
                <w:rFonts w:ascii="宋体" w:hAnsi="宋体" w:cs="宋体" w:eastAsia="宋体" w:hint="default"/>
                <w:sz w:val="18"/>
                <w:szCs w:val="18"/>
              </w:rPr>
            </w:pPr>
            <w:r>
              <w:rPr>
                <w:rFonts w:ascii="宋体" w:hAnsi="宋体" w:cs="宋体" w:eastAsia="宋体" w:hint="default"/>
                <w:sz w:val="18"/>
                <w:szCs w:val="18"/>
              </w:rPr>
              <w:t>丧失控制权 之日剩余股 权公允价值 的确定方法 及主要假设</w:t>
            </w:r>
          </w:p>
        </w:tc>
        <w:tc>
          <w:tcPr>
            <w:tcW w:w="1416"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10"/>
              <w:ind w:left="163" w:right="165"/>
              <w:jc w:val="center"/>
              <w:rPr>
                <w:rFonts w:ascii="宋体" w:hAnsi="宋体" w:cs="宋体" w:eastAsia="宋体" w:hint="default"/>
                <w:sz w:val="18"/>
                <w:szCs w:val="18"/>
              </w:rPr>
            </w:pPr>
            <w:r>
              <w:rPr>
                <w:rFonts w:ascii="宋体" w:hAnsi="宋体" w:cs="宋体" w:eastAsia="宋体" w:hint="default"/>
                <w:sz w:val="18"/>
                <w:szCs w:val="18"/>
              </w:rPr>
              <w:t>与原子公司股 权投资相关的 其他综合收益 转入投资损益 的金额</w:t>
            </w:r>
          </w:p>
        </w:tc>
      </w:tr>
      <w:tr>
        <w:trPr>
          <w:trHeight w:val="629" w:hRule="exact"/>
        </w:trPr>
        <w:tc>
          <w:tcPr>
            <w:tcW w:w="1935" w:type="dxa"/>
            <w:tcBorders>
              <w:top w:val="single" w:sz="4" w:space="0" w:color="000000"/>
              <w:left w:val="nil" w:sz="6" w:space="0" w:color="auto"/>
              <w:bottom w:val="nil" w:sz="6" w:space="0" w:color="auto"/>
              <w:right w:val="single" w:sz="4" w:space="0" w:color="000000"/>
            </w:tcBorders>
          </w:tcPr>
          <w:p>
            <w:pPr>
              <w:pStyle w:val="TableParagraph"/>
              <w:spacing w:line="316" w:lineRule="auto" w:before="10"/>
              <w:ind w:left="122" w:right="185"/>
              <w:jc w:val="left"/>
              <w:rPr>
                <w:rFonts w:ascii="宋体" w:hAnsi="宋体" w:cs="宋体" w:eastAsia="宋体" w:hint="default"/>
                <w:sz w:val="18"/>
                <w:szCs w:val="18"/>
              </w:rPr>
            </w:pPr>
            <w:r>
              <w:rPr>
                <w:rFonts w:ascii="宋体" w:hAnsi="宋体" w:cs="宋体" w:eastAsia="宋体" w:hint="default"/>
                <w:sz w:val="18"/>
                <w:szCs w:val="18"/>
              </w:rPr>
              <w:t>山东先河环保科技有 限公司</w:t>
            </w:r>
          </w:p>
        </w:tc>
        <w:tc>
          <w:tcPr>
            <w:tcW w:w="12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87" w:right="0"/>
              <w:jc w:val="left"/>
              <w:rPr>
                <w:rFonts w:ascii="宋体" w:hAnsi="宋体" w:cs="宋体" w:eastAsia="宋体" w:hint="default"/>
                <w:sz w:val="18"/>
                <w:szCs w:val="18"/>
              </w:rPr>
            </w:pPr>
            <w:r>
              <w:rPr>
                <w:rFonts w:ascii="宋体"/>
                <w:sz w:val="18"/>
              </w:rPr>
              <w:t>15.00%</w:t>
            </w:r>
          </w:p>
        </w:tc>
        <w:tc>
          <w:tcPr>
            <w:tcW w:w="1234"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1135"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nil" w:sz="6" w:space="0" w:color="auto"/>
            </w:tcBorders>
          </w:tcPr>
          <w:p>
            <w:pPr/>
          </w:p>
        </w:tc>
      </w:tr>
      <w:tr>
        <w:trPr>
          <w:trHeight w:val="624" w:hRule="exact"/>
        </w:trPr>
        <w:tc>
          <w:tcPr>
            <w:tcW w:w="1935" w:type="dxa"/>
            <w:tcBorders>
              <w:top w:val="nil" w:sz="6" w:space="0" w:color="auto"/>
              <w:left w:val="nil" w:sz="6" w:space="0" w:color="auto"/>
              <w:bottom w:val="nil" w:sz="6" w:space="0" w:color="auto"/>
              <w:right w:val="single" w:sz="4" w:space="0" w:color="000000"/>
            </w:tcBorders>
          </w:tcPr>
          <w:p>
            <w:pPr>
              <w:pStyle w:val="TableParagraph"/>
              <w:spacing w:line="316" w:lineRule="auto" w:before="10"/>
              <w:ind w:left="122" w:right="185"/>
              <w:jc w:val="left"/>
              <w:rPr>
                <w:rFonts w:ascii="宋体" w:hAnsi="宋体" w:cs="宋体" w:eastAsia="宋体" w:hint="default"/>
                <w:sz w:val="18"/>
                <w:szCs w:val="18"/>
              </w:rPr>
            </w:pPr>
            <w:r>
              <w:rPr>
                <w:rFonts w:ascii="宋体" w:hAnsi="宋体" w:cs="宋体" w:eastAsia="宋体" w:hint="default"/>
                <w:sz w:val="18"/>
                <w:szCs w:val="18"/>
              </w:rPr>
              <w:t>广州市云景信息科技 有限公司</w:t>
            </w:r>
          </w:p>
        </w:tc>
        <w:tc>
          <w:tcPr>
            <w:tcW w:w="1241" w:type="dxa"/>
            <w:vMerge/>
            <w:tcBorders>
              <w:left w:val="single" w:sz="4" w:space="0" w:color="000000"/>
              <w:right w:val="single" w:sz="4" w:space="0" w:color="000000"/>
            </w:tcBorders>
          </w:tcPr>
          <w:p>
            <w:pPr/>
          </w:p>
        </w:tc>
        <w:tc>
          <w:tcPr>
            <w:tcW w:w="123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nil" w:sz="6" w:space="0" w:color="auto"/>
            </w:tcBorders>
          </w:tcPr>
          <w:p>
            <w:pPr/>
          </w:p>
        </w:tc>
      </w:tr>
      <w:tr>
        <w:trPr>
          <w:trHeight w:val="641" w:hRule="exact"/>
        </w:trPr>
        <w:tc>
          <w:tcPr>
            <w:tcW w:w="1935" w:type="dxa"/>
            <w:tcBorders>
              <w:top w:val="nil" w:sz="6" w:space="0" w:color="auto"/>
              <w:left w:val="nil" w:sz="6" w:space="0" w:color="auto"/>
              <w:bottom w:val="single" w:sz="12" w:space="0" w:color="000000"/>
              <w:right w:val="single" w:sz="4" w:space="0" w:color="000000"/>
            </w:tcBorders>
          </w:tcPr>
          <w:p>
            <w:pPr>
              <w:pStyle w:val="TableParagraph"/>
              <w:spacing w:line="316" w:lineRule="auto" w:before="10"/>
              <w:ind w:left="122" w:right="185"/>
              <w:jc w:val="left"/>
              <w:rPr>
                <w:rFonts w:ascii="宋体" w:hAnsi="宋体" w:cs="宋体" w:eastAsia="宋体" w:hint="default"/>
                <w:sz w:val="18"/>
                <w:szCs w:val="18"/>
              </w:rPr>
            </w:pPr>
            <w:r>
              <w:rPr>
                <w:rFonts w:ascii="宋体" w:hAnsi="宋体" w:cs="宋体" w:eastAsia="宋体" w:hint="default"/>
                <w:sz w:val="18"/>
                <w:szCs w:val="18"/>
              </w:rPr>
              <w:t>重庆冀华正态检测技 术有限公司</w:t>
            </w:r>
          </w:p>
        </w:tc>
        <w:tc>
          <w:tcPr>
            <w:tcW w:w="1241" w:type="dxa"/>
            <w:vMerge/>
            <w:tcBorders>
              <w:left w:val="single" w:sz="4" w:space="0" w:color="000000"/>
              <w:bottom w:val="single" w:sz="12" w:space="0" w:color="000000"/>
              <w:right w:val="single" w:sz="4" w:space="0" w:color="000000"/>
            </w:tcBorders>
          </w:tcPr>
          <w:p>
            <w:pPr/>
          </w:p>
        </w:tc>
        <w:tc>
          <w:tcPr>
            <w:tcW w:w="1234" w:type="dxa"/>
            <w:vMerge/>
            <w:tcBorders>
              <w:left w:val="single" w:sz="4" w:space="0" w:color="000000"/>
              <w:bottom w:val="single" w:sz="12" w:space="0" w:color="000000"/>
              <w:right w:val="single" w:sz="4" w:space="0" w:color="000000"/>
            </w:tcBorders>
          </w:tcPr>
          <w:p>
            <w:pPr/>
          </w:p>
        </w:tc>
        <w:tc>
          <w:tcPr>
            <w:tcW w:w="994" w:type="dxa"/>
            <w:vMerge/>
            <w:tcBorders>
              <w:left w:val="single" w:sz="4" w:space="0" w:color="000000"/>
              <w:bottom w:val="single" w:sz="12" w:space="0" w:color="000000"/>
              <w:right w:val="single" w:sz="4" w:space="0" w:color="000000"/>
            </w:tcBorders>
          </w:tcPr>
          <w:p>
            <w:pPr/>
          </w:p>
        </w:tc>
        <w:tc>
          <w:tcPr>
            <w:tcW w:w="1133" w:type="dxa"/>
            <w:vMerge/>
            <w:tcBorders>
              <w:left w:val="single" w:sz="4" w:space="0" w:color="000000"/>
              <w:bottom w:val="single" w:sz="12" w:space="0" w:color="000000"/>
              <w:right w:val="single" w:sz="4" w:space="0" w:color="000000"/>
            </w:tcBorders>
          </w:tcPr>
          <w:p>
            <w:pPr/>
          </w:p>
        </w:tc>
        <w:tc>
          <w:tcPr>
            <w:tcW w:w="1135" w:type="dxa"/>
            <w:vMerge/>
            <w:tcBorders>
              <w:left w:val="single" w:sz="4" w:space="0" w:color="000000"/>
              <w:bottom w:val="single" w:sz="12" w:space="0" w:color="000000"/>
              <w:right w:val="single" w:sz="4" w:space="0" w:color="000000"/>
            </w:tcBorders>
          </w:tcPr>
          <w:p>
            <w:pPr/>
          </w:p>
        </w:tc>
        <w:tc>
          <w:tcPr>
            <w:tcW w:w="1416" w:type="dxa"/>
            <w:vMerge/>
            <w:tcBorders>
              <w:left w:val="single" w:sz="4" w:space="0" w:color="000000"/>
              <w:bottom w:val="single" w:sz="12" w:space="0" w:color="000000"/>
              <w:right w:val="nil" w:sz="6" w:space="0" w:color="auto"/>
            </w:tcBorders>
          </w:tcPr>
          <w:p>
            <w:pPr/>
          </w:p>
        </w:tc>
      </w:tr>
    </w:tbl>
    <w:p>
      <w:pPr>
        <w:pStyle w:val="BodyText"/>
        <w:spacing w:line="319" w:lineRule="auto" w:before="68"/>
        <w:ind w:right="1138" w:firstLine="420"/>
        <w:jc w:val="both"/>
      </w:pPr>
      <w:r>
        <w:rPr/>
        <w:t>其他说明：重庆冀华环保科技发展有限公司于</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21</w:t>
      </w:r>
      <w:r>
        <w:rPr/>
        <w:t>日将其持有重庆冀华正态检测技术有限公司</w:t>
      </w:r>
      <w:r>
        <w:rPr>
          <w:rFonts w:ascii="宋体" w:hAnsi="宋体" w:cs="宋体" w:eastAsia="宋体" w:hint="default"/>
        </w:rPr>
        <w:t>100%</w:t>
      </w:r>
      <w:r>
        <w:rPr/>
        <w:t>股权分别 转让予重庆通达环保工程有限公司、河北正态环境检测有限公司，其中：重庆通达环保工程有限公司受让</w:t>
      </w:r>
      <w:r>
        <w:rPr>
          <w:rFonts w:ascii="宋体" w:hAnsi="宋体" w:cs="宋体" w:eastAsia="宋体" w:hint="default"/>
        </w:rPr>
        <w:t>85%</w:t>
      </w:r>
      <w:r>
        <w:rPr/>
        <w:t>的股权、河北 正态环境检测有限公司无偿受让</w:t>
      </w:r>
      <w:r>
        <w:rPr>
          <w:rFonts w:ascii="宋体" w:hAnsi="宋体" w:cs="宋体" w:eastAsia="宋体" w:hint="default"/>
        </w:rPr>
        <w:t>15%</w:t>
      </w:r>
      <w:r>
        <w:rPr/>
        <w:t>的股权。本公司本期不再将重庆冀华正态检测技术有限公司纳入合并范围。</w:t>
      </w:r>
    </w:p>
    <w:p>
      <w:pPr>
        <w:pStyle w:val="BodyText"/>
        <w:spacing w:line="379" w:lineRule="auto" w:before="17"/>
        <w:ind w:left="566" w:right="1133" w:hanging="53"/>
        <w:jc w:val="left"/>
      </w:pPr>
      <w:r>
        <w:rPr/>
        <w:t>②其他原因的合并范围变动 </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21</w:t>
      </w:r>
      <w:r>
        <w:rPr/>
        <w:t>日，经公司第三届董事会第十七次会议审议通过，公司与石家庄荣驰环境治理中心（有限合伙）共同投</w:t>
      </w:r>
    </w:p>
    <w:p>
      <w:pPr>
        <w:pStyle w:val="BodyText"/>
        <w:spacing w:line="208" w:lineRule="exact"/>
        <w:ind w:right="0"/>
        <w:jc w:val="left"/>
      </w:pPr>
      <w:r>
        <w:rPr/>
        <w:t>资设立河北先进环保产业创新中心有限公司，设立时注册资本</w:t>
      </w:r>
      <w:r>
        <w:rPr>
          <w:rFonts w:ascii="宋体" w:hAnsi="宋体" w:cs="宋体" w:eastAsia="宋体" w:hint="default"/>
        </w:rPr>
        <w:t>10,000.00</w:t>
      </w:r>
      <w:r>
        <w:rPr/>
        <w:t>万元，其中公司认缴</w:t>
      </w:r>
      <w:r>
        <w:rPr>
          <w:rFonts w:ascii="宋体" w:hAnsi="宋体" w:cs="宋体" w:eastAsia="宋体" w:hint="default"/>
        </w:rPr>
        <w:t>7,500.00</w:t>
      </w:r>
      <w:r>
        <w:rPr/>
        <w:t>万元，石家庄荣驰环</w:t>
      </w:r>
    </w:p>
    <w:p>
      <w:pPr>
        <w:pStyle w:val="BodyText"/>
        <w:spacing w:line="240" w:lineRule="auto" w:before="76"/>
        <w:ind w:right="1133"/>
        <w:jc w:val="left"/>
      </w:pPr>
      <w:r>
        <w:rPr/>
        <w:t>境治理中心（有限合伙）</w:t>
      </w:r>
      <w:r>
        <w:rPr>
          <w:rFonts w:ascii="宋体" w:hAnsi="宋体" w:cs="宋体" w:eastAsia="宋体" w:hint="default"/>
        </w:rPr>
        <w:t>2,500.00</w:t>
      </w:r>
      <w:r>
        <w:rPr/>
        <w:t>万元。本公司拥有对其实质控制权，故在</w:t>
      </w:r>
      <w:r>
        <w:rPr>
          <w:rFonts w:ascii="宋体" w:hAnsi="宋体" w:cs="宋体" w:eastAsia="宋体" w:hint="default"/>
        </w:rPr>
        <w:t>2019</w:t>
      </w:r>
      <w:r>
        <w:rPr/>
        <w:t>年度将其纳入合并范围。</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132,838,534.22</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9.66%</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32,538,053.10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2.37%</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32,021,268.21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27,934,080.18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21,318,584.07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19,026,548.66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1.38%</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132,838,534.22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9.66%</w:t>
            </w:r>
          </w:p>
        </w:tc>
      </w:tr>
    </w:tbl>
    <w:p>
      <w:pPr>
        <w:pStyle w:val="BodyText"/>
        <w:spacing w:line="240" w:lineRule="auto" w:before="49"/>
        <w:ind w:right="1133"/>
        <w:jc w:val="left"/>
      </w:pPr>
      <w:r>
        <w:rPr/>
        <w:t>主要客户其他情况说明</w:t>
      </w:r>
    </w:p>
    <w:p>
      <w:pPr>
        <w:pStyle w:val="BodyText"/>
        <w:spacing w:line="240" w:lineRule="auto" w:before="11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公司主要供应商情况</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76,536,777.30</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11.27%</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08"/>
        <w:gridCol w:w="3185"/>
        <w:gridCol w:w="2321"/>
        <w:gridCol w:w="3145"/>
      </w:tblGrid>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23,124,000.00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16,002,598.20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13,251,210.61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12,356,551.93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11,802,416.56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76,536,777.30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11.27%</w:t>
            </w:r>
          </w:p>
        </w:tc>
      </w:tr>
    </w:tbl>
    <w:p>
      <w:pPr>
        <w:pStyle w:val="BodyText"/>
        <w:spacing w:line="240" w:lineRule="auto" w:before="49"/>
        <w:ind w:right="1133"/>
        <w:jc w:val="left"/>
      </w:pPr>
      <w:r>
        <w:rPr/>
        <w:t>主要供应商其他情况说明</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150,648,883.19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9" w:right="0"/>
              <w:jc w:val="left"/>
              <w:rPr>
                <w:rFonts w:ascii="Times New Roman" w:hAnsi="Times New Roman" w:cs="Times New Roman" w:eastAsia="Times New Roman" w:hint="default"/>
                <w:sz w:val="18"/>
                <w:szCs w:val="18"/>
              </w:rPr>
            </w:pPr>
            <w:r>
              <w:rPr>
                <w:rFonts w:ascii="Times New Roman"/>
                <w:sz w:val="18"/>
              </w:rPr>
              <w:t>157,165,771.10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-4.15%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149,771,589.27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153,559,938.84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1" w:right="0"/>
              <w:jc w:val="left"/>
              <w:rPr>
                <w:rFonts w:ascii="Times New Roman" w:hAnsi="Times New Roman" w:cs="Times New Roman" w:eastAsia="Times New Roman" w:hint="default"/>
                <w:sz w:val="18"/>
                <w:szCs w:val="18"/>
              </w:rPr>
            </w:pPr>
            <w:r>
              <w:rPr>
                <w:rFonts w:ascii="Times New Roman"/>
                <w:sz w:val="18"/>
              </w:rPr>
              <w:t>-5,999,011.19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9" w:right="0"/>
              <w:jc w:val="left"/>
              <w:rPr>
                <w:rFonts w:ascii="Times New Roman" w:hAnsi="Times New Roman" w:cs="Times New Roman" w:eastAsia="Times New Roman" w:hint="default"/>
                <w:sz w:val="18"/>
                <w:szCs w:val="18"/>
              </w:rPr>
            </w:pPr>
            <w:r>
              <w:rPr>
                <w:rFonts w:ascii="Times New Roman"/>
                <w:sz w:val="18"/>
              </w:rPr>
              <w:t>-3,195,451.36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87.74%</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主要原因是公司本期收到的银行存 款利息收入增加影响。</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61,077,116.84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55,978,066.79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9.11%</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513" w:right="112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公司作为高新技术企业，高度重视产品研发的投入以及自身研发综合实力的提高。报告期内，公司密切跟踪行业发展趋</w:t>
      </w:r>
    </w:p>
    <w:p>
      <w:pPr>
        <w:pStyle w:val="BodyText"/>
        <w:spacing w:line="307" w:lineRule="auto" w:before="1"/>
        <w:ind w:right="1131"/>
        <w:jc w:val="both"/>
      </w:pPr>
      <w:r>
        <w:rPr>
          <w:spacing w:val="-2"/>
        </w:rPr>
        <w:t>势，适应市场需求，持续加大产品研发投入和技术创新，不断研发新产品及提升产品性能，进一步巩固和加强公司核心竞争</w:t>
      </w:r>
      <w:r>
        <w:rPr>
          <w:spacing w:val="-64"/>
        </w:rPr>
        <w:t> </w:t>
      </w:r>
      <w:r>
        <w:rPr>
          <w:spacing w:val="-64"/>
        </w:rPr>
      </w:r>
      <w:r>
        <w:rPr/>
        <w:t>力。报告期内，公司研发项目总支出 </w:t>
      </w:r>
      <w:r>
        <w:rPr>
          <w:rFonts w:ascii="Times New Roman" w:hAnsi="Times New Roman" w:cs="Times New Roman" w:eastAsia="Times New Roman" w:hint="default"/>
        </w:rPr>
        <w:t>6,107.71</w:t>
      </w:r>
      <w:r>
        <w:rPr>
          <w:rFonts w:ascii="Times New Roman" w:hAnsi="Times New Roman" w:cs="Times New Roman" w:eastAsia="Times New Roman" w:hint="default"/>
          <w:spacing w:val="18"/>
        </w:rPr>
        <w:t> </w:t>
      </w:r>
      <w:r>
        <w:rPr/>
        <w:t>万元，较去年同期增长</w:t>
      </w:r>
      <w:r>
        <w:rPr>
          <w:rFonts w:ascii="Times New Roman" w:hAnsi="Times New Roman" w:cs="Times New Roman" w:eastAsia="Times New Roman" w:hint="default"/>
        </w:rPr>
        <w:t>9.11%</w:t>
      </w:r>
      <w:r>
        <w:rPr/>
        <w:t>，研发总支出占营业收入的比例为</w:t>
      </w:r>
      <w:r>
        <w:rPr>
          <w:rFonts w:ascii="Times New Roman" w:hAnsi="Times New Roman" w:cs="Times New Roman" w:eastAsia="Times New Roman" w:hint="default"/>
        </w:rPr>
        <w:t>4.44%</w:t>
      </w:r>
      <w:r>
        <w:rPr/>
        <w:t>。对于 项目的研究开发，公司拥有了多项具有自主知识产权核心技术。截止</w:t>
      </w:r>
      <w:r>
        <w:rPr>
          <w:rFonts w:ascii="Times New Roman" w:hAnsi="Times New Roman" w:cs="Times New Roman" w:eastAsia="Times New Roman" w:hint="default"/>
        </w:rPr>
        <w:t>2019</w:t>
      </w:r>
      <w:r>
        <w:rPr/>
        <w:t>年底，公司（含子公司）共拥有专利</w:t>
      </w:r>
      <w:r>
        <w:rPr>
          <w:rFonts w:ascii="Times New Roman" w:hAnsi="Times New Roman" w:cs="Times New Roman" w:eastAsia="Times New Roman" w:hint="default"/>
        </w:rPr>
        <w:t>124</w:t>
      </w:r>
      <w:r>
        <w:rPr/>
        <w:t>项，拥有</w:t>
      </w:r>
      <w:r>
        <w:rPr>
          <w:spacing w:val="-85"/>
        </w:rPr>
        <w:t> </w:t>
      </w:r>
      <w:r>
        <w:rPr>
          <w:spacing w:val="-85"/>
        </w:rPr>
      </w:r>
      <w:r>
        <w:rPr/>
        <w:t>软件著作权</w:t>
      </w:r>
      <w:r>
        <w:rPr>
          <w:rFonts w:ascii="Times New Roman" w:hAnsi="Times New Roman" w:cs="Times New Roman" w:eastAsia="Times New Roman" w:hint="default"/>
        </w:rPr>
        <w:t>134</w:t>
      </w:r>
      <w:r>
        <w:rPr/>
        <w:t>项。</w:t>
      </w:r>
    </w:p>
    <w:p>
      <w:pPr>
        <w:pStyle w:val="BodyText"/>
        <w:spacing w:line="240" w:lineRule="auto" w:before="48"/>
        <w:ind w:right="0"/>
        <w:jc w:val="both"/>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10.81%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61,077,116.84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55,978,066.79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48,867,892.00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4.69%</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研发投入总额占营业收入的比重较上年发生显著变化的原因</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1,636,882,609.77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1,204,119,977.34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35.94%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1,284,160,217.77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1,276,383,396.81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0.61%</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352,722,392.00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-72,263,419.47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588.11%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51,281,698.09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28.20%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71,531,829.53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42,895,933.06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66.76%</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-20,250,131.44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-2,895,933.06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599.26%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155,702,903.92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59,765,164.04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160.52%</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-155,702,903.92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74,234,835.96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-309.74%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176,968,768.37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-241,728.14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73,309.83%</w:t>
            </w:r>
          </w:p>
        </w:tc>
      </w:tr>
    </w:tbl>
    <w:p>
      <w:pPr>
        <w:pStyle w:val="BodyText"/>
        <w:spacing w:line="240" w:lineRule="auto" w:before="49"/>
        <w:ind w:right="1133"/>
        <w:jc w:val="left"/>
      </w:pPr>
      <w:r>
        <w:rPr/>
        <w:t>相关数据同比发生重大变动的主要影响因素说明</w:t>
      </w:r>
    </w:p>
    <w:p>
      <w:pPr>
        <w:pStyle w:val="BodyText"/>
        <w:spacing w:line="321" w:lineRule="auto" w:before="118"/>
        <w:ind w:left="513" w:right="193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经营活动现金流入小计变动主要原因是公司本期紧抓应收款项催收力度，现金回款优于上年同期； 经营活动产生的现金流量净额变动主要原因是公司本期紧抓应收款项催收力度，现金回款优于上年同期； 投资活动现金流出小计变动主要原因是本期购建固定资产支付的现金增加、购买理财产品支付的现金增加； 投资活动产生的现金流量净额变动主要原因是本期购建固定资产支付的现金增加； 筹资活动现金流出小计变动主要原因是本期归还短期借款； 筹资活动产生的现金流量净额变动主要原因是本期归还短期借款。</w:t>
      </w:r>
    </w:p>
    <w:p>
      <w:pPr>
        <w:pStyle w:val="BodyText"/>
        <w:spacing w:line="240" w:lineRule="auto" w:before="56"/>
        <w:ind w:right="1133"/>
        <w:jc w:val="left"/>
      </w:pPr>
      <w:r>
        <w:rPr/>
        <w:t>报告期内公司经营活动产生的现金净流量与本年度净利润存在重大差异的原因说明</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40" w:lineRule="auto" w:before="44"/>
        <w:ind w:left="513" w:right="571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报告期内公司加强应收账款催收力度，收回以前年度欠款。</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2"/>
        <w:gridCol w:w="2168"/>
        <w:gridCol w:w="2341"/>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148,586.95</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2168"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处置长期股权投资产生的 投资收益及银行理财收益</w:t>
            </w:r>
          </w:p>
        </w:tc>
        <w:tc>
          <w:tcPr>
            <w:tcW w:w="2341" w:type="dxa"/>
            <w:vMerge w:val="restart"/>
            <w:tcBorders>
              <w:top w:val="single" w:sz="4" w:space="0" w:color="000000"/>
              <w:left w:val="single" w:sz="4" w:space="0" w:color="000000"/>
              <w:right w:val="single" w:sz="4" w:space="0" w:color="000000"/>
            </w:tcBorders>
          </w:tcPr>
          <w:p>
            <w:pPr/>
          </w:p>
        </w:tc>
      </w:tr>
      <w:tr>
        <w:trPr>
          <w:trHeight w:val="394" w:hRule="exact"/>
        </w:trPr>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161" w:hRule="exact"/>
        </w:trPr>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23,211,991.86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7,111,858.42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主要为政府补助</w:t>
            </w: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1,686,635.60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0.55%</w:t>
            </w:r>
          </w:p>
        </w:tc>
        <w:tc>
          <w:tcPr>
            <w:tcW w:w="21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17"/>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3"/>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525" w:space="395"/>
            <w:col w:w="201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39"/>
        <w:gridCol w:w="1416"/>
        <w:gridCol w:w="1277"/>
        <w:gridCol w:w="1274"/>
        <w:gridCol w:w="850"/>
        <w:gridCol w:w="205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7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5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0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2755" w:type="dxa"/>
            <w:gridSpan w:val="2"/>
            <w:vMerge/>
            <w:tcBorders>
              <w:left w:val="single" w:sz="4" w:space="0" w:color="000000"/>
              <w:bottom w:val="single" w:sz="4" w:space="0" w:color="000000"/>
              <w:right w:val="single" w:sz="4" w:space="0" w:color="000000"/>
            </w:tcBorders>
            <w:shd w:val="clear" w:color="auto" w:fill="D2D2D2"/>
          </w:tcPr>
          <w:p>
            <w:pPr/>
          </w:p>
        </w:tc>
        <w:tc>
          <w:tcPr>
            <w:tcW w:w="2552"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2057" w:type="dxa"/>
            <w:vMerge/>
            <w:tcBorders>
              <w:left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850" w:type="dxa"/>
            <w:vMerge/>
            <w:tcBorders>
              <w:left w:val="single" w:sz="4" w:space="0" w:color="000000"/>
              <w:right w:val="single" w:sz="4" w:space="0" w:color="000000"/>
            </w:tcBorders>
            <w:shd w:val="clear" w:color="auto" w:fill="D2D2D2"/>
          </w:tcPr>
          <w:p>
            <w:pPr/>
          </w:p>
        </w:tc>
        <w:tc>
          <w:tcPr>
            <w:tcW w:w="2057" w:type="dxa"/>
            <w:vMerge/>
            <w:tcBorders>
              <w:left w:val="single" w:sz="4" w:space="0" w:color="000000"/>
              <w:right w:val="single" w:sz="4" w:space="0" w:color="000000"/>
            </w:tcBorders>
            <w:shd w:val="clear" w:color="auto" w:fill="D2D2D2"/>
          </w:tcPr>
          <w:p>
            <w:pPr/>
          </w:p>
        </w:tc>
      </w:tr>
      <w:tr>
        <w:trPr>
          <w:trHeight w:val="204"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205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757,851,304.15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572,708,285.99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6.75%</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624,662,873.37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599,886,629.33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0.39%</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399,314,981.07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473,444,069.39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245,085,966.09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246,675,191.87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-0.30%</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9" w:type="dxa"/>
            <w:tcBorders>
              <w:top w:val="single" w:sz="4" w:space="0" w:color="000000"/>
              <w:left w:val="single" w:sz="12"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5,266,632.90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9" w:type="dxa"/>
            <w:tcBorders>
              <w:top w:val="single" w:sz="4" w:space="0" w:color="000000"/>
              <w:left w:val="single" w:sz="12"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287,438,779.65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310,650,771.51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w:t>
            </w:r>
          </w:p>
        </w:tc>
        <w:tc>
          <w:tcPr>
            <w:tcW w:w="20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2552"/>
        <w:gridCol w:w="2127"/>
        <w:gridCol w:w="3971"/>
      </w:tblGrid>
      <w:tr>
        <w:trPr>
          <w:trHeight w:val="425" w:hRule="exact"/>
        </w:trPr>
        <w:tc>
          <w:tcPr>
            <w:tcW w:w="255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6"/>
              <w:ind w:left="519" w:right="0"/>
              <w:jc w:val="left"/>
              <w:rPr>
                <w:rFonts w:ascii="宋体" w:hAnsi="宋体" w:cs="宋体" w:eastAsia="宋体" w:hint="default"/>
                <w:sz w:val="18"/>
                <w:szCs w:val="18"/>
              </w:rPr>
            </w:pPr>
            <w:r>
              <w:rPr>
                <w:rFonts w:ascii="宋体" w:hAnsi="宋体" w:cs="宋体" w:eastAsia="宋体" w:hint="default"/>
                <w:b/>
                <w:bCs/>
                <w:sz w:val="18"/>
                <w:szCs w:val="18"/>
              </w:rPr>
              <w:t>期末账面价值</w:t>
            </w:r>
            <w:r>
              <w:rPr>
                <w:rFonts w:ascii="宋体" w:hAnsi="宋体" w:cs="宋体" w:eastAsia="宋体" w:hint="default"/>
                <w:sz w:val="18"/>
                <w:szCs w:val="18"/>
              </w:rPr>
            </w:r>
          </w:p>
        </w:tc>
        <w:tc>
          <w:tcPr>
            <w:tcW w:w="397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434" w:hRule="exact"/>
        </w:trPr>
        <w:tc>
          <w:tcPr>
            <w:tcW w:w="2552" w:type="dxa"/>
            <w:tcBorders>
              <w:top w:val="single" w:sz="4" w:space="0" w:color="000000"/>
              <w:left w:val="nil" w:sz="6" w:space="0" w:color="auto"/>
              <w:bottom w:val="nil" w:sz="6" w:space="0" w:color="auto"/>
              <w:right w:val="single" w:sz="4" w:space="0" w:color="000000"/>
            </w:tcBorders>
          </w:tcPr>
          <w:p>
            <w:pPr>
              <w:pStyle w:val="TableParagraph"/>
              <w:spacing w:line="240" w:lineRule="auto" w:before="68"/>
              <w:ind w:left="107"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left="1116" w:right="0"/>
              <w:jc w:val="left"/>
              <w:rPr>
                <w:rFonts w:ascii="宋体" w:hAnsi="宋体" w:cs="宋体" w:eastAsia="宋体" w:hint="default"/>
                <w:sz w:val="18"/>
                <w:szCs w:val="18"/>
              </w:rPr>
            </w:pPr>
            <w:r>
              <w:rPr>
                <w:rFonts w:ascii="宋体"/>
                <w:sz w:val="18"/>
              </w:rPr>
              <w:t>193,301.91</w:t>
            </w:r>
          </w:p>
        </w:tc>
        <w:tc>
          <w:tcPr>
            <w:tcW w:w="3971" w:type="dxa"/>
            <w:tcBorders>
              <w:top w:val="single" w:sz="4" w:space="0" w:color="000000"/>
              <w:left w:val="single" w:sz="4" w:space="0" w:color="000000"/>
              <w:bottom w:val="nil" w:sz="6" w:space="0" w:color="auto"/>
              <w:right w:val="nil" w:sz="6" w:space="0" w:color="auto"/>
            </w:tcBorders>
          </w:tcPr>
          <w:p>
            <w:pPr>
              <w:pStyle w:val="TableParagraph"/>
              <w:spacing w:line="240" w:lineRule="auto" w:before="68"/>
              <w:ind w:right="1"/>
              <w:jc w:val="center"/>
              <w:rPr>
                <w:rFonts w:ascii="宋体" w:hAnsi="宋体" w:cs="宋体" w:eastAsia="宋体" w:hint="default"/>
                <w:sz w:val="18"/>
                <w:szCs w:val="18"/>
              </w:rPr>
            </w:pPr>
            <w:r>
              <w:rPr>
                <w:rFonts w:ascii="宋体" w:hAnsi="宋体" w:cs="宋体" w:eastAsia="宋体" w:hint="default"/>
                <w:sz w:val="18"/>
                <w:szCs w:val="18"/>
              </w:rPr>
              <w:t>子公司北京卫家环境技术有限公司涉诉被司法</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r>
        <w:rPr/>
        <w:pict>
          <v:group style="position:absolute;margin-left:126.379997pt;margin-top:601.276001pt;width:32.5500pt;height:162.9pt;mso-position-horizontal-relative:page;mso-position-vertical-relative:page;z-index:-1058512" coordorigin="2528,12026" coordsize="651,3258">
            <v:shape style="position:absolute;left:2528;top:12026;width:651;height:3258" coordorigin="2528,12026" coordsize="651,3258" path="m2528,15283l3178,15283,3178,12026,2528,12026,2528,15283xe" filled="true" fillcolor="#ffffff" stroked="false">
              <v:path arrowok="t"/>
              <v:fill type="solid"/>
            </v:shape>
            <w10:wrap type="none"/>
          </v:group>
        </w:pict>
      </w:r>
    </w:p>
    <w:tbl>
      <w:tblPr>
        <w:tblW w:w="0" w:type="auto"/>
        <w:jc w:val="left"/>
        <w:tblInd w:w="138" w:type="dxa"/>
        <w:tblLayout w:type="fixed"/>
        <w:tblCellMar>
          <w:top w:w="0" w:type="dxa"/>
          <w:left w:w="0" w:type="dxa"/>
          <w:bottom w:w="0" w:type="dxa"/>
          <w:right w:w="0" w:type="dxa"/>
        </w:tblCellMar>
        <w:tblLook w:val="01E0"/>
      </w:tblPr>
      <w:tblGrid>
        <w:gridCol w:w="2566"/>
        <w:gridCol w:w="2127"/>
        <w:gridCol w:w="3971"/>
      </w:tblGrid>
      <w:tr>
        <w:trPr>
          <w:trHeight w:val="392" w:hRule="exact"/>
        </w:trPr>
        <w:tc>
          <w:tcPr>
            <w:tcW w:w="2566" w:type="dxa"/>
            <w:vMerge w:val="restart"/>
            <w:tcBorders>
              <w:top w:val="nil" w:sz="6" w:space="0" w:color="auto"/>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127"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845" w:right="0"/>
              <w:jc w:val="left"/>
              <w:rPr>
                <w:rFonts w:ascii="宋体" w:hAnsi="宋体" w:cs="宋体" w:eastAsia="宋体" w:hint="default"/>
                <w:sz w:val="18"/>
                <w:szCs w:val="18"/>
              </w:rPr>
            </w:pPr>
            <w:r>
              <w:rPr>
                <w:rFonts w:ascii="宋体"/>
                <w:sz w:val="18"/>
              </w:rPr>
              <w:t>24,088,692.82</w:t>
            </w:r>
          </w:p>
        </w:tc>
        <w:tc>
          <w:tcPr>
            <w:tcW w:w="3971"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冻结资金</w:t>
            </w:r>
          </w:p>
        </w:tc>
      </w:tr>
      <w:tr>
        <w:trPr>
          <w:trHeight w:val="446" w:hRule="exact"/>
        </w:trPr>
        <w:tc>
          <w:tcPr>
            <w:tcW w:w="2566" w:type="dxa"/>
            <w:vMerge/>
            <w:tcBorders>
              <w:left w:val="nil" w:sz="6" w:space="0" w:color="auto"/>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c>
          <w:tcPr>
            <w:tcW w:w="3971" w:type="dxa"/>
            <w:tcBorders>
              <w:top w:val="nil" w:sz="6" w:space="0" w:color="auto"/>
              <w:left w:val="single" w:sz="4" w:space="0" w:color="000000"/>
              <w:bottom w:val="single" w:sz="4" w:space="0" w:color="000000"/>
              <w:right w:val="nil" w:sz="6" w:space="0" w:color="auto"/>
            </w:tcBorders>
          </w:tcPr>
          <w:p>
            <w:pPr>
              <w:pStyle w:val="TableParagraph"/>
              <w:spacing w:line="240" w:lineRule="auto" w:before="92"/>
              <w:ind w:left="1262" w:right="0"/>
              <w:jc w:val="left"/>
              <w:rPr>
                <w:rFonts w:ascii="宋体" w:hAnsi="宋体" w:cs="宋体" w:eastAsia="宋体" w:hint="default"/>
                <w:sz w:val="18"/>
                <w:szCs w:val="18"/>
              </w:rPr>
            </w:pPr>
            <w:r>
              <w:rPr>
                <w:rFonts w:ascii="宋体" w:hAnsi="宋体" w:cs="宋体" w:eastAsia="宋体" w:hint="default"/>
                <w:sz w:val="18"/>
                <w:szCs w:val="18"/>
              </w:rPr>
              <w:t>票据及保函保证金</w:t>
            </w:r>
          </w:p>
        </w:tc>
      </w:tr>
      <w:tr>
        <w:trPr>
          <w:trHeight w:val="427" w:hRule="exact"/>
        </w:trPr>
        <w:tc>
          <w:tcPr>
            <w:tcW w:w="25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6"/>
              <w:ind w:left="2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left="838" w:right="0"/>
              <w:jc w:val="left"/>
              <w:rPr>
                <w:rFonts w:ascii="宋体" w:hAnsi="宋体" w:cs="宋体" w:eastAsia="宋体" w:hint="default"/>
                <w:sz w:val="18"/>
                <w:szCs w:val="18"/>
              </w:rPr>
            </w:pPr>
            <w:r>
              <w:rPr>
                <w:rFonts w:ascii="宋体"/>
                <w:b/>
                <w:sz w:val="18"/>
              </w:rPr>
              <w:t>24,281,994.73</w:t>
            </w:r>
            <w:r>
              <w:rPr>
                <w:rFonts w:ascii="宋体"/>
                <w:sz w:val="18"/>
              </w:rPr>
            </w:r>
          </w:p>
        </w:tc>
        <w:tc>
          <w:tcPr>
            <w:tcW w:w="397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6"/>
              <w:ind w:left="105" w:right="0"/>
              <w:jc w:val="left"/>
              <w:rPr>
                <w:rFonts w:ascii="宋体" w:hAnsi="宋体" w:cs="宋体" w:eastAsia="宋体" w:hint="default"/>
                <w:sz w:val="18"/>
                <w:szCs w:val="18"/>
              </w:rPr>
            </w:pPr>
            <w:r>
              <w:rPr>
                <w:rFonts w:ascii="宋体"/>
                <w:b/>
                <w:sz w:val="18"/>
              </w:rPr>
              <w:t>--</w:t>
            </w:r>
            <w:r>
              <w:rPr>
                <w:rFonts w:ascii="宋体"/>
                <w:sz w:val="18"/>
              </w:rPr>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2"/>
        <w:spacing w:line="240" w:lineRule="auto" w:before="26"/>
        <w:ind w:right="1133"/>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3"/>
        <w:gridCol w:w="660"/>
        <w:gridCol w:w="662"/>
        <w:gridCol w:w="658"/>
        <w:gridCol w:w="656"/>
        <w:gridCol w:w="660"/>
        <w:gridCol w:w="629"/>
        <w:gridCol w:w="739"/>
        <w:gridCol w:w="733"/>
        <w:gridCol w:w="734"/>
        <w:gridCol w:w="722"/>
      </w:tblGrid>
      <w:tr>
        <w:trPr>
          <w:trHeight w:val="1025"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1" w:right="6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0"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9" w:right="5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5" w:right="48"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5"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0" w:right="36"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5" w:right="9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1" w:right="89"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6915"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9" w:lineRule="auto"/>
              <w:ind w:left="24" w:right="118"/>
              <w:jc w:val="both"/>
              <w:rPr>
                <w:rFonts w:ascii="宋体" w:hAnsi="宋体" w:cs="宋体" w:eastAsia="宋体" w:hint="default"/>
                <w:sz w:val="18"/>
                <w:szCs w:val="18"/>
              </w:rPr>
            </w:pPr>
            <w:r>
              <w:rPr>
                <w:rFonts w:ascii="宋体" w:hAnsi="宋体" w:cs="宋体" w:eastAsia="宋体" w:hint="default"/>
                <w:sz w:val="18"/>
                <w:szCs w:val="18"/>
              </w:rPr>
              <w:t>河北先 进环保 产业创 新中心 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生态环 境物联 网与大 数据应 用及环 境保护 专用设 备的研 发、制 造、销 </w:t>
            </w:r>
            <w:r>
              <w:rPr>
                <w:rFonts w:ascii="宋体" w:hAnsi="宋体" w:cs="宋体" w:eastAsia="宋体" w:hint="default"/>
                <w:spacing w:val="-22"/>
                <w:sz w:val="18"/>
                <w:szCs w:val="18"/>
              </w:rPr>
              <w:t>售；固体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废弃物 </w:t>
            </w:r>
            <w:r>
              <w:rPr>
                <w:rFonts w:ascii="宋体" w:hAnsi="宋体" w:cs="宋体" w:eastAsia="宋体" w:hint="default"/>
                <w:spacing w:val="-22"/>
                <w:sz w:val="18"/>
                <w:szCs w:val="18"/>
              </w:rPr>
              <w:t>清运；环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境保护 与污染 治理服 </w:t>
            </w:r>
            <w:r>
              <w:rPr>
                <w:rFonts w:ascii="宋体" w:hAnsi="宋体" w:cs="宋体" w:eastAsia="宋体" w:hint="default"/>
                <w:spacing w:val="-22"/>
                <w:sz w:val="18"/>
                <w:szCs w:val="18"/>
              </w:rPr>
              <w:t>务；销售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计算机 软件及 辅助设 </w:t>
            </w:r>
            <w:r>
              <w:rPr>
                <w:rFonts w:ascii="宋体" w:hAnsi="宋体" w:cs="宋体" w:eastAsia="宋体" w:hint="default"/>
                <w:spacing w:val="-22"/>
                <w:sz w:val="18"/>
                <w:szCs w:val="18"/>
              </w:rPr>
              <w:t>备；软件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2"/>
                <w:sz w:val="18"/>
                <w:szCs w:val="18"/>
              </w:rPr>
              <w:t>开发，计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1" w:right="0"/>
              <w:jc w:val="lef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75.00%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6" w:right="8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3" w:right="83"/>
              <w:jc w:val="both"/>
              <w:rPr>
                <w:rFonts w:ascii="宋体" w:hAnsi="宋体" w:cs="宋体" w:eastAsia="宋体" w:hint="default"/>
                <w:sz w:val="18"/>
                <w:szCs w:val="18"/>
              </w:rPr>
            </w:pPr>
            <w:r>
              <w:rPr>
                <w:rFonts w:ascii="宋体" w:hAnsi="宋体" w:cs="宋体" w:eastAsia="宋体" w:hint="default"/>
                <w:sz w:val="18"/>
                <w:szCs w:val="18"/>
              </w:rPr>
              <w:t>石家庄 荣驰环 境治理 中心</w:t>
            </w:r>
          </w:p>
          <w:p>
            <w:pPr>
              <w:pStyle w:val="TableParagraph"/>
              <w:spacing w:line="319" w:lineRule="auto" w:before="19"/>
              <w:ind w:left="23" w:right="83"/>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4" w:right="146"/>
              <w:jc w:val="left"/>
              <w:rPr>
                <w:rFonts w:ascii="宋体" w:hAnsi="宋体" w:cs="宋体" w:eastAsia="宋体" w:hint="default"/>
                <w:sz w:val="18"/>
                <w:szCs w:val="18"/>
              </w:rPr>
            </w:pPr>
            <w:r>
              <w:rPr>
                <w:rFonts w:ascii="宋体" w:hAnsi="宋体" w:cs="宋体" w:eastAsia="宋体" w:hint="default"/>
                <w:sz w:val="18"/>
                <w:szCs w:val="18"/>
              </w:rPr>
              <w:t>巨潮资 讯</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3"/>
        <w:gridCol w:w="660"/>
        <w:gridCol w:w="662"/>
        <w:gridCol w:w="658"/>
        <w:gridCol w:w="656"/>
        <w:gridCol w:w="660"/>
        <w:gridCol w:w="629"/>
        <w:gridCol w:w="739"/>
        <w:gridCol w:w="733"/>
        <w:gridCol w:w="734"/>
        <w:gridCol w:w="722"/>
      </w:tblGrid>
      <w:tr>
        <w:trPr>
          <w:trHeight w:val="6291" w:hRule="exact"/>
        </w:trPr>
        <w:tc>
          <w:tcPr>
            <w:tcW w:w="69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17"/>
              <w:jc w:val="left"/>
              <w:rPr>
                <w:rFonts w:ascii="宋体" w:hAnsi="宋体" w:cs="宋体" w:eastAsia="宋体" w:hint="default"/>
                <w:sz w:val="18"/>
                <w:szCs w:val="18"/>
              </w:rPr>
            </w:pPr>
            <w:r>
              <w:rPr>
                <w:rFonts w:ascii="宋体" w:hAnsi="宋体" w:cs="宋体" w:eastAsia="宋体" w:hint="default"/>
                <w:sz w:val="18"/>
                <w:szCs w:val="18"/>
              </w:rPr>
              <w:t>算机系 统服务</w:t>
            </w:r>
          </w:p>
          <w:p>
            <w:pPr>
              <w:pStyle w:val="TableParagraph"/>
              <w:spacing w:line="316" w:lineRule="auto" w:before="17"/>
              <w:ind w:left="24" w:right="21"/>
              <w:jc w:val="left"/>
              <w:rPr>
                <w:rFonts w:ascii="宋体" w:hAnsi="宋体" w:cs="宋体" w:eastAsia="宋体" w:hint="default"/>
                <w:sz w:val="18"/>
                <w:szCs w:val="18"/>
              </w:rPr>
            </w:pPr>
            <w:r>
              <w:rPr>
                <w:rFonts w:ascii="宋体" w:hAnsi="宋体" w:cs="宋体" w:eastAsia="宋体" w:hint="default"/>
                <w:sz w:val="18"/>
                <w:szCs w:val="18"/>
              </w:rPr>
              <w:t>（国家 限制性 项目除 </w:t>
            </w:r>
            <w:r>
              <w:rPr>
                <w:rFonts w:ascii="宋体" w:hAnsi="宋体" w:cs="宋体" w:eastAsia="宋体" w:hint="default"/>
                <w:spacing w:val="-23"/>
                <w:sz w:val="18"/>
                <w:szCs w:val="18"/>
              </w:rPr>
              <w:t>外）；企</w:t>
            </w:r>
            <w:r>
              <w:rPr>
                <w:rFonts w:ascii="宋体" w:hAnsi="宋体" w:cs="宋体" w:eastAsia="宋体" w:hint="default"/>
                <w:sz w:val="18"/>
                <w:szCs w:val="18"/>
              </w:rPr>
              <w:t> 业管理 </w:t>
            </w:r>
            <w:r>
              <w:rPr>
                <w:rFonts w:ascii="宋体" w:hAnsi="宋体" w:cs="宋体" w:eastAsia="宋体" w:hint="default"/>
                <w:spacing w:val="-22"/>
                <w:sz w:val="18"/>
                <w:szCs w:val="18"/>
              </w:rPr>
              <w:t>咨询、知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识产权 代理及 </w:t>
            </w:r>
            <w:r>
              <w:rPr>
                <w:rFonts w:ascii="宋体" w:hAnsi="宋体" w:cs="宋体" w:eastAsia="宋体" w:hint="default"/>
                <w:spacing w:val="-22"/>
                <w:sz w:val="18"/>
                <w:szCs w:val="18"/>
              </w:rPr>
              <w:t>服务；物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业管理 房屋租 </w:t>
            </w:r>
            <w:r>
              <w:rPr>
                <w:rFonts w:ascii="宋体" w:hAnsi="宋体" w:cs="宋体" w:eastAsia="宋体" w:hint="default"/>
                <w:spacing w:val="-22"/>
                <w:sz w:val="18"/>
                <w:szCs w:val="18"/>
              </w:rPr>
              <w:t>赁；场地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2"/>
                <w:sz w:val="18"/>
                <w:szCs w:val="18"/>
              </w:rPr>
              <w:t>租赁（不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含仓 </w:t>
            </w:r>
            <w:r>
              <w:rPr>
                <w:rFonts w:ascii="宋体" w:hAnsi="宋体" w:cs="宋体" w:eastAsia="宋体" w:hint="default"/>
                <w:spacing w:val="-23"/>
                <w:sz w:val="18"/>
                <w:szCs w:val="18"/>
              </w:rPr>
              <w:t>储），会</w:t>
            </w:r>
            <w:r>
              <w:rPr>
                <w:rFonts w:ascii="宋体" w:hAnsi="宋体" w:cs="宋体" w:eastAsia="宋体" w:hint="default"/>
                <w:sz w:val="18"/>
                <w:szCs w:val="18"/>
              </w:rPr>
              <w:t> 议服务 创业空 间服务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pict>
          <v:group style="position:absolute;margin-left:126.379997pt;margin-top:-362.806335pt;width:32.5500pt;height:314.1pt;mso-position-horizontal-relative:page;mso-position-vertical-relative:paragraph;z-index:-1058488" coordorigin="2528,-7256" coordsize="651,6282">
            <v:shape style="position:absolute;left:2528;top:-7256;width:651;height:6282" coordorigin="2528,-7256" coordsize="651,6282" path="m2528,-974l3178,-974,3178,-7256,2528,-7256,2528,-974xe" filled="true" fillcolor="#ffffff" stroked="false">
              <v:path arrowok="t"/>
              <v:fill type="solid"/>
            </v:shape>
            <w10:wrap type="none"/>
          </v:group>
        </w:pict>
      </w: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公司报告期无募集资金使用情况。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bookmarkStart w:name="六、重大资产和股权出售" w:id="50"/>
      <w:bookmarkEnd w:id="50"/>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出售重大资产情况" w:id="51"/>
      <w:bookmarkEnd w:id="51"/>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after="0" w:line="3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出售重大股权情况" w:id="52"/>
      <w:bookmarkEnd w:id="52"/>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82"/>
        <w:gridCol w:w="682"/>
        <w:gridCol w:w="684"/>
        <w:gridCol w:w="685"/>
        <w:gridCol w:w="684"/>
        <w:gridCol w:w="684"/>
        <w:gridCol w:w="682"/>
        <w:gridCol w:w="687"/>
        <w:gridCol w:w="684"/>
        <w:gridCol w:w="684"/>
        <w:gridCol w:w="684"/>
        <w:gridCol w:w="685"/>
        <w:gridCol w:w="684"/>
        <w:gridCol w:w="677"/>
      </w:tblGrid>
      <w:tr>
        <w:trPr>
          <w:trHeight w:val="3836" w:hRule="exact"/>
        </w:trPr>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47" w:right="63"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55" w:right="62" w:hanging="89"/>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69"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67"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44" w:right="60"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833"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李毓勤</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2" w:lineRule="exact"/>
              <w:ind w:left="23" w:right="88"/>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 云景信 息科技 有限公 司 </w:t>
            </w:r>
            <w:r>
              <w:rPr>
                <w:rFonts w:ascii="Times New Roman" w:hAnsi="Times New Roman" w:cs="Times New Roman" w:eastAsia="Times New Roman" w:hint="default"/>
                <w:sz w:val="18"/>
                <w:szCs w:val="18"/>
              </w:rPr>
              <w:t>47.12%</w:t>
            </w:r>
          </w:p>
          <w:p>
            <w:pPr>
              <w:pStyle w:val="TableParagraph"/>
              <w:spacing w:line="240" w:lineRule="auto" w:before="39"/>
              <w:ind w:left="2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47" w:right="0"/>
              <w:jc w:val="left"/>
              <w:rPr>
                <w:rFonts w:ascii="Times New Roman" w:hAnsi="Times New Roman" w:cs="Times New Roman" w:eastAsia="Times New Roman" w:hint="default"/>
                <w:sz w:val="18"/>
                <w:szCs w:val="18"/>
              </w:rPr>
            </w:pPr>
            <w:r>
              <w:rPr>
                <w:rFonts w:ascii="Times New Roman"/>
                <w:sz w:val="18"/>
              </w:rPr>
              <w:t>1,500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对公司 的业务 发展、 财务状 况、经 营成果 及可持 续经营 能力不 会构成 重大影 响</w:t>
            </w: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以经审 计的净 资产为 </w:t>
            </w:r>
            <w:r>
              <w:rPr>
                <w:rFonts w:ascii="宋体" w:hAnsi="宋体" w:cs="宋体" w:eastAsia="宋体" w:hint="default"/>
                <w:spacing w:val="-23"/>
                <w:sz w:val="18"/>
                <w:szCs w:val="18"/>
              </w:rPr>
              <w:t>依据，经</w:t>
            </w:r>
            <w:r>
              <w:rPr>
                <w:rFonts w:ascii="宋体" w:hAnsi="宋体" w:cs="宋体" w:eastAsia="宋体" w:hint="default"/>
                <w:sz w:val="18"/>
                <w:szCs w:val="18"/>
              </w:rPr>
              <w:t> 双方协 商确定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4" w:right="108"/>
              <w:jc w:val="left"/>
              <w:rPr>
                <w:rFonts w:ascii="宋体" w:hAnsi="宋体" w:cs="宋体" w:eastAsia="宋体" w:hint="default"/>
                <w:sz w:val="18"/>
                <w:szCs w:val="18"/>
              </w:rPr>
            </w:pPr>
            <w:r>
              <w:rPr>
                <w:rFonts w:ascii="宋体" w:hAnsi="宋体" w:cs="宋体" w:eastAsia="宋体" w:hint="default"/>
                <w:sz w:val="18"/>
                <w:szCs w:val="18"/>
              </w:rPr>
              <w:t>无关联 关系</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巨潮资 讯</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七、主要控股参股公司分析" w:id="53"/>
      <w:bookmarkEnd w:id="53"/>
      <w:r>
        <w:rPr>
          <w:b w:val="0"/>
          <w:bCs w:val="0"/>
        </w:rPr>
      </w:r>
      <w:r>
        <w:rPr/>
        <w:t>七、主要控股参股公司分析</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公司报告期内无应当披露的重要控股参股公司信息。</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bookmarkStart w:name="八、公司控制的结构化主体情况" w:id="54"/>
      <w:bookmarkEnd w:id="54"/>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九、公司未来发展的展望" w:id="55"/>
      <w:bookmarkEnd w:id="55"/>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1133"/>
        <w:jc w:val="left"/>
      </w:pPr>
      <w:r>
        <w:rPr/>
        <w:t>（一）公司</w:t>
      </w:r>
      <w:r>
        <w:rPr>
          <w:rFonts w:ascii="Times New Roman" w:hAnsi="Times New Roman" w:cs="Times New Roman" w:eastAsia="Times New Roman" w:hint="default"/>
        </w:rPr>
        <w:t>2020</w:t>
      </w:r>
      <w:r>
        <w:rPr/>
        <w:t>年工作计划</w:t>
      </w:r>
    </w:p>
    <w:p>
      <w:pPr>
        <w:pStyle w:val="BodyText"/>
        <w:spacing w:line="300" w:lineRule="auto" w:before="63"/>
        <w:ind w:left="513" w:right="1033"/>
        <w:jc w:val="left"/>
      </w:pPr>
      <w:r>
        <w:rPr>
          <w:rFonts w:ascii="Times New Roman" w:hAnsi="Times New Roman" w:cs="Times New Roman" w:eastAsia="Times New Roman" w:hint="default"/>
        </w:rPr>
        <w:t>1</w:t>
      </w:r>
      <w:r>
        <w:rPr/>
        <w:t>、加大研发投入，助力持续发展 研发水平是推动高质量发展、建设现代化企业的战略引擎。公司将增加研发投入，重点加快、加强北京研发中心建设，</w:t>
      </w:r>
    </w:p>
    <w:p>
      <w:pPr>
        <w:pStyle w:val="BodyText"/>
        <w:spacing w:line="316" w:lineRule="auto" w:before="31"/>
        <w:ind w:right="1129"/>
        <w:jc w:val="left"/>
      </w:pPr>
      <w:r>
        <w:rPr>
          <w:spacing w:val="-2"/>
        </w:rPr>
        <w:t>引进拥有人工智能、大数据、区块链等现代技术和管理的高端人才，为研发队伍稳定、人才储备提供核心保障；公司将积极</w:t>
      </w:r>
      <w:r>
        <w:rPr>
          <w:spacing w:val="-66"/>
        </w:rPr>
        <w:t> </w:t>
      </w:r>
      <w:r>
        <w:rPr>
          <w:spacing w:val="-66"/>
        </w:rPr>
      </w:r>
      <w:r>
        <w:rPr>
          <w:spacing w:val="-2"/>
        </w:rPr>
        <w:t>推动河北省先进环保产业创新中心建设落地并适时跟进国家先进环保产业创新中心的申报，积极整合并利用好环保行业各种</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资源，关注大数据、物联网、人工智能、区块链等前沿技术，加大成果转化。</w:t>
      </w:r>
    </w:p>
    <w:p>
      <w:pPr>
        <w:pStyle w:val="BodyText"/>
        <w:spacing w:line="300" w:lineRule="auto" w:before="77"/>
        <w:ind w:left="513" w:right="0"/>
        <w:jc w:val="left"/>
      </w:pPr>
      <w:r>
        <w:rPr>
          <w:rFonts w:ascii="Times New Roman" w:hAnsi="Times New Roman" w:cs="Times New Roman" w:eastAsia="Times New Roman" w:hint="default"/>
        </w:rPr>
        <w:t>2</w:t>
      </w:r>
      <w:r>
        <w:rPr/>
        <w:t>、转变思维方式，提升管理效益 </w:t>
      </w:r>
      <w:r>
        <w:rPr>
          <w:spacing w:val="-4"/>
        </w:rPr>
        <w:t>继续强化以客户为中心，全力实现客户项目要求。通过管理与考核，经营好每一个项目，构建势能，让客户感受到产品、</w:t>
      </w:r>
    </w:p>
    <w:p>
      <w:pPr>
        <w:pStyle w:val="BodyText"/>
        <w:spacing w:line="314" w:lineRule="auto" w:before="31"/>
        <w:ind w:right="1131"/>
        <w:jc w:val="both"/>
      </w:pPr>
      <w:r>
        <w:rPr>
          <w:spacing w:val="-2"/>
        </w:rPr>
        <w:t>服务是可持续的，提升客户满意度；特别是将辛集市智慧环境（生态环境大数据及综合治理）产业创新中心示范基地项目做</w:t>
      </w:r>
      <w:r>
        <w:rPr>
          <w:spacing w:val="-65"/>
        </w:rPr>
        <w:t> </w:t>
      </w:r>
      <w:r>
        <w:rPr>
          <w:spacing w:val="-65"/>
        </w:rPr>
      </w:r>
      <w:r>
        <w:rPr>
          <w:spacing w:val="-2"/>
        </w:rPr>
        <w:t>成公司推进</w:t>
      </w:r>
      <w:r>
        <w:rPr>
          <w:rFonts w:ascii="Times New Roman" w:hAnsi="Times New Roman" w:cs="Times New Roman" w:eastAsia="Times New Roman" w:hint="default"/>
          <w:spacing w:val="-2"/>
        </w:rPr>
        <w:t>“</w:t>
      </w:r>
      <w:r>
        <w:rPr>
          <w:spacing w:val="-2"/>
        </w:rPr>
        <w:t>测管治联动</w:t>
      </w:r>
      <w:r>
        <w:rPr>
          <w:rFonts w:ascii="Times New Roman" w:hAnsi="Times New Roman" w:cs="Times New Roman" w:eastAsia="Times New Roman" w:hint="default"/>
          <w:spacing w:val="-2"/>
        </w:rPr>
        <w:t>”</w:t>
      </w:r>
      <w:r>
        <w:rPr>
          <w:spacing w:val="-2"/>
        </w:rPr>
        <w:t>一站式第三方服务的示范项目，发挥其在市场中的引领辐射带动作用；聚焦市场，一切围绕市场需</w:t>
      </w:r>
      <w:r>
        <w:rPr>
          <w:spacing w:val="-44"/>
        </w:rPr>
        <w:t> </w:t>
      </w:r>
      <w:r>
        <w:rPr>
          <w:spacing w:val="-44"/>
        </w:rPr>
      </w:r>
      <w:r>
        <w:rPr>
          <w:spacing w:val="-2"/>
        </w:rPr>
        <w:t>求开展各项工作，通过市场的认可带动公司健康发展。加强与有水平、有经验、有成功案例的社会咨询机构合作，充分利用</w:t>
      </w:r>
      <w:r>
        <w:rPr>
          <w:spacing w:val="-67"/>
        </w:rPr>
        <w:t> </w:t>
      </w:r>
      <w:r>
        <w:rPr>
          <w:spacing w:val="-67"/>
        </w:rPr>
      </w:r>
      <w:r>
        <w:rPr>
          <w:spacing w:val="-2"/>
        </w:rPr>
        <w:t>社会资源，提升人才管理层次。将主动熟悉市场规则，在公司整体战略的指导下，让成本费用核算更加精准、更加科学、更</w:t>
      </w:r>
      <w:r>
        <w:rPr>
          <w:spacing w:val="-70"/>
        </w:rPr>
        <w:t> </w:t>
      </w:r>
      <w:r>
        <w:rPr>
          <w:spacing w:val="-70"/>
        </w:rPr>
      </w:r>
      <w:r>
        <w:rPr/>
        <w:t>加深入，实现精准服务、有效控制。</w:t>
      </w:r>
    </w:p>
    <w:p>
      <w:pPr>
        <w:pStyle w:val="BodyText"/>
        <w:spacing w:line="300" w:lineRule="auto" w:before="20"/>
        <w:ind w:left="513" w:right="1129"/>
        <w:jc w:val="left"/>
      </w:pPr>
      <w:r>
        <w:rPr>
          <w:rFonts w:ascii="Times New Roman" w:hAnsi="Times New Roman" w:cs="Times New Roman" w:eastAsia="Times New Roman" w:hint="default"/>
        </w:rPr>
        <w:t>3</w:t>
      </w:r>
      <w:r>
        <w:rPr/>
        <w:t>、加强风控意识，保证健康发展 </w:t>
      </w:r>
      <w:r>
        <w:rPr>
          <w:spacing w:val="-2"/>
        </w:rPr>
        <w:t>公司将进一步强化红线意识和法律意识，积极防范和化解重大风险，不断促进公司健康发展。将强化合规理念，诚信合</w:t>
      </w:r>
    </w:p>
    <w:p>
      <w:pPr>
        <w:pStyle w:val="BodyText"/>
        <w:spacing w:line="316" w:lineRule="auto" w:before="31"/>
        <w:ind w:right="1129"/>
        <w:jc w:val="both"/>
      </w:pPr>
      <w:r>
        <w:rPr>
          <w:spacing w:val="-2"/>
        </w:rPr>
        <w:t>规经营，避免发生重大违规风险事件；加强源头防控和全过程管理，强化覆盖生产经营全领域、业务开展全链条和关键岗位</w:t>
      </w:r>
      <w:r>
        <w:rPr>
          <w:spacing w:val="-63"/>
        </w:rPr>
        <w:t> </w:t>
      </w:r>
      <w:r>
        <w:rPr>
          <w:spacing w:val="-63"/>
        </w:rPr>
      </w:r>
      <w:r>
        <w:rPr/>
        <w:t>的合规管理机制。</w:t>
      </w:r>
    </w:p>
    <w:p>
      <w:pPr>
        <w:pStyle w:val="BodyText"/>
        <w:spacing w:line="240" w:lineRule="auto" w:before="19"/>
        <w:ind w:left="513" w:right="1133"/>
        <w:jc w:val="left"/>
      </w:pPr>
      <w:r>
        <w:rPr/>
        <w:t>（二）对公司未来发展战略和经营目标的实现产生不利影响的因素分析</w:t>
      </w:r>
    </w:p>
    <w:p>
      <w:pPr>
        <w:pStyle w:val="BodyText"/>
        <w:spacing w:line="340" w:lineRule="auto" w:before="76"/>
        <w:ind w:left="513" w:right="1034"/>
        <w:jc w:val="left"/>
      </w:pPr>
      <w:r>
        <w:rPr>
          <w:rFonts w:ascii="Times New Roman" w:hAnsi="Times New Roman" w:cs="Times New Roman" w:eastAsia="Times New Roman" w:hint="default"/>
        </w:rPr>
        <w:t>1</w:t>
      </w:r>
      <w:r>
        <w:rPr/>
        <w:t>、管理风险 </w:t>
      </w:r>
      <w:r>
        <w:rPr>
          <w:spacing w:val="-4"/>
        </w:rPr>
        <w:t>公司的业务和规模不断扩张，使得管理的跨度和半径愈来愈大，进而提升了管理的难度，对公司经营管理层在投资决策、</w:t>
      </w:r>
    </w:p>
    <w:p>
      <w:pPr>
        <w:pStyle w:val="BodyText"/>
        <w:spacing w:line="316" w:lineRule="auto" w:before="1"/>
        <w:ind w:right="1130"/>
        <w:jc w:val="both"/>
      </w:pPr>
      <w:r>
        <w:rPr>
          <w:spacing w:val="-2"/>
        </w:rPr>
        <w:t>资源整合、资本运作、生产经营、市场开拓等方面提出更高的能力要求。如公司经营管理水平不能适应业务发展需求，可能</w:t>
      </w:r>
      <w:r>
        <w:rPr>
          <w:spacing w:val="-67"/>
        </w:rPr>
        <w:t> </w:t>
      </w:r>
      <w:r>
        <w:rPr>
          <w:spacing w:val="-67"/>
        </w:rPr>
      </w:r>
      <w:r>
        <w:rPr>
          <w:spacing w:val="-2"/>
        </w:rPr>
        <w:t>面临一定的经营管理风险。公司将充分利用上市公司平台，将投资项目纳入上市公司内控管理体系，同时公司管理层加强学</w:t>
      </w:r>
      <w:r>
        <w:rPr>
          <w:spacing w:val="-63"/>
        </w:rPr>
        <w:t> </w:t>
      </w:r>
      <w:r>
        <w:rPr>
          <w:spacing w:val="-63"/>
        </w:rPr>
      </w:r>
      <w:r>
        <w:rPr/>
        <w:t>习，整合行业专家、科研机构等资源，降低经营管理风险。</w:t>
      </w:r>
    </w:p>
    <w:p>
      <w:pPr>
        <w:pStyle w:val="BodyText"/>
        <w:spacing w:line="340" w:lineRule="auto" w:before="57"/>
        <w:ind w:left="513" w:right="1129"/>
        <w:jc w:val="left"/>
      </w:pPr>
      <w:r>
        <w:rPr>
          <w:rFonts w:ascii="Times New Roman" w:hAnsi="Times New Roman" w:cs="Times New Roman" w:eastAsia="Times New Roman" w:hint="default"/>
        </w:rPr>
        <w:t>2</w:t>
      </w:r>
      <w:r>
        <w:rPr/>
        <w:t>、商誉减值的风险 </w:t>
      </w:r>
      <w:r>
        <w:rPr>
          <w:spacing w:val="-2"/>
        </w:rPr>
        <w:t>由于公司的对外投资并购，在合并资产负债表中形成一定金额的商誉，若在未来经营中，并购的有关子公司不能较好地</w:t>
      </w:r>
    </w:p>
    <w:p>
      <w:pPr>
        <w:pStyle w:val="BodyText"/>
        <w:spacing w:line="316" w:lineRule="auto" w:before="1"/>
        <w:ind w:right="1130"/>
        <w:jc w:val="both"/>
      </w:pPr>
      <w:r>
        <w:rPr>
          <w:spacing w:val="-2"/>
        </w:rPr>
        <w:t>实现收益，那么可能出现计提商誉减值的风险，从而对公司资产情况和经营业绩产生不利影响。公司将紧密关注子公司的经</w:t>
      </w:r>
      <w:r>
        <w:rPr>
          <w:spacing w:val="-63"/>
        </w:rPr>
        <w:t> </w:t>
      </w:r>
      <w:r>
        <w:rPr>
          <w:spacing w:val="-63"/>
        </w:rPr>
      </w:r>
      <w:r>
        <w:rPr>
          <w:spacing w:val="-2"/>
        </w:rPr>
        <w:t>营状况，通过提升管理水平、整合技术及业务资源、开拓市场等措施，保障其稳健发展，最大限度地降低可能的商誉减值风</w:t>
      </w:r>
      <w:r>
        <w:rPr>
          <w:spacing w:val="-67"/>
        </w:rPr>
        <w:t> </w:t>
      </w:r>
      <w:r>
        <w:rPr>
          <w:spacing w:val="-67"/>
        </w:rPr>
      </w:r>
      <w:r>
        <w:rPr/>
        <w:t>险。</w:t>
      </w:r>
    </w:p>
    <w:p>
      <w:pPr>
        <w:pStyle w:val="BodyText"/>
        <w:spacing w:line="338" w:lineRule="auto" w:before="60"/>
        <w:ind w:left="513" w:right="1129"/>
        <w:jc w:val="left"/>
      </w:pPr>
      <w:r>
        <w:rPr>
          <w:rFonts w:ascii="Times New Roman" w:hAnsi="Times New Roman" w:cs="Times New Roman" w:eastAsia="Times New Roman" w:hint="default"/>
        </w:rPr>
        <w:t>3</w:t>
      </w:r>
      <w:r>
        <w:rPr/>
        <w:t>、市场竞争风险 </w:t>
      </w:r>
      <w:r>
        <w:rPr>
          <w:spacing w:val="-2"/>
        </w:rPr>
        <w:t>公司产品的性能和质量处于国内领先水平，但近年来行业进入者增多，市场竞争日趋激烈；虽然大部分竞争对手从经营</w:t>
      </w:r>
    </w:p>
    <w:p>
      <w:pPr>
        <w:pStyle w:val="BodyText"/>
        <w:spacing w:line="316" w:lineRule="auto" w:before="2"/>
        <w:ind w:right="1129"/>
        <w:jc w:val="both"/>
      </w:pPr>
      <w:r>
        <w:rPr>
          <w:spacing w:val="-2"/>
        </w:rPr>
        <w:t>规模、技术水准等方面对公司的长远发展不构成影响，但短期内可能对公司的经营业绩造成一定冲击。公司将导入卓越绩效</w:t>
      </w:r>
      <w:r>
        <w:rPr>
          <w:spacing w:val="-62"/>
        </w:rPr>
        <w:t> </w:t>
      </w:r>
      <w:r>
        <w:rPr>
          <w:spacing w:val="-62"/>
        </w:rPr>
      </w:r>
      <w:r>
        <w:rPr/>
        <w:t>管理模式，增强技术、产品和管理优势，同时加强与国际先进企业实施合作，技术逐步突破国际先进水平。</w:t>
      </w:r>
    </w:p>
    <w:p>
      <w:pPr>
        <w:pStyle w:val="BodyText"/>
        <w:spacing w:line="340" w:lineRule="auto" w:before="59"/>
        <w:ind w:left="513" w:right="1129"/>
        <w:jc w:val="left"/>
      </w:pPr>
      <w:r>
        <w:rPr>
          <w:rFonts w:ascii="Times New Roman" w:hAnsi="Times New Roman" w:cs="Times New Roman" w:eastAsia="Times New Roman" w:hint="default"/>
        </w:rPr>
        <w:t>4</w:t>
      </w:r>
      <w:r>
        <w:rPr/>
        <w:t>、产业政策风险 </w:t>
      </w:r>
      <w:r>
        <w:rPr>
          <w:spacing w:val="-2"/>
        </w:rPr>
        <w:t>随着中国经济的高速增长，环境污染问题日趋严重，面对迫切的环境压力，政府对环境保护越来越重视。国家产业政策</w:t>
      </w:r>
    </w:p>
    <w:p>
      <w:pPr>
        <w:pStyle w:val="BodyText"/>
        <w:spacing w:line="316" w:lineRule="auto" w:before="1"/>
        <w:ind w:right="1131"/>
        <w:jc w:val="both"/>
      </w:pPr>
      <w:r>
        <w:rPr>
          <w:spacing w:val="-2"/>
        </w:rPr>
        <w:t>出台的时间和执行力度和以及环保投资规模直接影响着公司业务拓展。因此产业相关支持政策能否有效落实并得到有效的执</w:t>
      </w:r>
      <w:r>
        <w:rPr>
          <w:spacing w:val="-64"/>
        </w:rPr>
        <w:t> </w:t>
      </w:r>
      <w:r>
        <w:rPr>
          <w:spacing w:val="-64"/>
        </w:rPr>
      </w:r>
      <w:r>
        <w:rPr/>
        <w:t>行将会对公司产生经营产生较大影响。对此</w:t>
      </w:r>
      <w:r>
        <w:rPr>
          <w:spacing w:val="5"/>
        </w:rPr>
        <w:t> </w:t>
      </w:r>
      <w:r>
        <w:rPr/>
        <w:t>公司将密切关注国家相关政策的变化，并对其进行分析研究，加强与地方政府</w:t>
      </w:r>
      <w:r>
        <w:rPr>
          <w:spacing w:val="-88"/>
        </w:rPr>
        <w:t> </w:t>
      </w:r>
      <w:r>
        <w:rPr>
          <w:spacing w:val="-88"/>
        </w:rPr>
      </w:r>
      <w:r>
        <w:rPr/>
        <w:t>的沟通和联系，提高公司应变能力和抗风险水平。</w:t>
      </w:r>
    </w:p>
    <w:p>
      <w:pPr>
        <w:pStyle w:val="BodyText"/>
        <w:spacing w:line="340" w:lineRule="auto" w:before="57"/>
        <w:ind w:left="513" w:right="1033"/>
        <w:jc w:val="left"/>
      </w:pPr>
      <w:r>
        <w:rPr>
          <w:rFonts w:ascii="Times New Roman" w:hAnsi="Times New Roman" w:cs="Times New Roman" w:eastAsia="Times New Roman" w:hint="default"/>
        </w:rPr>
        <w:t>5</w:t>
      </w:r>
      <w:r>
        <w:rPr/>
        <w:t>、行政许可的风险 按照《中华人民共和国计量法》，环境监测仪器属于计量器具，应符合《制造计量器具许可证考核规范》的考核要求，</w:t>
      </w:r>
    </w:p>
    <w:p>
      <w:pPr>
        <w:pStyle w:val="BodyText"/>
        <w:spacing w:line="309" w:lineRule="auto" w:before="1"/>
        <w:ind w:right="1093"/>
        <w:jc w:val="both"/>
      </w:pPr>
      <w:r>
        <w:rPr/>
        <w:t>生产厂家按照法律规定须向质量技术监督局提出申请，并经计量行政主管部门对生产厂家组织考核合格后，才能取得</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制造 计量器具许可证</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。《制造计量器具许可证考核规范》》是强制性规定，环保主管部门对技术标准的规定属于规范性要求。 </w:t>
      </w:r>
      <w:r>
        <w:rPr>
          <w:spacing w:val="-2"/>
        </w:rPr>
        <w:t>公司虽然已经取得以上运营许可资质，并且采取了积极的资质展期申请准备措施，但是如果以上资质管理办法与技术规范性</w:t>
      </w:r>
      <w:r>
        <w:rPr>
          <w:spacing w:val="-64"/>
        </w:rPr>
        <w:t> </w:t>
      </w:r>
      <w:r>
        <w:rPr>
          <w:spacing w:val="-64"/>
        </w:rPr>
      </w:r>
      <w:r>
        <w:rPr>
          <w:spacing w:val="-2"/>
        </w:rPr>
        <w:t>要求发生变化，可能会对公司产生一定影响。公司将继续强化技术优势，加强国内外技术交流及引进，对技术前瞻性和实用</w:t>
      </w:r>
      <w:r>
        <w:rPr>
          <w:spacing w:val="-64"/>
        </w:rPr>
        <w:t> </w:t>
      </w:r>
      <w:r>
        <w:rPr>
          <w:spacing w:val="-64"/>
        </w:rPr>
      </w:r>
      <w:r>
        <w:rPr/>
        <w:t>性并重，争取在关键领域保持领先。</w:t>
      </w:r>
    </w:p>
    <w:p>
      <w:pPr>
        <w:spacing w:after="0" w:line="309"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十、接待调研、沟通、采访等活动登记表" w:id="56"/>
      <w:bookmarkEnd w:id="56"/>
      <w:r>
        <w:rPr>
          <w:b w:val="0"/>
          <w:bCs w:val="0"/>
        </w:rPr>
      </w: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报告期内接待调研、沟通、采访等活动登记表" w:id="57"/>
      <w:bookmarkEnd w:id="57"/>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group style="position:absolute;margin-left:242.809998pt;margin-top:583.389954pt;width:290.95pt;height:20.8pt;mso-position-horizontal-relative:page;mso-position-vertical-relative:page;z-index:-1058464" coordorigin="4856,11668" coordsize="5819,416">
            <v:group style="position:absolute;left:4868;top:11680;width:2;height:392" coordorigin="4868,11680" coordsize="2,392">
              <v:shape style="position:absolute;left:4868;top:11680;width:2;height:392" coordorigin="4868,11680" coordsize="0,392" path="m4868,11680l4868,12071e" filled="false" stroked="true" strokeweight="1.2pt" strokecolor="#ffffff">
                <v:path arrowok="t"/>
              </v:shape>
            </v:group>
            <v:group style="position:absolute;left:4880;top:11680;width:5795;height:392" coordorigin="4880,11680" coordsize="5795,392">
              <v:shape style="position:absolute;left:4880;top:11680;width:5795;height:392" coordorigin="4880,11680" coordsize="5795,392" path="m4880,12071l10675,12071,10675,11680,4880,11680,4880,12071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111"/>
        <w:jc w:val="center"/>
        <w:rPr>
          <w:b w:val="0"/>
          <w:bCs w:val="0"/>
        </w:rPr>
      </w:pPr>
      <w:bookmarkStart w:name="第五节重要事项" w:id="58"/>
      <w:bookmarkEnd w:id="58"/>
      <w:r>
        <w:rPr>
          <w:b w:val="0"/>
          <w:bCs w:val="0"/>
        </w:rPr>
      </w:r>
      <w:bookmarkStart w:name="_bookmark4" w:id="59"/>
      <w:bookmarkEnd w:id="59"/>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公司普通股利润分配及资本公积金转增股本情况" w:id="60"/>
      <w:bookmarkEnd w:id="60"/>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报告期内普通股利润分配政策，特别是现金分红政策的制定、执行或调整情况</w:t>
      </w:r>
    </w:p>
    <w:p>
      <w:pPr>
        <w:pStyle w:val="BodyText"/>
        <w:spacing w:line="338" w:lineRule="auto" w:before="117"/>
        <w:ind w:left="513" w:right="112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号召开的</w:t>
      </w:r>
      <w:r>
        <w:rPr>
          <w:rFonts w:ascii="Times New Roman" w:hAnsi="Times New Roman" w:cs="Times New Roman" w:eastAsia="Times New Roman" w:hint="default"/>
        </w:rPr>
        <w:t>2018</w:t>
      </w:r>
      <w:r>
        <w:rPr/>
        <w:t>年度股东大会审议通过</w:t>
      </w:r>
      <w:r>
        <w:rPr>
          <w:rFonts w:ascii="Times New Roman" w:hAnsi="Times New Roman" w:cs="Times New Roman" w:eastAsia="Times New Roman" w:hint="default"/>
        </w:rPr>
        <w:t>2018</w:t>
      </w:r>
      <w:r>
        <w:rPr/>
        <w:t>年年度权益分派方案，不派发现金红利，不送红股，也不</w:t>
      </w:r>
    </w:p>
    <w:p>
      <w:pPr>
        <w:pStyle w:val="BodyText"/>
        <w:spacing w:line="217" w:lineRule="exact"/>
        <w:ind w:right="1133"/>
        <w:jc w:val="left"/>
      </w:pPr>
      <w:r>
        <w:rPr/>
        <w:t>进行资本公积金转增股本，未分配利润结转下一年度。</w:t>
      </w:r>
    </w:p>
    <w:p>
      <w:pPr>
        <w:spacing w:line="240" w:lineRule="auto" w:before="4"/>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4"/>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报告期内现金分红政策未调整或变更</w:t>
            </w:r>
          </w:p>
        </w:tc>
      </w:tr>
    </w:tbl>
    <w:p>
      <w:pPr>
        <w:pStyle w:val="BodyText"/>
        <w:spacing w:line="240" w:lineRule="auto" w:before="49"/>
        <w:ind w:right="1133"/>
        <w:jc w:val="left"/>
      </w:pPr>
      <w:r>
        <w:rPr/>
        <w:t>公司报告期利润分配预案及资本公积金转增股本预案与公司章程和分红管理办法等的相关规定一致</w:t>
      </w:r>
    </w:p>
    <w:p>
      <w:pPr>
        <w:pStyle w:val="BodyText"/>
        <w:spacing w:line="350" w:lineRule="auto" w:before="115"/>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tbl>
      <w:tblPr>
        <w:tblW w:w="0" w:type="auto"/>
        <w:jc w:val="left"/>
        <w:tblInd w:w="160" w:type="dxa"/>
        <w:tblLayout w:type="fixed"/>
        <w:tblCellMar>
          <w:top w:w="0" w:type="dxa"/>
          <w:left w:w="0" w:type="dxa"/>
          <w:bottom w:w="0" w:type="dxa"/>
          <w:right w:w="0" w:type="dxa"/>
        </w:tblCellMar>
        <w:tblLook w:val="01E0"/>
      </w:tblPr>
      <w:tblGrid>
        <w:gridCol w:w="3696"/>
        <w:gridCol w:w="2482"/>
        <w:gridCol w:w="3381"/>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545,374,010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54,537,401.00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2482"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33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8,568,569.17</w:t>
            </w:r>
          </w:p>
        </w:tc>
      </w:tr>
      <w:tr>
        <w:trPr>
          <w:trHeight w:val="162" w:hRule="exact"/>
        </w:trPr>
        <w:tc>
          <w:tcPr>
            <w:tcW w:w="36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3" w:type="dxa"/>
            <w:gridSpan w:val="2"/>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63,105,970.17</w:t>
            </w:r>
          </w:p>
        </w:tc>
      </w:tr>
      <w:tr>
        <w:trPr>
          <w:trHeight w:val="392" w:hRule="exact"/>
        </w:trPr>
        <w:tc>
          <w:tcPr>
            <w:tcW w:w="36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63" w:type="dxa"/>
            <w:gridSpan w:val="2"/>
            <w:vMerge/>
            <w:tcBorders>
              <w:left w:val="single" w:sz="9" w:space="0" w:color="D2D2D2"/>
              <w:right w:val="single" w:sz="4" w:space="0" w:color="000000"/>
            </w:tcBorders>
          </w:tcPr>
          <w:p>
            <w:pPr/>
          </w:p>
        </w:tc>
      </w:tr>
      <w:tr>
        <w:trPr>
          <w:trHeight w:val="161" w:hRule="exact"/>
        </w:trPr>
        <w:tc>
          <w:tcPr>
            <w:tcW w:w="3696" w:type="dxa"/>
            <w:tcBorders>
              <w:top w:val="nil" w:sz="6" w:space="0" w:color="auto"/>
              <w:left w:val="single" w:sz="4" w:space="0" w:color="000000"/>
              <w:bottom w:val="single" w:sz="4" w:space="0" w:color="000000"/>
              <w:right w:val="single" w:sz="4" w:space="0" w:color="000000"/>
            </w:tcBorders>
            <w:shd w:val="clear" w:color="auto" w:fill="D2D2D2"/>
          </w:tcPr>
          <w:p>
            <w:pPr/>
          </w:p>
        </w:tc>
        <w:tc>
          <w:tcPr>
            <w:tcW w:w="5863" w:type="dxa"/>
            <w:gridSpan w:val="2"/>
            <w:vMerge/>
            <w:tcBorders>
              <w:left w:val="single" w:sz="9" w:space="0" w:color="D2D2D2"/>
              <w:bottom w:val="single" w:sz="4" w:space="0" w:color="000000"/>
              <w:right w:val="single" w:sz="4" w:space="0" w:color="000000"/>
            </w:tcBorders>
          </w:tcPr>
          <w:p>
            <w:pP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1,045,031,946.88</w:t>
            </w:r>
          </w:p>
        </w:tc>
      </w:tr>
      <w:tr>
        <w:trPr>
          <w:trHeight w:val="714"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71"/>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1"/>
        <w:rPr>
          <w:rFonts w:ascii="宋体" w:hAnsi="宋体" w:cs="宋体" w:eastAsia="宋体" w:hint="default"/>
          <w:sz w:val="28"/>
          <w:szCs w:val="28"/>
        </w:rPr>
      </w:pPr>
    </w:p>
    <w:p>
      <w:pPr>
        <w:spacing w:line="1339" w:lineRule="exact"/>
        <w:ind w:left="152" w:right="0" w:firstLine="0"/>
        <w:rPr>
          <w:rFonts w:ascii="宋体" w:hAnsi="宋体" w:cs="宋体" w:eastAsia="宋体" w:hint="default"/>
          <w:sz w:val="20"/>
          <w:szCs w:val="20"/>
        </w:rPr>
      </w:pPr>
      <w:r>
        <w:rPr>
          <w:rFonts w:ascii="宋体" w:hAnsi="宋体" w:cs="宋体" w:eastAsia="宋体" w:hint="default"/>
          <w:position w:val="-26"/>
          <w:sz w:val="20"/>
          <w:szCs w:val="20"/>
        </w:rPr>
        <w:pict>
          <v:shape style="width:478.55pt;height:67pt;mso-position-horizontal-relative:char;mso-position-vertical-relative:line" type="#_x0000_t202" filled="false" stroked="true" strokeweight=".47998pt" strokecolor="#000000">
            <w10:anchorlock/>
            <v:textbox inset="0,0,0,0">
              <w:txbxContent>
                <w:p>
                  <w:pPr>
                    <w:pStyle w:val="BodyText"/>
                    <w:spacing w:line="240" w:lineRule="auto" w:before="49"/>
                    <w:ind w:left="24" w:right="0"/>
                    <w:jc w:val="both"/>
                  </w:pPr>
                  <w:r>
                    <w:rPr/>
                    <w:t>以</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日总股本</w:t>
                  </w:r>
                  <w:r>
                    <w:rPr>
                      <w:spacing w:val="-47"/>
                    </w:rPr>
                    <w:t> </w:t>
                  </w:r>
                  <w:r>
                    <w:rPr>
                      <w:rFonts w:ascii="Times New Roman" w:hAnsi="Times New Roman" w:cs="Times New Roman" w:eastAsia="Times New Roman" w:hint="default"/>
                    </w:rPr>
                    <w:t>551,032,550</w:t>
                  </w:r>
                  <w:r>
                    <w:rPr>
                      <w:rFonts w:ascii="Times New Roman" w:hAnsi="Times New Roman" w:cs="Times New Roman" w:eastAsia="Times New Roman" w:hint="default"/>
                      <w:spacing w:val="1"/>
                    </w:rPr>
                    <w:t> </w:t>
                  </w:r>
                  <w:r>
                    <w:rPr/>
                    <w:t>股扣除不参与利润分配的回购股份</w:t>
                  </w:r>
                  <w:r>
                    <w:rPr>
                      <w:spacing w:val="-47"/>
                    </w:rPr>
                    <w:t> </w:t>
                  </w:r>
                  <w:r>
                    <w:rPr>
                      <w:rFonts w:ascii="Times New Roman" w:hAnsi="Times New Roman" w:cs="Times New Roman" w:eastAsia="Times New Roman" w:hint="default"/>
                    </w:rPr>
                    <w:t>5,658,540 </w:t>
                  </w:r>
                  <w:r>
                    <w:rPr>
                      <w:spacing w:val="-6"/>
                    </w:rPr>
                    <w:t>股，即</w:t>
                  </w:r>
                  <w:r>
                    <w:rPr>
                      <w:spacing w:val="-47"/>
                    </w:rPr>
                    <w:t> </w:t>
                  </w:r>
                  <w:r>
                    <w:rPr>
                      <w:rFonts w:ascii="Times New Roman" w:hAnsi="Times New Roman" w:cs="Times New Roman" w:eastAsia="Times New Roman" w:hint="default"/>
                    </w:rPr>
                    <w:t>545,374,010</w:t>
                  </w:r>
                  <w:r>
                    <w:rPr>
                      <w:rFonts w:ascii="Times New Roman" w:hAnsi="Times New Roman" w:cs="Times New Roman" w:eastAsia="Times New Roman" w:hint="default"/>
                      <w:spacing w:val="1"/>
                    </w:rPr>
                    <w:t> </w:t>
                  </w:r>
                  <w:r>
                    <w:rPr>
                      <w:spacing w:val="-3"/>
                    </w:rPr>
                    <w:t>股为基数，向全</w:t>
                  </w:r>
                </w:p>
                <w:p>
                  <w:pPr>
                    <w:pStyle w:val="BodyText"/>
                    <w:spacing w:line="309" w:lineRule="auto" w:before="63"/>
                    <w:ind w:left="24" w:right="20"/>
                    <w:jc w:val="both"/>
                  </w:pPr>
                  <w:r>
                    <w:rPr/>
                    <w:t>体股东每</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股派发现金红利</w:t>
                  </w:r>
                  <w:r>
                    <w:rPr>
                      <w:spacing w:val="-44"/>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spacing w:val="-9"/>
                    </w:rPr>
                    <w:t>元（含税），合计派发现金</w:t>
                  </w:r>
                  <w:r>
                    <w:rPr>
                      <w:spacing w:val="-44"/>
                    </w:rPr>
                    <w:t> </w:t>
                  </w:r>
                  <w:r>
                    <w:rPr>
                      <w:rFonts w:ascii="Times New Roman" w:hAnsi="Times New Roman" w:cs="Times New Roman" w:eastAsia="Times New Roman" w:hint="default"/>
                    </w:rPr>
                    <w:t>54,537,401.00</w:t>
                  </w:r>
                  <w:r>
                    <w:rPr>
                      <w:rFonts w:ascii="Times New Roman" w:hAnsi="Times New Roman" w:cs="Times New Roman" w:eastAsia="Times New Roman" w:hint="default"/>
                      <w:spacing w:val="2"/>
                    </w:rPr>
                    <w:t> </w:t>
                  </w:r>
                  <w:r>
                    <w:rPr>
                      <w:spacing w:val="-6"/>
                    </w:rPr>
                    <w:t>元（含税）。本年度不送红股，不以公积金转增</w:t>
                  </w:r>
                  <w:r>
                    <w:rPr>
                      <w:spacing w:val="-88"/>
                    </w:rPr>
                    <w:t> </w:t>
                  </w:r>
                  <w:r>
                    <w:rPr>
                      <w:spacing w:val="-88"/>
                    </w:rPr>
                  </w:r>
                  <w:r>
                    <w:rPr>
                      <w:spacing w:val="-1"/>
                    </w:rPr>
                    <w:t>股本。如在分配方案实施前可参与利润分配的股份数量发生变动的，按照以变动后的可参与利润分配的股份数量为基数并</w:t>
                  </w:r>
                  <w:r>
                    <w:rPr>
                      <w:spacing w:val="-66"/>
                    </w:rPr>
                    <w:t> </w:t>
                  </w:r>
                  <w:r>
                    <w:rPr>
                      <w:spacing w:val="-66"/>
                    </w:rPr>
                  </w:r>
                  <w:r>
                    <w:rPr/>
                    <w:t>保持上述分配比例不变的原则实施分配。</w:t>
                  </w:r>
                </w:p>
              </w:txbxContent>
            </v:textbox>
          </v:shape>
        </w:pict>
      </w:r>
      <w:r>
        <w:rPr>
          <w:rFonts w:ascii="宋体" w:hAnsi="宋体" w:cs="宋体" w:eastAsia="宋体" w:hint="default"/>
          <w:position w:val="-26"/>
          <w:sz w:val="20"/>
          <w:szCs w:val="20"/>
        </w:rPr>
      </w:r>
    </w:p>
    <w:p>
      <w:pPr>
        <w:pStyle w:val="BodyText"/>
        <w:spacing w:line="240" w:lineRule="auto" w:before="54"/>
        <w:ind w:right="1133"/>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300" w:lineRule="auto" w:before="101"/>
        <w:ind w:right="1117" w:firstLine="360"/>
        <w:jc w:val="left"/>
      </w:pPr>
      <w:r>
        <w:rPr>
          <w:spacing w:val="-7"/>
        </w:rPr>
        <w:t>（</w:t>
      </w:r>
      <w:r>
        <w:rPr>
          <w:rFonts w:ascii="Times New Roman" w:hAnsi="Times New Roman" w:cs="Times New Roman" w:eastAsia="Times New Roman" w:hint="default"/>
          <w:spacing w:val="-7"/>
        </w:rPr>
        <w:t>1</w:t>
      </w:r>
      <w:r>
        <w:rPr>
          <w:spacing w:val="-7"/>
        </w:rPr>
        <w:t>）公司</w:t>
      </w:r>
      <w:r>
        <w:rPr>
          <w:spacing w:val="-48"/>
        </w:rPr>
        <w:t> </w:t>
      </w:r>
      <w:r>
        <w:rPr>
          <w:rFonts w:ascii="Times New Roman" w:hAnsi="Times New Roman" w:cs="Times New Roman" w:eastAsia="Times New Roman" w:hint="default"/>
        </w:rPr>
        <w:t>2019</w:t>
      </w:r>
      <w:r>
        <w:rPr/>
        <w:t>年度利润分配及资本公积金转增股本预案为：以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551,032,550</w:t>
      </w:r>
      <w:r>
        <w:rPr/>
        <w:t>股扣除不参与利润分 配的回购股份</w:t>
      </w:r>
      <w:r>
        <w:rPr>
          <w:rFonts w:ascii="Times New Roman" w:hAnsi="Times New Roman" w:cs="Times New Roman" w:eastAsia="Times New Roman" w:hint="default"/>
        </w:rPr>
        <w:t>5,658,540</w:t>
      </w:r>
      <w:r>
        <w:rPr/>
        <w:t>股，即</w:t>
      </w:r>
      <w:r>
        <w:rPr>
          <w:rFonts w:ascii="Times New Roman" w:hAnsi="Times New Roman" w:cs="Times New Roman" w:eastAsia="Times New Roman" w:hint="default"/>
        </w:rPr>
        <w:t>545,374,010</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1.00</w:t>
      </w:r>
      <w:r>
        <w:rPr/>
        <w:t>元（含税），合计派发现金 </w:t>
      </w:r>
      <w:r>
        <w:rPr>
          <w:rFonts w:ascii="Times New Roman" w:hAnsi="Times New Roman" w:cs="Times New Roman" w:eastAsia="Times New Roman" w:hint="default"/>
          <w:spacing w:val="-1"/>
        </w:rPr>
        <w:t>54,537,401.00</w:t>
      </w:r>
      <w:r>
        <w:rPr>
          <w:spacing w:val="-1"/>
        </w:rPr>
        <w:t>元（含税）。本年度不送红股，不以公积金转增股本。如在分配方案实施前可参与利润分配的股份数量发生变</w:t>
      </w:r>
      <w:r>
        <w:rPr>
          <w:spacing w:val="-73"/>
        </w:rPr>
        <w:t> </w:t>
      </w:r>
      <w:r>
        <w:rPr>
          <w:spacing w:val="-73"/>
        </w:rPr>
      </w:r>
      <w:r>
        <w:rPr/>
        <w:t>动的，按照以变动后的可参与利润分配的股份数量为基数并保持上述分配比例不变的原则实施分配。</w:t>
      </w:r>
    </w:p>
    <w:p>
      <w:pPr>
        <w:pStyle w:val="BodyText"/>
        <w:spacing w:line="300" w:lineRule="auto" w:before="31"/>
        <w:ind w:right="1114" w:firstLine="360"/>
        <w:jc w:val="left"/>
      </w:pPr>
      <w:r>
        <w:rPr>
          <w:spacing w:val="-4"/>
        </w:rPr>
        <w:t>（</w:t>
      </w:r>
      <w:r>
        <w:rPr>
          <w:rFonts w:ascii="Times New Roman" w:hAnsi="Times New Roman" w:cs="Times New Roman" w:eastAsia="Times New Roman" w:hint="default"/>
          <w:spacing w:val="-4"/>
        </w:rPr>
        <w:t>2</w:t>
      </w:r>
      <w:r>
        <w:rPr>
          <w:spacing w:val="-4"/>
        </w:rPr>
        <w:t>）公司</w:t>
      </w:r>
      <w:r>
        <w:rPr>
          <w:spacing w:val="-60"/>
        </w:rPr>
        <w:t> </w:t>
      </w:r>
      <w:r>
        <w:rPr>
          <w:rFonts w:ascii="Times New Roman" w:hAnsi="Times New Roman" w:cs="Times New Roman" w:eastAsia="Times New Roman" w:hint="default"/>
        </w:rPr>
        <w:t>2018</w:t>
      </w:r>
      <w:r>
        <w:rPr/>
        <w:t>年度利润分配及资本公积金转增股本预案为：不派发现金红利，不送红股，也不进行资本公积金转增股 本，未分配利润结转下一年度。</w:t>
      </w:r>
    </w:p>
    <w:p>
      <w:pPr>
        <w:pStyle w:val="BodyText"/>
        <w:spacing w:line="300" w:lineRule="auto" w:before="72"/>
        <w:ind w:right="1126" w:firstLine="360"/>
        <w:jc w:val="both"/>
      </w:pPr>
      <w:r>
        <w:rPr/>
        <w:t>（</w:t>
      </w:r>
      <w:r>
        <w:rPr>
          <w:rFonts w:ascii="Times New Roman" w:hAnsi="Times New Roman" w:cs="Times New Roman" w:eastAsia="Times New Roman" w:hint="default"/>
        </w:rPr>
        <w:t>3</w:t>
      </w:r>
      <w:r>
        <w:rPr/>
        <w:t>）公司</w:t>
      </w:r>
      <w:r>
        <w:rPr>
          <w:spacing w:val="34"/>
        </w:rPr>
        <w:t> </w:t>
      </w:r>
      <w:r>
        <w:rPr>
          <w:rFonts w:ascii="Times New Roman" w:hAnsi="Times New Roman" w:cs="Times New Roman" w:eastAsia="Times New Roman" w:hint="default"/>
        </w:rPr>
        <w:t>2017</w:t>
      </w:r>
      <w:r>
        <w:rPr/>
        <w:t>年度利润分配及资本公积金转增股本预案为：向全体股东每</w:t>
      </w:r>
      <w:r>
        <w:rPr>
          <w:rFonts w:ascii="Times New Roman" w:hAnsi="Times New Roman" w:cs="Times New Roman" w:eastAsia="Times New Roman" w:hint="default"/>
        </w:rPr>
        <w:t>10</w:t>
      </w:r>
      <w:r>
        <w:rPr/>
        <w:t>股派发现金红利人民币</w:t>
      </w:r>
      <w:r>
        <w:rPr>
          <w:rFonts w:ascii="Times New Roman" w:hAnsi="Times New Roman" w:cs="Times New Roman" w:eastAsia="Times New Roman" w:hint="default"/>
        </w:rPr>
        <w:t>0.5</w:t>
      </w:r>
      <w:r>
        <w:rPr/>
        <w:t>元（含税）， 合计派发现金红利</w:t>
      </w:r>
      <w:r>
        <w:rPr>
          <w:rFonts w:ascii="Times New Roman" w:hAnsi="Times New Roman" w:cs="Times New Roman" w:eastAsia="Times New Roman" w:hint="default"/>
        </w:rPr>
        <w:t>17,219,767.20</w:t>
      </w:r>
      <w:r>
        <w:rPr/>
        <w:t>元（含税）；同时以资本公积金转增股本，每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股，共计转增</w:t>
      </w:r>
      <w:r>
        <w:rPr>
          <w:rFonts w:ascii="Times New Roman" w:hAnsi="Times New Roman" w:cs="Times New Roman" w:eastAsia="Times New Roman" w:hint="default"/>
        </w:rPr>
        <w:t>206,637,206</w:t>
      </w:r>
      <w:r>
        <w:rPr/>
        <w:t>股，转增</w:t>
      </w:r>
      <w:r>
        <w:rPr>
          <w:spacing w:val="-48"/>
        </w:rPr>
        <w:t> </w:t>
      </w:r>
      <w:r>
        <w:rPr>
          <w:spacing w:val="-48"/>
        </w:rPr>
      </w:r>
      <w:r>
        <w:rPr/>
        <w:t>完毕后，公司总股本变更为</w:t>
      </w:r>
      <w:r>
        <w:rPr>
          <w:rFonts w:ascii="Times New Roman" w:hAnsi="Times New Roman" w:cs="Times New Roman" w:eastAsia="Times New Roman" w:hint="default"/>
        </w:rPr>
        <w:t>551,032,550</w:t>
      </w:r>
      <w:r>
        <w:rPr/>
        <w:t>股。</w:t>
      </w:r>
    </w:p>
    <w:p>
      <w:pPr>
        <w:pStyle w:val="BodyText"/>
        <w:spacing w:line="240" w:lineRule="auto" w:before="51"/>
        <w:ind w:right="1133"/>
        <w:jc w:val="left"/>
      </w:pPr>
      <w:r>
        <w:rPr/>
        <w:t>公司近三年（包括本报告期）普通股现金分红情况表</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6"/>
        <w:gridCol w:w="1197"/>
        <w:gridCol w:w="1184"/>
        <w:gridCol w:w="1219"/>
        <w:gridCol w:w="117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0"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19"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4"/>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4"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23" w:right="152"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391"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54,537,401.00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262,648,290.96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20.76%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8,568,569.17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3.26%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63,105,970.17</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24.03%</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259,434,109.03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36,901,998.60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14.22%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36,901,998.60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14.22%</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17,219,767.20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188,169,290.74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17,219,767.20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9.15%</w:t>
            </w:r>
          </w:p>
        </w:tc>
      </w:tr>
    </w:tbl>
    <w:p>
      <w:pPr>
        <w:pStyle w:val="BodyText"/>
        <w:spacing w:line="240" w:lineRule="auto" w:before="49"/>
        <w:ind w:right="1133"/>
        <w:jc w:val="left"/>
      </w:pPr>
      <w:r>
        <w:rPr/>
        <w:t>公司报告期内盈利且母公司可供普通股股东分配利润为正但未提出普通股现金红利分配预案</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二、承诺事项履行情况" w:id="61"/>
      <w:bookmarkEnd w:id="61"/>
      <w:r>
        <w:rPr>
          <w:b w:val="0"/>
          <w:bCs w:val="0"/>
        </w:rPr>
      </w: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6" w:lineRule="auto"/>
        <w:ind w:right="1133"/>
        <w:jc w:val="left"/>
        <w:rPr>
          <w:b w:val="0"/>
          <w:bCs w:val="0"/>
        </w:rPr>
      </w:pPr>
      <w:bookmarkStart w:name="1、公司实际控制人、股东、关联方、收购人以及公司等承诺相关方在报告期内履行完毕及" w:id="62"/>
      <w:bookmarkEnd w:id="62"/>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96"/>
        <w:gridCol w:w="1288"/>
        <w:gridCol w:w="991"/>
        <w:gridCol w:w="3118"/>
        <w:gridCol w:w="852"/>
        <w:gridCol w:w="992"/>
        <w:gridCol w:w="919"/>
      </w:tblGrid>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7"/>
              <w:jc w:val="right"/>
              <w:rPr>
                <w:rFonts w:ascii="宋体" w:hAnsi="宋体" w:cs="宋体" w:eastAsia="宋体" w:hint="default"/>
                <w:sz w:val="18"/>
                <w:szCs w:val="18"/>
              </w:rPr>
            </w:pPr>
            <w:r>
              <w:rPr>
                <w:rFonts w:ascii="宋体" w:hAnsi="宋体" w:cs="宋体" w:eastAsia="宋体" w:hint="default"/>
                <w:sz w:val="18"/>
                <w:szCs w:val="18"/>
              </w:rPr>
              <w:t>承诺期限</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25"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2"/>
              <w:jc w:val="both"/>
              <w:rPr>
                <w:rFonts w:ascii="宋体" w:hAnsi="宋体" w:cs="宋体" w:eastAsia="宋体" w:hint="default"/>
                <w:sz w:val="18"/>
                <w:szCs w:val="18"/>
              </w:rPr>
            </w:pPr>
            <w:r>
              <w:rPr>
                <w:rFonts w:ascii="宋体" w:hAnsi="宋体" w:cs="宋体" w:eastAsia="宋体" w:hint="default"/>
                <w:sz w:val="18"/>
                <w:szCs w:val="18"/>
              </w:rPr>
              <w:t>收购报告书或权 益变动报告书中 所作承诺</w:t>
            </w:r>
          </w:p>
        </w:tc>
        <w:tc>
          <w:tcPr>
            <w:tcW w:w="1288" w:type="dxa"/>
            <w:tcBorders>
              <w:top w:val="single" w:sz="4" w:space="0" w:color="000000"/>
              <w:left w:val="single" w:sz="12"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12"/>
              <w:jc w:val="left"/>
              <w:rPr>
                <w:rFonts w:ascii="宋体" w:hAnsi="宋体" w:cs="宋体" w:eastAsia="宋体" w:hint="default"/>
                <w:sz w:val="18"/>
                <w:szCs w:val="18"/>
              </w:rPr>
            </w:pPr>
            <w:r>
              <w:rPr>
                <w:rFonts w:ascii="宋体" w:hAnsi="宋体" w:cs="宋体" w:eastAsia="宋体" w:hint="default"/>
                <w:sz w:val="18"/>
                <w:szCs w:val="18"/>
              </w:rPr>
              <w:t>资产重组时所作 承诺</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7"/>
              <w:jc w:val="center"/>
              <w:rPr>
                <w:rFonts w:ascii="宋体" w:hAnsi="宋体" w:cs="宋体" w:eastAsia="宋体" w:hint="default"/>
                <w:sz w:val="18"/>
                <w:szCs w:val="18"/>
              </w:rPr>
            </w:pPr>
            <w:r>
              <w:rPr>
                <w:rFonts w:ascii="宋体" w:hAnsi="宋体" w:cs="宋体" w:eastAsia="宋体" w:hint="default"/>
                <w:sz w:val="18"/>
                <w:szCs w:val="18"/>
              </w:rPr>
              <w:t>梁常清</w:t>
            </w:r>
            <w:r>
              <w:rPr>
                <w:rFonts w:ascii="Times New Roman" w:hAnsi="Times New Roman" w:cs="Times New Roman" w:eastAsia="Times New Roman" w:hint="default"/>
                <w:sz w:val="18"/>
                <w:szCs w:val="18"/>
              </w:rPr>
              <w:t>;</w:t>
            </w:r>
            <w:r>
              <w:rPr>
                <w:rFonts w:ascii="宋体" w:hAnsi="宋体" w:cs="宋体" w:eastAsia="宋体" w:hint="default"/>
                <w:sz w:val="18"/>
                <w:szCs w:val="18"/>
              </w:rPr>
              <w:t>梁宝欣</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55"/>
              <w:jc w:val="left"/>
              <w:rPr>
                <w:rFonts w:ascii="宋体" w:hAnsi="宋体" w:cs="宋体" w:eastAsia="宋体" w:hint="default"/>
                <w:sz w:val="18"/>
                <w:szCs w:val="18"/>
              </w:rPr>
            </w:pPr>
            <w:r>
              <w:rPr>
                <w:rFonts w:ascii="宋体" w:hAnsi="宋体" w:cs="宋体" w:eastAsia="宋体" w:hint="default"/>
                <w:sz w:val="18"/>
                <w:szCs w:val="18"/>
              </w:rPr>
              <w:t>关于同业竞 争、关联交</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0"/>
              <w:ind w:left="23" w:right="17"/>
              <w:jc w:val="left"/>
              <w:rPr>
                <w:rFonts w:ascii="宋体" w:hAnsi="宋体" w:cs="宋体" w:eastAsia="宋体" w:hint="default"/>
                <w:sz w:val="18"/>
                <w:szCs w:val="18"/>
              </w:rPr>
            </w:pPr>
            <w:r>
              <w:rPr>
                <w:rFonts w:ascii="宋体" w:hAnsi="宋体" w:cs="宋体" w:eastAsia="宋体" w:hint="default"/>
                <w:spacing w:val="-5"/>
                <w:sz w:val="18"/>
                <w:szCs w:val="18"/>
              </w:rPr>
              <w:t>一、关于避免同业竞争的承诺（</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内容为了维护先河环保及其他股东的合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9999-12-31</w:t>
            </w:r>
            <w:r>
              <w:rPr>
                <w:rFonts w:ascii="Times New Roman"/>
                <w:sz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163"/>
              <w:jc w:val="left"/>
              <w:rPr>
                <w:rFonts w:ascii="宋体" w:hAnsi="宋体" w:cs="宋体" w:eastAsia="宋体" w:hint="default"/>
                <w:sz w:val="18"/>
                <w:szCs w:val="18"/>
              </w:rPr>
            </w:pPr>
            <w:r>
              <w:rPr>
                <w:rFonts w:ascii="宋体" w:hAnsi="宋体" w:cs="宋体" w:eastAsia="宋体" w:hint="default"/>
                <w:sz w:val="18"/>
                <w:szCs w:val="18"/>
              </w:rPr>
              <w:t>未发生违 反承诺的</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5" w:footer="980" w:top="1060" w:bottom="1160" w:left="980" w:right="0"/>
        </w:sectPr>
      </w:pPr>
    </w:p>
    <w:p>
      <w:pPr>
        <w:pStyle w:val="BodyText"/>
        <w:spacing w:line="319" w:lineRule="auto" w:before="44"/>
        <w:ind w:left="2877" w:right="-19"/>
        <w:jc w:val="left"/>
      </w:pPr>
      <w:r>
        <w:rPr/>
        <w:t>易、资金占</w:t>
      </w:r>
      <w:r>
        <w:rPr>
          <w:spacing w:val="1"/>
        </w:rPr>
        <w:t> </w:t>
      </w:r>
      <w:r>
        <w:rPr/>
        <w:t>法权益，避免交易对方梁常清及梁宝欣</w:t>
      </w:r>
      <w:r>
        <w:rPr/>
        <w:t> 用方面的承</w:t>
      </w:r>
      <w:r>
        <w:rPr>
          <w:spacing w:val="1"/>
        </w:rPr>
        <w:t> </w:t>
      </w:r>
      <w:r>
        <w:rPr/>
        <w:t>与先河环保、科迪隆及广西先得（包括</w:t>
      </w:r>
    </w:p>
    <w:p>
      <w:pPr>
        <w:pStyle w:val="BodyText"/>
        <w:spacing w:line="319" w:lineRule="auto" w:before="44"/>
        <w:ind w:left="1861" w:right="1356"/>
        <w:jc w:val="left"/>
      </w:pPr>
      <w:r>
        <w:rPr/>
        <w:br w:type="column"/>
      </w:r>
      <w:r>
        <w:rPr/>
        <w:t>事项和行 为。</w:t>
      </w:r>
    </w:p>
    <w:p>
      <w:pPr>
        <w:spacing w:after="0" w:line="319" w:lineRule="auto"/>
        <w:jc w:val="left"/>
        <w:sectPr>
          <w:type w:val="continuous"/>
          <w:pgSz w:w="11910" w:h="16840"/>
          <w:pgMar w:top="1060" w:bottom="1160" w:left="980" w:right="0"/>
          <w:cols w:num="2" w:equalWidth="0">
            <w:col w:w="6930" w:space="40"/>
            <w:col w:w="3960"/>
          </w:cols>
        </w:sectPr>
      </w:pPr>
    </w:p>
    <w:p>
      <w:pPr>
        <w:pStyle w:val="BodyText"/>
        <w:tabs>
          <w:tab w:pos="3868" w:val="left" w:leader="none"/>
        </w:tabs>
        <w:spacing w:line="314" w:lineRule="auto" w:before="17"/>
        <w:ind w:left="3869" w:right="3992" w:hanging="992"/>
        <w:jc w:val="left"/>
      </w:pPr>
      <w:r>
        <w:rPr/>
        <w:pict>
          <v:shape style="position:absolute;margin-left:391.013pt;margin-top:72.475983pt;width:48.3pt;height:686.5pt;mso-position-horizontal-relative:page;mso-position-vertical-relative:page;z-index:-105841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2"/>
                      <w:szCs w:val="22"/>
                    </w:rPr>
                  </w:pPr>
                </w:p>
                <w:p>
                  <w:pPr>
                    <w:pStyle w:val="BodyText"/>
                    <w:spacing w:line="240" w:lineRule="auto"/>
                    <w:ind w:left="0" w:right="0"/>
                    <w:jc w:val="left"/>
                  </w:pPr>
                  <w:r>
                    <w:rPr/>
                    <w:t>、</w:t>
                  </w:r>
                </w:p>
              </w:txbxContent>
            </v:textbox>
            <w10:wrap type="none"/>
          </v:shape>
        </w:pict>
      </w:r>
      <w:r>
        <w:rPr/>
        <w:pict>
          <v:group style="position:absolute;margin-left:56.400002pt;margin-top:71.759964pt;width:478.9pt;height:687.95pt;mso-position-horizontal-relative:page;mso-position-vertical-relative:page;z-index:-1058392" coordorigin="1128,1435" coordsize="9578,13759">
            <v:group style="position:absolute;left:1140;top:1450;width:1407;height:13730" coordorigin="1140,1450" coordsize="1407,13730">
              <v:shape style="position:absolute;left:1140;top:1450;width:1407;height:13730" coordorigin="1140,1450" coordsize="1407,13730" path="m1140,15180l2547,15180,2547,1450,1140,1450,1140,15180xe" filled="true" fillcolor="#d2d2d2" stroked="false">
                <v:path arrowok="t"/>
                <v:fill type="solid"/>
              </v:shape>
            </v:group>
            <v:group style="position:absolute;left:1138;top:1445;width:1410;height:2" coordorigin="1138,1445" coordsize="1410,2">
              <v:shape style="position:absolute;left:1138;top:1445;width:1410;height:2" coordorigin="1138,1445" coordsize="1410,0" path="m1138,1445l2547,1445e" filled="false" stroked="true" strokeweight=".48pt" strokecolor="#000000">
                <v:path arrowok="t"/>
              </v:shape>
            </v:group>
            <v:group style="position:absolute;left:2556;top:1445;width:1268;height:2" coordorigin="2556,1445" coordsize="1268,2">
              <v:shape style="position:absolute;left:2556;top:1445;width:1268;height:2" coordorigin="2556,1445" coordsize="1268,0" path="m2556,1445l3824,1445e" filled="false" stroked="true" strokeweight=".48pt" strokecolor="#000000">
                <v:path arrowok="t"/>
              </v:shape>
            </v:group>
            <v:group style="position:absolute;left:3834;top:1445;width:982;height:2" coordorigin="3834,1445" coordsize="982,2">
              <v:shape style="position:absolute;left:3834;top:1445;width:982;height:2" coordorigin="3834,1445" coordsize="982,0" path="m3834,1445l4815,1445e" filled="false" stroked="true" strokeweight=".48pt" strokecolor="#000000">
                <v:path arrowok="t"/>
              </v:shape>
            </v:group>
            <v:group style="position:absolute;left:7945;top:1450;width:840;height:13730" coordorigin="7945,1450" coordsize="840,13730">
              <v:shape style="position:absolute;left:7945;top:1450;width:840;height:13730" coordorigin="7945,1450" coordsize="840,13730" path="m7945,15180l8785,15180,8785,1450,7945,1450,7945,15180xe" filled="true" fillcolor="#ffffff" stroked="false">
                <v:path arrowok="t"/>
                <v:fill type="solid"/>
              </v:shape>
            </v:group>
            <v:group style="position:absolute;left:4825;top:1445;width:3109;height:2" coordorigin="4825,1445" coordsize="3109,2">
              <v:shape style="position:absolute;left:4825;top:1445;width:3109;height:2" coordorigin="4825,1445" coordsize="3109,0" path="m4825,1445l7933,1445e" filled="false" stroked="true" strokeweight=".48pt" strokecolor="#000000">
                <v:path arrowok="t"/>
              </v:shape>
            </v:group>
            <v:group style="position:absolute;left:7943;top:1445;width:843;height:2" coordorigin="7943,1445" coordsize="843,2">
              <v:shape style="position:absolute;left:7943;top:1445;width:843;height:2" coordorigin="7943,1445" coordsize="843,0" path="m7943,1445l8785,1445e" filled="false" stroked="true" strokeweight=".48pt" strokecolor="#000000">
                <v:path arrowok="t"/>
              </v:shape>
            </v:group>
            <v:group style="position:absolute;left:8795;top:1445;width:983;height:2" coordorigin="8795,1445" coordsize="983,2">
              <v:shape style="position:absolute;left:8795;top:1445;width:983;height:2" coordorigin="8795,1445" coordsize="983,0" path="m8795,1445l9777,1445e" filled="false" stroked="true" strokeweight=".48pt" strokecolor="#000000">
                <v:path arrowok="t"/>
              </v:shape>
            </v:group>
            <v:group style="position:absolute;left:9787;top:1445;width:910;height:2" coordorigin="9787,1445" coordsize="910,2">
              <v:shape style="position:absolute;left:9787;top:1445;width:910;height:2" coordorigin="9787,1445" coordsize="910,0" path="m9787,1445l10696,1445e" filled="false" stroked="true" strokeweight=".48pt" strokecolor="#000000">
                <v:path arrowok="t"/>
              </v:shape>
            </v:group>
            <v:group style="position:absolute;left:1133;top:1440;width:2;height:13750" coordorigin="1133,1440" coordsize="2,13750">
              <v:shape style="position:absolute;left:1133;top:1440;width:2;height:13750" coordorigin="1133,1440" coordsize="0,13750" path="m1133,1440l1133,15189e" filled="false" stroked="true" strokeweight=".48pt" strokecolor="#000000">
                <v:path arrowok="t"/>
              </v:shape>
            </v:group>
            <v:group style="position:absolute;left:1138;top:15184;width:1410;height:2" coordorigin="1138,15184" coordsize="1410,2">
              <v:shape style="position:absolute;left:1138;top:15184;width:1410;height:2" coordorigin="1138,15184" coordsize="1410,0" path="m1138,15184l2547,15184e" filled="false" stroked="true" strokeweight=".47998pt" strokecolor="#000000">
                <v:path arrowok="t"/>
              </v:shape>
            </v:group>
            <v:group style="position:absolute;left:2552;top:1440;width:2;height:13750" coordorigin="2552,1440" coordsize="2,13750">
              <v:shape style="position:absolute;left:2552;top:1440;width:2;height:13750" coordorigin="2552,1440" coordsize="0,13750" path="m2552,1440l2552,15189e" filled="false" stroked="true" strokeweight=".48pt" strokecolor="#000000">
                <v:path arrowok="t"/>
              </v:shape>
            </v:group>
            <v:group style="position:absolute;left:2556;top:15184;width:1268;height:2" coordorigin="2556,15184" coordsize="1268,2">
              <v:shape style="position:absolute;left:2556;top:15184;width:1268;height:2" coordorigin="2556,15184" coordsize="1268,0" path="m2556,15184l3824,15184e" filled="false" stroked="true" strokeweight=".47998pt" strokecolor="#000000">
                <v:path arrowok="t"/>
              </v:shape>
            </v:group>
            <v:group style="position:absolute;left:3829;top:1440;width:2;height:13750" coordorigin="3829,1440" coordsize="2,13750">
              <v:shape style="position:absolute;left:3829;top:1440;width:2;height:13750" coordorigin="3829,1440" coordsize="0,13750" path="m3829,1440l3829,15189e" filled="false" stroked="true" strokeweight=".48pt" strokecolor="#000000">
                <v:path arrowok="t"/>
              </v:shape>
            </v:group>
            <v:group style="position:absolute;left:3834;top:15184;width:982;height:2" coordorigin="3834,15184" coordsize="982,2">
              <v:shape style="position:absolute;left:3834;top:15184;width:982;height:2" coordorigin="3834,15184" coordsize="982,0" path="m3834,15184l4815,15184e" filled="false" stroked="true" strokeweight=".47998pt" strokecolor="#000000">
                <v:path arrowok="t"/>
              </v:shape>
            </v:group>
            <v:group style="position:absolute;left:4820;top:1440;width:2;height:13750" coordorigin="4820,1440" coordsize="2,13750">
              <v:shape style="position:absolute;left:4820;top:1440;width:2;height:13750" coordorigin="4820,1440" coordsize="0,13750" path="m4820,1440l4820,15189e" filled="false" stroked="true" strokeweight=".48pt" strokecolor="#000000">
                <v:path arrowok="t"/>
              </v:shape>
            </v:group>
            <v:group style="position:absolute;left:4825;top:15184;width:3109;height:2" coordorigin="4825,15184" coordsize="3109,2">
              <v:shape style="position:absolute;left:4825;top:15184;width:3109;height:2" coordorigin="4825,15184" coordsize="3109,0" path="m4825,15184l7933,15184e" filled="false" stroked="true" strokeweight=".47998pt" strokecolor="#000000">
                <v:path arrowok="t"/>
              </v:shape>
            </v:group>
            <v:group style="position:absolute;left:7938;top:1440;width:2;height:13750" coordorigin="7938,1440" coordsize="2,13750">
              <v:shape style="position:absolute;left:7938;top:1440;width:2;height:13750" coordorigin="7938,1440" coordsize="0,13750" path="m7938,1440l7938,15189e" filled="false" stroked="true" strokeweight=".48001pt" strokecolor="#000000">
                <v:path arrowok="t"/>
              </v:shape>
            </v:group>
            <v:group style="position:absolute;left:7943;top:15184;width:843;height:2" coordorigin="7943,15184" coordsize="843,2">
              <v:shape style="position:absolute;left:7943;top:15184;width:843;height:2" coordorigin="7943,15184" coordsize="843,0" path="m7943,15184l8785,15184e" filled="false" stroked="true" strokeweight=".47998pt" strokecolor="#000000">
                <v:path arrowok="t"/>
              </v:shape>
            </v:group>
            <v:group style="position:absolute;left:8790;top:1440;width:2;height:13750" coordorigin="8790,1440" coordsize="2,13750">
              <v:shape style="position:absolute;left:8790;top:1440;width:2;height:13750" coordorigin="8790,1440" coordsize="0,13750" path="m8790,1440l8790,15189e" filled="false" stroked="true" strokeweight=".48001pt" strokecolor="#000000">
                <v:path arrowok="t"/>
              </v:shape>
            </v:group>
            <v:group style="position:absolute;left:8795;top:15184;width:983;height:2" coordorigin="8795,15184" coordsize="983,2">
              <v:shape style="position:absolute;left:8795;top:15184;width:983;height:2" coordorigin="8795,15184" coordsize="983,0" path="m8795,15184l9777,15184e" filled="false" stroked="true" strokeweight=".47998pt" strokecolor="#000000">
                <v:path arrowok="t"/>
              </v:shape>
            </v:group>
            <v:group style="position:absolute;left:9782;top:1440;width:2;height:13750" coordorigin="9782,1440" coordsize="2,13750">
              <v:shape style="position:absolute;left:9782;top:1440;width:2;height:13750" coordorigin="9782,1440" coordsize="0,13750" path="m9782,1440l9782,15189e" filled="false" stroked="true" strokeweight=".47998pt" strokecolor="#000000">
                <v:path arrowok="t"/>
              </v:shape>
            </v:group>
            <v:group style="position:absolute;left:9787;top:15184;width:910;height:2" coordorigin="9787,15184" coordsize="910,2">
              <v:shape style="position:absolute;left:9787;top:15184;width:910;height:2" coordorigin="9787,15184" coordsize="910,0" path="m9787,15184l10696,15184e" filled="false" stroked="true" strokeweight=".47998pt" strokecolor="#000000">
                <v:path arrowok="t"/>
              </v:shape>
            </v:group>
            <v:group style="position:absolute;left:10701;top:1440;width:2;height:13750" coordorigin="10701,1440" coordsize="2,13750">
              <v:shape style="position:absolute;left:10701;top:1440;width:2;height:13750" coordorigin="10701,1440" coordsize="0,13750" path="m10701,1440l10701,15189e" filled="false" stroked="true" strokeweight=".48004pt" strokecolor="#000000">
                <v:path arrowok="t"/>
              </v:shape>
            </v:group>
            <w10:wrap type="none"/>
          </v:group>
        </w:pict>
      </w:r>
      <w:r>
        <w:rPr/>
        <w:t>诺</w:t>
        <w:tab/>
        <w:t>其各自的子公司，下同）之间产生同业 竞争，梁常清与梁宝欣作出如下郑重承 </w:t>
      </w:r>
      <w:r>
        <w:rPr>
          <w:spacing w:val="-5"/>
        </w:rPr>
        <w:t>诺：</w:t>
      </w:r>
      <w:r>
        <w:rPr>
          <w:rFonts w:ascii="Times New Roman" w:hAnsi="Times New Roman" w:cs="Times New Roman" w:eastAsia="Times New Roman" w:hint="default"/>
          <w:spacing w:val="-5"/>
        </w:rPr>
        <w:t>1</w:t>
      </w:r>
      <w:r>
        <w:rPr>
          <w:spacing w:val="-5"/>
        </w:rPr>
        <w:t>、承诺人目前经营的环境质量在线</w:t>
      </w:r>
      <w:r>
        <w:rPr/>
        <w:t> 监测系统建设和环境监测设备的运营维 护业务均是通过科迪隆及广西先得进行 的，没有直接或间接通过承诺人直接或 间接控制的其他经营主体（以下简称</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spacing w:val="-4"/>
          <w:w w:val="99"/>
        </w:rPr>
        <w:t>承诺人的关联企业</w:t>
      </w:r>
      <w:r>
        <w:rPr>
          <w:rFonts w:ascii="Times New Roman" w:hAnsi="Times New Roman" w:cs="Times New Roman" w:eastAsia="Times New Roman" w:hint="default"/>
          <w:spacing w:val="-4"/>
          <w:w w:val="99"/>
        </w:rPr>
        <w:t>"</w:t>
      </w:r>
      <w:r>
        <w:rPr>
          <w:spacing w:val="-4"/>
          <w:w w:val="99"/>
        </w:rPr>
        <w:t>，不包括科迪隆和广</w:t>
      </w:r>
      <w:r>
        <w:rPr/>
        <w:t> 西先得）或以自然人名义直接从事与先 河环保、科迪隆及广西先得现有业务相 同或类似的业务，也没有在经营与先河 </w:t>
      </w:r>
      <w:r>
        <w:rPr>
          <w:spacing w:val="-10"/>
        </w:rPr>
        <w:t>环保（包括其合并范围内子公司，下同）</w:t>
      </w:r>
      <w:r>
        <w:rPr/>
        <w:t> 科迪隆或广西先得的现有业务相同或类 似业务的任何经营实体中任职或担任任 何形式的顾问，没有以其他方式协助其 他主体经营与先河环保、科迪隆或广西 先得的现有业务相同或相类似的业务。 </w:t>
      </w:r>
      <w:r>
        <w:rPr>
          <w:rFonts w:ascii="Times New Roman" w:hAnsi="Times New Roman" w:cs="Times New Roman" w:eastAsia="Times New Roman" w:hint="default"/>
          <w:spacing w:val="-5"/>
        </w:rPr>
        <w:t>2</w:t>
      </w:r>
      <w:r>
        <w:rPr>
          <w:spacing w:val="-5"/>
        </w:rPr>
        <w:t>、承诺人保证，本次交易完成后，承诺</w:t>
      </w:r>
      <w:r>
        <w:rPr/>
        <w:t> 人将不会以自营方式、直接或间接通过 承诺人的关联企业开展、经营与先河环 保、科迪隆或广西先得业务相同或相似 的业务；不在经营与先河环保、科迪隆 或广西先得业务相同或者类似业务的任 何经营实体中任职或者担任任何形式的 顾问；不以其他方式协助其他主体经营 与先河环保、科迪隆或广西先得的业务 </w:t>
      </w:r>
      <w:r>
        <w:rPr>
          <w:spacing w:val="-5"/>
        </w:rPr>
        <w:t>相同或相类似的业务。</w:t>
      </w:r>
      <w:r>
        <w:rPr>
          <w:rFonts w:ascii="Times New Roman" w:hAnsi="Times New Roman" w:cs="Times New Roman" w:eastAsia="Times New Roman" w:hint="default"/>
          <w:spacing w:val="-5"/>
        </w:rPr>
        <w:t>3</w:t>
      </w:r>
      <w:r>
        <w:rPr>
          <w:spacing w:val="-5"/>
        </w:rPr>
        <w:t>、如承诺人或承</w:t>
      </w:r>
      <w:r>
        <w:rPr/>
        <w:t> 诺人的关联企业有任何商业机会可从事 或参与任何可能与先河环保、科迪隆或 广西先得的生产经营构成竞争的经营活 动，则承诺人将亲自或促使承诺人的关 联企业于知悉该等商业机会之日起的三 日内将上述商业机会书面通知先河环 保、科迪隆或广西先得，如在书面通知 所指定的合理期间内，先河环保、科迪 隆或广西先得书面作出愿意利用该商业 机会的肯定答复，则承诺人应尽力（包 括促使承诺人的关联企业）将该商业机 会优先提供给先河环保、科迪隆或广西 </w:t>
      </w:r>
      <w:r>
        <w:rPr>
          <w:spacing w:val="-5"/>
        </w:rPr>
        <w:t>先得。</w:t>
      </w:r>
      <w:r>
        <w:rPr>
          <w:rFonts w:ascii="Times New Roman" w:hAnsi="Times New Roman" w:cs="Times New Roman" w:eastAsia="Times New Roman" w:hint="default"/>
          <w:spacing w:val="-5"/>
        </w:rPr>
        <w:t>4</w:t>
      </w:r>
      <w:r>
        <w:rPr>
          <w:spacing w:val="-5"/>
        </w:rPr>
        <w:t>、如果承诺人违反上述承诺，先</w:t>
      </w:r>
      <w:r>
        <w:rPr/>
        <w:t> 河环保、科迪隆或广西先得有权要求承 诺人及承诺人的关联企业停止相应的经</w:t>
      </w:r>
    </w:p>
    <w:p>
      <w:pPr>
        <w:spacing w:after="0" w:line="314" w:lineRule="auto"/>
        <w:jc w:val="left"/>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3.010010pt;margin-top:72.475983pt;width:156.3pt;height:686.5pt;mso-position-horizontal-relative:page;mso-position-vertical-relative:page;z-index:-10583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1"/>
                      <w:szCs w:val="21"/>
                    </w:rPr>
                  </w:pPr>
                </w:p>
                <w:p>
                  <w:pPr>
                    <w:pStyle w:val="BodyText"/>
                    <w:spacing w:line="240" w:lineRule="auto"/>
                    <w:ind w:left="0" w:right="603"/>
                    <w:jc w:val="center"/>
                  </w:pPr>
                  <w:r>
                    <w:rPr/>
                    <w:t>社会公众及投资者的监督，</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pStyle w:val="BodyText"/>
                    <w:spacing w:line="240" w:lineRule="auto"/>
                    <w:ind w:left="0" w:right="783"/>
                    <w:jc w:val="center"/>
                  </w:pPr>
                  <w:r>
                    <w:rPr/>
                    <w:t>）承诺内容本次交易实施前，</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277"/>
        <w:gridCol w:w="991"/>
        <w:gridCol w:w="3118"/>
        <w:gridCol w:w="852"/>
        <w:gridCol w:w="992"/>
        <w:gridCol w:w="919"/>
      </w:tblGrid>
      <w:tr>
        <w:trPr>
          <w:trHeight w:val="315"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31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济活动或行为，并将已经形成的有关权</w:t>
            </w:r>
          </w:p>
        </w:tc>
        <w:tc>
          <w:tcPr>
            <w:tcW w:w="852" w:type="dxa"/>
            <w:vMerge w:val="restart"/>
            <w:tcBorders>
              <w:top w:val="single" w:sz="4" w:space="0" w:color="000000"/>
              <w:left w:val="single" w:sz="4" w:space="0" w:color="000000"/>
              <w:right w:val="single" w:sz="4" w:space="0" w:color="000000"/>
            </w:tcBorders>
          </w:tcPr>
          <w:p>
            <w:pPr>
              <w:pStyle w:val="TableParagraph"/>
              <w:spacing w:line="13730"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42pt;height:686.5pt;mso-position-horizontal-relative:char;mso-position-vertical-relative:line" coordorigin="0,0" coordsize="840,13730">
                  <v:group style="position:absolute;left:0;top:0;width:840;height:13730" coordorigin="0,0" coordsize="840,13730">
                    <v:shape style="position:absolute;left:0;top:0;width:840;height:13730" coordorigin="0,0" coordsize="840,13730" path="m0,13730l840,13730,840,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992"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益、可得利益或者合同项下的权利义务</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转让给独立第三方或者按照公允价值转</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让给先河环保、科迪隆或广西先得或者</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其指定的第三方，承诺人将促使承诺人</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的关联企业（如需）按照先河环保、科</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迪隆或广西先得的要求实施相关行为；</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如因违反上述承诺造成先河环保、科迪</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隆或广西先得经济损失的，承诺人将赔</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偿先河环保、科迪隆或广西先得因此受</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到的全部损失，且承诺人之间将相互连</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带地承担该等赔偿责任。</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、在触发上述</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5"/>
                <w:sz w:val="18"/>
                <w:szCs w:val="18"/>
              </w:rPr>
              <w:t>第（</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）项承诺情况发生后，承诺人未能</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履行相应承诺的，则先河环保、科迪隆</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或广西先得有权相应扣减应付承诺人的</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现金分红和应付承诺人的税后薪酬。在</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相应的承诺履行前，承诺人亦不转让承</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诺人所直接或间接所持的先河环保的股</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份，但为履行上述承诺而进行转让的除</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外。</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、本承诺函所述承诺事项已经承诺</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人确认，为承诺人的真实意思表示，对</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承诺人具有法律约束力。承诺人自愿接</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受监管机关、</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积极采取合法措施履行本承诺，并依法</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承担相应责任。</w:t>
            </w: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、本承诺持续有效且不</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可变更或撤销。二、关于规范关联交易</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的承诺（</w:t>
            </w:r>
            <w:r>
              <w:rPr>
                <w:rFonts w:ascii="Times New Roman" w:hAnsi="Times New Roman" w:cs="Times New Roman" w:eastAsia="Times New Roman" w:hint="default"/>
                <w:sz w:val="18"/>
                <w:szCs w:val="18"/>
              </w:rPr>
              <w:t>1</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科迪隆和广西先得与上市公司不构成关</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联方关系，亦不存在关联交易情形，科</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迪隆与上市公司之间仅存在正常的购销</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业务；本次交易完成后，科迪隆和广西</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先得将成为上市公司持股</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的控股子</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0"/>
                <w:sz w:val="18"/>
                <w:szCs w:val="18"/>
              </w:rPr>
              <w:t>公司，交易对方梁常清、梁宝欣作出《关</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于规范关联交易的承诺函</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承</w:t>
            </w:r>
            <w:r>
              <w:rPr>
                <w:rFonts w:ascii="宋体" w:hAnsi="宋体" w:cs="宋体" w:eastAsia="宋体" w:hint="default"/>
                <w:sz w:val="18"/>
                <w:szCs w:val="18"/>
              </w:rPr>
              <w:t>诺：</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承诺人保证，本次交易完成后，将善意</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行使和履行作为科迪隆及广西先得的股</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东、董事、监事或高级管理人员的权利</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和义务，充分尊重科迪隆及广西先得的</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独立法人地位，保障科迪隆及广西先得</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独立经营、自主决策。在科迪隆或广西</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先得的股东会、董事会、管理层会议对</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涉及承诺人的关联交易进行表决时，本</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人将回避表决。</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、承诺人保证，本次交</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4"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1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易完成后，将避免一切非法占用科迪隆</w:t>
            </w:r>
          </w:p>
        </w:tc>
        <w:tc>
          <w:tcPr>
            <w:tcW w:w="85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3.010010pt;margin-top:72.475983pt;width:156.3pt;height:686.5pt;mso-position-horizontal-relative:page;mso-position-vertical-relative:page;z-index:-10582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8"/>
                    <w:ind w:left="0" w:right="0"/>
                    <w:jc w:val="left"/>
                  </w:pPr>
                  <w:r>
                    <w:rPr/>
                    <w:t>、如果承诺人违反上述承诺，</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277"/>
        <w:gridCol w:w="991"/>
        <w:gridCol w:w="3118"/>
        <w:gridCol w:w="852"/>
        <w:gridCol w:w="992"/>
        <w:gridCol w:w="919"/>
      </w:tblGrid>
      <w:tr>
        <w:trPr>
          <w:trHeight w:val="315"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31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或广西先得的资金、资产的行为，在任</w:t>
            </w:r>
          </w:p>
        </w:tc>
        <w:tc>
          <w:tcPr>
            <w:tcW w:w="852" w:type="dxa"/>
            <w:vMerge w:val="restart"/>
            <w:tcBorders>
              <w:top w:val="single" w:sz="4" w:space="0" w:color="000000"/>
              <w:left w:val="single" w:sz="4" w:space="0" w:color="000000"/>
              <w:right w:val="single" w:sz="4" w:space="0" w:color="000000"/>
            </w:tcBorders>
          </w:tcPr>
          <w:p>
            <w:pPr>
              <w:pStyle w:val="TableParagraph"/>
              <w:spacing w:line="13730"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42pt;height:686.5pt;mso-position-horizontal-relative:char;mso-position-vertical-relative:line" coordorigin="0,0" coordsize="840,13730">
                  <v:group style="position:absolute;left:0;top:0;width:840;height:13730" coordorigin="0,0" coordsize="840,13730">
                    <v:shape style="position:absolute;left:0;top:0;width:840;height:13730" coordorigin="0,0" coordsize="840,13730" path="m0,13730l840,13730,840,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992"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何情况下，不要求科迪隆或广西先得向</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承诺人及承诺人控股或实际控制的其他</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公司或者其他企业或经济组织（以下简</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承诺人的关联企业</w:t>
            </w:r>
            <w:r>
              <w:rPr>
                <w:rFonts w:ascii="Times New Roman" w:hAnsi="Times New Roman" w:cs="Times New Roman" w:eastAsia="Times New Roman" w:hint="default"/>
                <w:sz w:val="18"/>
                <w:szCs w:val="18"/>
              </w:rPr>
              <w:t>"</w:t>
            </w:r>
            <w:r>
              <w:rPr>
                <w:rFonts w:ascii="宋体" w:hAnsi="宋体" w:cs="宋体" w:eastAsia="宋体" w:hint="default"/>
                <w:sz w:val="18"/>
                <w:szCs w:val="18"/>
              </w:rPr>
              <w:t>）提供任何形式</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5"/>
                <w:sz w:val="18"/>
                <w:szCs w:val="18"/>
              </w:rPr>
              <w:t>的担保。</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、承诺人保证，本次交易完成</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后，将尽可能地避免和减少承诺人及承</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诺人的关联企业与科迪隆或广西先得的</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关联交易；对无法避免或者有合理原因</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而发生的关联交易，承诺人及承诺人的</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关联企业将遵循市场公正、公平、公开</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的原则，并依法与相关公司签订协议，</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履行合法程序，按照相关公司的章程、</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有关法律法规的规定履行信息披露义务</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和办理有关报批程序。承诺人保证将按</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照正常的商业条件严格和善意地进行上</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述关联交易，且承诺人及承诺人的关联</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企业将不会要求或接受科迪隆或广西先</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得给予的比在任何一项市场公平交易中</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第三者更优惠的条件，也不会向科迪隆</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或广西先得谋求任何超出该等交易以外</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的利益或收益，保证不通过关联交易损</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害科迪隆或广西先得及其各自股东的合</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法权益。</w:t>
            </w:r>
            <w:r>
              <w:rPr>
                <w:rFonts w:ascii="Times New Roman" w:hAnsi="Times New Roman" w:cs="Times New Roman" w:eastAsia="Times New Roman" w:hint="default"/>
                <w:sz w:val="18"/>
                <w:szCs w:val="18"/>
              </w:rPr>
              <w:t>4</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科迪隆或广西先得以及其各自的股东有</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权要求承诺人及承诺人的关联企业规范</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相应的交易行为，并将已经从交易中获</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得的利益、收益以现金的方式补偿给科</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迪隆或广西先得，且承诺人将促使承诺</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人的关联企业（如需）按照科迪隆或广</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西先得以及其各自的股东的要求实施补</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偿；如因违反上述承诺造成科迪隆或广</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西先得经济损失的，承诺人将赔偿并促</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使承诺人的关联企业赔偿先河环保、科</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迪隆或广西先得因此受到的全部损失，</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且承诺人之间将相互连带地承担该等赔</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偿责任。</w:t>
            </w:r>
            <w:r>
              <w:rPr>
                <w:rFonts w:ascii="Times New Roman" w:hAnsi="Times New Roman" w:cs="Times New Roman" w:eastAsia="Times New Roman" w:hint="default"/>
                <w:sz w:val="18"/>
                <w:szCs w:val="18"/>
              </w:rPr>
              <w:t>5</w:t>
            </w:r>
            <w:r>
              <w:rPr>
                <w:rFonts w:ascii="宋体" w:hAnsi="宋体" w:cs="宋体" w:eastAsia="宋体" w:hint="default"/>
                <w:sz w:val="18"/>
                <w:szCs w:val="18"/>
              </w:rPr>
              <w:t>、在触发上述第（</w:t>
            </w:r>
            <w:r>
              <w:rPr>
                <w:rFonts w:ascii="Times New Roman" w:hAnsi="Times New Roman" w:cs="Times New Roman" w:eastAsia="Times New Roman" w:hint="default"/>
                <w:sz w:val="18"/>
                <w:szCs w:val="18"/>
              </w:rPr>
              <w:t>4</w:t>
            </w:r>
            <w:r>
              <w:rPr>
                <w:rFonts w:ascii="宋体" w:hAnsi="宋体" w:cs="宋体" w:eastAsia="宋体" w:hint="default"/>
                <w:sz w:val="18"/>
                <w:szCs w:val="18"/>
              </w:rPr>
              <w:t>）项承诺</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情况发生后，承诺人未能履行相应承诺</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的，则先河环保、科迪隆和广西先得有</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权相应扣减应付承诺人的现金分红和应</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付承诺人的税后薪酬。在相应的承诺履</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行前，承诺人亦不转让承诺人所直接或</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间接所持的先河环保、科迪隆和广西先</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9"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1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得的股份，但为履行上述承诺而进行转</w:t>
            </w:r>
          </w:p>
        </w:tc>
        <w:tc>
          <w:tcPr>
            <w:tcW w:w="85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74.013pt;margin-top:72.47998pt;width:165.3pt;height:111.3pt;mso-position-horizontal-relative:page;mso-position-vertical-relative:page;z-index:-10582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9"/>
                      <w:szCs w:val="19"/>
                    </w:rPr>
                  </w:pPr>
                </w:p>
                <w:p>
                  <w:pPr>
                    <w:pStyle w:val="BodyText"/>
                    <w:spacing w:line="240" w:lineRule="auto"/>
                    <w:ind w:left="0" w:right="0"/>
                    <w:jc w:val="left"/>
                  </w:pPr>
                  <w:r>
                    <w:rPr/>
                    <w:t>积极采取合法措施履行本承诺，</w:t>
                  </w:r>
                </w:p>
              </w:txbxContent>
            </v:textbox>
            <w10:wrap type="none"/>
          </v:shape>
        </w:pict>
      </w:r>
      <w:r>
        <w:rPr/>
        <w:pict>
          <v:shape style="position:absolute;margin-left:346.029999pt;margin-top:184.219986pt;width:93.25pt;height:272.1pt;mso-position-horizontal-relative:page;mso-position-vertical-relative:page;z-index:-10582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5"/>
                      <w:szCs w:val="15"/>
                    </w:rPr>
                  </w:pPr>
                </w:p>
                <w:p>
                  <w:pPr>
                    <w:pStyle w:val="BodyText"/>
                    <w:spacing w:line="240" w:lineRule="auto"/>
                    <w:ind w:left="0" w:right="0"/>
                    <w:jc w:val="left"/>
                  </w:pPr>
                  <w:r>
                    <w:rPr/>
                    <w:t>、本人承诺，</w:t>
                  </w:r>
                </w:p>
              </w:txbxContent>
            </v:textbox>
            <w10:wrap type="none"/>
          </v:shape>
        </w:pict>
      </w:r>
      <w:r>
        <w:rPr/>
        <w:pict>
          <v:group style="position:absolute;margin-left:397.269989pt;margin-top:72.47998pt;width:42pt;height:383.85pt;mso-position-horizontal-relative:page;mso-position-vertical-relative:page;z-index:-1058224" coordorigin="7945,1450" coordsize="840,7677">
            <v:group style="position:absolute;left:7945;top:1450;width:840;height:2226" coordorigin="7945,1450" coordsize="840,2226">
              <v:shape style="position:absolute;left:7945;top:1450;width:840;height:2226" coordorigin="7945,1450" coordsize="840,2226" path="m7945,3675l8785,3675,8785,1450,7945,1450,7945,3675xe" filled="true" fillcolor="#ffffff" stroked="false">
                <v:path arrowok="t"/>
                <v:fill type="solid"/>
              </v:shape>
            </v:group>
            <v:group style="position:absolute;left:7945;top:3684;width:840;height:5442" coordorigin="7945,3684" coordsize="840,5442">
              <v:shape style="position:absolute;left:7945;top:3684;width:840;height:5442" coordorigin="7945,3684" coordsize="840,5442" path="m7945,9126l8785,9126,8785,3684,7945,3684,7945,912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277"/>
        <w:gridCol w:w="991"/>
        <w:gridCol w:w="3118"/>
        <w:gridCol w:w="852"/>
        <w:gridCol w:w="992"/>
        <w:gridCol w:w="919"/>
      </w:tblGrid>
      <w:tr>
        <w:trPr>
          <w:trHeight w:val="320"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31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5"/>
                <w:sz w:val="18"/>
                <w:szCs w:val="18"/>
              </w:rPr>
              <w:t>让的除外。</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、本承诺函所述承诺事项已</w:t>
            </w:r>
          </w:p>
        </w:tc>
        <w:tc>
          <w:tcPr>
            <w:tcW w:w="852"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经承诺人确认，为承诺人的真实意思表</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示，对承诺人具有法律约束力。承诺人</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自愿接受监管机关、社会公众及投资者</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的监督，</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并依法承担相应责任。</w:t>
            </w: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、本承诺持续有</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55"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1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效且不可变更或撤销。</w:t>
            </w:r>
          </w:p>
        </w:tc>
        <w:tc>
          <w:tcPr>
            <w:tcW w:w="85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r>
      <w:tr>
        <w:trPr>
          <w:trHeight w:val="360" w:hRule="exact"/>
        </w:trPr>
        <w:tc>
          <w:tcPr>
            <w:tcW w:w="1418"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31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5"/>
                <w:sz w:val="18"/>
                <w:szCs w:val="18"/>
              </w:rPr>
              <w:t>一、关于避免同业竞争的承诺（</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）承诺</w:t>
            </w:r>
          </w:p>
        </w:tc>
        <w:tc>
          <w:tcPr>
            <w:tcW w:w="85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内容为充分保护上市公司的利益，作为</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先河环保的控股股东及实际控制人，李</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玉国先生承诺：</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、本人声明，本人已向</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先河环保准确、全面地披露本人直接或</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间接持有的其他企业和其他经济组织</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（先河环保控制的企业和其他经济组织</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除外）的股权或权益情况，本人未在与</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先河环保存在同业竞争的其他企业、机</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构或其他经济组织中担任董事、高级管</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理人员或核心技术人员；本人及本人直</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接或间接控制的其他企业或其他经济组</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织未以任何其他方式直接或间接从事与</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先河环保相竞争的业务。</w:t>
            </w:r>
            <w:r>
              <w:rPr>
                <w:rFonts w:ascii="Times New Roman" w:hAnsi="Times New Roman" w:cs="Times New Roman" w:eastAsia="Times New Roman" w:hint="default"/>
                <w:sz w:val="18"/>
                <w:szCs w:val="18"/>
              </w:rPr>
              <w:t>2</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在本人作为先河环保的实际控制人期</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3"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间，本人及本人现有或将来成立的全资</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1570"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55"/>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22"/>
              <w:jc w:val="both"/>
              <w:rPr>
                <w:rFonts w:ascii="宋体" w:hAnsi="宋体" w:cs="宋体" w:eastAsia="宋体" w:hint="default"/>
                <w:sz w:val="18"/>
                <w:szCs w:val="18"/>
              </w:rPr>
            </w:pPr>
            <w:r>
              <w:rPr>
                <w:rFonts w:ascii="宋体" w:hAnsi="宋体" w:cs="宋体" w:eastAsia="宋体" w:hint="default"/>
                <w:sz w:val="18"/>
                <w:szCs w:val="18"/>
              </w:rPr>
              <w:t>子公司、控股子公司和其他实质上受本 人控制的企业或经济组织（先河环保控 制的企业和其他经济组织除外，下称本 人所控制的其他企业或经济组织）不会 以任何形式从事对先河环保的生产经营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9999-12-31</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4" w:right="163"/>
              <w:jc w:val="both"/>
              <w:rPr>
                <w:rFonts w:ascii="宋体" w:hAnsi="宋体" w:cs="宋体" w:eastAsia="宋体" w:hint="default"/>
                <w:sz w:val="18"/>
                <w:szCs w:val="18"/>
              </w:rPr>
            </w:pPr>
            <w:r>
              <w:rPr>
                <w:rFonts w:ascii="宋体" w:hAnsi="宋体" w:cs="宋体" w:eastAsia="宋体" w:hint="default"/>
                <w:sz w:val="18"/>
                <w:szCs w:val="18"/>
              </w:rPr>
              <w:t>未发生违 反承诺的 事项和行 为。</w:t>
            </w: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构成或可能构成同业竞争的业务和经营</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活动，也不会以任何方式为与先河环保</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竞争的企业、机构或其他经济组织提供</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任何资金、业务、技术和管理等方面的</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帮助。</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、本人承诺，在本人作为先河环</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保的实际控制人期间，凡本人及本人所</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控制的其他企业或经济组织有任何商业</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机会可从事、参与或入股任何可能会与</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先河环保生产经营构成竞争的业务，本</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人将或将促使本人所控制的其他企业或</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经济组织按照先河环保的要求，将该等</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商业机会让与先河环保，由先河环保在</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同等条件下优先收购有关业务所涉及的</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资产或股权，以避免与先河环保存在同</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业竞争。</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、本人承诺，如果本人违反上</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31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述承诺，先河环保依据其董事会所作出</w:t>
            </w:r>
          </w:p>
        </w:tc>
        <w:tc>
          <w:tcPr>
            <w:tcW w:w="85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6.029999pt;margin-top:72.475983pt;width:93.25pt;height:686.5pt;mso-position-horizontal-relative:page;mso-position-vertical-relative:page;z-index:-10581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2"/>
                      <w:szCs w:val="22"/>
                    </w:rPr>
                  </w:pPr>
                </w:p>
                <w:p>
                  <w:pPr>
                    <w:pStyle w:val="BodyText"/>
                    <w:spacing w:line="240" w:lineRule="auto"/>
                    <w:ind w:left="0" w:right="0"/>
                    <w:jc w:val="left"/>
                  </w:pPr>
                  <w:r>
                    <w:rPr/>
                    <w:t>）依据本人、</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5"/>
                      <w:szCs w:val="25"/>
                    </w:rPr>
                  </w:pPr>
                </w:p>
                <w:p>
                  <w:pPr>
                    <w:pStyle w:val="BodyText"/>
                    <w:spacing w:line="240" w:lineRule="auto"/>
                    <w:ind w:left="115" w:right="0"/>
                    <w:jc w:val="center"/>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277"/>
        <w:gridCol w:w="991"/>
        <w:gridCol w:w="3118"/>
        <w:gridCol w:w="852"/>
        <w:gridCol w:w="992"/>
        <w:gridCol w:w="919"/>
      </w:tblGrid>
      <w:tr>
        <w:trPr>
          <w:trHeight w:val="315"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31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的决策（关联董事应回避表决）或者股</w:t>
            </w:r>
          </w:p>
        </w:tc>
        <w:tc>
          <w:tcPr>
            <w:tcW w:w="852" w:type="dxa"/>
            <w:vMerge w:val="restart"/>
            <w:tcBorders>
              <w:top w:val="single" w:sz="4" w:space="0" w:color="000000"/>
              <w:left w:val="single" w:sz="4" w:space="0" w:color="000000"/>
              <w:right w:val="single" w:sz="4" w:space="0" w:color="000000"/>
            </w:tcBorders>
          </w:tcPr>
          <w:p>
            <w:pPr>
              <w:pStyle w:val="TableParagraph"/>
              <w:spacing w:line="13730"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42pt;height:686.5pt;mso-position-horizontal-relative:char;mso-position-vertical-relative:line" coordorigin="0,0" coordsize="840,13730">
                  <v:group style="position:absolute;left:0;top:0;width:840;height:13730" coordorigin="0,0" coordsize="840,13730">
                    <v:shape style="position:absolute;left:0;top:0;width:840;height:13730" coordorigin="0,0" coordsize="840,13730" path="m0,13730l840,13730,840,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992"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东大会作出的决策（关联股东应回避表</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决</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有权要求本人及本人所</w:t>
            </w:r>
            <w:r>
              <w:rPr>
                <w:rFonts w:ascii="宋体" w:hAnsi="宋体" w:cs="宋体" w:eastAsia="宋体" w:hint="default"/>
                <w:spacing w:val="2"/>
                <w:sz w:val="18"/>
                <w:szCs w:val="18"/>
              </w:rPr>
              <w:t>控</w:t>
            </w:r>
            <w:r>
              <w:rPr>
                <w:rFonts w:ascii="宋体" w:hAnsi="宋体" w:cs="宋体" w:eastAsia="宋体" w:hint="default"/>
                <w:sz w:val="18"/>
                <w:szCs w:val="18"/>
              </w:rPr>
              <w:t>制的其他</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企业或经济组织停止相应的经济活动或</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行为，并将已经形成的有关权益、可得</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利益或者合同项下的权利义务转让给独</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立第三方或者按照公允价值转让给先河</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环保或者其指定的第三方，本人将并将</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促使本人所控制的其他企业或经济组织</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（如需）按照先河环保的要求实施相关</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行为；造成先河环保经济损失的，本人</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将赔偿先河环保因此受到的全部损失。</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89"/>
                <w:sz w:val="18"/>
                <w:szCs w:val="18"/>
              </w:rPr>
              <w:t>、</w:t>
            </w:r>
            <w:r>
              <w:rPr>
                <w:rFonts w:ascii="宋体" w:hAnsi="宋体" w:cs="宋体" w:eastAsia="宋体" w:hint="default"/>
                <w:sz w:val="18"/>
                <w:szCs w:val="18"/>
              </w:rPr>
              <w:t>本人未能履行第四项所述的规范同业</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竞争行为、赔偿损失等承诺的，则先河</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环保有权相应扣减应付本人的现金分红</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和应付本人的税后薪酬抵作赔偿或者作</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为促使本人履行第四项所述承诺的措</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施，且在第四项所述承诺全部履行完成</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前，本人亦不转让本人所直接或间接所</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持的先河环保的股份，但为履行第四项</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所述承诺而进行转让的除外。</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、本承诺</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函所述承诺事项已经本人确认，为本人</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的真实意思表示，对本人具有法律约束</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力。本人自愿接受监管机关、社会公众</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及投资者的监督，积极采取合法措施履</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7"/>
                <w:sz w:val="18"/>
                <w:szCs w:val="18"/>
              </w:rPr>
              <w:t>行本承诺，并依法承担相应责任。</w:t>
            </w:r>
            <w:r>
              <w:rPr>
                <w:rFonts w:ascii="Times New Roman" w:hAnsi="Times New Roman" w:cs="Times New Roman" w:eastAsia="Times New Roman" w:hint="default"/>
                <w:spacing w:val="-7"/>
                <w:sz w:val="18"/>
                <w:szCs w:val="18"/>
              </w:rPr>
              <w:t>7</w:t>
            </w:r>
            <w:r>
              <w:rPr>
                <w:rFonts w:ascii="宋体" w:hAnsi="宋体" w:cs="宋体" w:eastAsia="宋体" w:hint="default"/>
                <w:spacing w:val="-7"/>
                <w:sz w:val="18"/>
                <w:szCs w:val="18"/>
              </w:rPr>
              <w:t>、本</w:t>
            </w:r>
            <w:r>
              <w:rPr>
                <w:rFonts w:ascii="宋体" w:hAnsi="宋体" w:cs="宋体" w:eastAsia="宋体" w:hint="default"/>
                <w:sz w:val="18"/>
                <w:szCs w:val="18"/>
              </w:rPr>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承诺函自签署之日起生效并持续有效，</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自生效之日起，即取代此前本人就本承</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诺函项下的事项所作出的承诺，但本承</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8"/>
                <w:sz w:val="18"/>
                <w:szCs w:val="18"/>
              </w:rPr>
              <w:t>诺函自下列较早时间起不再有效：</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）先</w:t>
            </w:r>
            <w:r>
              <w:rPr>
                <w:rFonts w:ascii="宋体" w:hAnsi="宋体" w:cs="宋体" w:eastAsia="宋体" w:hint="default"/>
                <w:sz w:val="18"/>
                <w:szCs w:val="18"/>
              </w:rPr>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河环保不再是公众公司；</w:t>
            </w:r>
            <w:r>
              <w:rPr>
                <w:rFonts w:ascii="Times New Roman" w:hAnsi="Times New Roman" w:cs="Times New Roman" w:eastAsia="Times New Roman" w:hint="default"/>
                <w:sz w:val="18"/>
                <w:szCs w:val="18"/>
              </w:rPr>
              <w:t>2</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本人关系密切的家庭成员及本人实际控</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制的相关主体所实际持有或控制的先河</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环保的股份的比例，对先河环保的股东</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大会的决议的形成不再能产生重大影</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响。二、关于规范关联交易的承诺（</w:t>
            </w:r>
            <w:r>
              <w:rPr>
                <w:rFonts w:ascii="Times New Roman" w:hAnsi="Times New Roman" w:cs="Times New Roman" w:eastAsia="Times New Roman" w:hint="default"/>
                <w:sz w:val="18"/>
                <w:szCs w:val="18"/>
              </w:rPr>
              <w:t>1</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承诺内容为充分保护上市公司的利益，</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作为先河环保的控股股东及实际控制人</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李玉国先生承诺：</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、本人将善意履行作</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为先河环保的实际控制人的义务，充分</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尊重先河环保的独立法人地位，保障先</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河环保独立经营、自主决策。本人将严</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格按照中国《公司法》以及先河环保公</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9"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1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司章程的规定，依法行使本人作为先河</w:t>
            </w:r>
          </w:p>
        </w:tc>
        <w:tc>
          <w:tcPr>
            <w:tcW w:w="85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91.029999pt;margin-top:72.475983pt;width:48.25pt;height:686.5pt;mso-position-horizontal-relative:page;mso-position-vertical-relative:page;z-index:-10581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1"/>
                      <w:szCs w:val="21"/>
                    </w:rPr>
                  </w:pPr>
                </w:p>
                <w:p>
                  <w:pPr>
                    <w:pStyle w:val="BodyText"/>
                    <w:spacing w:line="240" w:lineRule="auto"/>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7"/>
                      <w:szCs w:val="17"/>
                    </w:rPr>
                  </w:pPr>
                </w:p>
                <w:p>
                  <w:pPr>
                    <w:pStyle w:val="BodyText"/>
                    <w:spacing w:line="240" w:lineRule="auto"/>
                    <w:ind w:left="2"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277"/>
        <w:gridCol w:w="991"/>
        <w:gridCol w:w="3118"/>
        <w:gridCol w:w="852"/>
        <w:gridCol w:w="992"/>
        <w:gridCol w:w="919"/>
      </w:tblGrid>
      <w:tr>
        <w:trPr>
          <w:trHeight w:val="315"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31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环保股东的权利，并按照在先河环保所</w:t>
            </w:r>
          </w:p>
        </w:tc>
        <w:tc>
          <w:tcPr>
            <w:tcW w:w="852" w:type="dxa"/>
            <w:vMerge w:val="restart"/>
            <w:tcBorders>
              <w:top w:val="single" w:sz="4" w:space="0" w:color="000000"/>
              <w:left w:val="single" w:sz="4" w:space="0" w:color="000000"/>
              <w:right w:val="single" w:sz="4" w:space="0" w:color="000000"/>
            </w:tcBorders>
          </w:tcPr>
          <w:p>
            <w:pPr>
              <w:pStyle w:val="TableParagraph"/>
              <w:spacing w:line="13730"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42pt;height:686.5pt;mso-position-horizontal-relative:char;mso-position-vertical-relative:line" coordorigin="0,0" coordsize="840,13730">
                  <v:group style="position:absolute;left:0;top:0;width:840;height:13730" coordorigin="0,0" coordsize="840,13730">
                    <v:shape style="position:absolute;left:0;top:0;width:840;height:13730" coordorigin="0,0" coordsize="840,13730" path="m0,13730l840,13730,840,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992"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任职务（如有）依法行使相应职权，履</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行诚信和勤勉义务，并促使由本人提名</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的先河环保董事依法履行其应尽的诚信</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pacing w:val="-5"/>
                <w:sz w:val="18"/>
                <w:szCs w:val="18"/>
              </w:rPr>
              <w:t>和勤勉义务。</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、保证本人以及本人控股</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或实际控制的公司或者其他企业或经济</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组</w:t>
            </w:r>
            <w:r>
              <w:rPr>
                <w:rFonts w:ascii="宋体" w:hAnsi="宋体" w:cs="宋体" w:eastAsia="宋体" w:hint="default"/>
                <w:spacing w:val="-44"/>
                <w:sz w:val="18"/>
                <w:szCs w:val="18"/>
              </w:rPr>
              <w:t>织</w:t>
            </w:r>
            <w:r>
              <w:rPr>
                <w:rFonts w:ascii="宋体" w:hAnsi="宋体" w:cs="宋体" w:eastAsia="宋体" w:hint="default"/>
                <w:sz w:val="18"/>
                <w:szCs w:val="18"/>
              </w:rPr>
              <w:t>（以下统称本人控制的企业</w:t>
            </w:r>
            <w:r>
              <w:rPr>
                <w:rFonts w:ascii="宋体" w:hAnsi="宋体" w:cs="宋体" w:eastAsia="宋体" w:hint="default"/>
                <w:spacing w:val="-92"/>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今后</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原则上不与先河环保发生关联交易。如</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果先河环保在今后的经营活动中必须与</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本人或本人控制的企业发生不可避免的</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关联交易，本人将促使此等交易严格按</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照国家有关法律法规、先河环保的章程</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和有关规定履行有关程序，并按照正常</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的商业条件进行，且保证本人及本人控</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制的企业将不会要求或接受先河环保给</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予比在任何一项市场公平交易中第三者</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更优惠的条件。并且保证不利用股东地</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位，就先河环保与本人或本人控制的企</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业相关的任何关联交易采取任何行动，</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故意促使先河环保的股东大会或董事会</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9"/>
              <w:jc w:val="center"/>
              <w:rPr>
                <w:rFonts w:ascii="Times New Roman" w:hAnsi="Times New Roman" w:cs="Times New Roman" w:eastAsia="Times New Roman" w:hint="default"/>
                <w:sz w:val="18"/>
                <w:szCs w:val="18"/>
              </w:rPr>
            </w:pPr>
            <w:r>
              <w:rPr>
                <w:rFonts w:ascii="宋体" w:hAnsi="宋体" w:cs="宋体" w:eastAsia="宋体" w:hint="default"/>
                <w:sz w:val="18"/>
                <w:szCs w:val="18"/>
              </w:rPr>
              <w:t>作出侵犯其他股东合法权益的决议。</w:t>
            </w:r>
            <w:r>
              <w:rPr>
                <w:rFonts w:ascii="Times New Roman" w:hAnsi="Times New Roman" w:cs="Times New Roman" w:eastAsia="Times New Roman" w:hint="default"/>
                <w:sz w:val="18"/>
                <w:szCs w:val="18"/>
              </w:rPr>
              <w:t>3</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保证本人及本人控制的企业将严格和善</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意地履行其与先河环保签订的各种关联</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交易协议。本人及本人控制的企业将不</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会向先河环保谋求任何超出该等协议规</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pacing w:val="-5"/>
                <w:sz w:val="18"/>
                <w:szCs w:val="18"/>
              </w:rPr>
              <w:t>定以外的利益或收益。</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、如果本人违反</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上述承诺，先河环保有权要求本人及本</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人控制的企业规范相应的交易行为，并</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将已经从交易中获得的利益、收益以现</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金的方式补偿给先河环保，且本人将促</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使本人控制的企业（如需）按照先河环</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保要求实施补偿；如因违反上述承诺造</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成先河环保经济损失的，本人将赔偿并</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促使本人控制的企业赔偿先河环保因此</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受到的全部损失</w:t>
            </w:r>
            <w:r>
              <w:rPr>
                <w:rFonts w:ascii="宋体" w:hAnsi="宋体" w:cs="宋体" w:eastAsia="宋体" w:hint="default"/>
                <w:spacing w:val="-89"/>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pacing w:val="-89"/>
                <w:sz w:val="18"/>
                <w:szCs w:val="18"/>
              </w:rPr>
              <w:t>、</w:t>
            </w:r>
            <w:r>
              <w:rPr>
                <w:rFonts w:ascii="宋体" w:hAnsi="宋体" w:cs="宋体" w:eastAsia="宋体" w:hint="default"/>
                <w:sz w:val="18"/>
                <w:szCs w:val="18"/>
              </w:rPr>
              <w:t>本人未能</w:t>
            </w:r>
            <w:r>
              <w:rPr>
                <w:rFonts w:ascii="宋体" w:hAnsi="宋体" w:cs="宋体" w:eastAsia="宋体" w:hint="default"/>
                <w:spacing w:val="-3"/>
                <w:sz w:val="18"/>
                <w:szCs w:val="18"/>
              </w:rPr>
              <w:t>履</w:t>
            </w:r>
            <w:r>
              <w:rPr>
                <w:rFonts w:ascii="宋体" w:hAnsi="宋体" w:cs="宋体" w:eastAsia="宋体" w:hint="default"/>
                <w:sz w:val="18"/>
                <w:szCs w:val="18"/>
              </w:rPr>
              <w:t>行</w:t>
            </w:r>
            <w:r>
              <w:rPr>
                <w:rFonts w:ascii="宋体" w:hAnsi="宋体" w:cs="宋体" w:eastAsia="宋体" w:hint="default"/>
                <w:spacing w:val="-89"/>
                <w:sz w:val="18"/>
                <w:szCs w:val="18"/>
              </w:rPr>
              <w:t>第</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项所述的规范交易、补偿、赔偿等承诺</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的，则先河环保有权相应扣减应付本人</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的现金分红和应付本人的税后薪酬抵作</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2"/>
              <w:jc w:val="center"/>
              <w:rPr>
                <w:rFonts w:ascii="Times New Roman" w:hAnsi="Times New Roman" w:cs="Times New Roman" w:eastAsia="Times New Roman" w:hint="default"/>
                <w:sz w:val="18"/>
                <w:szCs w:val="18"/>
              </w:rPr>
            </w:pPr>
            <w:r>
              <w:rPr>
                <w:rFonts w:ascii="宋体" w:hAnsi="宋体" w:cs="宋体" w:eastAsia="宋体" w:hint="default"/>
                <w:sz w:val="18"/>
                <w:szCs w:val="18"/>
              </w:rPr>
              <w:t>补偿、赔偿或者作为促使本人履行第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项所述承诺的措施，且在第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项所述承</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诺全部履行完成前，本人亦不转让本人</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所直接或间接所持的先河环保的股份，</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但为履行第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项所述承诺而进行转让的</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4"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1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pacing w:val="-5"/>
                <w:sz w:val="18"/>
                <w:szCs w:val="18"/>
              </w:rPr>
              <w:t>除外。</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、本承诺函所述承诺事项已经本</w:t>
            </w:r>
          </w:p>
        </w:tc>
        <w:tc>
          <w:tcPr>
            <w:tcW w:w="85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47.009995pt;margin-top:72.47998pt;width:192.3pt;height:173.7pt;mso-position-horizontal-relative:page;mso-position-vertical-relative:page;z-index:-10580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9"/>
                      <w:szCs w:val="19"/>
                    </w:rPr>
                  </w:pPr>
                </w:p>
                <w:p>
                  <w:pPr>
                    <w:pStyle w:val="BodyText"/>
                    <w:spacing w:line="240" w:lineRule="auto"/>
                    <w:ind w:left="2340" w:right="0"/>
                    <w:jc w:val="left"/>
                  </w:pPr>
                  <w:r>
                    <w:rPr/>
                    <w:t>众公司；</w:t>
                  </w:r>
                </w:p>
                <w:p>
                  <w:pPr>
                    <w:pStyle w:val="BodyText"/>
                    <w:spacing w:line="240" w:lineRule="auto" w:before="76"/>
                    <w:ind w:left="0" w:right="0"/>
                    <w:jc w:val="left"/>
                  </w:pPr>
                  <w:r>
                    <w:rPr/>
                    <w:t>）依据先河环保所应遵守的相关规则，</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277"/>
        <w:gridCol w:w="991"/>
        <w:gridCol w:w="3118"/>
        <w:gridCol w:w="852"/>
        <w:gridCol w:w="992"/>
        <w:gridCol w:w="919"/>
      </w:tblGrid>
      <w:tr>
        <w:trPr>
          <w:trHeight w:val="315"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31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人确认，为本人的真实意思表示，对本</w:t>
            </w:r>
          </w:p>
        </w:tc>
        <w:tc>
          <w:tcPr>
            <w:tcW w:w="852" w:type="dxa"/>
            <w:vMerge w:val="restart"/>
            <w:tcBorders>
              <w:top w:val="single" w:sz="4" w:space="0" w:color="000000"/>
              <w:left w:val="single" w:sz="4" w:space="0" w:color="000000"/>
              <w:right w:val="single" w:sz="4" w:space="0" w:color="000000"/>
            </w:tcBorders>
          </w:tcPr>
          <w:p>
            <w:pPr>
              <w:pStyle w:val="TableParagraph"/>
              <w:spacing w:line="3473"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8"/>
                <w:sz w:val="20"/>
                <w:szCs w:val="20"/>
              </w:rPr>
              <w:pict>
                <v:group style="width:42pt;height:173.7pt;mso-position-horizontal-relative:char;mso-position-vertical-relative:line" coordorigin="0,0" coordsize="840,3474">
                  <v:group style="position:absolute;left:0;top:0;width:840;height:3474" coordorigin="0,0" coordsize="840,3474">
                    <v:shape style="position:absolute;left:0;top:0;width:840;height:3474" coordorigin="0,0" coordsize="840,3474" path="m0,3473l840,3473,840,0,0,0,0,3473xe" filled="true" fillcolor="#ffffff" stroked="false">
                      <v:path arrowok="t"/>
                      <v:fill type="solid"/>
                    </v:shape>
                  </v:group>
                </v:group>
              </w:pict>
            </w:r>
            <w:r>
              <w:rPr>
                <w:rFonts w:ascii="Times New Roman" w:hAnsi="Times New Roman" w:cs="Times New Roman" w:eastAsia="Times New Roman" w:hint="default"/>
                <w:position w:val="-68"/>
                <w:sz w:val="20"/>
                <w:szCs w:val="20"/>
              </w:rPr>
            </w:r>
          </w:p>
        </w:tc>
        <w:tc>
          <w:tcPr>
            <w:tcW w:w="992"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人具有法律约束力。本人自愿接受监管</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机关、社会公众及投资者的监督，积极</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采取合法措施履行本承诺，并依法承担</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相应责任。</w:t>
            </w: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、本承诺函自签署之日起生</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效并持续有效，自生效之日起，即取代</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此前本人就本承诺函项下的事项所作出</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的承诺，但本承诺函自下列较早时间起</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2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不再有效</w:t>
            </w:r>
            <w:r>
              <w:rPr>
                <w:rFonts w:ascii="宋体" w:hAnsi="宋体" w:cs="宋体" w:eastAsia="宋体" w:hint="default"/>
                <w:spacing w:val="-89"/>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89"/>
                <w:sz w:val="18"/>
                <w:szCs w:val="18"/>
              </w:rPr>
              <w:t>）</w:t>
            </w:r>
            <w:r>
              <w:rPr>
                <w:rFonts w:ascii="宋体" w:hAnsi="宋体" w:cs="宋体" w:eastAsia="宋体" w:hint="default"/>
                <w:sz w:val="18"/>
                <w:szCs w:val="18"/>
              </w:rPr>
              <w:t>先河环保不再是公</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z w:val="18"/>
              </w:rPr>
              <w:t>2</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55"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1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本人不再是先河环保的关联方。</w:t>
            </w:r>
          </w:p>
        </w:tc>
        <w:tc>
          <w:tcPr>
            <w:tcW w:w="85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r>
      <w:tr>
        <w:trPr>
          <w:trHeight w:val="356" w:hRule="exact"/>
        </w:trPr>
        <w:tc>
          <w:tcPr>
            <w:tcW w:w="1418"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31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一、若政府主管部门追缴科迪隆及其子</w:t>
            </w:r>
          </w:p>
        </w:tc>
        <w:tc>
          <w:tcPr>
            <w:tcW w:w="85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公司、广西先得及其子公司在科迪隆以</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及广西先得</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股权交割日（科迪隆以</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及广西先得</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股权办理完毕过户至先</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未发生违</w:t>
            </w:r>
          </w:p>
        </w:tc>
      </w:tr>
      <w:tr>
        <w:trPr>
          <w:trHeight w:val="624"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梁常清</w:t>
            </w:r>
            <w:r>
              <w:rPr>
                <w:rFonts w:ascii="Times New Roman" w:hAnsi="Times New Roman" w:cs="Times New Roman" w:eastAsia="Times New Roman" w:hint="default"/>
                <w:sz w:val="18"/>
                <w:szCs w:val="18"/>
              </w:rPr>
              <w:t>;</w:t>
            </w:r>
            <w:r>
              <w:rPr>
                <w:rFonts w:ascii="宋体" w:hAnsi="宋体" w:cs="宋体" w:eastAsia="宋体" w:hint="default"/>
                <w:sz w:val="18"/>
                <w:szCs w:val="18"/>
              </w:rPr>
              <w:t>梁宝欣</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2"/>
              <w:jc w:val="left"/>
              <w:rPr>
                <w:rFonts w:ascii="宋体" w:hAnsi="宋体" w:cs="宋体" w:eastAsia="宋体" w:hint="default"/>
                <w:sz w:val="18"/>
                <w:szCs w:val="18"/>
              </w:rPr>
            </w:pPr>
            <w:r>
              <w:rPr>
                <w:rFonts w:ascii="宋体" w:hAnsi="宋体" w:cs="宋体" w:eastAsia="宋体" w:hint="default"/>
                <w:sz w:val="18"/>
                <w:szCs w:val="18"/>
              </w:rPr>
              <w:t>河环保的工商变更登记手续之日）前发 生的应缴税款，科迪隆及其子公司、广</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9999-12-31</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163"/>
              <w:jc w:val="left"/>
              <w:rPr>
                <w:rFonts w:ascii="宋体" w:hAnsi="宋体" w:cs="宋体" w:eastAsia="宋体" w:hint="default"/>
                <w:sz w:val="18"/>
                <w:szCs w:val="18"/>
              </w:rPr>
            </w:pPr>
            <w:r>
              <w:rPr>
                <w:rFonts w:ascii="宋体" w:hAnsi="宋体" w:cs="宋体" w:eastAsia="宋体" w:hint="default"/>
                <w:sz w:val="18"/>
                <w:szCs w:val="18"/>
              </w:rPr>
              <w:t>反承诺的 事项和行</w:t>
            </w: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西先得及其子公司缴纳上述税款及相应</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为。</w:t>
            </w: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滞纳金、罚金后，由梁常清、梁宝欣按</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照各自的持股比例给予科迪隆及其子公</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31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司、广西先得及其子公司足额补偿。</w:t>
            </w:r>
          </w:p>
        </w:tc>
        <w:tc>
          <w:tcPr>
            <w:tcW w:w="85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31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本公司实际控制人、控股股东李玉国承</w:t>
            </w:r>
          </w:p>
        </w:tc>
        <w:tc>
          <w:tcPr>
            <w:tcW w:w="85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本公司实</w:t>
            </w:r>
          </w:p>
        </w:tc>
      </w:tr>
      <w:tr>
        <w:trPr>
          <w:trHeight w:val="317"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诺：自发行人股票上市交易之日起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36</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15"/>
              <w:jc w:val="left"/>
              <w:rPr>
                <w:rFonts w:ascii="宋体" w:hAnsi="宋体" w:cs="宋体" w:eastAsia="宋体" w:hint="default"/>
                <w:sz w:val="18"/>
                <w:szCs w:val="18"/>
              </w:rPr>
            </w:pPr>
            <w:r>
              <w:rPr>
                <w:rFonts w:ascii="宋体" w:hAnsi="宋体" w:cs="宋体" w:eastAsia="宋体" w:hint="default"/>
                <w:sz w:val="18"/>
                <w:szCs w:val="18"/>
              </w:rPr>
              <w:t>际控制人、</w:t>
            </w:r>
          </w:p>
        </w:tc>
      </w:tr>
      <w:tr>
        <w:trPr>
          <w:trHeight w:val="307"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个月内，不转让或者委托他人管理其直</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控股股东</w:t>
            </w:r>
          </w:p>
        </w:tc>
      </w:tr>
      <w:tr>
        <w:trPr>
          <w:trHeight w:val="936"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2"/>
              <w:jc w:val="both"/>
              <w:rPr>
                <w:rFonts w:ascii="宋体" w:hAnsi="宋体" w:cs="宋体" w:eastAsia="宋体" w:hint="default"/>
                <w:sz w:val="18"/>
                <w:szCs w:val="18"/>
              </w:rPr>
            </w:pPr>
            <w:r>
              <w:rPr>
                <w:rFonts w:ascii="宋体" w:hAnsi="宋体" w:cs="宋体" w:eastAsia="宋体" w:hint="default"/>
                <w:sz w:val="18"/>
                <w:szCs w:val="18"/>
              </w:rPr>
              <w:t>接和间接持有的发行人股份，也不由发 行人收购该部分股份；在其任职期间每 年转让的股份不超过其直接或间接持有</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Times New Roman" w:hAnsi="Times New Roman" w:cs="Times New Roman" w:eastAsia="Times New Roman" w:hint="default"/>
                <w:sz w:val="18"/>
                <w:szCs w:val="18"/>
              </w:rPr>
            </w:pPr>
            <w:r>
              <w:rPr>
                <w:rFonts w:ascii="Times New Roman"/>
                <w:sz w:val="18"/>
              </w:rPr>
              <w:t>2013-11-05</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
              <w:jc w:val="left"/>
              <w:rPr>
                <w:rFonts w:ascii="宋体" w:hAnsi="宋体" w:cs="宋体" w:eastAsia="宋体" w:hint="default"/>
                <w:sz w:val="18"/>
                <w:szCs w:val="18"/>
              </w:rPr>
            </w:pPr>
            <w:r>
              <w:rPr>
                <w:rFonts w:ascii="宋体" w:hAnsi="宋体" w:cs="宋体" w:eastAsia="宋体" w:hint="default"/>
                <w:sz w:val="18"/>
                <w:szCs w:val="18"/>
              </w:rPr>
              <w:t>李玉国严 格遵守上 </w:t>
            </w:r>
            <w:r>
              <w:rPr>
                <w:rFonts w:ascii="宋体" w:hAnsi="宋体" w:cs="宋体" w:eastAsia="宋体" w:hint="default"/>
                <w:spacing w:val="-8"/>
                <w:sz w:val="18"/>
                <w:szCs w:val="18"/>
              </w:rPr>
              <w:t>述承诺，未</w:t>
            </w:r>
          </w:p>
        </w:tc>
      </w:tr>
      <w:tr>
        <w:trPr>
          <w:trHeight w:val="31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的发行人股份总数的百分之二十五，离</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发现违反</w:t>
            </w:r>
          </w:p>
        </w:tc>
      </w:tr>
      <w:tr>
        <w:trPr>
          <w:trHeight w:val="31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职后半年内，不转让其直接或者间接持</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上述承诺</w:t>
            </w:r>
          </w:p>
        </w:tc>
      </w:tr>
      <w:tr>
        <w:trPr>
          <w:trHeight w:val="360"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31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有的发行人股份。</w:t>
            </w:r>
          </w:p>
        </w:tc>
        <w:tc>
          <w:tcPr>
            <w:tcW w:w="85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735"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0" w:lineRule="atLeast" w:before="116"/>
              <w:ind w:left="22" w:right="123"/>
              <w:jc w:val="left"/>
              <w:rPr>
                <w:rFonts w:ascii="宋体" w:hAnsi="宋体" w:cs="宋体" w:eastAsia="宋体" w:hint="default"/>
                <w:sz w:val="18"/>
                <w:szCs w:val="18"/>
              </w:rPr>
            </w:pPr>
            <w:r>
              <w:rPr>
                <w:rFonts w:ascii="宋体" w:hAnsi="宋体" w:cs="宋体" w:eastAsia="宋体" w:hint="default"/>
                <w:sz w:val="18"/>
                <w:szCs w:val="18"/>
              </w:rPr>
              <w:t>首次公开发行或 再融资时所作承</w:t>
            </w:r>
          </w:p>
        </w:tc>
        <w:tc>
          <w:tcPr>
            <w:tcW w:w="1277"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3118"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范朝承诺：自发行人股票上市交易之日 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个月内，不转让或者委托他人管</w:t>
            </w:r>
          </w:p>
        </w:tc>
        <w:tc>
          <w:tcPr>
            <w:tcW w:w="85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范朝严格</w:t>
            </w:r>
          </w:p>
        </w:tc>
      </w:tr>
      <w:tr>
        <w:trPr>
          <w:trHeight w:val="31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理其直接和间接持有的发行人股份，也</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遵守上述</w:t>
            </w:r>
          </w:p>
        </w:tc>
      </w:tr>
      <w:tr>
        <w:trPr>
          <w:trHeight w:val="56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left="23"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股份限售承</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不由发行人收购该部分股份；在其任职</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期间每年转让的股份不超过其直接或间</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41"/>
              <w:ind w:left="24" w:right="0"/>
              <w:jc w:val="left"/>
              <w:rPr>
                <w:rFonts w:ascii="Times New Roman" w:hAnsi="Times New Roman" w:cs="Times New Roman" w:eastAsia="Times New Roman" w:hint="default"/>
                <w:sz w:val="18"/>
                <w:szCs w:val="18"/>
              </w:rPr>
            </w:pPr>
            <w:r>
              <w:rPr>
                <w:rFonts w:ascii="Times New Roman"/>
                <w:sz w:val="18"/>
              </w:rPr>
              <w:t>2013-11-05</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pacing w:val="-8"/>
                <w:sz w:val="18"/>
                <w:szCs w:val="18"/>
              </w:rPr>
              <w:t>承诺，未发</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现违反上</w:t>
            </w:r>
          </w:p>
        </w:tc>
      </w:tr>
      <w:tr>
        <w:trPr>
          <w:trHeight w:val="307"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接持有的发行人股份总数的百分之二十</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述承诺情</w:t>
            </w:r>
          </w:p>
        </w:tc>
      </w:tr>
      <w:tr>
        <w:trPr>
          <w:trHeight w:val="31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五，离职后半年内，不转让其直接或者</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57"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31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间接持有的发行人股份。</w:t>
            </w:r>
          </w:p>
        </w:tc>
        <w:tc>
          <w:tcPr>
            <w:tcW w:w="85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31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陈荣强承诺：自发行人股票上市交易之</w:t>
            </w:r>
          </w:p>
        </w:tc>
        <w:tc>
          <w:tcPr>
            <w:tcW w:w="85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陈荣强严</w:t>
            </w:r>
          </w:p>
        </w:tc>
      </w:tr>
      <w:tr>
        <w:trPr>
          <w:trHeight w:val="936"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55"/>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3" w:right="22"/>
              <w:jc w:val="both"/>
              <w:rPr>
                <w:rFonts w:ascii="宋体" w:hAnsi="宋体" w:cs="宋体" w:eastAsia="宋体" w:hint="default"/>
                <w:sz w:val="18"/>
                <w:szCs w:val="18"/>
              </w:rPr>
            </w:pPr>
            <w:r>
              <w:rPr>
                <w:rFonts w:ascii="宋体" w:hAnsi="宋体" w:cs="宋体" w:eastAsia="宋体" w:hint="default"/>
                <w:sz w:val="18"/>
                <w:szCs w:val="18"/>
              </w:rPr>
              <w:t>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个月内，不转让或者委托他人 管理其直接和间接持有的发行人股份， 也不由发行人收购该部分股份；在其任</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4" w:right="0"/>
              <w:jc w:val="left"/>
              <w:rPr>
                <w:rFonts w:ascii="Times New Roman" w:hAnsi="Times New Roman" w:cs="Times New Roman" w:eastAsia="Times New Roman" w:hint="default"/>
                <w:sz w:val="18"/>
                <w:szCs w:val="18"/>
              </w:rPr>
            </w:pPr>
            <w:r>
              <w:rPr>
                <w:rFonts w:ascii="Times New Roman"/>
                <w:sz w:val="18"/>
              </w:rPr>
              <w:t>2013-11-05</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
              <w:jc w:val="left"/>
              <w:rPr>
                <w:rFonts w:ascii="宋体" w:hAnsi="宋体" w:cs="宋体" w:eastAsia="宋体" w:hint="default"/>
                <w:sz w:val="18"/>
                <w:szCs w:val="18"/>
              </w:rPr>
            </w:pPr>
            <w:r>
              <w:rPr>
                <w:rFonts w:ascii="宋体" w:hAnsi="宋体" w:cs="宋体" w:eastAsia="宋体" w:hint="default"/>
                <w:sz w:val="18"/>
                <w:szCs w:val="18"/>
              </w:rPr>
              <w:t>格遵守上 </w:t>
            </w:r>
            <w:r>
              <w:rPr>
                <w:rFonts w:ascii="宋体" w:hAnsi="宋体" w:cs="宋体" w:eastAsia="宋体" w:hint="default"/>
                <w:spacing w:val="-8"/>
                <w:sz w:val="18"/>
                <w:szCs w:val="18"/>
              </w:rPr>
              <w:t>述承诺，未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发现违反</w:t>
            </w:r>
          </w:p>
        </w:tc>
      </w:tr>
      <w:tr>
        <w:trPr>
          <w:trHeight w:val="319"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31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职期间每年转让的股份不超过其直接或</w:t>
            </w:r>
          </w:p>
        </w:tc>
        <w:tc>
          <w:tcPr>
            <w:tcW w:w="85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上述承诺</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73.013pt;margin-top:211.579987pt;width:66.3pt;height:54.6pt;mso-position-horizontal-relative:page;mso-position-vertical-relative:page;z-index:-10580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0"/>
                      <w:szCs w:val="20"/>
                    </w:rPr>
                  </w:pPr>
                </w:p>
                <w:p>
                  <w:pPr>
                    <w:pStyle w:val="BodyText"/>
                    <w:spacing w:line="240" w:lineRule="auto"/>
                    <w:ind w:left="0" w:right="0"/>
                    <w:jc w:val="left"/>
                  </w:pPr>
                  <w:r>
                    <w:rPr/>
                    <w:t>业务、</w:t>
                  </w:r>
                </w:p>
              </w:txbxContent>
            </v:textbox>
            <w10:wrap type="none"/>
          </v:shape>
        </w:pict>
      </w:r>
      <w:r>
        <w:rPr/>
        <w:pict>
          <v:shape style="position:absolute;margin-left:292.010010pt;margin-top:266.669983pt;width:147.3pt;height:156.050pt;mso-position-horizontal-relative:page;mso-position-vertical-relative:page;z-index:-10580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2"/>
                      <w:szCs w:val="22"/>
                    </w:rPr>
                  </w:pPr>
                </w:p>
                <w:p>
                  <w:pPr>
                    <w:pStyle w:val="BodyText"/>
                    <w:spacing w:line="240" w:lineRule="auto"/>
                    <w:ind w:left="0" w:right="0"/>
                    <w:jc w:val="left"/>
                  </w:pPr>
                  <w:r>
                    <w:rPr/>
                    <w:t>以上股份的股东以及董事、</w:t>
                  </w:r>
                </w:p>
              </w:txbxContent>
            </v:textbox>
            <w10:wrap type="none"/>
          </v:shape>
        </w:pict>
      </w:r>
      <w:r>
        <w:rPr/>
        <w:pict>
          <v:shape style="position:absolute;margin-left:355.013pt;margin-top:614.476013pt;width:84.3pt;height:54.65pt;mso-position-horizontal-relative:page;mso-position-vertical-relative:page;z-index:-1058008" type="#_x0000_t202" filled="false" stroked="false">
            <v:textbox inset="0,0,0,0">
              <w:txbxContent>
                <w:p>
                  <w:pPr>
                    <w:pStyle w:val="BodyText"/>
                    <w:spacing w:line="240" w:lineRule="auto" w:before="68"/>
                    <w:ind w:left="0" w:right="0"/>
                    <w:jc w:val="left"/>
                  </w:pPr>
                  <w:r>
                    <w:rPr/>
                    <w:t>红塔创投、</w:t>
                  </w:r>
                </w:p>
              </w:txbxContent>
            </v:textbox>
            <w10:wrap type="none"/>
          </v:shape>
        </w:pict>
      </w:r>
      <w:r>
        <w:rPr/>
        <w:pict>
          <v:group style="position:absolute;margin-left:397.269989pt;margin-top:211.579987pt;width:42pt;height:211.15pt;mso-position-horizontal-relative:page;mso-position-vertical-relative:page;z-index:-1057984" coordorigin="7945,4232" coordsize="840,4223">
            <v:group style="position:absolute;left:7945;top:4232;width:840;height:1092" coordorigin="7945,4232" coordsize="840,1092">
              <v:shape style="position:absolute;left:7945;top:4232;width:840;height:1092" coordorigin="7945,4232" coordsize="840,1092" path="m7945,5324l8785,5324,8785,4232,7945,4232,7945,5324xe" filled="true" fillcolor="#ffffff" stroked="false">
                <v:path arrowok="t"/>
                <v:fill type="solid"/>
              </v:shape>
            </v:group>
            <v:group style="position:absolute;left:7945;top:5333;width:840;height:3121" coordorigin="7945,5333" coordsize="840,3121">
              <v:shape style="position:absolute;left:7945;top:5333;width:840;height:3121" coordorigin="7945,5333" coordsize="840,3121" path="m7945,8454l8785,8454,8785,5333,7945,5333,7945,8454xe" filled="true" fillcolor="#ffffff" stroked="false">
                <v:path arrowok="t"/>
                <v:fill type="solid"/>
              </v:shape>
            </v:group>
            <w10:wrap type="none"/>
          </v:group>
        </w:pict>
      </w:r>
      <w:r>
        <w:rPr/>
        <w:pict>
          <v:group style="position:absolute;margin-left:397.269989pt;margin-top:614.476013pt;width:42pt;height:54.65pt;mso-position-horizontal-relative:page;mso-position-vertical-relative:page;z-index:-1057960" coordorigin="7945,12290" coordsize="840,1093">
            <v:shape style="position:absolute;left:7945;top:12290;width:840;height:1093" coordorigin="7945,12290" coordsize="840,1093" path="m7945,13382l8785,13382,8785,12290,7945,12290,7945,1338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277"/>
        <w:gridCol w:w="991"/>
        <w:gridCol w:w="3118"/>
        <w:gridCol w:w="852"/>
        <w:gridCol w:w="992"/>
        <w:gridCol w:w="919"/>
      </w:tblGrid>
      <w:tr>
        <w:trPr>
          <w:trHeight w:val="315"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31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间接持有的发行人股份总数的百分之二</w:t>
            </w:r>
          </w:p>
        </w:tc>
        <w:tc>
          <w:tcPr>
            <w:tcW w:w="852"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十五，离职后半年内，不转让其直接或</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41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1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者间接持有的发行人股份。</w:t>
            </w:r>
          </w:p>
        </w:tc>
        <w:tc>
          <w:tcPr>
            <w:tcW w:w="85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418"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31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本公司控股股东和实际控制人李玉国出</w:t>
            </w:r>
          </w:p>
        </w:tc>
        <w:tc>
          <w:tcPr>
            <w:tcW w:w="85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公司控股</w:t>
            </w: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具</w:t>
            </w:r>
            <w:r>
              <w:rPr>
                <w:rFonts w:ascii="宋体" w:hAnsi="宋体" w:cs="宋体" w:eastAsia="宋体" w:hint="default"/>
                <w:spacing w:val="-44"/>
                <w:sz w:val="18"/>
                <w:szCs w:val="18"/>
              </w:rPr>
              <w:t>了</w:t>
            </w:r>
            <w:r>
              <w:rPr>
                <w:rFonts w:ascii="宋体" w:hAnsi="宋体" w:cs="宋体" w:eastAsia="宋体" w:hint="default"/>
                <w:sz w:val="18"/>
                <w:szCs w:val="18"/>
              </w:rPr>
              <w:t>《关于避免同业竞争的承诺函</w:t>
            </w:r>
            <w:r>
              <w:rPr>
                <w:rFonts w:ascii="宋体" w:hAnsi="宋体" w:cs="宋体" w:eastAsia="宋体" w:hint="default"/>
                <w:spacing w:val="-92"/>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承</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股东和实</w:t>
            </w: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w:t>
            </w:r>
            <w:r>
              <w:rPr>
                <w:rFonts w:ascii="Times New Roman" w:hAnsi="Times New Roman" w:cs="Times New Roman" w:eastAsia="Times New Roman" w:hint="default"/>
                <w:sz w:val="18"/>
                <w:szCs w:val="18"/>
              </w:rPr>
              <w:t>"</w:t>
            </w:r>
            <w:r>
              <w:rPr>
                <w:rFonts w:ascii="宋体" w:hAnsi="宋体" w:cs="宋体" w:eastAsia="宋体" w:hint="default"/>
                <w:sz w:val="18"/>
                <w:szCs w:val="18"/>
              </w:rPr>
              <w:t>本人在作为先河环保的控股股东或</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际控制人</w:t>
            </w:r>
          </w:p>
        </w:tc>
      </w:tr>
      <w:tr>
        <w:trPr>
          <w:trHeight w:val="931"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55"/>
              <w:jc w:val="both"/>
              <w:rPr>
                <w:rFonts w:ascii="宋体" w:hAnsi="宋体" w:cs="宋体" w:eastAsia="宋体" w:hint="default"/>
                <w:sz w:val="18"/>
                <w:szCs w:val="18"/>
              </w:rPr>
            </w:pPr>
            <w:r>
              <w:rPr>
                <w:rFonts w:ascii="宋体" w:hAnsi="宋体" w:cs="宋体" w:eastAsia="宋体" w:hint="default"/>
                <w:sz w:val="18"/>
                <w:szCs w:val="18"/>
              </w:rPr>
              <w:t>争、关联交 易、资金占 用方面的承</w:t>
            </w: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2"/>
              <w:jc w:val="both"/>
              <w:rPr>
                <w:rFonts w:ascii="宋体" w:hAnsi="宋体" w:cs="宋体" w:eastAsia="宋体" w:hint="default"/>
                <w:sz w:val="18"/>
                <w:szCs w:val="18"/>
              </w:rPr>
            </w:pPr>
            <w:r>
              <w:rPr>
                <w:rFonts w:ascii="宋体" w:hAnsi="宋体" w:cs="宋体" w:eastAsia="宋体" w:hint="default"/>
                <w:sz w:val="18"/>
                <w:szCs w:val="18"/>
              </w:rPr>
              <w:t>实际控制人期间，不会以任何形式从事 对先河环保的生产经营构成或可能构成 同业竞争的业务和经营活动，也不会以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4" w:right="0"/>
              <w:jc w:val="left"/>
              <w:rPr>
                <w:rFonts w:ascii="Times New Roman" w:hAnsi="Times New Roman" w:cs="Times New Roman" w:eastAsia="Times New Roman" w:hint="default"/>
                <w:sz w:val="18"/>
                <w:szCs w:val="18"/>
              </w:rPr>
            </w:pPr>
            <w:r>
              <w:rPr>
                <w:rFonts w:ascii="Times New Roman"/>
                <w:sz w:val="18"/>
              </w:rPr>
              <w:t>9999-12-31</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19"/>
              <w:jc w:val="left"/>
              <w:rPr>
                <w:rFonts w:ascii="宋体" w:hAnsi="宋体" w:cs="宋体" w:eastAsia="宋体" w:hint="default"/>
                <w:sz w:val="18"/>
                <w:szCs w:val="18"/>
              </w:rPr>
            </w:pPr>
            <w:r>
              <w:rPr>
                <w:rFonts w:ascii="宋体" w:hAnsi="宋体" w:cs="宋体" w:eastAsia="宋体" w:hint="default"/>
                <w:sz w:val="18"/>
                <w:szCs w:val="18"/>
              </w:rPr>
              <w:t>李玉国严 格遵守上 </w:t>
            </w:r>
            <w:r>
              <w:rPr>
                <w:rFonts w:ascii="宋体" w:hAnsi="宋体" w:cs="宋体" w:eastAsia="宋体" w:hint="default"/>
                <w:spacing w:val="-8"/>
                <w:sz w:val="18"/>
                <w:szCs w:val="18"/>
              </w:rPr>
              <w:t>述承诺，未</w:t>
            </w: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任何方式为与先河环保竞争的企业、机</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发现违反</w:t>
            </w: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构或其他经济组织提供任何资金、</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上述承诺</w:t>
            </w:r>
          </w:p>
        </w:tc>
      </w:tr>
      <w:tr>
        <w:trPr>
          <w:trHeight w:val="357"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31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技术和管理等方面的帮助</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5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356" w:hRule="exact"/>
        </w:trPr>
        <w:tc>
          <w:tcPr>
            <w:tcW w:w="1418"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31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本公司主要股东及董事、监事、高级管</w:t>
            </w:r>
          </w:p>
        </w:tc>
        <w:tc>
          <w:tcPr>
            <w:tcW w:w="85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理人员关于规范执行关联交易的承诺：</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监事、高级管理人员出具了《关于规范</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执行关联交易的承诺</w:t>
            </w:r>
            <w:r>
              <w:rPr>
                <w:rFonts w:ascii="宋体" w:hAnsi="宋体" w:cs="宋体" w:eastAsia="宋体" w:hint="default"/>
                <w:spacing w:val="-92"/>
                <w:sz w:val="18"/>
                <w:szCs w:val="18"/>
              </w:rPr>
              <w:t>》</w:t>
            </w:r>
            <w:r>
              <w:rPr>
                <w:rFonts w:ascii="宋体" w:hAnsi="宋体" w:cs="宋体" w:eastAsia="宋体" w:hint="default"/>
                <w:sz w:val="18"/>
                <w:szCs w:val="18"/>
              </w:rPr>
              <w:t>，承诺</w:t>
            </w:r>
            <w:r>
              <w:rPr>
                <w:rFonts w:ascii="Times New Roman" w:hAnsi="Times New Roman" w:cs="Times New Roman" w:eastAsia="Times New Roman" w:hint="default"/>
                <w:w w:val="99"/>
                <w:sz w:val="18"/>
                <w:szCs w:val="18"/>
              </w:rPr>
              <w:t>"</w:t>
            </w:r>
            <w:r>
              <w:rPr>
                <w:rFonts w:ascii="宋体" w:hAnsi="宋体" w:cs="宋体" w:eastAsia="宋体" w:hint="default"/>
                <w:sz w:val="18"/>
                <w:szCs w:val="18"/>
              </w:rPr>
              <w:t>本人以及</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739"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00" w:lineRule="auto"/>
              <w:ind w:left="23" w:right="62"/>
              <w:jc w:val="both"/>
              <w:rPr>
                <w:rFonts w:ascii="宋体" w:hAnsi="宋体" w:cs="宋体" w:eastAsia="宋体" w:hint="default"/>
                <w:sz w:val="18"/>
                <w:szCs w:val="18"/>
              </w:rPr>
            </w:pPr>
            <w:r>
              <w:rPr>
                <w:rFonts w:ascii="宋体" w:hAnsi="宋体" w:cs="宋体" w:eastAsia="宋体" w:hint="default"/>
                <w:sz w:val="18"/>
                <w:szCs w:val="18"/>
              </w:rPr>
              <w:t>李玉国</w:t>
            </w:r>
            <w:r>
              <w:rPr>
                <w:rFonts w:ascii="Times New Roman" w:hAnsi="Times New Roman" w:cs="Times New Roman" w:eastAsia="Times New Roman" w:hint="default"/>
                <w:sz w:val="18"/>
                <w:szCs w:val="18"/>
              </w:rPr>
              <w:t>;</w:t>
            </w:r>
            <w:r>
              <w:rPr>
                <w:rFonts w:ascii="宋体" w:hAnsi="宋体" w:cs="宋体" w:eastAsia="宋体" w:hint="default"/>
                <w:sz w:val="18"/>
                <w:szCs w:val="18"/>
              </w:rPr>
              <w:t>陈爱珍</w:t>
            </w:r>
            <w:r>
              <w:rPr>
                <w:rFonts w:ascii="Times New Roman" w:hAnsi="Times New Roman" w:cs="Times New Roman" w:eastAsia="Times New Roman" w:hint="default"/>
                <w:sz w:val="18"/>
                <w:szCs w:val="18"/>
              </w:rPr>
              <w:t>; </w:t>
            </w:r>
            <w:r>
              <w:rPr>
                <w:rFonts w:ascii="宋体" w:hAnsi="宋体" w:cs="宋体" w:eastAsia="宋体" w:hint="default"/>
                <w:sz w:val="18"/>
                <w:szCs w:val="18"/>
              </w:rPr>
              <w:t>陈荣强</w:t>
            </w:r>
            <w:r>
              <w:rPr>
                <w:rFonts w:ascii="Times New Roman" w:hAnsi="Times New Roman" w:cs="Times New Roman" w:eastAsia="Times New Roman" w:hint="default"/>
                <w:sz w:val="18"/>
                <w:szCs w:val="18"/>
              </w:rPr>
              <w:t>;</w:t>
            </w:r>
            <w:r>
              <w:rPr>
                <w:rFonts w:ascii="宋体" w:hAnsi="宋体" w:cs="宋体" w:eastAsia="宋体" w:hint="default"/>
                <w:sz w:val="18"/>
                <w:szCs w:val="18"/>
              </w:rPr>
              <w:t>董岩</w:t>
            </w:r>
            <w:r>
              <w:rPr>
                <w:rFonts w:ascii="Times New Roman" w:hAnsi="Times New Roman" w:cs="Times New Roman" w:eastAsia="Times New Roman" w:hint="default"/>
                <w:sz w:val="18"/>
                <w:szCs w:val="18"/>
              </w:rPr>
              <w:t>;</w:t>
            </w:r>
            <w:r>
              <w:rPr>
                <w:rFonts w:ascii="宋体" w:hAnsi="宋体" w:cs="宋体" w:eastAsia="宋体" w:hint="default"/>
                <w:sz w:val="18"/>
                <w:szCs w:val="18"/>
              </w:rPr>
              <w:t>范 朝</w:t>
            </w:r>
            <w:r>
              <w:rPr>
                <w:rFonts w:ascii="Times New Roman" w:hAnsi="Times New Roman" w:cs="Times New Roman" w:eastAsia="Times New Roman" w:hint="default"/>
                <w:sz w:val="18"/>
                <w:szCs w:val="18"/>
              </w:rPr>
              <w:t>;</w:t>
            </w:r>
            <w:r>
              <w:rPr>
                <w:rFonts w:ascii="宋体" w:hAnsi="宋体" w:cs="宋体" w:eastAsia="宋体" w:hint="default"/>
                <w:sz w:val="18"/>
                <w:szCs w:val="18"/>
              </w:rPr>
              <w:t>庞贵永</w:t>
            </w:r>
            <w:r>
              <w:rPr>
                <w:rFonts w:ascii="Times New Roman" w:hAnsi="Times New Roman" w:cs="Times New Roman" w:eastAsia="Times New Roman" w:hint="default"/>
                <w:sz w:val="18"/>
                <w:szCs w:val="18"/>
              </w:rPr>
              <w:t>;</w:t>
            </w:r>
            <w:r>
              <w:rPr>
                <w:rFonts w:ascii="宋体" w:hAnsi="宋体" w:cs="宋体" w:eastAsia="宋体" w:hint="default"/>
                <w:sz w:val="18"/>
                <w:szCs w:val="18"/>
              </w:rPr>
              <w:t>闫成 德</w:t>
            </w:r>
            <w:r>
              <w:rPr>
                <w:rFonts w:ascii="Times New Roman" w:hAnsi="Times New Roman" w:cs="Times New Roman" w:eastAsia="Times New Roman" w:hint="default"/>
                <w:sz w:val="18"/>
                <w:szCs w:val="18"/>
              </w:rPr>
              <w:t>;</w:t>
            </w:r>
            <w:r>
              <w:rPr>
                <w:rFonts w:ascii="宋体" w:hAnsi="宋体" w:cs="宋体" w:eastAsia="宋体" w:hint="default"/>
                <w:sz w:val="18"/>
                <w:szCs w:val="18"/>
              </w:rPr>
              <w:t>张华</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9" w:lineRule="auto"/>
              <w:ind w:left="23" w:right="55"/>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3" w:right="19"/>
              <w:jc w:val="both"/>
              <w:rPr>
                <w:rFonts w:ascii="宋体" w:hAnsi="宋体" w:cs="宋体" w:eastAsia="宋体" w:hint="default"/>
                <w:sz w:val="18"/>
                <w:szCs w:val="18"/>
              </w:rPr>
            </w:pPr>
            <w:r>
              <w:rPr>
                <w:rFonts w:ascii="宋体" w:hAnsi="宋体" w:cs="宋体" w:eastAsia="宋体" w:hint="default"/>
                <w:sz w:val="18"/>
                <w:szCs w:val="18"/>
              </w:rPr>
              <w:t>本人控股或实际控制的公司或者其他企 </w:t>
            </w:r>
            <w:r>
              <w:rPr>
                <w:rFonts w:ascii="宋体" w:hAnsi="宋体" w:cs="宋体" w:eastAsia="宋体" w:hint="default"/>
                <w:spacing w:val="-4"/>
                <w:w w:val="99"/>
                <w:sz w:val="18"/>
                <w:szCs w:val="18"/>
              </w:rPr>
              <w:t>业或经济组织（以下统称</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本人控制的企</w:t>
            </w:r>
            <w:r>
              <w:rPr>
                <w:rFonts w:ascii="宋体" w:hAnsi="宋体" w:cs="宋体" w:eastAsia="宋体" w:hint="default"/>
                <w:sz w:val="18"/>
                <w:szCs w:val="18"/>
              </w:rPr>
              <w:t> </w:t>
            </w:r>
            <w:r>
              <w:rPr>
                <w:rFonts w:ascii="宋体" w:hAnsi="宋体" w:cs="宋体" w:eastAsia="宋体" w:hint="default"/>
                <w:spacing w:val="-6"/>
                <w:w w:val="99"/>
                <w:sz w:val="18"/>
                <w:szCs w:val="18"/>
              </w:rPr>
              <w:t>业</w:t>
            </w:r>
            <w:r>
              <w:rPr>
                <w:rFonts w:ascii="Times New Roman" w:hAnsi="Times New Roman" w:cs="Times New Roman" w:eastAsia="Times New Roman" w:hint="default"/>
                <w:spacing w:val="-6"/>
                <w:w w:val="99"/>
                <w:sz w:val="18"/>
                <w:szCs w:val="18"/>
              </w:rPr>
              <w:t>"</w:t>
            </w:r>
            <w:r>
              <w:rPr>
                <w:rFonts w:ascii="宋体" w:hAnsi="宋体" w:cs="宋体" w:eastAsia="宋体" w:hint="default"/>
                <w:spacing w:val="-6"/>
                <w:w w:val="99"/>
                <w:sz w:val="18"/>
                <w:szCs w:val="18"/>
              </w:rPr>
              <w:t>），今后原则上不与先河环保发生关</w:t>
            </w:r>
            <w:r>
              <w:rPr>
                <w:rFonts w:ascii="宋体" w:hAnsi="宋体" w:cs="宋体" w:eastAsia="宋体" w:hint="default"/>
                <w:spacing w:val="-74"/>
                <w:w w:val="99"/>
                <w:sz w:val="18"/>
                <w:szCs w:val="18"/>
              </w:rPr>
              <w:t> </w:t>
            </w:r>
            <w:r>
              <w:rPr>
                <w:rFonts w:ascii="宋体" w:hAnsi="宋体" w:cs="宋体" w:eastAsia="宋体" w:hint="default"/>
                <w:spacing w:val="-74"/>
                <w:w w:val="99"/>
                <w:sz w:val="18"/>
                <w:szCs w:val="18"/>
              </w:rPr>
            </w:r>
            <w:r>
              <w:rPr>
                <w:rFonts w:ascii="宋体" w:hAnsi="宋体" w:cs="宋体" w:eastAsia="宋体" w:hint="default"/>
                <w:sz w:val="18"/>
                <w:szCs w:val="18"/>
              </w:rPr>
              <w:t>联交易。如果先河环保在今后的经营活 动中必须与本人或本人控制的企业发生 不可避免的关联交易，本人将促使此等 交易严格按照国家有关法律法规、先河 环保的章程和有关规定履行有关程序， 并按照正常的商业条件进行，且保证本 人及本人控制的企业将不会要求或接受 先河环保给予比在任何一项市场公平交 易中第三者更优惠的条件。并且保证不</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Times New Roman" w:hAnsi="Times New Roman" w:cs="Times New Roman" w:eastAsia="Times New Roman" w:hint="default"/>
                <w:sz w:val="18"/>
                <w:szCs w:val="18"/>
              </w:rPr>
            </w:pPr>
            <w:r>
              <w:rPr>
                <w:rFonts w:ascii="Times New Roman"/>
                <w:sz w:val="18"/>
              </w:rPr>
              <w:t>9999-12-31</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4" w:right="-15"/>
              <w:jc w:val="left"/>
              <w:rPr>
                <w:rFonts w:ascii="宋体" w:hAnsi="宋体" w:cs="宋体" w:eastAsia="宋体" w:hint="default"/>
                <w:sz w:val="18"/>
                <w:szCs w:val="18"/>
              </w:rPr>
            </w:pPr>
            <w:r>
              <w:rPr>
                <w:rFonts w:ascii="宋体" w:hAnsi="宋体" w:cs="宋体" w:eastAsia="宋体" w:hint="default"/>
                <w:sz w:val="18"/>
                <w:szCs w:val="18"/>
              </w:rPr>
              <w:t>持有公司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 份的股东 以及董事、 </w:t>
            </w:r>
            <w:r>
              <w:rPr>
                <w:rFonts w:ascii="宋体" w:hAnsi="宋体" w:cs="宋体" w:eastAsia="宋体" w:hint="default"/>
                <w:spacing w:val="-8"/>
                <w:sz w:val="18"/>
                <w:szCs w:val="18"/>
              </w:rPr>
              <w:t>监事、高级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管理人员 严格遵守 上述承诺， 未发现违 反上述承 诺情况。</w:t>
            </w: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利用股东地位，就先河环保与本人或本</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人控制的企业相关的任何关联交易采取</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任何行动，故意促使先河环保的股东大</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会或董事会做出侵犯其他股东合法权益</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31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的决议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5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
        </w:tc>
      </w:tr>
      <w:tr>
        <w:trPr>
          <w:trHeight w:val="366" w:hRule="exact"/>
        </w:trPr>
        <w:tc>
          <w:tcPr>
            <w:tcW w:w="1418"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北京科桥投资</w:t>
            </w:r>
          </w:p>
        </w:tc>
        <w:tc>
          <w:tcPr>
            <w:tcW w:w="991" w:type="dxa"/>
            <w:tcBorders>
              <w:top w:val="single" w:sz="4" w:space="0" w:color="000000"/>
              <w:left w:val="single" w:sz="4" w:space="0" w:color="000000"/>
              <w:bottom w:val="nil" w:sz="6" w:space="0" w:color="auto"/>
              <w:right w:val="single" w:sz="4" w:space="0" w:color="000000"/>
            </w:tcBorders>
          </w:tcPr>
          <w:p>
            <w:pPr/>
          </w:p>
        </w:tc>
        <w:tc>
          <w:tcPr>
            <w:tcW w:w="31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发行人的法人股东北京科桥、</w:t>
            </w:r>
          </w:p>
        </w:tc>
        <w:tc>
          <w:tcPr>
            <w:tcW w:w="85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left="24" w:right="-15"/>
              <w:jc w:val="left"/>
              <w:rPr>
                <w:rFonts w:ascii="宋体" w:hAnsi="宋体" w:cs="宋体" w:eastAsia="宋体" w:hint="default"/>
                <w:sz w:val="18"/>
                <w:szCs w:val="18"/>
              </w:rPr>
            </w:pPr>
            <w:r>
              <w:rPr>
                <w:rFonts w:ascii="宋体" w:hAnsi="宋体" w:cs="宋体" w:eastAsia="宋体" w:hint="default"/>
                <w:sz w:val="18"/>
                <w:szCs w:val="18"/>
              </w:rPr>
              <w:t>北京科桥、</w:t>
            </w: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顾问有限公司</w:t>
            </w:r>
            <w:r>
              <w:rPr>
                <w:rFonts w:ascii="Times New Roman" w:hAnsi="Times New Roman" w:cs="Times New Roman" w:eastAsia="Times New Roman" w:hint="default"/>
                <w:sz w:val="18"/>
                <w:szCs w:val="18"/>
              </w:rPr>
              <w:t>;</w:t>
            </w: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兴烨创投、正同创投和自然人股东肖水</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15"/>
              <w:jc w:val="left"/>
              <w:rPr>
                <w:rFonts w:ascii="宋体" w:hAnsi="宋体" w:cs="宋体" w:eastAsia="宋体" w:hint="default"/>
                <w:sz w:val="18"/>
                <w:szCs w:val="18"/>
              </w:rPr>
            </w:pPr>
            <w:r>
              <w:rPr>
                <w:rFonts w:ascii="宋体" w:hAnsi="宋体" w:cs="宋体" w:eastAsia="宋体" w:hint="default"/>
                <w:sz w:val="18"/>
                <w:szCs w:val="18"/>
              </w:rPr>
              <w:t>红塔创投、</w:t>
            </w: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上海兴烨创业</w:t>
            </w: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龙均出具下述承诺：本公司（本人）将</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15"/>
              <w:jc w:val="left"/>
              <w:rPr>
                <w:rFonts w:ascii="宋体" w:hAnsi="宋体" w:cs="宋体" w:eastAsia="宋体" w:hint="default"/>
                <w:sz w:val="18"/>
                <w:szCs w:val="18"/>
              </w:rPr>
            </w:pPr>
            <w:r>
              <w:rPr>
                <w:rFonts w:ascii="宋体" w:hAnsi="宋体" w:cs="宋体" w:eastAsia="宋体" w:hint="default"/>
                <w:sz w:val="18"/>
                <w:szCs w:val="18"/>
              </w:rPr>
              <w:t>兴烨创投、</w:t>
            </w:r>
          </w:p>
        </w:tc>
      </w:tr>
      <w:tr>
        <w:trPr>
          <w:trHeight w:val="936"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09" w:lineRule="auto" w:before="1"/>
              <w:ind w:left="23" w:right="111"/>
              <w:jc w:val="both"/>
              <w:rPr>
                <w:rFonts w:ascii="Times New Roman" w:hAnsi="Times New Roman" w:cs="Times New Roman" w:eastAsia="Times New Roman" w:hint="default"/>
                <w:sz w:val="18"/>
                <w:szCs w:val="18"/>
              </w:rPr>
            </w:pPr>
            <w:r>
              <w:rPr>
                <w:rFonts w:ascii="宋体" w:hAnsi="宋体" w:cs="宋体" w:eastAsia="宋体" w:hint="default"/>
                <w:sz w:val="18"/>
                <w:szCs w:val="18"/>
              </w:rPr>
              <w:t>投资有限公司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上海正同创业 投资有限公司</w:t>
            </w:r>
            <w:r>
              <w:rPr>
                <w:rFonts w:ascii="Times New Roman" w:hAnsi="Times New Roman" w:cs="Times New Roman" w:eastAsia="Times New Roman" w:hint="default"/>
                <w:sz w:val="18"/>
                <w:szCs w:val="18"/>
              </w:rPr>
              <w:t>;</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22"/>
              <w:jc w:val="both"/>
              <w:rPr>
                <w:rFonts w:ascii="宋体" w:hAnsi="宋体" w:cs="宋体" w:eastAsia="宋体" w:hint="default"/>
                <w:sz w:val="18"/>
                <w:szCs w:val="18"/>
              </w:rPr>
            </w:pPr>
            <w:r>
              <w:rPr>
                <w:rFonts w:ascii="宋体" w:hAnsi="宋体" w:cs="宋体" w:eastAsia="宋体" w:hint="default"/>
                <w:sz w:val="18"/>
                <w:szCs w:val="18"/>
              </w:rPr>
              <w:t>不以任何方式谋求成为先河环保的控股 股东或实际控制人，不以控制为目的增 持先河环保的股份，不与先河环保的其</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4" w:right="0"/>
              <w:jc w:val="left"/>
              <w:rPr>
                <w:rFonts w:ascii="Times New Roman" w:hAnsi="Times New Roman" w:cs="Times New Roman" w:eastAsia="Times New Roman" w:hint="default"/>
                <w:sz w:val="18"/>
                <w:szCs w:val="18"/>
              </w:rPr>
            </w:pPr>
            <w:r>
              <w:rPr>
                <w:rFonts w:ascii="Times New Roman"/>
                <w:sz w:val="18"/>
              </w:rPr>
              <w:t>9999-12-31</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4" w:right="163"/>
              <w:jc w:val="both"/>
              <w:rPr>
                <w:rFonts w:ascii="宋体" w:hAnsi="宋体" w:cs="宋体" w:eastAsia="宋体" w:hint="default"/>
                <w:sz w:val="18"/>
                <w:szCs w:val="18"/>
              </w:rPr>
            </w:pPr>
            <w:r>
              <w:rPr>
                <w:rFonts w:ascii="宋体" w:hAnsi="宋体" w:cs="宋体" w:eastAsia="宋体" w:hint="default"/>
                <w:sz w:val="18"/>
                <w:szCs w:val="18"/>
              </w:rPr>
              <w:t>正同创投 和自然人 股东肖水</w:t>
            </w: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肖水龙</w:t>
            </w:r>
            <w:r>
              <w:rPr>
                <w:rFonts w:ascii="Times New Roman" w:hAnsi="Times New Roman" w:cs="Times New Roman" w:eastAsia="Times New Roman" w:hint="default"/>
                <w:sz w:val="18"/>
                <w:szCs w:val="18"/>
              </w:rPr>
              <w:t>;</w:t>
            </w:r>
            <w:r>
              <w:rPr>
                <w:rFonts w:ascii="宋体" w:hAnsi="宋体" w:cs="宋体" w:eastAsia="宋体" w:hint="default"/>
                <w:sz w:val="18"/>
                <w:szCs w:val="18"/>
              </w:rPr>
              <w:t>红塔创</w:t>
            </w: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他股东签署与控制权有关的任何协议</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龙严格遵</w:t>
            </w: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新投资股份有</w:t>
            </w:r>
          </w:p>
        </w:tc>
        <w:tc>
          <w:tcPr>
            <w:tcW w:w="991"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（包括但不限于一致行动协议、限制实</w:t>
            </w:r>
          </w:p>
        </w:tc>
        <w:tc>
          <w:tcPr>
            <w:tcW w:w="8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守上述承</w:t>
            </w:r>
          </w:p>
        </w:tc>
      </w:tr>
      <w:tr>
        <w:trPr>
          <w:trHeight w:val="348"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1" w:type="dxa"/>
            <w:tcBorders>
              <w:top w:val="nil" w:sz="6" w:space="0" w:color="auto"/>
              <w:left w:val="single" w:sz="4" w:space="0" w:color="000000"/>
              <w:bottom w:val="single" w:sz="4" w:space="0" w:color="000000"/>
              <w:right w:val="single" w:sz="4" w:space="0" w:color="000000"/>
            </w:tcBorders>
          </w:tcPr>
          <w:p>
            <w:pPr/>
          </w:p>
        </w:tc>
        <w:tc>
          <w:tcPr>
            <w:tcW w:w="31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际控制人行使权利协议</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不</w:t>
            </w:r>
            <w:r>
              <w:rPr>
                <w:rFonts w:ascii="宋体" w:hAnsi="宋体" w:cs="宋体" w:eastAsia="宋体" w:hint="default"/>
                <w:spacing w:val="2"/>
                <w:sz w:val="18"/>
                <w:szCs w:val="18"/>
              </w:rPr>
              <w:t>参</w:t>
            </w:r>
            <w:r>
              <w:rPr>
                <w:rFonts w:ascii="宋体" w:hAnsi="宋体" w:cs="宋体" w:eastAsia="宋体" w:hint="default"/>
                <w:sz w:val="18"/>
                <w:szCs w:val="18"/>
              </w:rPr>
              <w:t>与任何可</w:t>
            </w:r>
          </w:p>
        </w:tc>
        <w:tc>
          <w:tcPr>
            <w:tcW w:w="85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8"/>
                <w:sz w:val="18"/>
                <w:szCs w:val="18"/>
              </w:rPr>
              <w:t>诺，未发现</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01.013pt;margin-top:282.289978pt;width:138.3pt;height:226.25pt;mso-position-horizontal-relative:page;mso-position-vertical-relative:page;z-index:-10579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3"/>
                      <w:szCs w:val="23"/>
                    </w:rPr>
                  </w:pPr>
                </w:p>
                <w:p>
                  <w:pPr>
                    <w:pStyle w:val="BodyText"/>
                    <w:spacing w:line="240" w:lineRule="auto"/>
                    <w:ind w:left="0" w:right="0"/>
                    <w:jc w:val="left"/>
                  </w:pPr>
                  <w:r>
                    <w:rPr/>
                    <w:t>其本人将予以全额补交。</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277"/>
        <w:gridCol w:w="991"/>
        <w:gridCol w:w="3118"/>
        <w:gridCol w:w="852"/>
        <w:gridCol w:w="992"/>
        <w:gridCol w:w="924"/>
      </w:tblGrid>
      <w:tr>
        <w:trPr>
          <w:trHeight w:val="675"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2"/>
              <w:jc w:val="left"/>
              <w:rPr>
                <w:rFonts w:ascii="宋体" w:hAnsi="宋体" w:cs="宋体" w:eastAsia="宋体" w:hint="default"/>
                <w:sz w:val="18"/>
                <w:szCs w:val="18"/>
              </w:rPr>
            </w:pPr>
            <w:r>
              <w:rPr>
                <w:rFonts w:ascii="宋体" w:hAnsi="宋体" w:cs="宋体" w:eastAsia="宋体" w:hint="default"/>
                <w:sz w:val="18"/>
                <w:szCs w:val="18"/>
              </w:rPr>
              <w:t>能影响李玉国作为先河环保实际控制人 地位的活动。</w:t>
            </w: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0"/>
              <w:jc w:val="left"/>
              <w:rPr>
                <w:rFonts w:ascii="宋体" w:hAnsi="宋体" w:cs="宋体" w:eastAsia="宋体" w:hint="default"/>
                <w:sz w:val="18"/>
                <w:szCs w:val="18"/>
              </w:rPr>
            </w:pPr>
            <w:r>
              <w:rPr>
                <w:rFonts w:ascii="宋体" w:hAnsi="宋体" w:cs="宋体" w:eastAsia="宋体" w:hint="default"/>
                <w:sz w:val="18"/>
                <w:szCs w:val="18"/>
              </w:rPr>
              <w:t>违反上述 承诺情况。</w:t>
            </w:r>
          </w:p>
        </w:tc>
      </w:tr>
      <w:tr>
        <w:trPr>
          <w:trHeight w:val="3521" w:hRule="exact"/>
        </w:trPr>
        <w:tc>
          <w:tcPr>
            <w:tcW w:w="1418"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0" w:lineRule="auto"/>
              <w:ind w:left="23" w:right="62"/>
              <w:jc w:val="both"/>
              <w:rPr>
                <w:rFonts w:ascii="宋体" w:hAnsi="宋体" w:cs="宋体" w:eastAsia="宋体" w:hint="default"/>
                <w:sz w:val="18"/>
                <w:szCs w:val="18"/>
              </w:rPr>
            </w:pPr>
            <w:r>
              <w:rPr>
                <w:rFonts w:ascii="宋体" w:hAnsi="宋体" w:cs="宋体" w:eastAsia="宋体" w:hint="default"/>
                <w:sz w:val="18"/>
                <w:szCs w:val="18"/>
              </w:rPr>
              <w:t>李玉国</w:t>
            </w:r>
            <w:r>
              <w:rPr>
                <w:rFonts w:ascii="Times New Roman" w:hAnsi="Times New Roman" w:cs="Times New Roman" w:eastAsia="Times New Roman" w:hint="default"/>
                <w:sz w:val="18"/>
                <w:szCs w:val="18"/>
              </w:rPr>
              <w:t>;</w:t>
            </w:r>
            <w:r>
              <w:rPr>
                <w:rFonts w:ascii="宋体" w:hAnsi="宋体" w:cs="宋体" w:eastAsia="宋体" w:hint="default"/>
                <w:sz w:val="18"/>
                <w:szCs w:val="18"/>
              </w:rPr>
              <w:t>范朝</w:t>
            </w:r>
            <w:r>
              <w:rPr>
                <w:rFonts w:ascii="Times New Roman" w:hAnsi="Times New Roman" w:cs="Times New Roman" w:eastAsia="Times New Roman" w:hint="default"/>
                <w:sz w:val="18"/>
                <w:szCs w:val="18"/>
              </w:rPr>
              <w:t>;</w:t>
            </w:r>
            <w:r>
              <w:rPr>
                <w:rFonts w:ascii="宋体" w:hAnsi="宋体" w:cs="宋体" w:eastAsia="宋体" w:hint="default"/>
                <w:sz w:val="18"/>
                <w:szCs w:val="18"/>
              </w:rPr>
              <w:t>陈 荣强；张香计</w:t>
            </w:r>
            <w:r>
              <w:rPr>
                <w:rFonts w:ascii="Times New Roman" w:hAnsi="Times New Roman" w:cs="Times New Roman" w:eastAsia="Times New Roman" w:hint="default"/>
                <w:sz w:val="18"/>
                <w:szCs w:val="18"/>
              </w:rPr>
              <w:t>; </w:t>
            </w:r>
            <w:r>
              <w:rPr>
                <w:rFonts w:ascii="宋体" w:hAnsi="宋体" w:cs="宋体" w:eastAsia="宋体" w:hint="default"/>
                <w:sz w:val="18"/>
                <w:szCs w:val="18"/>
              </w:rPr>
              <w:t>吴艳茹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22"/>
              <w:jc w:val="both"/>
              <w:rPr>
                <w:rFonts w:ascii="宋体" w:hAnsi="宋体" w:cs="宋体" w:eastAsia="宋体" w:hint="default"/>
                <w:sz w:val="18"/>
                <w:szCs w:val="18"/>
              </w:rPr>
            </w:pPr>
            <w:r>
              <w:rPr>
                <w:rFonts w:ascii="宋体" w:hAnsi="宋体" w:cs="宋体" w:eastAsia="宋体" w:hint="default"/>
                <w:sz w:val="18"/>
                <w:szCs w:val="18"/>
              </w:rPr>
              <w:t>天泽科技的原股东李玉国、范朝、陈荣 强、张香计、吴艳茹均已出具承诺，如 发行人因天泽科技存续期间存在任何违 法违规行为而被要求承担责任，则该等 自然人按其对天泽科技的出资比例承担 该等责任，保证发行人不因此而受到损 失。</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9999-12-31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
              <w:jc w:val="left"/>
              <w:rPr>
                <w:rFonts w:ascii="宋体" w:hAnsi="宋体" w:cs="宋体" w:eastAsia="宋体" w:hint="default"/>
                <w:sz w:val="18"/>
                <w:szCs w:val="18"/>
              </w:rPr>
            </w:pPr>
            <w:r>
              <w:rPr>
                <w:rFonts w:ascii="宋体" w:hAnsi="宋体" w:cs="宋体" w:eastAsia="宋体" w:hint="default"/>
                <w:sz w:val="18"/>
                <w:szCs w:val="18"/>
              </w:rPr>
              <w:t>天泽科技 的原股东 </w:t>
            </w:r>
            <w:r>
              <w:rPr>
                <w:rFonts w:ascii="宋体" w:hAnsi="宋体" w:cs="宋体" w:eastAsia="宋体" w:hint="default"/>
                <w:spacing w:val="-8"/>
                <w:sz w:val="18"/>
                <w:szCs w:val="18"/>
              </w:rPr>
              <w:t>李玉国、范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朝、陈荣 强、张香 </w:t>
            </w:r>
            <w:r>
              <w:rPr>
                <w:rFonts w:ascii="宋体" w:hAnsi="宋体" w:cs="宋体" w:eastAsia="宋体" w:hint="default"/>
                <w:spacing w:val="-8"/>
                <w:sz w:val="18"/>
                <w:szCs w:val="18"/>
              </w:rPr>
              <w:t>计、吴艳茹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严格遵守 上述承诺， 未发现违 反上述承 诺情况。</w:t>
            </w:r>
          </w:p>
        </w:tc>
      </w:tr>
      <w:tr>
        <w:trPr>
          <w:trHeight w:val="9452"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tabs>
                <w:tab w:pos="1466" w:val="left" w:leader="none"/>
              </w:tabs>
              <w:spacing w:line="314"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年研究中心以低于评估价 转让其所持先河有限（公司前身）国有 股权的承诺。</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 李玉国先生出具《关于河北省环境计量 技术研究中心转让河北先河科技发展有 </w:t>
            </w:r>
            <w:r>
              <w:rPr>
                <w:rFonts w:ascii="宋体" w:hAnsi="宋体" w:cs="宋体" w:eastAsia="宋体" w:hint="default"/>
                <w:spacing w:val="-10"/>
                <w:sz w:val="18"/>
                <w:szCs w:val="18"/>
              </w:rPr>
              <w:t>限公司出资的情况说明和承诺》，作出如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下承诺：如果国有资产监督管理机构按 照法律法规的规定要求受让人补交低于 评估值的款项， </w:t>
            </w:r>
            <w:r>
              <w:rPr>
                <w:rFonts w:ascii="Times New Roman" w:hAnsi="Times New Roman" w:cs="Times New Roman" w:eastAsia="Times New Roman" w:hint="default"/>
                <w:sz w:val="18"/>
                <w:szCs w:val="18"/>
              </w:rPr>
              <w:t>2</w:t>
            </w:r>
            <w:r>
              <w:rPr>
                <w:rFonts w:ascii="宋体" w:hAnsi="宋体" w:cs="宋体" w:eastAsia="宋体" w:hint="default"/>
                <w:sz w:val="18"/>
                <w:szCs w:val="18"/>
              </w:rPr>
              <w:t>、关于先河工会代持事宜的承诺。 李玉国先生于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日作出承 诺：如因先河工会受托代持事宜引发任 何纠纷或风险隐患，其本人将依法予以 解决，如先河工会因此而需承担相应的 责任，其将代先河工会承担且不向先河 </w:t>
            </w:r>
            <w:r>
              <w:rPr>
                <w:rFonts w:ascii="宋体" w:hAnsi="宋体" w:cs="宋体" w:eastAsia="宋体" w:hint="default"/>
                <w:spacing w:val="-5"/>
                <w:sz w:val="18"/>
                <w:szCs w:val="18"/>
              </w:rPr>
              <w:t>工会进行任何追偿。</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、关于社会保险和</w:t>
            </w:r>
            <w:r>
              <w:rPr>
                <w:rFonts w:ascii="宋体" w:hAnsi="宋体" w:cs="宋体" w:eastAsia="宋体" w:hint="default"/>
                <w:sz w:val="18"/>
                <w:szCs w:val="18"/>
              </w:rPr>
              <w:t> 住房公积金的承诺。李玉国先生承诺： 如发行人被社会保障部门或其他有权机 构要求补缴以前年度有关的社保险费， 或发行人因未足额缴纳以前年度的有关 的社会保险费而需缴纳滞纳金、被处以 行政处罚，李玉国本人将代发行人承担 该等需补缴的社会保险费、滞纳金和需 缴纳的罚款，且不向发行人追偿，保证 发行人不因此而受到损失。 李玉国先生承诺：如发行人因未为员工 缴纳以前年度的住房公积金而被有权机 构处以罚款或被要求补缴的，李玉国将 代发行人承担该等责任且不向发行人追 偿，保证发行人不因此受到损失。</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4524"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9"/>
                <w:sz w:val="20"/>
                <w:szCs w:val="20"/>
              </w:rPr>
              <w:pict>
                <v:group style="width:42pt;height:226.25pt;mso-position-horizontal-relative:char;mso-position-vertical-relative:line" coordorigin="0,0" coordsize="840,4525">
                  <v:group style="position:absolute;left:0;top:0;width:840;height:4525" coordorigin="0,0" coordsize="840,4525">
                    <v:shape style="position:absolute;left:0;top:0;width:840;height:4525" coordorigin="0,0" coordsize="840,4525" path="m0,4524l840,4524,840,0,0,0,0,4524xe" filled="true" fillcolor="#ffffff" stroked="false">
                      <v:path arrowok="t"/>
                      <v:fill type="solid"/>
                    </v:shape>
                  </v:group>
                </v:group>
              </w:pict>
            </w:r>
            <w:r>
              <w:rPr>
                <w:rFonts w:ascii="Times New Roman" w:hAnsi="Times New Roman" w:cs="Times New Roman" w:eastAsia="Times New Roman" w:hint="default"/>
                <w:position w:val="-89"/>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9999-12-31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4" w:right="-10"/>
              <w:jc w:val="left"/>
              <w:rPr>
                <w:rFonts w:ascii="宋体" w:hAnsi="宋体" w:cs="宋体" w:eastAsia="宋体" w:hint="default"/>
                <w:sz w:val="18"/>
                <w:szCs w:val="18"/>
              </w:rPr>
            </w:pPr>
            <w:r>
              <w:rPr>
                <w:rFonts w:ascii="宋体" w:hAnsi="宋体" w:cs="宋体" w:eastAsia="宋体" w:hint="default"/>
                <w:sz w:val="18"/>
                <w:szCs w:val="18"/>
              </w:rPr>
              <w:t>公司控股 </w:t>
            </w:r>
            <w:r>
              <w:rPr>
                <w:rFonts w:ascii="宋体" w:hAnsi="宋体" w:cs="宋体" w:eastAsia="宋体" w:hint="default"/>
                <w:spacing w:val="-8"/>
                <w:sz w:val="18"/>
                <w:szCs w:val="18"/>
              </w:rPr>
              <w:t>股东、实际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控制人李 玉国先生 严格遵守 上述承诺， 未发现违 反上述承 诺情况。</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277"/>
        <w:gridCol w:w="991"/>
        <w:gridCol w:w="3118"/>
        <w:gridCol w:w="852"/>
        <w:gridCol w:w="992"/>
        <w:gridCol w:w="919"/>
      </w:tblGrid>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其他对公司中小 股东所作承诺</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3"/>
              <w:jc w:val="left"/>
              <w:rPr>
                <w:rFonts w:ascii="宋体" w:hAnsi="宋体" w:cs="宋体" w:eastAsia="宋体" w:hint="default"/>
                <w:sz w:val="18"/>
                <w:szCs w:val="18"/>
              </w:rPr>
            </w:pPr>
            <w:r>
              <w:rPr>
                <w:rFonts w:ascii="宋体" w:hAnsi="宋体" w:cs="宋体" w:eastAsia="宋体" w:hint="default"/>
                <w:sz w:val="18"/>
                <w:szCs w:val="18"/>
              </w:rPr>
              <w:t>承诺是否按时履 行</w:t>
            </w:r>
          </w:p>
        </w:tc>
        <w:tc>
          <w:tcPr>
            <w:tcW w:w="815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如承诺超期未履 </w:t>
            </w:r>
            <w:r>
              <w:rPr>
                <w:rFonts w:ascii="宋体" w:hAnsi="宋体" w:cs="宋体" w:eastAsia="宋体" w:hint="default"/>
                <w:spacing w:val="-10"/>
                <w:sz w:val="18"/>
                <w:szCs w:val="18"/>
              </w:rPr>
              <w:t>行完毕的，应当详</w:t>
            </w:r>
            <w:r>
              <w:rPr>
                <w:rFonts w:ascii="宋体" w:hAnsi="宋体" w:cs="宋体" w:eastAsia="宋体" w:hint="default"/>
                <w:sz w:val="18"/>
                <w:szCs w:val="18"/>
              </w:rPr>
              <w:t> 细说明未完成履 行的具体原因及 下一步的工作计 划</w:t>
            </w:r>
          </w:p>
        </w:tc>
        <w:tc>
          <w:tcPr>
            <w:tcW w:w="815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1133"/>
        <w:jc w:val="left"/>
        <w:rPr>
          <w:b w:val="0"/>
          <w:bCs w:val="0"/>
        </w:rPr>
      </w:pPr>
      <w:bookmarkStart w:name="2、公司资产或项目存在盈利预测，且报告期仍处在盈利预测期间，公司就资产或项目达到" w:id="63"/>
      <w:bookmarkEnd w:id="63"/>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三、控股股东及其关联方对上市公司的非经营性占用资金情况" w:id="64"/>
      <w:bookmarkEnd w:id="64"/>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3" w:right="463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bookmarkStart w:name="四、董事会对最近一期“非标准审计报告”相关情况的说明" w:id="65"/>
      <w:bookmarkEnd w:id="65"/>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五、董事会、监事会、独立董事（如有）对会计师事务所本报告期“非标准审计报告”的说" w:id="66"/>
      <w:bookmarkEnd w:id="66"/>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六、董事会关于报告期会计政策、会计估计变更或重大会计差错更正的说明" w:id="67"/>
      <w:bookmarkEnd w:id="67"/>
      <w:r>
        <w:rPr>
          <w:b w:val="0"/>
          <w:bCs w:val="0"/>
        </w:rPr>
      </w: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19" w:lineRule="auto" w:before="103"/>
        <w:ind w:left="573" w:right="1063"/>
        <w:jc w:val="left"/>
      </w:pPr>
      <w:r>
        <w:rPr/>
        <w:t>①执行新金融工具准则导致的会计政策变更 财政部于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31</w:t>
      </w:r>
      <w:r>
        <w:rPr/>
        <w:t>日分别发布了《企业会计准则第</w:t>
      </w:r>
      <w:r>
        <w:rPr>
          <w:rFonts w:ascii="宋体" w:hAnsi="宋体" w:cs="宋体" w:eastAsia="宋体" w:hint="default"/>
        </w:rPr>
        <w:t>22</w:t>
      </w:r>
      <w:r>
        <w:rPr/>
        <w:t>号——金融工具确认和计量（</w:t>
      </w:r>
      <w:r>
        <w:rPr>
          <w:rFonts w:ascii="宋体" w:hAnsi="宋体" w:cs="宋体" w:eastAsia="宋体" w:hint="default"/>
        </w:rPr>
        <w:t>2017</w:t>
      </w:r>
      <w:r>
        <w:rPr/>
        <w:t>年修订）》（财会〔</w:t>
      </w:r>
      <w:r>
        <w:rPr>
          <w:rFonts w:ascii="宋体" w:hAnsi="宋体" w:cs="宋体" w:eastAsia="宋体" w:hint="default"/>
        </w:rPr>
        <w:t>2017</w:t>
      </w:r>
      <w:r>
        <w:rPr/>
        <w:t>〕</w:t>
      </w:r>
    </w:p>
    <w:p>
      <w:pPr>
        <w:pStyle w:val="BodyText"/>
        <w:spacing w:line="316" w:lineRule="auto" w:before="17"/>
        <w:ind w:right="1133"/>
        <w:jc w:val="both"/>
      </w:pPr>
      <w:r>
        <w:rPr>
          <w:rFonts w:ascii="宋体" w:hAnsi="宋体" w:cs="宋体" w:eastAsia="宋体" w:hint="default"/>
          <w:spacing w:val="-2"/>
        </w:rPr>
        <w:t>7</w:t>
      </w:r>
      <w:r>
        <w:rPr>
          <w:spacing w:val="-2"/>
        </w:rPr>
        <w:t>号）、《企业会计准则第</w:t>
      </w:r>
      <w:r>
        <w:rPr>
          <w:rFonts w:ascii="宋体" w:hAnsi="宋体" w:cs="宋体" w:eastAsia="宋体" w:hint="default"/>
          <w:spacing w:val="-2"/>
        </w:rPr>
        <w:t>23</w:t>
      </w:r>
      <w:r>
        <w:rPr>
          <w:spacing w:val="-2"/>
        </w:rPr>
        <w:t>号——金融资产转移（</w:t>
      </w:r>
      <w:r>
        <w:rPr>
          <w:rFonts w:ascii="宋体" w:hAnsi="宋体" w:cs="宋体" w:eastAsia="宋体" w:hint="default"/>
          <w:spacing w:val="-2"/>
        </w:rPr>
        <w:t>2017</w:t>
      </w:r>
      <w:r>
        <w:rPr>
          <w:spacing w:val="-2"/>
        </w:rPr>
        <w:t>年修订）》（财会〔</w:t>
      </w:r>
      <w:r>
        <w:rPr>
          <w:rFonts w:ascii="宋体" w:hAnsi="宋体" w:cs="宋体" w:eastAsia="宋体" w:hint="default"/>
          <w:spacing w:val="-2"/>
        </w:rPr>
        <w:t>2017</w:t>
      </w:r>
      <w:r>
        <w:rPr>
          <w:spacing w:val="-2"/>
        </w:rPr>
        <w:t>〕</w:t>
      </w:r>
      <w:r>
        <w:rPr>
          <w:rFonts w:ascii="宋体" w:hAnsi="宋体" w:cs="宋体" w:eastAsia="宋体" w:hint="default"/>
          <w:spacing w:val="-2"/>
        </w:rPr>
        <w:t>8</w:t>
      </w:r>
      <w:r>
        <w:rPr>
          <w:spacing w:val="-2"/>
        </w:rPr>
        <w:t>号）、《企业会计准则第</w:t>
      </w:r>
      <w:r>
        <w:rPr>
          <w:rFonts w:ascii="宋体" w:hAnsi="宋体" w:cs="宋体" w:eastAsia="宋体" w:hint="default"/>
          <w:spacing w:val="-2"/>
        </w:rPr>
        <w:t>24</w:t>
      </w:r>
      <w:r>
        <w:rPr>
          <w:spacing w:val="-2"/>
        </w:rPr>
        <w:t>号——套期</w:t>
      </w:r>
      <w:r>
        <w:rPr>
          <w:spacing w:val="-64"/>
        </w:rPr>
        <w:t> </w:t>
      </w:r>
      <w:r>
        <w:rPr>
          <w:spacing w:val="-64"/>
        </w:rPr>
      </w:r>
      <w:r>
        <w:rPr/>
        <w:t>会计（</w:t>
      </w:r>
      <w:r>
        <w:rPr>
          <w:rFonts w:ascii="宋体" w:hAnsi="宋体" w:cs="宋体" w:eastAsia="宋体" w:hint="default"/>
        </w:rPr>
        <w:t>2017</w:t>
      </w:r>
      <w:r>
        <w:rPr/>
        <w:t>年修订）》（财会〔</w:t>
      </w:r>
      <w:r>
        <w:rPr>
          <w:rFonts w:ascii="宋体" w:hAnsi="宋体" w:cs="宋体" w:eastAsia="宋体" w:hint="default"/>
        </w:rPr>
        <w:t>2017</w:t>
      </w:r>
      <w:r>
        <w:rPr/>
        <w:t>〕</w:t>
      </w:r>
      <w:r>
        <w:rPr>
          <w:rFonts w:ascii="宋体" w:hAnsi="宋体" w:cs="宋体" w:eastAsia="宋体" w:hint="default"/>
        </w:rPr>
        <w:t>9</w:t>
      </w:r>
      <w:r>
        <w:rPr/>
        <w:t>号），于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w:t>
      </w:r>
      <w:r>
        <w:rPr/>
        <w:t>日发布了《企业会计准则第</w:t>
      </w:r>
      <w:r>
        <w:rPr>
          <w:rFonts w:ascii="宋体" w:hAnsi="宋体" w:cs="宋体" w:eastAsia="宋体" w:hint="default"/>
        </w:rPr>
        <w:t>37</w:t>
      </w:r>
      <w:r>
        <w:rPr/>
        <w:t>号——金融工具列报（</w:t>
      </w:r>
      <w:r>
        <w:rPr>
          <w:rFonts w:ascii="宋体" w:hAnsi="宋体" w:cs="宋体" w:eastAsia="宋体" w:hint="default"/>
        </w:rPr>
        <w:t>2017</w:t>
      </w:r>
      <w:r>
        <w:rPr/>
        <w:t>年修</w:t>
      </w:r>
      <w:r>
        <w:rPr>
          <w:spacing w:val="-3"/>
        </w:rPr>
        <w:t> </w:t>
      </w:r>
      <w:r>
        <w:rPr>
          <w:spacing w:val="-2"/>
        </w:rPr>
        <w:t>订）》（财会〔</w:t>
      </w:r>
      <w:r>
        <w:rPr>
          <w:rFonts w:ascii="宋体" w:hAnsi="宋体" w:cs="宋体" w:eastAsia="宋体" w:hint="default"/>
          <w:spacing w:val="-2"/>
        </w:rPr>
        <w:t>2017</w:t>
      </w:r>
      <w:r>
        <w:rPr>
          <w:spacing w:val="-2"/>
        </w:rPr>
        <w:t>〕</w:t>
      </w:r>
      <w:r>
        <w:rPr>
          <w:rFonts w:ascii="宋体" w:hAnsi="宋体" w:cs="宋体" w:eastAsia="宋体" w:hint="default"/>
          <w:spacing w:val="-2"/>
        </w:rPr>
        <w:t>14</w:t>
      </w:r>
      <w:r>
        <w:rPr>
          <w:spacing w:val="-2"/>
        </w:rPr>
        <w:t>号）（上述准则统称“新金融工具准则”），要求境内上市企业自</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日起执行新金融工具</w:t>
      </w:r>
      <w:r>
        <w:rPr>
          <w:spacing w:val="-62"/>
        </w:rPr>
        <w:t> </w:t>
      </w:r>
      <w:r>
        <w:rPr>
          <w:spacing w:val="-62"/>
        </w:rPr>
      </w:r>
      <w:r>
        <w:rPr/>
        <w:t>准则。</w:t>
      </w:r>
    </w:p>
    <w:p>
      <w:pPr>
        <w:pStyle w:val="BodyText"/>
        <w:spacing w:line="240" w:lineRule="auto" w:before="19"/>
        <w:ind w:left="573" w:right="0"/>
        <w:jc w:val="left"/>
      </w:pPr>
      <w:r>
        <w:rPr/>
        <w:t>经本公司第三届董事会第十四次会议于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24</w:t>
      </w:r>
      <w:r>
        <w:rPr/>
        <w:t>日决议通过，本公司于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日起开始执行前述新金融工具准</w:t>
      </w:r>
    </w:p>
    <w:p>
      <w:pPr>
        <w:pStyle w:val="BodyText"/>
        <w:spacing w:line="240" w:lineRule="auto" w:before="76"/>
        <w:ind w:right="1133"/>
        <w:jc w:val="left"/>
      </w:pPr>
      <w:r>
        <w:rPr/>
        <w:t>则。</w:t>
      </w:r>
    </w:p>
    <w:p>
      <w:pPr>
        <w:pStyle w:val="BodyText"/>
        <w:spacing w:line="240" w:lineRule="auto" w:before="76"/>
        <w:ind w:left="573" w:right="1133"/>
        <w:jc w:val="left"/>
      </w:pPr>
      <w:r>
        <w:rPr/>
        <w:t>在新金融工具准则下所有已确认金融资产，其后续均按摊余成本或公允价值计量。在新金融工具准则施行日，以本公</w:t>
      </w:r>
    </w:p>
    <w:p>
      <w:pPr>
        <w:pStyle w:val="BodyText"/>
        <w:spacing w:line="240" w:lineRule="auto" w:before="76"/>
        <w:ind w:right="0"/>
        <w:jc w:val="left"/>
      </w:pPr>
      <w:r>
        <w:rPr/>
        <w:t>司该日既有事实和情况为基础评估管理金融资产的业务模式</w:t>
      </w:r>
      <w:r>
        <w:rPr>
          <w:spacing w:val="-82"/>
        </w:rPr>
        <w:t>、</w:t>
      </w:r>
      <w:r>
        <w:rPr/>
        <w:t>以金融资产初始确认时的事实和情况为基础评估该金融资产上</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0"/>
        <w:jc w:val="both"/>
      </w:pPr>
      <w:r>
        <w:rPr>
          <w:spacing w:val="-2"/>
        </w:rPr>
        <w:t>的合同现金流量特征，将金融资产分为三类：按摊余成本计量、按公允价值计量且其变动计入其他综合收益及按公允价值计</w:t>
      </w:r>
      <w:r>
        <w:rPr>
          <w:spacing w:val="-63"/>
        </w:rPr>
        <w:t> </w:t>
      </w:r>
      <w:r>
        <w:rPr>
          <w:spacing w:val="-63"/>
        </w:rPr>
      </w:r>
      <w:r>
        <w:rPr>
          <w:spacing w:val="-2"/>
        </w:rPr>
        <w:t>量且其变动计入当期损益。其中，对于按公允价值计量且其变动计入其他综合收益的权益工具投资，当该金融资产终止确认</w:t>
      </w:r>
      <w:r>
        <w:rPr>
          <w:spacing w:val="-63"/>
        </w:rPr>
        <w:t> </w:t>
      </w:r>
      <w:r>
        <w:rPr>
          <w:spacing w:val="-63"/>
        </w:rPr>
      </w:r>
      <w:r>
        <w:rPr/>
        <w:t>时，之前计入其他综合收益的累计利得或损失将从其他综合收益转入留存收益，不计入当期损益。</w:t>
      </w:r>
    </w:p>
    <w:p>
      <w:pPr>
        <w:pStyle w:val="BodyText"/>
        <w:spacing w:line="316" w:lineRule="auto" w:before="17"/>
        <w:ind w:right="1138" w:firstLine="420"/>
        <w:jc w:val="both"/>
      </w:pPr>
      <w:r>
        <w:rPr/>
        <w:t>在新金融工具准则下，本公司以预期信用损失为基础，对以摊余成本计量的金融资产、以公允价值计量且其变动计入 其他综合收益的债务工具投资、租赁应收款、合同资产及财务担保合同计提减值准备并确认信用减值损失。</w:t>
      </w:r>
    </w:p>
    <w:p>
      <w:pPr>
        <w:pStyle w:val="BodyText"/>
        <w:spacing w:line="316" w:lineRule="auto" w:before="139"/>
        <w:ind w:right="1129" w:firstLine="420"/>
        <w:jc w:val="both"/>
      </w:pPr>
      <w:r>
        <w:rPr/>
        <w:t>本公司追溯应用新金融工具准则，但对于分类和计量（含减值）涉及前期比较财务报表数据与新金融工具准则不一致 </w:t>
      </w:r>
      <w:r>
        <w:rPr>
          <w:spacing w:val="-2"/>
        </w:rPr>
        <w:t>的，本公司选择不进行重述。本公司将于</w:t>
      </w:r>
      <w:r>
        <w:rPr>
          <w:rFonts w:ascii="宋体" w:hAnsi="宋体" w:cs="宋体" w:eastAsia="宋体" w:hint="default"/>
          <w:spacing w:val="-2"/>
        </w:rPr>
        <w:t>2019</w:t>
      </w:r>
      <w:r>
        <w:rPr>
          <w:spacing w:val="-2"/>
        </w:rPr>
        <w:t>年起按新准则要求进行会计报表披露，不重述</w:t>
      </w:r>
      <w:r>
        <w:rPr>
          <w:rFonts w:ascii="宋体" w:hAnsi="宋体" w:cs="宋体" w:eastAsia="宋体" w:hint="default"/>
          <w:spacing w:val="-2"/>
        </w:rPr>
        <w:t>2018</w:t>
      </w:r>
      <w:r>
        <w:rPr>
          <w:spacing w:val="-2"/>
        </w:rPr>
        <w:t>年可比数，本次会计政策变</w:t>
      </w:r>
      <w:r>
        <w:rPr>
          <w:spacing w:val="-58"/>
        </w:rPr>
        <w:t> </w:t>
      </w:r>
      <w:r>
        <w:rPr>
          <w:spacing w:val="-58"/>
        </w:rPr>
      </w:r>
      <w:r>
        <w:rPr/>
        <w:t>更不影响公司</w:t>
      </w:r>
      <w:r>
        <w:rPr>
          <w:rFonts w:ascii="宋体" w:hAnsi="宋体" w:cs="宋体" w:eastAsia="宋体" w:hint="default"/>
        </w:rPr>
        <w:t>2018</w:t>
      </w:r>
      <w:r>
        <w:rPr/>
        <w:t>年度相关财务指标。</w:t>
      </w:r>
    </w:p>
    <w:p>
      <w:pPr>
        <w:pStyle w:val="BodyText"/>
        <w:spacing w:line="316" w:lineRule="auto" w:before="19"/>
        <w:ind w:left="573" w:right="1133"/>
        <w:jc w:val="left"/>
      </w:pPr>
      <w:r>
        <w:rPr/>
        <w:t>②财务报表格式修订 </w:t>
      </w:r>
      <w:r>
        <w:rPr>
          <w:spacing w:val="-2"/>
        </w:rPr>
        <w:t>根据财政部《关于修订印发</w:t>
      </w:r>
      <w:r>
        <w:rPr>
          <w:rFonts w:ascii="宋体" w:hAnsi="宋体" w:cs="宋体" w:eastAsia="宋体" w:hint="default"/>
          <w:spacing w:val="-2"/>
        </w:rPr>
        <w:t>2019</w:t>
      </w:r>
      <w:r>
        <w:rPr>
          <w:spacing w:val="-2"/>
        </w:rPr>
        <w:t>年度一般企业财务报表格式的通知》（财会</w:t>
      </w:r>
      <w:r>
        <w:rPr>
          <w:rFonts w:ascii="宋体" w:hAnsi="宋体" w:cs="宋体" w:eastAsia="宋体" w:hint="default"/>
          <w:spacing w:val="-2"/>
        </w:rPr>
        <w:t>[2019]6</w:t>
      </w:r>
      <w:r>
        <w:rPr>
          <w:spacing w:val="-2"/>
        </w:rPr>
        <w:t>号）和《关于修订印发合并财务报</w:t>
      </w:r>
    </w:p>
    <w:p>
      <w:pPr>
        <w:pStyle w:val="BodyText"/>
        <w:spacing w:line="319" w:lineRule="auto" w:before="19"/>
        <w:ind w:right="1131"/>
        <w:jc w:val="both"/>
      </w:pPr>
      <w:r>
        <w:rPr>
          <w:spacing w:val="-2"/>
        </w:rPr>
        <w:t>表格式（</w:t>
      </w:r>
      <w:r>
        <w:rPr>
          <w:rFonts w:ascii="宋体" w:hAnsi="宋体" w:cs="宋体" w:eastAsia="宋体" w:hint="default"/>
          <w:spacing w:val="-2"/>
        </w:rPr>
        <w:t>2019</w:t>
      </w:r>
      <w:r>
        <w:rPr>
          <w:spacing w:val="-2"/>
        </w:rPr>
        <w:t>版）的通知》（财会</w:t>
      </w:r>
      <w:r>
        <w:rPr>
          <w:rFonts w:ascii="宋体" w:hAnsi="宋体" w:cs="宋体" w:eastAsia="宋体" w:hint="default"/>
          <w:spacing w:val="-2"/>
        </w:rPr>
        <w:t>[2019]16</w:t>
      </w:r>
      <w:r>
        <w:rPr>
          <w:spacing w:val="-2"/>
        </w:rPr>
        <w:t>号）的规定，对一般企业财务报表格式进行了修订。本公司按照财政部规定的新</w:t>
      </w:r>
      <w:r>
        <w:rPr>
          <w:spacing w:val="-62"/>
        </w:rPr>
        <w:t> </w:t>
      </w:r>
      <w:r>
        <w:rPr>
          <w:spacing w:val="-62"/>
        </w:rPr>
      </w:r>
      <w:r>
        <w:rPr>
          <w:spacing w:val="-2"/>
        </w:rPr>
        <w:t>的报表格式编制了报告期内的财务报表。财务报表格式的修订对本公司的资产总额、负债总额、净利润、其他综合收益等无</w:t>
      </w:r>
      <w:r>
        <w:rPr>
          <w:spacing w:val="-64"/>
        </w:rPr>
        <w:t> </w:t>
      </w:r>
      <w:r>
        <w:rPr>
          <w:spacing w:val="-64"/>
        </w:rPr>
      </w:r>
      <w:r>
        <w:rPr/>
        <w:t>影响。</w:t>
      </w:r>
    </w:p>
    <w:p>
      <w:pPr>
        <w:pStyle w:val="BodyText"/>
        <w:spacing w:line="240" w:lineRule="auto" w:before="17"/>
        <w:ind w:left="573" w:right="1133"/>
        <w:jc w:val="left"/>
      </w:pPr>
      <w:r>
        <w:rPr/>
        <w:t>③非货币性资产交换</w:t>
      </w:r>
    </w:p>
    <w:p>
      <w:pPr>
        <w:pStyle w:val="BodyText"/>
        <w:spacing w:line="316" w:lineRule="auto" w:before="76"/>
        <w:ind w:right="1128" w:firstLine="420"/>
        <w:jc w:val="both"/>
      </w:pPr>
      <w:r>
        <w:rPr>
          <w:rFonts w:ascii="宋体" w:hAnsi="宋体" w:cs="宋体" w:eastAsia="宋体" w:hint="default"/>
        </w:rPr>
        <w:t>2019 </w:t>
      </w:r>
      <w:r>
        <w:rPr/>
        <w:t>年 </w:t>
      </w:r>
      <w:r>
        <w:rPr>
          <w:rFonts w:ascii="宋体" w:hAnsi="宋体" w:cs="宋体" w:eastAsia="宋体" w:hint="default"/>
        </w:rPr>
        <w:t>5 </w:t>
      </w:r>
      <w:r>
        <w:rPr/>
        <w:t>月</w:t>
      </w:r>
      <w:r>
        <w:rPr>
          <w:rFonts w:ascii="宋体" w:hAnsi="宋体" w:cs="宋体" w:eastAsia="宋体" w:hint="default"/>
        </w:rPr>
        <w:t>9</w:t>
      </w:r>
      <w:r>
        <w:rPr/>
        <w:t>日，财政部发布修订后的《企业会计准则第 </w:t>
      </w:r>
      <w:r>
        <w:rPr>
          <w:rFonts w:ascii="宋体" w:hAnsi="宋体" w:cs="宋体" w:eastAsia="宋体" w:hint="default"/>
        </w:rPr>
        <w:t>7</w:t>
      </w:r>
      <w:r>
        <w:rPr>
          <w:rFonts w:ascii="宋体" w:hAnsi="宋体" w:cs="宋体" w:eastAsia="宋体" w:hint="default"/>
          <w:spacing w:val="-56"/>
        </w:rPr>
        <w:t> </w:t>
      </w:r>
      <w:r>
        <w:rPr/>
        <w:t>号——非货币性资产交换》（财会</w:t>
      </w:r>
      <w:r>
        <w:rPr>
          <w:rFonts w:ascii="宋体" w:hAnsi="宋体" w:cs="宋体" w:eastAsia="宋体" w:hint="default"/>
        </w:rPr>
        <w:t>[2019]8</w:t>
      </w:r>
      <w:r>
        <w:rPr/>
        <w:t>号），修订后 的准则自</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10</w:t>
      </w:r>
      <w:r>
        <w:rPr/>
        <w:t>日起施行，对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日至本准则施行日之间发生的非货币性资产交换，应根据本准则进行调整， </w:t>
      </w:r>
      <w:r>
        <w:rPr>
          <w:spacing w:val="-2"/>
        </w:rPr>
        <w:t>对</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日之前发生的非货币性资产交换，不需要按照本准则的规定进行追溯调整。本公司未发生非货币性资产交换事</w:t>
      </w:r>
      <w:r>
        <w:rPr>
          <w:spacing w:val="-61"/>
        </w:rPr>
        <w:t> </w:t>
      </w:r>
      <w:r>
        <w:rPr>
          <w:spacing w:val="-61"/>
        </w:rPr>
      </w:r>
      <w:r>
        <w:rPr/>
        <w:t>项，该准则变更不会对公司的财务状况和经营成果产生影响。</w:t>
      </w:r>
    </w:p>
    <w:p>
      <w:pPr>
        <w:pStyle w:val="BodyText"/>
        <w:spacing w:line="240" w:lineRule="auto" w:before="19"/>
        <w:ind w:left="573" w:right="1133"/>
        <w:jc w:val="left"/>
      </w:pPr>
      <w:r>
        <w:rPr/>
        <w:t>④债务重组</w:t>
      </w:r>
    </w:p>
    <w:p>
      <w:pPr>
        <w:pStyle w:val="BodyText"/>
        <w:spacing w:line="316" w:lineRule="auto" w:before="76"/>
        <w:ind w:right="1130" w:firstLine="420"/>
        <w:jc w:val="both"/>
      </w:pPr>
      <w:r>
        <w:rPr>
          <w:rFonts w:ascii="宋体" w:hAnsi="宋体" w:cs="宋体" w:eastAsia="宋体" w:hint="default"/>
        </w:rPr>
        <w:t>2019 </w:t>
      </w:r>
      <w:r>
        <w:rPr/>
        <w:t>年 </w:t>
      </w:r>
      <w:r>
        <w:rPr>
          <w:rFonts w:ascii="宋体" w:hAnsi="宋体" w:cs="宋体" w:eastAsia="宋体" w:hint="default"/>
        </w:rPr>
        <w:t>5 </w:t>
      </w:r>
      <w:r>
        <w:rPr/>
        <w:t>月</w:t>
      </w:r>
      <w:r>
        <w:rPr>
          <w:rFonts w:ascii="宋体" w:hAnsi="宋体" w:cs="宋体" w:eastAsia="宋体" w:hint="default"/>
        </w:rPr>
        <w:t>16</w:t>
      </w:r>
      <w:r>
        <w:rPr/>
        <w:t>日，财政部发布修订后的《企业会计准则第 </w:t>
      </w:r>
      <w:r>
        <w:rPr>
          <w:rFonts w:ascii="宋体" w:hAnsi="宋体" w:cs="宋体" w:eastAsia="宋体" w:hint="default"/>
        </w:rPr>
        <w:t>12</w:t>
      </w:r>
      <w:r>
        <w:rPr>
          <w:rFonts w:ascii="宋体" w:hAnsi="宋体" w:cs="宋体" w:eastAsia="宋体" w:hint="default"/>
          <w:spacing w:val="-58"/>
        </w:rPr>
        <w:t> </w:t>
      </w:r>
      <w:r>
        <w:rPr/>
        <w:t>号——债务重组》（财会</w:t>
      </w:r>
      <w:r>
        <w:rPr>
          <w:rFonts w:ascii="宋体" w:hAnsi="宋体" w:cs="宋体" w:eastAsia="宋体" w:hint="default"/>
        </w:rPr>
        <w:t>[2019]9</w:t>
      </w:r>
      <w:r>
        <w:rPr/>
        <w:t>号），修订后的准则 自</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17</w:t>
      </w:r>
      <w:r>
        <w:rPr/>
        <w:t>日起施行，对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日至本准则施行日之间发生的债务重组，应根据本准则进行调整，对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 </w:t>
      </w:r>
      <w:r>
        <w:rPr>
          <w:spacing w:val="-2"/>
        </w:rPr>
        <w:t>之前发生的债务重组，不需要按照本准则的规定进行追溯调整。本公司未发生债务重组事项，该准则变更不会对公司的财务</w:t>
      </w:r>
      <w:r>
        <w:rPr>
          <w:spacing w:val="-63"/>
        </w:rPr>
        <w:t> </w:t>
      </w:r>
      <w:r>
        <w:rPr>
          <w:spacing w:val="-63"/>
        </w:rPr>
      </w:r>
      <w:r>
        <w:rPr/>
        <w:t>状况和经营成果产生影响。</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bookmarkStart w:name="七、与上年度财务报告相比，合并报表范围发生变化的情况说明" w:id="68"/>
      <w:bookmarkEnd w:id="68"/>
      <w:r>
        <w:rPr>
          <w:b w:val="0"/>
          <w:bCs w:val="0"/>
        </w:rPr>
      </w: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23"/>
        <w:ind w:left="573" w:right="1133"/>
        <w:jc w:val="left"/>
      </w:pPr>
      <w:r>
        <w:rPr/>
        <w:t>①处置子公司</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1875"/>
        <w:gridCol w:w="1385"/>
        <w:gridCol w:w="792"/>
        <w:gridCol w:w="1109"/>
        <w:gridCol w:w="1133"/>
        <w:gridCol w:w="1382"/>
        <w:gridCol w:w="1553"/>
      </w:tblGrid>
      <w:tr>
        <w:trPr>
          <w:trHeight w:val="1579" w:hRule="exact"/>
        </w:trPr>
        <w:tc>
          <w:tcPr>
            <w:tcW w:w="1875"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49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46"/>
              <w:jc w:val="right"/>
              <w:rPr>
                <w:rFonts w:ascii="宋体" w:hAnsi="宋体" w:cs="宋体" w:eastAsia="宋体" w:hint="default"/>
                <w:sz w:val="18"/>
                <w:szCs w:val="18"/>
              </w:rPr>
            </w:pPr>
            <w:r>
              <w:rPr>
                <w:rFonts w:ascii="宋体" w:hAnsi="宋体" w:cs="宋体" w:eastAsia="宋体" w:hint="default"/>
                <w:sz w:val="18"/>
                <w:szCs w:val="18"/>
              </w:rPr>
              <w:t>股权处置价款</w:t>
            </w:r>
          </w:p>
        </w:tc>
        <w:tc>
          <w:tcPr>
            <w:tcW w:w="7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22" w:right="119"/>
              <w:jc w:val="left"/>
              <w:rPr>
                <w:rFonts w:ascii="宋体" w:hAnsi="宋体" w:cs="宋体" w:eastAsia="宋体" w:hint="default"/>
                <w:sz w:val="18"/>
                <w:szCs w:val="18"/>
              </w:rPr>
            </w:pPr>
            <w:r>
              <w:rPr>
                <w:rFonts w:ascii="宋体" w:hAnsi="宋体" w:cs="宋体" w:eastAsia="宋体" w:hint="default"/>
                <w:sz w:val="18"/>
                <w:szCs w:val="18"/>
              </w:rPr>
              <w:t>股权处 置比例</w:t>
            </w:r>
          </w:p>
          <w:p>
            <w:pPr>
              <w:pStyle w:val="TableParagraph"/>
              <w:spacing w:line="240" w:lineRule="auto" w:before="19"/>
              <w:ind w:left="16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1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369" w:right="187" w:hanging="180"/>
              <w:jc w:val="left"/>
              <w:rPr>
                <w:rFonts w:ascii="宋体" w:hAnsi="宋体" w:cs="宋体" w:eastAsia="宋体" w:hint="default"/>
                <w:sz w:val="18"/>
                <w:szCs w:val="18"/>
              </w:rPr>
            </w:pPr>
            <w:r>
              <w:rPr>
                <w:rFonts w:ascii="宋体" w:hAnsi="宋体" w:cs="宋体" w:eastAsia="宋体" w:hint="default"/>
                <w:sz w:val="18"/>
                <w:szCs w:val="18"/>
              </w:rPr>
              <w:t>股权处置 方式</w:t>
            </w:r>
          </w:p>
        </w:tc>
        <w:tc>
          <w:tcPr>
            <w:tcW w:w="11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90" w:right="110" w:hanging="180"/>
              <w:jc w:val="left"/>
              <w:rPr>
                <w:rFonts w:ascii="宋体" w:hAnsi="宋体" w:cs="宋体" w:eastAsia="宋体" w:hint="default"/>
                <w:sz w:val="18"/>
                <w:szCs w:val="18"/>
              </w:rPr>
            </w:pPr>
            <w:r>
              <w:rPr>
                <w:rFonts w:ascii="宋体" w:hAnsi="宋体" w:cs="宋体" w:eastAsia="宋体" w:hint="default"/>
                <w:sz w:val="18"/>
                <w:szCs w:val="18"/>
              </w:rPr>
              <w:t>丧失控制权 的时点</w:t>
            </w:r>
          </w:p>
        </w:tc>
        <w:tc>
          <w:tcPr>
            <w:tcW w:w="13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46" w:right="144"/>
              <w:jc w:val="left"/>
              <w:rPr>
                <w:rFonts w:ascii="宋体" w:hAnsi="宋体" w:cs="宋体" w:eastAsia="宋体" w:hint="default"/>
                <w:sz w:val="18"/>
                <w:szCs w:val="18"/>
              </w:rPr>
            </w:pPr>
            <w:r>
              <w:rPr>
                <w:rFonts w:ascii="宋体" w:hAnsi="宋体" w:cs="宋体" w:eastAsia="宋体" w:hint="default"/>
                <w:sz w:val="18"/>
                <w:szCs w:val="18"/>
              </w:rPr>
              <w:t>丧失控制权时 点的确定依据</w:t>
            </w:r>
          </w:p>
        </w:tc>
        <w:tc>
          <w:tcPr>
            <w:tcW w:w="1553"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8"/>
              <w:ind w:left="144" w:right="143"/>
              <w:jc w:val="both"/>
              <w:rPr>
                <w:rFonts w:ascii="宋体" w:hAnsi="宋体" w:cs="宋体" w:eastAsia="宋体" w:hint="default"/>
                <w:sz w:val="18"/>
                <w:szCs w:val="18"/>
              </w:rPr>
            </w:pPr>
            <w:r>
              <w:rPr>
                <w:rFonts w:ascii="宋体" w:hAnsi="宋体" w:cs="宋体" w:eastAsia="宋体" w:hint="default"/>
                <w:sz w:val="18"/>
                <w:szCs w:val="18"/>
              </w:rPr>
              <w:t>处置价款与处置 投资对应的合并 财务报表层面享 有该子公司净资 产份额的差额</w:t>
            </w:r>
          </w:p>
        </w:tc>
      </w:tr>
      <w:tr>
        <w:trPr>
          <w:trHeight w:val="627" w:hRule="exact"/>
        </w:trPr>
        <w:tc>
          <w:tcPr>
            <w:tcW w:w="1875" w:type="dxa"/>
            <w:tcBorders>
              <w:top w:val="single" w:sz="4" w:space="0" w:color="000000"/>
              <w:left w:val="nil" w:sz="6" w:space="0" w:color="auto"/>
              <w:bottom w:val="nil" w:sz="6" w:space="0" w:color="auto"/>
              <w:right w:val="single" w:sz="4" w:space="0" w:color="000000"/>
            </w:tcBorders>
          </w:tcPr>
          <w:p>
            <w:pPr>
              <w:pStyle w:val="TableParagraph"/>
              <w:spacing w:line="316" w:lineRule="auto" w:before="8"/>
              <w:ind w:left="122" w:right="125"/>
              <w:jc w:val="left"/>
              <w:rPr>
                <w:rFonts w:ascii="宋体" w:hAnsi="宋体" w:cs="宋体" w:eastAsia="宋体" w:hint="default"/>
                <w:sz w:val="18"/>
                <w:szCs w:val="18"/>
              </w:rPr>
            </w:pPr>
            <w:r>
              <w:rPr>
                <w:rFonts w:ascii="宋体" w:hAnsi="宋体" w:cs="宋体" w:eastAsia="宋体" w:hint="default"/>
                <w:sz w:val="18"/>
                <w:szCs w:val="18"/>
              </w:rPr>
              <w:t>山东先河环保科技有 限公司</w:t>
            </w:r>
          </w:p>
        </w:tc>
        <w:tc>
          <w:tcPr>
            <w:tcW w:w="13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宋体" w:hAnsi="宋体" w:cs="宋体" w:eastAsia="宋体" w:hint="default"/>
                <w:sz w:val="18"/>
                <w:szCs w:val="18"/>
              </w:rPr>
            </w:pPr>
            <w:r>
              <w:rPr>
                <w:rFonts w:ascii="宋体"/>
                <w:sz w:val="18"/>
              </w:rPr>
              <w:t>0.00</w:t>
            </w:r>
          </w:p>
        </w:tc>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宋体" w:hAnsi="宋体" w:cs="宋体" w:eastAsia="宋体" w:hint="default"/>
                <w:sz w:val="18"/>
                <w:szCs w:val="18"/>
              </w:rPr>
            </w:pPr>
            <w:r>
              <w:rPr>
                <w:rFonts w:ascii="宋体"/>
                <w:sz w:val="18"/>
              </w:rPr>
              <w:t>100%</w:t>
            </w:r>
          </w:p>
        </w:tc>
        <w:tc>
          <w:tcPr>
            <w:tcW w:w="11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6" w:right="0"/>
              <w:jc w:val="center"/>
              <w:rPr>
                <w:rFonts w:ascii="宋体" w:hAnsi="宋体" w:cs="宋体" w:eastAsia="宋体" w:hint="default"/>
                <w:sz w:val="18"/>
                <w:szCs w:val="18"/>
              </w:rPr>
            </w:pPr>
            <w:r>
              <w:rPr>
                <w:rFonts w:ascii="宋体"/>
                <w:sz w:val="18"/>
              </w:rPr>
              <w:t>2019/3/26</w:t>
            </w:r>
          </w:p>
        </w:tc>
        <w:tc>
          <w:tcPr>
            <w:tcW w:w="13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工商注销</w:t>
            </w:r>
          </w:p>
        </w:tc>
        <w:tc>
          <w:tcPr>
            <w:tcW w:w="1553" w:type="dxa"/>
            <w:tcBorders>
              <w:top w:val="single" w:sz="4"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-1,206,038.85</w:t>
            </w:r>
          </w:p>
        </w:tc>
      </w:tr>
      <w:tr>
        <w:trPr>
          <w:trHeight w:val="624" w:hRule="exact"/>
        </w:trPr>
        <w:tc>
          <w:tcPr>
            <w:tcW w:w="1875" w:type="dxa"/>
            <w:tcBorders>
              <w:top w:val="nil" w:sz="6" w:space="0" w:color="auto"/>
              <w:left w:val="nil" w:sz="6" w:space="0" w:color="auto"/>
              <w:bottom w:val="nil" w:sz="6" w:space="0" w:color="auto"/>
              <w:right w:val="single" w:sz="4" w:space="0" w:color="000000"/>
            </w:tcBorders>
          </w:tcPr>
          <w:p>
            <w:pPr>
              <w:pStyle w:val="TableParagraph"/>
              <w:spacing w:line="316" w:lineRule="auto" w:before="10"/>
              <w:ind w:left="122" w:right="125"/>
              <w:jc w:val="left"/>
              <w:rPr>
                <w:rFonts w:ascii="宋体" w:hAnsi="宋体" w:cs="宋体" w:eastAsia="宋体" w:hint="default"/>
                <w:sz w:val="18"/>
                <w:szCs w:val="18"/>
              </w:rPr>
            </w:pPr>
            <w:r>
              <w:rPr>
                <w:rFonts w:ascii="宋体" w:hAnsi="宋体" w:cs="宋体" w:eastAsia="宋体" w:hint="default"/>
                <w:sz w:val="18"/>
                <w:szCs w:val="18"/>
              </w:rPr>
              <w:t>广州市云景信息科技 有限公司</w:t>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15,000,000.00</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47.12%</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6" w:right="0"/>
              <w:jc w:val="center"/>
              <w:rPr>
                <w:rFonts w:ascii="宋体" w:hAnsi="宋体" w:cs="宋体" w:eastAsia="宋体" w:hint="default"/>
                <w:sz w:val="18"/>
                <w:szCs w:val="18"/>
              </w:rPr>
            </w:pPr>
            <w:r>
              <w:rPr>
                <w:rFonts w:ascii="宋体"/>
                <w:sz w:val="18"/>
              </w:rPr>
              <w:t>2019/6/30</w:t>
            </w:r>
          </w:p>
        </w:tc>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收到转让价款</w:t>
            </w:r>
          </w:p>
        </w:tc>
        <w:tc>
          <w:tcPr>
            <w:tcW w:w="1553"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1,453,457.32</w:t>
            </w:r>
          </w:p>
        </w:tc>
      </w:tr>
      <w:tr>
        <w:trPr>
          <w:trHeight w:val="643" w:hRule="exact"/>
        </w:trPr>
        <w:tc>
          <w:tcPr>
            <w:tcW w:w="1875" w:type="dxa"/>
            <w:tcBorders>
              <w:top w:val="nil" w:sz="6" w:space="0" w:color="auto"/>
              <w:left w:val="nil" w:sz="6" w:space="0" w:color="auto"/>
              <w:bottom w:val="single" w:sz="12" w:space="0" w:color="000000"/>
              <w:right w:val="single" w:sz="4" w:space="0" w:color="000000"/>
            </w:tcBorders>
          </w:tcPr>
          <w:p>
            <w:pPr>
              <w:pStyle w:val="TableParagraph"/>
              <w:spacing w:line="316" w:lineRule="auto" w:before="10"/>
              <w:ind w:left="122" w:right="125"/>
              <w:jc w:val="left"/>
              <w:rPr>
                <w:rFonts w:ascii="宋体" w:hAnsi="宋体" w:cs="宋体" w:eastAsia="宋体" w:hint="default"/>
                <w:sz w:val="18"/>
                <w:szCs w:val="18"/>
              </w:rPr>
            </w:pPr>
            <w:r>
              <w:rPr>
                <w:rFonts w:ascii="宋体" w:hAnsi="宋体" w:cs="宋体" w:eastAsia="宋体" w:hint="default"/>
                <w:sz w:val="18"/>
                <w:szCs w:val="18"/>
              </w:rPr>
              <w:t>重庆冀华正态检测技 术有限公司</w:t>
            </w:r>
          </w:p>
        </w:tc>
        <w:tc>
          <w:tcPr>
            <w:tcW w:w="138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300,000.00</w:t>
            </w:r>
          </w:p>
        </w:tc>
        <w:tc>
          <w:tcPr>
            <w:tcW w:w="79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85.00%</w:t>
            </w:r>
          </w:p>
        </w:tc>
        <w:tc>
          <w:tcPr>
            <w:tcW w:w="110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13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 w:right="0"/>
              <w:jc w:val="center"/>
              <w:rPr>
                <w:rFonts w:ascii="宋体" w:hAnsi="宋体" w:cs="宋体" w:eastAsia="宋体" w:hint="default"/>
                <w:sz w:val="18"/>
                <w:szCs w:val="18"/>
              </w:rPr>
            </w:pPr>
            <w:r>
              <w:rPr>
                <w:rFonts w:ascii="宋体"/>
                <w:sz w:val="18"/>
              </w:rPr>
              <w:t>2019/11/26</w:t>
            </w:r>
          </w:p>
        </w:tc>
        <w:tc>
          <w:tcPr>
            <w:tcW w:w="138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收到转让价款</w:t>
            </w:r>
          </w:p>
        </w:tc>
        <w:tc>
          <w:tcPr>
            <w:tcW w:w="1553" w:type="dxa"/>
            <w:tcBorders>
              <w:top w:val="nil" w:sz="6" w:space="0" w:color="auto"/>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-160,645.22</w:t>
            </w:r>
          </w:p>
        </w:tc>
      </w:tr>
    </w:tbl>
    <w:p>
      <w:pPr>
        <w:spacing w:line="240" w:lineRule="auto" w:before="12"/>
        <w:rPr>
          <w:rFonts w:ascii="宋体" w:hAnsi="宋体" w:cs="宋体" w:eastAsia="宋体" w:hint="default"/>
          <w:sz w:val="6"/>
          <w:szCs w:val="6"/>
        </w:rPr>
      </w:pPr>
    </w:p>
    <w:p>
      <w:pPr>
        <w:pStyle w:val="BodyText"/>
        <w:spacing w:line="240" w:lineRule="auto" w:before="44"/>
        <w:ind w:left="513" w:right="1133"/>
        <w:jc w:val="left"/>
      </w:pPr>
      <w:r>
        <w:rPr/>
        <w:t>（续）</w:t>
      </w:r>
    </w:p>
    <w:p>
      <w:pPr>
        <w:spacing w:line="240" w:lineRule="auto" w:before="7"/>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35"/>
        <w:gridCol w:w="1241"/>
        <w:gridCol w:w="1234"/>
        <w:gridCol w:w="994"/>
        <w:gridCol w:w="1133"/>
        <w:gridCol w:w="1135"/>
        <w:gridCol w:w="1416"/>
      </w:tblGrid>
      <w:tr>
        <w:trPr>
          <w:trHeight w:val="1027" w:hRule="exact"/>
        </w:trPr>
        <w:tc>
          <w:tcPr>
            <w:tcW w:w="1935"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52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41"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44"/>
              <w:ind w:left="165" w:right="164"/>
              <w:jc w:val="both"/>
              <w:rPr>
                <w:rFonts w:ascii="宋体" w:hAnsi="宋体" w:cs="宋体" w:eastAsia="宋体" w:hint="default"/>
                <w:sz w:val="18"/>
                <w:szCs w:val="18"/>
              </w:rPr>
            </w:pPr>
            <w:r>
              <w:rPr>
                <w:rFonts w:ascii="宋体" w:hAnsi="宋体" w:cs="宋体" w:eastAsia="宋体" w:hint="default"/>
                <w:sz w:val="18"/>
                <w:szCs w:val="18"/>
              </w:rPr>
              <w:t>丧失控制权 之日剩余股 权的比例</w:t>
            </w:r>
          </w:p>
        </w:tc>
        <w:tc>
          <w:tcPr>
            <w:tcW w:w="1234"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44"/>
              <w:ind w:left="163" w:right="158"/>
              <w:jc w:val="both"/>
              <w:rPr>
                <w:rFonts w:ascii="宋体" w:hAnsi="宋体" w:cs="宋体" w:eastAsia="宋体" w:hint="default"/>
                <w:sz w:val="18"/>
                <w:szCs w:val="18"/>
              </w:rPr>
            </w:pPr>
            <w:r>
              <w:rPr>
                <w:rFonts w:ascii="宋体" w:hAnsi="宋体" w:cs="宋体" w:eastAsia="宋体" w:hint="default"/>
                <w:sz w:val="18"/>
                <w:szCs w:val="18"/>
              </w:rPr>
              <w:t>丧失控制权 之日剩余股 权的账面价</w:t>
            </w:r>
          </w:p>
        </w:tc>
        <w:tc>
          <w:tcPr>
            <w:tcW w:w="994"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44"/>
              <w:ind w:left="131" w:right="130"/>
              <w:jc w:val="both"/>
              <w:rPr>
                <w:rFonts w:ascii="宋体" w:hAnsi="宋体" w:cs="宋体" w:eastAsia="宋体" w:hint="default"/>
                <w:sz w:val="18"/>
                <w:szCs w:val="18"/>
              </w:rPr>
            </w:pPr>
            <w:r>
              <w:rPr>
                <w:rFonts w:ascii="宋体" w:hAnsi="宋体" w:cs="宋体" w:eastAsia="宋体" w:hint="default"/>
                <w:sz w:val="18"/>
                <w:szCs w:val="18"/>
              </w:rPr>
              <w:t>丧失控制 权之日剩 余股权的</w:t>
            </w:r>
          </w:p>
        </w:tc>
        <w:tc>
          <w:tcPr>
            <w:tcW w:w="1133"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44"/>
              <w:ind w:left="110" w:right="110"/>
              <w:jc w:val="both"/>
              <w:rPr>
                <w:rFonts w:ascii="宋体" w:hAnsi="宋体" w:cs="宋体" w:eastAsia="宋体" w:hint="default"/>
                <w:sz w:val="18"/>
                <w:szCs w:val="18"/>
              </w:rPr>
            </w:pPr>
            <w:r>
              <w:rPr>
                <w:rFonts w:ascii="宋体" w:hAnsi="宋体" w:cs="宋体" w:eastAsia="宋体" w:hint="default"/>
                <w:sz w:val="18"/>
                <w:szCs w:val="18"/>
              </w:rPr>
              <w:t>按照公允价 值重新计量 剩余股权产</w:t>
            </w:r>
          </w:p>
        </w:tc>
        <w:tc>
          <w:tcPr>
            <w:tcW w:w="1135"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44"/>
              <w:ind w:left="112" w:right="110"/>
              <w:jc w:val="both"/>
              <w:rPr>
                <w:rFonts w:ascii="宋体" w:hAnsi="宋体" w:cs="宋体" w:eastAsia="宋体" w:hint="default"/>
                <w:sz w:val="18"/>
                <w:szCs w:val="18"/>
              </w:rPr>
            </w:pPr>
            <w:r>
              <w:rPr>
                <w:rFonts w:ascii="宋体" w:hAnsi="宋体" w:cs="宋体" w:eastAsia="宋体" w:hint="default"/>
                <w:sz w:val="18"/>
                <w:szCs w:val="18"/>
              </w:rPr>
              <w:t>丧失控制权 之日剩余股 权公允价值</w:t>
            </w:r>
          </w:p>
        </w:tc>
        <w:tc>
          <w:tcPr>
            <w:tcW w:w="1416"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44"/>
              <w:ind w:left="163" w:right="165"/>
              <w:jc w:val="both"/>
              <w:rPr>
                <w:rFonts w:ascii="宋体" w:hAnsi="宋体" w:cs="宋体" w:eastAsia="宋体" w:hint="default"/>
                <w:sz w:val="18"/>
                <w:szCs w:val="18"/>
              </w:rPr>
            </w:pPr>
            <w:r>
              <w:rPr>
                <w:rFonts w:ascii="宋体" w:hAnsi="宋体" w:cs="宋体" w:eastAsia="宋体" w:hint="default"/>
                <w:sz w:val="18"/>
                <w:szCs w:val="18"/>
              </w:rPr>
              <w:t>与原子公司股 权投资相关的 其他综合收益</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935"/>
        <w:gridCol w:w="1241"/>
        <w:gridCol w:w="1234"/>
        <w:gridCol w:w="994"/>
        <w:gridCol w:w="1133"/>
        <w:gridCol w:w="1135"/>
        <w:gridCol w:w="1416"/>
      </w:tblGrid>
      <w:tr>
        <w:trPr>
          <w:trHeight w:val="1025" w:hRule="exact"/>
        </w:trPr>
        <w:tc>
          <w:tcPr>
            <w:tcW w:w="1935" w:type="dxa"/>
            <w:tcBorders>
              <w:top w:val="single" w:sz="12" w:space="0" w:color="000000"/>
              <w:left w:val="nil" w:sz="6" w:space="0" w:color="auto"/>
              <w:bottom w:val="single" w:sz="4" w:space="0" w:color="000000"/>
              <w:right w:val="single" w:sz="4" w:space="0" w:color="000000"/>
            </w:tcBorders>
          </w:tcPr>
          <w:p>
            <w:pPr/>
          </w:p>
        </w:tc>
        <w:tc>
          <w:tcPr>
            <w:tcW w:w="1241" w:type="dxa"/>
            <w:tcBorders>
              <w:top w:val="single" w:sz="12" w:space="0" w:color="000000"/>
              <w:left w:val="single" w:sz="4" w:space="0" w:color="000000"/>
              <w:bottom w:val="single" w:sz="4" w:space="0" w:color="000000"/>
              <w:right w:val="single" w:sz="4" w:space="0" w:color="000000"/>
            </w:tcBorders>
          </w:tcPr>
          <w:p>
            <w:pPr/>
          </w:p>
        </w:tc>
        <w:tc>
          <w:tcPr>
            <w:tcW w:w="12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值</w:t>
            </w:r>
          </w:p>
        </w:tc>
        <w:tc>
          <w:tcPr>
            <w:tcW w:w="9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13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133"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0"/>
              <w:ind w:left="381" w:right="110" w:hanging="272"/>
              <w:jc w:val="left"/>
              <w:rPr>
                <w:rFonts w:ascii="宋体" w:hAnsi="宋体" w:cs="宋体" w:eastAsia="宋体" w:hint="default"/>
                <w:sz w:val="18"/>
                <w:szCs w:val="18"/>
              </w:rPr>
            </w:pPr>
            <w:r>
              <w:rPr>
                <w:rFonts w:ascii="宋体" w:hAnsi="宋体" w:cs="宋体" w:eastAsia="宋体" w:hint="default"/>
                <w:sz w:val="18"/>
                <w:szCs w:val="18"/>
              </w:rPr>
              <w:t>生的利得或 损失</w:t>
            </w:r>
          </w:p>
        </w:tc>
        <w:tc>
          <w:tcPr>
            <w:tcW w:w="1135"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0"/>
              <w:ind w:left="112" w:right="110"/>
              <w:jc w:val="left"/>
              <w:rPr>
                <w:rFonts w:ascii="宋体" w:hAnsi="宋体" w:cs="宋体" w:eastAsia="宋体" w:hint="default"/>
                <w:sz w:val="18"/>
                <w:szCs w:val="18"/>
              </w:rPr>
            </w:pPr>
            <w:r>
              <w:rPr>
                <w:rFonts w:ascii="宋体" w:hAnsi="宋体" w:cs="宋体" w:eastAsia="宋体" w:hint="default"/>
                <w:sz w:val="18"/>
                <w:szCs w:val="18"/>
              </w:rPr>
              <w:t>的确定方法 及主要假设</w:t>
            </w:r>
          </w:p>
        </w:tc>
        <w:tc>
          <w:tcPr>
            <w:tcW w:w="1416"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10"/>
              <w:ind w:left="432" w:right="165" w:hanging="269"/>
              <w:jc w:val="left"/>
              <w:rPr>
                <w:rFonts w:ascii="宋体" w:hAnsi="宋体" w:cs="宋体" w:eastAsia="宋体" w:hint="default"/>
                <w:sz w:val="18"/>
                <w:szCs w:val="18"/>
              </w:rPr>
            </w:pPr>
            <w:r>
              <w:rPr>
                <w:rFonts w:ascii="宋体" w:hAnsi="宋体" w:cs="宋体" w:eastAsia="宋体" w:hint="default"/>
                <w:sz w:val="18"/>
                <w:szCs w:val="18"/>
              </w:rPr>
              <w:t>转入投资损益 的金额</w:t>
            </w:r>
          </w:p>
        </w:tc>
      </w:tr>
      <w:tr>
        <w:trPr>
          <w:trHeight w:val="627" w:hRule="exact"/>
        </w:trPr>
        <w:tc>
          <w:tcPr>
            <w:tcW w:w="1935" w:type="dxa"/>
            <w:tcBorders>
              <w:top w:val="single" w:sz="4" w:space="0" w:color="000000"/>
              <w:left w:val="nil" w:sz="6" w:space="0" w:color="auto"/>
              <w:bottom w:val="nil" w:sz="6" w:space="0" w:color="auto"/>
              <w:right w:val="single" w:sz="4" w:space="0" w:color="000000"/>
            </w:tcBorders>
          </w:tcPr>
          <w:p>
            <w:pPr>
              <w:pStyle w:val="TableParagraph"/>
              <w:spacing w:line="316" w:lineRule="auto" w:before="8"/>
              <w:ind w:left="122" w:right="185"/>
              <w:jc w:val="left"/>
              <w:rPr>
                <w:rFonts w:ascii="宋体" w:hAnsi="宋体" w:cs="宋体" w:eastAsia="宋体" w:hint="default"/>
                <w:sz w:val="18"/>
                <w:szCs w:val="18"/>
              </w:rPr>
            </w:pPr>
            <w:r>
              <w:rPr>
                <w:rFonts w:ascii="宋体" w:hAnsi="宋体" w:cs="宋体" w:eastAsia="宋体" w:hint="default"/>
                <w:sz w:val="18"/>
                <w:szCs w:val="18"/>
              </w:rPr>
              <w:t>山东先河环保科技有 限公司</w:t>
            </w:r>
          </w:p>
        </w:tc>
        <w:tc>
          <w:tcPr>
            <w:tcW w:w="12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87" w:right="0"/>
              <w:jc w:val="left"/>
              <w:rPr>
                <w:rFonts w:ascii="宋体" w:hAnsi="宋体" w:cs="宋体" w:eastAsia="宋体" w:hint="default"/>
                <w:sz w:val="18"/>
                <w:szCs w:val="18"/>
              </w:rPr>
            </w:pPr>
            <w:r>
              <w:rPr>
                <w:rFonts w:ascii="宋体"/>
                <w:sz w:val="18"/>
              </w:rPr>
              <w:t>15.00%</w:t>
            </w:r>
          </w:p>
        </w:tc>
        <w:tc>
          <w:tcPr>
            <w:tcW w:w="1234"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1135"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nil" w:sz="6" w:space="0" w:color="auto"/>
            </w:tcBorders>
          </w:tcPr>
          <w:p>
            <w:pPr/>
          </w:p>
        </w:tc>
      </w:tr>
      <w:tr>
        <w:trPr>
          <w:trHeight w:val="624" w:hRule="exact"/>
        </w:trPr>
        <w:tc>
          <w:tcPr>
            <w:tcW w:w="1935" w:type="dxa"/>
            <w:tcBorders>
              <w:top w:val="nil" w:sz="6" w:space="0" w:color="auto"/>
              <w:left w:val="nil" w:sz="6" w:space="0" w:color="auto"/>
              <w:bottom w:val="nil" w:sz="6" w:space="0" w:color="auto"/>
              <w:right w:val="single" w:sz="4" w:space="0" w:color="000000"/>
            </w:tcBorders>
          </w:tcPr>
          <w:p>
            <w:pPr>
              <w:pStyle w:val="TableParagraph"/>
              <w:spacing w:line="316" w:lineRule="auto" w:before="10"/>
              <w:ind w:left="122" w:right="185"/>
              <w:jc w:val="left"/>
              <w:rPr>
                <w:rFonts w:ascii="宋体" w:hAnsi="宋体" w:cs="宋体" w:eastAsia="宋体" w:hint="default"/>
                <w:sz w:val="18"/>
                <w:szCs w:val="18"/>
              </w:rPr>
            </w:pPr>
            <w:r>
              <w:rPr>
                <w:rFonts w:ascii="宋体" w:hAnsi="宋体" w:cs="宋体" w:eastAsia="宋体" w:hint="default"/>
                <w:sz w:val="18"/>
                <w:szCs w:val="18"/>
              </w:rPr>
              <w:t>广州市云景信息科技 有限公司</w:t>
            </w:r>
          </w:p>
        </w:tc>
        <w:tc>
          <w:tcPr>
            <w:tcW w:w="1241" w:type="dxa"/>
            <w:vMerge/>
            <w:tcBorders>
              <w:left w:val="single" w:sz="4" w:space="0" w:color="000000"/>
              <w:right w:val="single" w:sz="4" w:space="0" w:color="000000"/>
            </w:tcBorders>
          </w:tcPr>
          <w:p>
            <w:pPr/>
          </w:p>
        </w:tc>
        <w:tc>
          <w:tcPr>
            <w:tcW w:w="123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nil" w:sz="6" w:space="0" w:color="auto"/>
            </w:tcBorders>
          </w:tcPr>
          <w:p>
            <w:pPr/>
          </w:p>
        </w:tc>
      </w:tr>
      <w:tr>
        <w:trPr>
          <w:trHeight w:val="643" w:hRule="exact"/>
        </w:trPr>
        <w:tc>
          <w:tcPr>
            <w:tcW w:w="1935" w:type="dxa"/>
            <w:tcBorders>
              <w:top w:val="nil" w:sz="6" w:space="0" w:color="auto"/>
              <w:left w:val="nil" w:sz="6" w:space="0" w:color="auto"/>
              <w:bottom w:val="single" w:sz="12" w:space="0" w:color="000000"/>
              <w:right w:val="single" w:sz="4" w:space="0" w:color="000000"/>
            </w:tcBorders>
          </w:tcPr>
          <w:p>
            <w:pPr>
              <w:pStyle w:val="TableParagraph"/>
              <w:spacing w:line="316" w:lineRule="auto" w:before="10"/>
              <w:ind w:left="122" w:right="185"/>
              <w:jc w:val="left"/>
              <w:rPr>
                <w:rFonts w:ascii="宋体" w:hAnsi="宋体" w:cs="宋体" w:eastAsia="宋体" w:hint="default"/>
                <w:sz w:val="18"/>
                <w:szCs w:val="18"/>
              </w:rPr>
            </w:pPr>
            <w:r>
              <w:rPr>
                <w:rFonts w:ascii="宋体" w:hAnsi="宋体" w:cs="宋体" w:eastAsia="宋体" w:hint="default"/>
                <w:sz w:val="18"/>
                <w:szCs w:val="18"/>
              </w:rPr>
              <w:t>重庆冀华正态检测技 术有限公司</w:t>
            </w:r>
          </w:p>
        </w:tc>
        <w:tc>
          <w:tcPr>
            <w:tcW w:w="1241" w:type="dxa"/>
            <w:vMerge/>
            <w:tcBorders>
              <w:left w:val="single" w:sz="4" w:space="0" w:color="000000"/>
              <w:bottom w:val="single" w:sz="12" w:space="0" w:color="000000"/>
              <w:right w:val="single" w:sz="4" w:space="0" w:color="000000"/>
            </w:tcBorders>
          </w:tcPr>
          <w:p>
            <w:pPr/>
          </w:p>
        </w:tc>
        <w:tc>
          <w:tcPr>
            <w:tcW w:w="1234" w:type="dxa"/>
            <w:vMerge/>
            <w:tcBorders>
              <w:left w:val="single" w:sz="4" w:space="0" w:color="000000"/>
              <w:bottom w:val="single" w:sz="12" w:space="0" w:color="000000"/>
              <w:right w:val="single" w:sz="4" w:space="0" w:color="000000"/>
            </w:tcBorders>
          </w:tcPr>
          <w:p>
            <w:pPr/>
          </w:p>
        </w:tc>
        <w:tc>
          <w:tcPr>
            <w:tcW w:w="994" w:type="dxa"/>
            <w:vMerge/>
            <w:tcBorders>
              <w:left w:val="single" w:sz="4" w:space="0" w:color="000000"/>
              <w:bottom w:val="single" w:sz="12" w:space="0" w:color="000000"/>
              <w:right w:val="single" w:sz="4" w:space="0" w:color="000000"/>
            </w:tcBorders>
          </w:tcPr>
          <w:p>
            <w:pPr/>
          </w:p>
        </w:tc>
        <w:tc>
          <w:tcPr>
            <w:tcW w:w="1133" w:type="dxa"/>
            <w:vMerge/>
            <w:tcBorders>
              <w:left w:val="single" w:sz="4" w:space="0" w:color="000000"/>
              <w:bottom w:val="single" w:sz="12" w:space="0" w:color="000000"/>
              <w:right w:val="single" w:sz="4" w:space="0" w:color="000000"/>
            </w:tcBorders>
          </w:tcPr>
          <w:p>
            <w:pPr/>
          </w:p>
        </w:tc>
        <w:tc>
          <w:tcPr>
            <w:tcW w:w="1135" w:type="dxa"/>
            <w:vMerge/>
            <w:tcBorders>
              <w:left w:val="single" w:sz="4" w:space="0" w:color="000000"/>
              <w:bottom w:val="single" w:sz="12" w:space="0" w:color="000000"/>
              <w:right w:val="single" w:sz="4" w:space="0" w:color="000000"/>
            </w:tcBorders>
          </w:tcPr>
          <w:p>
            <w:pPr/>
          </w:p>
        </w:tc>
        <w:tc>
          <w:tcPr>
            <w:tcW w:w="1416" w:type="dxa"/>
            <w:vMerge/>
            <w:tcBorders>
              <w:left w:val="single" w:sz="4" w:space="0" w:color="000000"/>
              <w:bottom w:val="single" w:sz="12" w:space="0" w:color="000000"/>
              <w:right w:val="nil" w:sz="6" w:space="0" w:color="auto"/>
            </w:tcBorders>
          </w:tcPr>
          <w:p>
            <w:pPr/>
          </w:p>
        </w:tc>
      </w:tr>
    </w:tbl>
    <w:p>
      <w:pPr>
        <w:pStyle w:val="BodyText"/>
        <w:spacing w:line="316" w:lineRule="auto" w:before="68"/>
        <w:ind w:right="1138" w:firstLine="420"/>
        <w:jc w:val="both"/>
      </w:pPr>
      <w:r>
        <w:rPr/>
        <w:t>其他说明：重庆冀华环保科技发展有限公司于</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21</w:t>
      </w:r>
      <w:r>
        <w:rPr/>
        <w:t>日将其持有重庆冀华正态检测技术有限公司</w:t>
      </w:r>
      <w:r>
        <w:rPr>
          <w:rFonts w:ascii="宋体" w:hAnsi="宋体" w:cs="宋体" w:eastAsia="宋体" w:hint="default"/>
        </w:rPr>
        <w:t>100%</w:t>
      </w:r>
      <w:r>
        <w:rPr/>
        <w:t>股权分别 转让予重庆通达环保工程有限公司、河北正态环境检测有限公司，其中：重庆通达环保工程有限公司受让</w:t>
      </w:r>
      <w:r>
        <w:rPr>
          <w:rFonts w:ascii="宋体" w:hAnsi="宋体" w:cs="宋体" w:eastAsia="宋体" w:hint="default"/>
        </w:rPr>
        <w:t>85%</w:t>
      </w:r>
      <w:r>
        <w:rPr/>
        <w:t>的股权、河北 正态环境检测有限公司无偿受让</w:t>
      </w:r>
      <w:r>
        <w:rPr>
          <w:rFonts w:ascii="宋体" w:hAnsi="宋体" w:cs="宋体" w:eastAsia="宋体" w:hint="default"/>
        </w:rPr>
        <w:t>15%</w:t>
      </w:r>
      <w:r>
        <w:rPr/>
        <w:t>的股权。本公司本期不再将重庆冀华正态检测技术有限公司纳入合并范围。</w:t>
      </w:r>
    </w:p>
    <w:p>
      <w:pPr>
        <w:pStyle w:val="BodyText"/>
        <w:spacing w:line="379" w:lineRule="auto" w:before="79"/>
        <w:ind w:left="566" w:right="1133" w:firstLine="7"/>
        <w:jc w:val="left"/>
      </w:pPr>
      <w:r>
        <w:rPr/>
        <w:t>②其他原因的合并范围变动 </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21</w:t>
      </w:r>
      <w:r>
        <w:rPr/>
        <w:t>日，经公司第三届董事会第十七次会议审议通过，公司与石家庄荣驰环境治理中心（有限合伙）共同投</w:t>
      </w:r>
    </w:p>
    <w:p>
      <w:pPr>
        <w:pStyle w:val="BodyText"/>
        <w:spacing w:line="208" w:lineRule="exact"/>
        <w:ind w:right="0"/>
        <w:jc w:val="left"/>
      </w:pPr>
      <w:r>
        <w:rPr/>
        <w:t>资设立河北先进环保产业创新中心有限公司，设立时注册资本</w:t>
      </w:r>
      <w:r>
        <w:rPr>
          <w:rFonts w:ascii="宋体" w:hAnsi="宋体" w:cs="宋体" w:eastAsia="宋体" w:hint="default"/>
        </w:rPr>
        <w:t>10,000.00</w:t>
      </w:r>
      <w:r>
        <w:rPr/>
        <w:t>万元，其中公司认缴</w:t>
      </w:r>
      <w:r>
        <w:rPr>
          <w:rFonts w:ascii="宋体" w:hAnsi="宋体" w:cs="宋体" w:eastAsia="宋体" w:hint="default"/>
        </w:rPr>
        <w:t>7,500.00</w:t>
      </w:r>
      <w:r>
        <w:rPr/>
        <w:t>万元，石家庄荣驰环</w:t>
      </w:r>
    </w:p>
    <w:p>
      <w:pPr>
        <w:pStyle w:val="BodyText"/>
        <w:spacing w:line="240" w:lineRule="auto" w:before="76"/>
        <w:ind w:right="1133"/>
        <w:jc w:val="left"/>
      </w:pPr>
      <w:r>
        <w:rPr/>
        <w:t>境治理中心（有限合伙）</w:t>
      </w:r>
      <w:r>
        <w:rPr>
          <w:rFonts w:ascii="宋体" w:hAnsi="宋体" w:cs="宋体" w:eastAsia="宋体" w:hint="default"/>
        </w:rPr>
        <w:t>2,500.00</w:t>
      </w:r>
      <w:r>
        <w:rPr/>
        <w:t>万元。本公司拥有对其实质控制权，故在</w:t>
      </w:r>
      <w:r>
        <w:rPr>
          <w:rFonts w:ascii="宋体" w:hAnsi="宋体" w:cs="宋体" w:eastAsia="宋体" w:hint="default"/>
        </w:rPr>
        <w:t>2019</w:t>
      </w:r>
      <w:r>
        <w:rPr/>
        <w:t>年度将其纳入合并范围。</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bookmarkStart w:name="八、聘任、解聘会计师事务所情况" w:id="69"/>
      <w:bookmarkEnd w:id="69"/>
      <w:r>
        <w:rPr>
          <w:b w:val="0"/>
          <w:bCs w:val="0"/>
        </w:rPr>
      </w:r>
      <w:r>
        <w:rPr/>
        <w:t>八、聘任、解聘会计师事务所情况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利安达会计师事务所（特殊普通合伙）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w:t>
            </w:r>
          </w:p>
        </w:tc>
      </w:tr>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邱淦泳、许海丽</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49"/>
        <w:ind w:right="1133"/>
        <w:jc w:val="left"/>
      </w:pPr>
      <w:r>
        <w:rPr/>
        <w:t>是否改聘会计师事务所</w:t>
      </w:r>
    </w:p>
    <w:p>
      <w:pPr>
        <w:pStyle w:val="BodyText"/>
        <w:spacing w:line="340" w:lineRule="auto" w:before="115"/>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九、年度报告披露后面临暂停上市和终止上市情况" w:id="70"/>
      <w:bookmarkEnd w:id="70"/>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十、破产重整相关事项" w:id="71"/>
      <w:bookmarkEnd w:id="71"/>
      <w:r>
        <w:rPr>
          <w:b w:val="0"/>
          <w:bCs w:val="0"/>
        </w:rPr>
      </w: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after="0" w:line="338"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十一、重大诉讼、仲裁事项" w:id="72"/>
      <w:bookmarkEnd w:id="72"/>
      <w:r>
        <w:rPr>
          <w:b w:val="0"/>
          <w:bCs w:val="0"/>
        </w:rPr>
      </w:r>
      <w:r>
        <w:rPr/>
        <w:t>十一、重大诉讼、仲裁事项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十二、处罚及整改情况" w:id="73"/>
      <w:bookmarkEnd w:id="73"/>
      <w:r>
        <w:rPr>
          <w:b w:val="0"/>
          <w:bCs w:val="0"/>
        </w:rPr>
      </w: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十三、公司及其控股股东、实际控制人的诚信状况" w:id="74"/>
      <w:bookmarkEnd w:id="74"/>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十四、公司股权激励计划、员工持股计划或其他员工激励措施的实施情况" w:id="75"/>
      <w:bookmarkEnd w:id="75"/>
      <w:r>
        <w:rPr>
          <w:b w:val="0"/>
          <w:bCs w:val="0"/>
        </w:rPr>
      </w:r>
      <w:r>
        <w:rPr/>
        <w:t>十四、公司股权激励计划、员工持股计划或其他员工激励措施的实施情况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4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bookmarkStart w:name="十五、重大关联交易" w:id="76"/>
      <w:bookmarkEnd w:id="76"/>
      <w:r>
        <w:rPr>
          <w:b w:val="0"/>
          <w:bCs w:val="0"/>
        </w:rPr>
      </w: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与日常经营相关的关联交易" w:id="77"/>
      <w:bookmarkEnd w:id="77"/>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bookmarkStart w:name="2、资产或股权收购、出售发生的关联交易" w:id="78"/>
      <w:bookmarkEnd w:id="78"/>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bookmarkStart w:name="3、共同对外投资的关联交易" w:id="79"/>
      <w:bookmarkEnd w:id="79"/>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8"/>
        <w:rPr>
          <w:rFonts w:ascii="宋体" w:hAnsi="宋体" w:cs="宋体" w:eastAsia="宋体" w:hint="default"/>
          <w:sz w:val="21"/>
          <w:szCs w:val="21"/>
        </w:rPr>
      </w:pPr>
    </w:p>
    <w:p>
      <w:pPr>
        <w:pStyle w:val="Heading3"/>
        <w:spacing w:line="240" w:lineRule="auto"/>
        <w:ind w:right="1133"/>
        <w:jc w:val="left"/>
        <w:rPr>
          <w:b w:val="0"/>
          <w:bCs w:val="0"/>
        </w:rPr>
      </w:pPr>
      <w:bookmarkStart w:name="4、关联债权债务往来" w:id="80"/>
      <w:bookmarkEnd w:id="80"/>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bookmarkStart w:name="5、其他重大关联交易" w:id="81"/>
      <w:bookmarkEnd w:id="81"/>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公司报告期无其他重大关联交易。</w:t>
      </w:r>
    </w:p>
    <w:p>
      <w:pPr>
        <w:spacing w:line="240" w:lineRule="auto" w:before="4"/>
        <w:rPr>
          <w:rFonts w:ascii="宋体" w:hAnsi="宋体" w:cs="宋体" w:eastAsia="宋体" w:hint="default"/>
          <w:sz w:val="25"/>
          <w:szCs w:val="25"/>
        </w:rPr>
      </w:pPr>
    </w:p>
    <w:p>
      <w:pPr>
        <w:pStyle w:val="Heading2"/>
        <w:spacing w:line="240" w:lineRule="auto"/>
        <w:ind w:right="1133"/>
        <w:jc w:val="left"/>
        <w:rPr>
          <w:b w:val="0"/>
          <w:bCs w:val="0"/>
        </w:rPr>
      </w:pPr>
      <w:bookmarkStart w:name="十六、重大合同及其履行情况" w:id="82"/>
      <w:bookmarkEnd w:id="82"/>
      <w:r>
        <w:rPr>
          <w:b w:val="0"/>
          <w:bCs w:val="0"/>
        </w:rPr>
      </w: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托管、承包、租赁事项情况" w:id="83"/>
      <w:bookmarkEnd w:id="83"/>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托管情况" w:id="84"/>
      <w:bookmarkEnd w:id="84"/>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2）承包情况" w:id="85"/>
      <w:bookmarkEnd w:id="85"/>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3）租赁情况" w:id="86"/>
      <w:bookmarkEnd w:id="86"/>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bookmarkStart w:name="2、重大担保" w:id="87"/>
      <w:bookmarkEnd w:id="87"/>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bookmarkStart w:name="3、委托他人进行现金资产管理情况" w:id="88"/>
      <w:bookmarkEnd w:id="88"/>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委托理财情况" w:id="89"/>
      <w:bookmarkEnd w:id="89"/>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3" w:space="6787"/>
            <w:col w:w="21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1,500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133"/>
        <w:jc w:val="left"/>
      </w:pPr>
      <w:r>
        <w:rPr/>
        <w:t>单项金额重大或安全性较低、流动性较差、不保本的高风险委托理财具体情况</w:t>
      </w:r>
    </w:p>
    <w:p>
      <w:pPr>
        <w:pStyle w:val="BodyText"/>
        <w:spacing w:line="340" w:lineRule="auto" w:before="115"/>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委托贷款情况" w:id="90"/>
      <w:bookmarkEnd w:id="90"/>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4、其他重大合同" w:id="91"/>
      <w:bookmarkEnd w:id="91"/>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十七、社会责任情况" w:id="92"/>
      <w:bookmarkEnd w:id="92"/>
      <w:r>
        <w:rPr>
          <w:b w:val="0"/>
          <w:bCs w:val="0"/>
        </w:rPr>
      </w: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履行社会责任情况" w:id="93"/>
      <w:bookmarkEnd w:id="93"/>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3" w:firstLine="360"/>
        <w:jc w:val="left"/>
      </w:pPr>
      <w:r>
        <w:rPr>
          <w:spacing w:val="-2"/>
        </w:rPr>
        <w:t>公司作为上市公司，始终以建立现代企业制度，打造公开、透明、规范的上市公司为目标，在追求经济效益和股东利益</w:t>
      </w:r>
      <w:r>
        <w:rPr/>
        <w:t> 最大化的同时，注重承担社会责任，维护职工的合法权益，诚信对待供应商、客户等利益相关群体。</w:t>
      </w:r>
    </w:p>
    <w:p>
      <w:pPr>
        <w:pStyle w:val="BodyText"/>
        <w:spacing w:line="316" w:lineRule="auto" w:before="19"/>
        <w:ind w:right="0" w:firstLine="360"/>
        <w:jc w:val="left"/>
      </w:pPr>
      <w:r>
        <w:rPr>
          <w:spacing w:val="-2"/>
        </w:rPr>
        <w:t>公司严格按照《公司法》、《深圳证券交易所创业板股票上市规则》等法律法规、部门规章、规范性文件和公司章程的</w:t>
      </w:r>
      <w:r>
        <w:rPr/>
        <w:t> </w:t>
      </w:r>
      <w:r>
        <w:rPr>
          <w:spacing w:val="-2"/>
        </w:rPr>
        <w:t>规定，依法召开股东大会，积极主动采用网络投票等方式扩大股东参与股东大会的比例。报告期内，公司不断完善内控体系</w:t>
      </w:r>
      <w:r>
        <w:rPr>
          <w:spacing w:val="-64"/>
        </w:rPr>
        <w:t> </w:t>
      </w:r>
      <w:r>
        <w:rPr>
          <w:spacing w:val="-64"/>
        </w:rPr>
      </w:r>
      <w:r>
        <w:rPr>
          <w:spacing w:val="-2"/>
        </w:rPr>
        <w:t>及治理结构，严格履行信息披露义务，真实、准确、完整、及时、公平地向所有股东披露信息。通过投资者电话、传真、电</w:t>
      </w:r>
      <w:r>
        <w:rPr>
          <w:spacing w:val="-70"/>
        </w:rPr>
        <w:t> </w:t>
      </w:r>
      <w:r>
        <w:rPr>
          <w:spacing w:val="-70"/>
        </w:rPr>
      </w:r>
      <w:r>
        <w:rPr>
          <w:spacing w:val="-4"/>
        </w:rPr>
        <w:t>子邮箱和投资者关系互动平台等多种方式与投资者进行沟通交流，建立良好的互动平台；同时，公司的财务政策稳健，资产、</w:t>
      </w:r>
      <w:r>
        <w:rPr>
          <w:spacing w:val="-46"/>
        </w:rPr>
        <w:t> </w:t>
      </w:r>
      <w:r>
        <w:rPr>
          <w:spacing w:val="-46"/>
        </w:rPr>
      </w:r>
      <w:r>
        <w:rPr/>
        <w:t>资金安全重视对投资者的合理回报，制定了相对稳定的利润分配政策和分红方案以回报股东，维护广大投资者的利益。</w:t>
      </w:r>
    </w:p>
    <w:p>
      <w:pPr>
        <w:pStyle w:val="BodyText"/>
        <w:spacing w:line="316" w:lineRule="auto" w:before="19"/>
        <w:ind w:right="1132" w:firstLine="360"/>
        <w:jc w:val="both"/>
      </w:pPr>
      <w:r>
        <w:rPr>
          <w:spacing w:val="-2"/>
        </w:rPr>
        <w:t>员工是公司宝贵的资源，公司的发展离不开员工的辛勤付出。公司严格遵守相关法律法规，保障职工合法权益，建立了</w:t>
      </w:r>
      <w:r>
        <w:rPr/>
        <w:t> </w:t>
      </w:r>
      <w:r>
        <w:rPr>
          <w:spacing w:val="-2"/>
        </w:rPr>
        <w:t>一整套符合法律要求的人力资源管理体系，公司倡导以人为本，尊重和保护员工权益，不断完善具有吸引力和竞争性的福利</w:t>
      </w:r>
      <w:r>
        <w:rPr>
          <w:spacing w:val="-66"/>
        </w:rPr>
        <w:t> </w:t>
      </w:r>
      <w:r>
        <w:rPr>
          <w:spacing w:val="-66"/>
        </w:rPr>
      </w:r>
      <w:r>
        <w:rPr/>
        <w:t>体系，提升员工的认同感；通过员工培训等方式，加强人才培养，实现员工与企业的共同成。</w:t>
      </w:r>
    </w:p>
    <w:p>
      <w:pPr>
        <w:pStyle w:val="BodyText"/>
        <w:spacing w:line="316" w:lineRule="auto" w:before="19"/>
        <w:ind w:right="0" w:firstLine="360"/>
        <w:jc w:val="left"/>
      </w:pPr>
      <w:r>
        <w:rPr>
          <w:spacing w:val="-4"/>
        </w:rPr>
        <w:t>公司将诚实守信作为企业发展之基，与供应商和客户建立合作共赢的战略合作伙伴关系，与之保持长期良好的合作关系，</w:t>
      </w:r>
      <w:r>
        <w:rPr/>
        <w:t> 充分尊重并保护供应商、客户的合法权益。</w:t>
      </w:r>
    </w:p>
    <w:p>
      <w:pPr>
        <w:pStyle w:val="BodyText"/>
        <w:spacing w:line="360" w:lineRule="auto" w:before="59"/>
        <w:ind w:left="441" w:right="1105"/>
        <w:jc w:val="left"/>
      </w:pPr>
      <w:r>
        <w:rPr/>
        <w:t>公司积极投身社会公益事业，通过给贫困地区提供扶贫款、助学金、提供就业机会等形式为我国的扶贫事业贡献力量。 新型冠状肺炎疫情爆发后，公司积极响应政府号召，以强烈的社会责任感参与抗击新型肺炎防治战役，捐款捐物，为全</w:t>
      </w:r>
    </w:p>
    <w:p>
      <w:pPr>
        <w:pStyle w:val="BodyText"/>
        <w:spacing w:line="222" w:lineRule="exact"/>
        <w:ind w:right="1133"/>
        <w:jc w:val="left"/>
      </w:pPr>
      <w:r>
        <w:rPr/>
        <w:t>国抗疫工作贡献力量。</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履行精准扶贫社会责任情况" w:id="94"/>
      <w:bookmarkEnd w:id="94"/>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精准扶贫规划" w:id="95"/>
      <w:bookmarkEnd w:id="95"/>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公司报告期年度暂无精准扶贫规划。</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bookmarkStart w:name="（2）年度精准扶贫概要" w:id="96"/>
      <w:bookmarkEnd w:id="96"/>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报告期内，公司为石家庄市赞皇县西会村村民提供春节慰问金，对贫困学生提供助学金。</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精准扶贫成效" w:id="97"/>
      <w:bookmarkEnd w:id="97"/>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24"/>
        <w:gridCol w:w="1553"/>
        <w:gridCol w:w="438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3614"/>
        <w:gridCol w:w="1541"/>
        <w:gridCol w:w="4404"/>
      </w:tblGrid>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4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w:t>
            </w: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0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0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0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2" w:val="left" w:leader="none"/>
              </w:tabs>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4.1 </w:t>
            </w:r>
            <w:r>
              <w:rPr>
                <w:rFonts w:ascii="宋体" w:hAnsi="宋体" w:cs="宋体" w:eastAsia="宋体" w:hint="default"/>
                <w:sz w:val="18"/>
                <w:szCs w:val="18"/>
              </w:rPr>
              <w:t>资助贫困学生投入金额</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4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 </w:t>
            </w:r>
            <w:r>
              <w:rPr>
                <w:rFonts w:ascii="宋体" w:hAnsi="宋体" w:cs="宋体" w:eastAsia="宋体" w:hint="default"/>
                <w:sz w:val="18"/>
                <w:szCs w:val="18"/>
              </w:rPr>
              <w:t>资助贫困学生人数</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4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0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0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 </w:t>
            </w:r>
            <w:r>
              <w:rPr>
                <w:rFonts w:ascii="宋体" w:hAnsi="宋体" w:cs="宋体" w:eastAsia="宋体" w:hint="default"/>
                <w:sz w:val="18"/>
                <w:szCs w:val="18"/>
              </w:rPr>
              <w:t>定点扶贫工作投入金额</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4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0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4）后续精准扶贫计划" w:id="98"/>
      <w:bookmarkEnd w:id="98"/>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29" w:firstLine="300"/>
        <w:jc w:val="left"/>
      </w:pPr>
      <w:r>
        <w:rPr>
          <w:spacing w:val="-1"/>
        </w:rPr>
        <w:t>①持续教育扶贫：公司确定为西会村贫困儿童提供助学资金，在孩子顺利升入初中、高中乃至全日制大学，都将长期帮</w:t>
      </w:r>
      <w:r>
        <w:rPr/>
        <w:t> 扶直至毕业。</w:t>
      </w:r>
    </w:p>
    <w:p>
      <w:pPr>
        <w:pStyle w:val="BodyText"/>
        <w:spacing w:line="316" w:lineRule="auto" w:before="58"/>
        <w:ind w:right="1129" w:firstLine="307"/>
        <w:jc w:val="left"/>
      </w:pPr>
      <w:r>
        <w:rPr>
          <w:spacing w:val="-1"/>
        </w:rPr>
        <w:t>②扩大就业扶贫：帮扶的贫困儿童如果毕业后有意愿到公司工作，公司将优先录用；广大西会村村民，满足招聘条件的</w:t>
      </w:r>
      <w:r>
        <w:rPr/>
        <w:t> 可以优先到公司工作。</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1133"/>
        <w:jc w:val="left"/>
        <w:rPr>
          <w:b w:val="0"/>
          <w:bCs w:val="0"/>
        </w:rPr>
      </w:pPr>
      <w:bookmarkStart w:name="3、环境保护相关的情况" w:id="99"/>
      <w:bookmarkEnd w:id="99"/>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5714"/>
        <w:jc w:val="left"/>
      </w:pPr>
      <w:r>
        <w:rPr/>
        <w:t>上市公司及其子公司是否属于环境保护部门公布的重点排污单位 否</w:t>
      </w:r>
    </w:p>
    <w:p>
      <w:pPr>
        <w:pStyle w:val="BodyText"/>
        <w:spacing w:line="316" w:lineRule="auto" w:before="25"/>
        <w:ind w:left="453" w:right="1125"/>
        <w:jc w:val="left"/>
      </w:pPr>
      <w:r>
        <w:rPr/>
        <w:t>经公司核查，公司及控股子公司不属于重点排污单位。 </w:t>
      </w:r>
      <w:r>
        <w:rPr>
          <w:spacing w:val="-4"/>
        </w:rPr>
        <w:t>公司及控股子公司在日常生产经营中认真执行《中华人民共和国环境保护法》、《中华人民共和国水污染防治法》、《中</w:t>
      </w:r>
    </w:p>
    <w:p>
      <w:pPr>
        <w:pStyle w:val="BodyText"/>
        <w:spacing w:line="316" w:lineRule="auto" w:before="19"/>
        <w:ind w:right="1133"/>
        <w:jc w:val="left"/>
      </w:pPr>
      <w:r>
        <w:rPr>
          <w:spacing w:val="-2"/>
        </w:rPr>
        <w:t>华人民共和国大气污染防治法》、《中华人民共和国环境噪声污染防治法》、《中华人民共和国固体废物污染防治法》等环</w:t>
      </w:r>
      <w:r>
        <w:rPr>
          <w:spacing w:val="-68"/>
        </w:rPr>
        <w:t> </w:t>
      </w:r>
      <w:r>
        <w:rPr>
          <w:spacing w:val="-68"/>
        </w:rPr>
      </w:r>
      <w:r>
        <w:rPr/>
        <w:t>保方面的法律法规，报告期内未出现因违法违规而受到处罚的情况。</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2"/>
        <w:spacing w:line="240" w:lineRule="auto"/>
        <w:ind w:right="1133"/>
        <w:jc w:val="left"/>
        <w:rPr>
          <w:b w:val="0"/>
          <w:bCs w:val="0"/>
        </w:rPr>
      </w:pPr>
      <w:bookmarkStart w:name="十八、其他重大事项的说明" w:id="100"/>
      <w:bookmarkEnd w:id="100"/>
      <w:r>
        <w:rPr>
          <w:b w:val="0"/>
          <w:bCs w:val="0"/>
        </w:rPr>
      </w: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4" w:type="dxa"/>
        <w:tblLayout w:type="fixed"/>
        <w:tblCellMar>
          <w:top w:w="0" w:type="dxa"/>
          <w:left w:w="0" w:type="dxa"/>
          <w:bottom w:w="0" w:type="dxa"/>
          <w:right w:w="0" w:type="dxa"/>
        </w:tblCellMar>
        <w:tblLook w:val="01E0"/>
      </w:tblPr>
      <w:tblGrid>
        <w:gridCol w:w="567"/>
        <w:gridCol w:w="994"/>
        <w:gridCol w:w="5670"/>
        <w:gridCol w:w="992"/>
        <w:gridCol w:w="994"/>
      </w:tblGrid>
      <w:tr>
        <w:trPr>
          <w:trHeight w:val="346"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披露日期</w:t>
            </w:r>
            <w:r>
              <w:rPr>
                <w:rFonts w:ascii="宋体" w:hAnsi="宋体" w:cs="宋体" w:eastAsia="宋体" w:hint="default"/>
                <w:sz w:val="18"/>
                <w:szCs w:val="18"/>
              </w:rPr>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披露内容</w:t>
            </w:r>
            <w:r>
              <w:rPr>
                <w:rFonts w:ascii="宋体" w:hAnsi="宋体" w:cs="宋体" w:eastAsia="宋体" w:hint="default"/>
                <w:sz w:val="18"/>
                <w:szCs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9" w:right="0"/>
              <w:jc w:val="left"/>
              <w:rPr>
                <w:rFonts w:ascii="宋体" w:hAnsi="宋体" w:cs="宋体" w:eastAsia="宋体" w:hint="default"/>
                <w:sz w:val="18"/>
                <w:szCs w:val="18"/>
              </w:rPr>
            </w:pPr>
            <w:r>
              <w:rPr>
                <w:rFonts w:ascii="宋体" w:hAnsi="宋体" w:cs="宋体" w:eastAsia="宋体" w:hint="default"/>
                <w:b/>
                <w:bCs/>
                <w:sz w:val="18"/>
                <w:szCs w:val="18"/>
              </w:rPr>
              <w:t>公告编号</w:t>
            </w:r>
            <w:r>
              <w:rPr>
                <w:rFonts w:ascii="宋体" w:hAnsi="宋体" w:cs="宋体" w:eastAsia="宋体" w:hint="default"/>
                <w:sz w:val="18"/>
                <w:szCs w:val="18"/>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披露媒体</w:t>
            </w:r>
            <w:r>
              <w:rPr>
                <w:rFonts w:ascii="宋体" w:hAnsi="宋体" w:cs="宋体" w:eastAsia="宋体" w:hint="default"/>
                <w:sz w:val="18"/>
                <w:szCs w:val="18"/>
              </w:rPr>
            </w:r>
          </w:p>
        </w:tc>
      </w:tr>
      <w:tr>
        <w:trPr>
          <w:trHeight w:val="348"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2019.1.2</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关于公司控股股东增持公司股份比例达到</w:t>
            </w:r>
            <w:r>
              <w:rPr>
                <w:rFonts w:ascii="Times New Roman" w:hAnsi="Times New Roman" w:cs="Times New Roman" w:eastAsia="Times New Roman" w:hint="default"/>
                <w:sz w:val="18"/>
                <w:szCs w:val="18"/>
              </w:rPr>
              <w:t>1%</w:t>
            </w:r>
            <w:r>
              <w:rPr>
                <w:rFonts w:ascii="宋体" w:hAnsi="宋体" w:cs="宋体" w:eastAsia="宋体" w:hint="default"/>
                <w:sz w:val="18"/>
                <w:szCs w:val="18"/>
              </w:rPr>
              <w:t>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6" w:right="0"/>
              <w:jc w:val="left"/>
              <w:rPr>
                <w:rFonts w:ascii="Times New Roman" w:hAnsi="Times New Roman" w:cs="Times New Roman" w:eastAsia="Times New Roman" w:hint="default"/>
                <w:sz w:val="18"/>
                <w:szCs w:val="18"/>
              </w:rPr>
            </w:pPr>
            <w:r>
              <w:rPr>
                <w:rFonts w:ascii="Times New Roman"/>
                <w:sz w:val="18"/>
              </w:rPr>
              <w:t>2019-001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4" w:type="dxa"/>
        <w:tblLayout w:type="fixed"/>
        <w:tblCellMar>
          <w:top w:w="0" w:type="dxa"/>
          <w:left w:w="0" w:type="dxa"/>
          <w:bottom w:w="0" w:type="dxa"/>
          <w:right w:w="0" w:type="dxa"/>
        </w:tblCellMar>
        <w:tblLook w:val="01E0"/>
      </w:tblPr>
      <w:tblGrid>
        <w:gridCol w:w="567"/>
        <w:gridCol w:w="994"/>
        <w:gridCol w:w="5670"/>
        <w:gridCol w:w="992"/>
        <w:gridCol w:w="994"/>
      </w:tblGrid>
      <w:tr>
        <w:trPr>
          <w:trHeight w:val="348" w:hRule="exact"/>
        </w:trPr>
        <w:tc>
          <w:tcPr>
            <w:tcW w:w="567" w:type="dxa"/>
            <w:vMerge w:val="restart"/>
            <w:tcBorders>
              <w:top w:val="single" w:sz="6" w:space="0" w:color="000000"/>
              <w:left w:val="single" w:sz="6" w:space="0" w:color="000000"/>
              <w:right w:val="single" w:sz="6" w:space="0" w:color="000000"/>
            </w:tcBorders>
          </w:tcPr>
          <w:p>
            <w:pPr/>
          </w:p>
        </w:tc>
        <w:tc>
          <w:tcPr>
            <w:tcW w:w="994" w:type="dxa"/>
            <w:vMerge w:val="restart"/>
            <w:tcBorders>
              <w:top w:val="single" w:sz="6" w:space="0" w:color="000000"/>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关于回购公司股份的进展公告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2019-002</w:t>
            </w:r>
          </w:p>
        </w:tc>
        <w:tc>
          <w:tcPr>
            <w:tcW w:w="994" w:type="dxa"/>
            <w:vMerge w:val="restart"/>
            <w:tcBorders>
              <w:top w:val="single" w:sz="6" w:space="0" w:color="000000"/>
              <w:left w:val="single" w:sz="6" w:space="0" w:color="000000"/>
              <w:right w:val="single" w:sz="6" w:space="0" w:color="000000"/>
            </w:tcBorders>
          </w:tcPr>
          <w:p>
            <w:pPr/>
          </w:p>
        </w:tc>
      </w:tr>
      <w:tr>
        <w:trPr>
          <w:trHeight w:val="346" w:hRule="exact"/>
        </w:trPr>
        <w:tc>
          <w:tcPr>
            <w:tcW w:w="567"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公司及子公司获得政府补助的公告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2019-003</w:t>
            </w:r>
          </w:p>
        </w:tc>
        <w:tc>
          <w:tcPr>
            <w:tcW w:w="994" w:type="dxa"/>
            <w:vMerge/>
            <w:tcBorders>
              <w:left w:val="single" w:sz="6" w:space="0" w:color="000000"/>
              <w:bottom w:val="single" w:sz="6" w:space="0" w:color="000000"/>
              <w:right w:val="single" w:sz="6" w:space="0" w:color="000000"/>
            </w:tcBorders>
          </w:tcPr>
          <w:p>
            <w:pPr/>
          </w:p>
        </w:tc>
      </w:tr>
      <w:tr>
        <w:trPr>
          <w:trHeight w:val="348" w:hRule="exact"/>
        </w:trPr>
        <w:tc>
          <w:tcPr>
            <w:tcW w:w="567" w:type="dxa"/>
            <w:vMerge w:val="restart"/>
            <w:tcBorders>
              <w:top w:val="single" w:sz="6" w:space="0" w:color="000000"/>
              <w:left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62"/>
              <w:ind w:left="127" w:right="0"/>
              <w:jc w:val="left"/>
              <w:rPr>
                <w:rFonts w:ascii="Times New Roman" w:hAnsi="Times New Roman" w:cs="Times New Roman" w:eastAsia="Times New Roman" w:hint="default"/>
                <w:sz w:val="18"/>
                <w:szCs w:val="18"/>
              </w:rPr>
            </w:pPr>
            <w:r>
              <w:rPr>
                <w:rFonts w:ascii="Times New Roman"/>
                <w:sz w:val="18"/>
              </w:rPr>
              <w:t>2019.1.18</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第三届董事会第十二次会议决议公告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2019-004</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20"/>
              <w:ind w:left="40"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关于使用闲置自有资金购买理财产品的公告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2019-005</w:t>
            </w:r>
          </w:p>
        </w:tc>
        <w:tc>
          <w:tcPr>
            <w:tcW w:w="994" w:type="dxa"/>
            <w:vMerge/>
            <w:tcBorders>
              <w:left w:val="single" w:sz="6" w:space="0" w:color="000000"/>
              <w:right w:val="single" w:sz="6" w:space="0" w:color="000000"/>
            </w:tcBorders>
          </w:tcPr>
          <w:p>
            <w:pPr/>
          </w:p>
        </w:tc>
      </w:tr>
      <w:tr>
        <w:trPr>
          <w:trHeight w:val="348" w:hRule="exact"/>
        </w:trPr>
        <w:tc>
          <w:tcPr>
            <w:tcW w:w="567"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独立董事关于相关事项的独立意见</w:t>
            </w:r>
          </w:p>
        </w:tc>
        <w:tc>
          <w:tcPr>
            <w:tcW w:w="992" w:type="dxa"/>
            <w:tcBorders>
              <w:top w:val="single" w:sz="6" w:space="0" w:color="000000"/>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r>
      <w:tr>
        <w:trPr>
          <w:trHeight w:val="348"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29"/>
              <w:jc w:val="right"/>
              <w:rPr>
                <w:rFonts w:ascii="Times New Roman" w:hAnsi="Times New Roman" w:cs="Times New Roman" w:eastAsia="Times New Roman" w:hint="default"/>
                <w:sz w:val="18"/>
                <w:szCs w:val="18"/>
              </w:rPr>
            </w:pPr>
            <w:r>
              <w:rPr>
                <w:rFonts w:ascii="Times New Roman"/>
                <w:sz w:val="18"/>
              </w:rPr>
              <w:t>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2019.1.22</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年度业绩预告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2019-006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29"/>
              <w:jc w:val="right"/>
              <w:rPr>
                <w:rFonts w:ascii="Times New Roman" w:hAnsi="Times New Roman" w:cs="Times New Roman" w:eastAsia="Times New Roman" w:hint="default"/>
                <w:sz w:val="18"/>
                <w:szCs w:val="18"/>
              </w:rPr>
            </w:pPr>
            <w:r>
              <w:rPr>
                <w:rFonts w:ascii="Times New Roman"/>
                <w:sz w:val="18"/>
              </w:rPr>
              <w:t>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2019.1.28</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关于回购公司股份比例达到</w:t>
            </w:r>
            <w:r>
              <w:rPr>
                <w:rFonts w:ascii="Times New Roman" w:hAnsi="Times New Roman" w:cs="Times New Roman" w:eastAsia="Times New Roman" w:hint="default"/>
                <w:sz w:val="18"/>
                <w:szCs w:val="18"/>
              </w:rPr>
              <w:t>1%</w:t>
            </w:r>
            <w:r>
              <w:rPr>
                <w:rFonts w:ascii="宋体" w:hAnsi="宋体" w:cs="宋体" w:eastAsia="宋体" w:hint="default"/>
                <w:sz w:val="18"/>
                <w:szCs w:val="18"/>
              </w:rPr>
              <w:t>暨回购进展公告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2019-007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29"/>
              <w:jc w:val="right"/>
              <w:rPr>
                <w:rFonts w:ascii="Times New Roman" w:hAnsi="Times New Roman" w:cs="Times New Roman" w:eastAsia="Times New Roman" w:hint="default"/>
                <w:sz w:val="18"/>
                <w:szCs w:val="18"/>
              </w:rPr>
            </w:pPr>
            <w:r>
              <w:rPr>
                <w:rFonts w:ascii="Times New Roman"/>
                <w:sz w:val="18"/>
              </w:rPr>
              <w:t>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2019.2.11</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关于回购公司股份的进展公告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2019-008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29"/>
              <w:jc w:val="right"/>
              <w:rPr>
                <w:rFonts w:ascii="Times New Roman" w:hAnsi="Times New Roman" w:cs="Times New Roman" w:eastAsia="Times New Roman" w:hint="default"/>
                <w:sz w:val="18"/>
                <w:szCs w:val="18"/>
              </w:rPr>
            </w:pPr>
            <w:r>
              <w:rPr>
                <w:rFonts w:ascii="Times New Roman"/>
                <w:sz w:val="18"/>
              </w:rPr>
              <w:t>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2019.2.27</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年度业绩快报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2019-009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29"/>
              <w:jc w:val="right"/>
              <w:rPr>
                <w:rFonts w:ascii="Times New Roman" w:hAnsi="Times New Roman" w:cs="Times New Roman" w:eastAsia="Times New Roman" w:hint="default"/>
                <w:sz w:val="18"/>
                <w:szCs w:val="18"/>
              </w:rPr>
            </w:pPr>
            <w:r>
              <w:rPr>
                <w:rFonts w:ascii="Times New Roman"/>
                <w:sz w:val="18"/>
              </w:rPr>
              <w:t>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2019.3.1</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关于回购股份实施结果暨股份变动的公告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2019-010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567" w:type="dxa"/>
            <w:vMerge w:val="restart"/>
            <w:tcBorders>
              <w:top w:val="single" w:sz="6" w:space="0" w:color="000000"/>
              <w:left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60"/>
              <w:ind w:left="127" w:right="0"/>
              <w:jc w:val="left"/>
              <w:rPr>
                <w:rFonts w:ascii="Times New Roman" w:hAnsi="Times New Roman" w:cs="Times New Roman" w:eastAsia="Times New Roman" w:hint="default"/>
                <w:sz w:val="18"/>
                <w:szCs w:val="18"/>
              </w:rPr>
            </w:pPr>
            <w:r>
              <w:rPr>
                <w:rFonts w:ascii="Times New Roman"/>
                <w:sz w:val="18"/>
              </w:rPr>
              <w:t>2019.3.19</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第三届董事会第十三次会议决议公告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2019-011</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17"/>
              <w:ind w:left="40"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9"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关于变更回购股份用途的公告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 w:right="0"/>
              <w:jc w:val="center"/>
              <w:rPr>
                <w:rFonts w:ascii="Times New Roman" w:hAnsi="Times New Roman" w:cs="Times New Roman" w:eastAsia="Times New Roman" w:hint="default"/>
                <w:sz w:val="18"/>
                <w:szCs w:val="18"/>
              </w:rPr>
            </w:pPr>
            <w:r>
              <w:rPr>
                <w:rFonts w:ascii="Times New Roman"/>
                <w:sz w:val="18"/>
              </w:rPr>
              <w:t>2019-012</w:t>
            </w:r>
          </w:p>
        </w:tc>
        <w:tc>
          <w:tcPr>
            <w:tcW w:w="994" w:type="dxa"/>
            <w:vMerge/>
            <w:tcBorders>
              <w:left w:val="single" w:sz="6" w:space="0" w:color="000000"/>
              <w:right w:val="single" w:sz="6" w:space="0" w:color="000000"/>
            </w:tcBorders>
          </w:tcPr>
          <w:p>
            <w:pPr/>
          </w:p>
        </w:tc>
      </w:tr>
      <w:tr>
        <w:trPr>
          <w:trHeight w:val="348"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关于全资子公司股权内部划转的公告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2019-013</w:t>
            </w:r>
          </w:p>
        </w:tc>
        <w:tc>
          <w:tcPr>
            <w:tcW w:w="994" w:type="dxa"/>
            <w:vMerge/>
            <w:tcBorders>
              <w:left w:val="single" w:sz="6" w:space="0" w:color="000000"/>
              <w:right w:val="single" w:sz="6" w:space="0" w:color="000000"/>
            </w:tcBorders>
          </w:tcPr>
          <w:p>
            <w:pPr/>
          </w:p>
        </w:tc>
      </w:tr>
      <w:tr>
        <w:trPr>
          <w:trHeight w:val="346"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2019</w:t>
            </w:r>
            <w:r>
              <w:rPr>
                <w:rFonts w:ascii="宋体" w:hAnsi="宋体" w:cs="宋体" w:eastAsia="宋体" w:hint="default"/>
                <w:sz w:val="18"/>
                <w:szCs w:val="18"/>
              </w:rPr>
              <w:t>年第一次临时股东大会通知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2019-014</w:t>
            </w:r>
          </w:p>
        </w:tc>
        <w:tc>
          <w:tcPr>
            <w:tcW w:w="994" w:type="dxa"/>
            <w:vMerge/>
            <w:tcBorders>
              <w:left w:val="single" w:sz="6" w:space="0" w:color="000000"/>
              <w:right w:val="single" w:sz="6" w:space="0" w:color="000000"/>
            </w:tcBorders>
          </w:tcPr>
          <w:p>
            <w:pPr/>
          </w:p>
        </w:tc>
      </w:tr>
      <w:tr>
        <w:trPr>
          <w:trHeight w:val="348"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第三届监事会第十一次会议决议公告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2019-015</w:t>
            </w:r>
          </w:p>
        </w:tc>
        <w:tc>
          <w:tcPr>
            <w:tcW w:w="994" w:type="dxa"/>
            <w:vMerge/>
            <w:tcBorders>
              <w:left w:val="single" w:sz="6" w:space="0" w:color="000000"/>
              <w:right w:val="single" w:sz="6" w:space="0" w:color="000000"/>
            </w:tcBorders>
          </w:tcPr>
          <w:p>
            <w:pPr/>
          </w:p>
        </w:tc>
      </w:tr>
      <w:tr>
        <w:trPr>
          <w:trHeight w:val="346"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《公司章程》修订对照表</w:t>
            </w:r>
          </w:p>
        </w:tc>
        <w:tc>
          <w:tcPr>
            <w:tcW w:w="992" w:type="dxa"/>
            <w:tcBorders>
              <w:top w:val="single" w:sz="6" w:space="0" w:color="000000"/>
              <w:left w:val="single" w:sz="6" w:space="0" w:color="000000"/>
              <w:bottom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r>
      <w:tr>
        <w:trPr>
          <w:trHeight w:val="348" w:hRule="exact"/>
        </w:trPr>
        <w:tc>
          <w:tcPr>
            <w:tcW w:w="567"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独立董事关于相关事项的独立意见</w:t>
            </w:r>
          </w:p>
        </w:tc>
        <w:tc>
          <w:tcPr>
            <w:tcW w:w="992" w:type="dxa"/>
            <w:tcBorders>
              <w:top w:val="single" w:sz="6" w:space="0" w:color="000000"/>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r>
      <w:tr>
        <w:trPr>
          <w:trHeight w:val="348" w:hRule="exact"/>
        </w:trPr>
        <w:tc>
          <w:tcPr>
            <w:tcW w:w="567" w:type="dxa"/>
            <w:vMerge w:val="restart"/>
            <w:tcBorders>
              <w:top w:val="single" w:sz="6" w:space="0" w:color="000000"/>
              <w:left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9</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60"/>
              <w:ind w:left="172" w:right="0"/>
              <w:jc w:val="left"/>
              <w:rPr>
                <w:rFonts w:ascii="Times New Roman" w:hAnsi="Times New Roman" w:cs="Times New Roman" w:eastAsia="Times New Roman" w:hint="default"/>
                <w:sz w:val="18"/>
                <w:szCs w:val="18"/>
              </w:rPr>
            </w:pPr>
            <w:r>
              <w:rPr>
                <w:rFonts w:ascii="Times New Roman"/>
                <w:sz w:val="18"/>
              </w:rPr>
              <w:t>2019.4.3</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年第一次临时股东大会决议公告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2019-016</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17"/>
              <w:ind w:left="40"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567"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年第一次临时股东大会的法律意见书</w:t>
            </w:r>
          </w:p>
        </w:tc>
        <w:tc>
          <w:tcPr>
            <w:tcW w:w="992" w:type="dxa"/>
            <w:tcBorders>
              <w:top w:val="single" w:sz="6" w:space="0" w:color="000000"/>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r>
      <w:tr>
        <w:trPr>
          <w:trHeight w:val="348"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82"/>
              <w:jc w:val="right"/>
              <w:rPr>
                <w:rFonts w:ascii="Times New Roman" w:hAnsi="Times New Roman" w:cs="Times New Roman" w:eastAsia="Times New Roman" w:hint="default"/>
                <w:sz w:val="18"/>
                <w:szCs w:val="18"/>
              </w:rPr>
            </w:pPr>
            <w:r>
              <w:rPr>
                <w:rFonts w:ascii="Times New Roman"/>
                <w:sz w:val="18"/>
              </w:rPr>
              <w:t>10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2019.4.9</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年第一季度业绩预告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2019-017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2"/>
              <w:jc w:val="right"/>
              <w:rPr>
                <w:rFonts w:ascii="Times New Roman" w:hAnsi="Times New Roman" w:cs="Times New Roman" w:eastAsia="Times New Roman" w:hint="default"/>
                <w:sz w:val="18"/>
                <w:szCs w:val="18"/>
              </w:rPr>
            </w:pPr>
            <w:r>
              <w:rPr>
                <w:rFonts w:ascii="Times New Roman"/>
                <w:sz w:val="18"/>
              </w:rPr>
              <w:t>11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2019.4.10</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关于控股股东部分股份解除质押及部分股份质押展期的公告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2019-018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82"/>
              <w:jc w:val="right"/>
              <w:rPr>
                <w:rFonts w:ascii="Times New Roman" w:hAnsi="Times New Roman" w:cs="Times New Roman" w:eastAsia="Times New Roman" w:hint="default"/>
                <w:sz w:val="18"/>
                <w:szCs w:val="18"/>
              </w:rPr>
            </w:pPr>
            <w:r>
              <w:rPr>
                <w:rFonts w:ascii="Times New Roman"/>
                <w:sz w:val="18"/>
              </w:rPr>
              <w:t>12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2019.4.12</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关于控股股东部分股份质押变动的公告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2019-019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567" w:type="dxa"/>
            <w:vMerge w:val="restart"/>
            <w:tcBorders>
              <w:top w:val="single" w:sz="6" w:space="0" w:color="000000"/>
              <w:left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13</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60"/>
              <w:ind w:left="127" w:right="0"/>
              <w:jc w:val="left"/>
              <w:rPr>
                <w:rFonts w:ascii="Times New Roman" w:hAnsi="Times New Roman" w:cs="Times New Roman" w:eastAsia="Times New Roman" w:hint="default"/>
                <w:sz w:val="18"/>
                <w:szCs w:val="18"/>
              </w:rPr>
            </w:pPr>
            <w:r>
              <w:rPr>
                <w:rFonts w:ascii="Times New Roman"/>
                <w:sz w:val="18"/>
              </w:rPr>
              <w:t>2019.4.26</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第三届董事会第十四次会议决议公告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2019-020</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17"/>
              <w:ind w:left="40"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年年度报告摘要</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2019-021</w:t>
            </w:r>
          </w:p>
        </w:tc>
        <w:tc>
          <w:tcPr>
            <w:tcW w:w="994" w:type="dxa"/>
            <w:vMerge/>
            <w:tcBorders>
              <w:left w:val="single" w:sz="6" w:space="0" w:color="000000"/>
              <w:right w:val="single" w:sz="6" w:space="0" w:color="000000"/>
            </w:tcBorders>
          </w:tcPr>
          <w:p>
            <w:pPr/>
          </w:p>
        </w:tc>
      </w:tr>
      <w:tr>
        <w:trPr>
          <w:trHeight w:val="348"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年度报告披露的提示性公告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2019-022</w:t>
            </w:r>
          </w:p>
        </w:tc>
        <w:tc>
          <w:tcPr>
            <w:tcW w:w="994" w:type="dxa"/>
            <w:vMerge/>
            <w:tcBorders>
              <w:left w:val="single" w:sz="6" w:space="0" w:color="000000"/>
              <w:right w:val="single" w:sz="6" w:space="0" w:color="000000"/>
            </w:tcBorders>
          </w:tcPr>
          <w:p>
            <w:pPr/>
          </w:p>
        </w:tc>
      </w:tr>
      <w:tr>
        <w:trPr>
          <w:trHeight w:val="346"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年度拟不进行利润分配的专项说明</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2019-023</w:t>
            </w:r>
          </w:p>
        </w:tc>
        <w:tc>
          <w:tcPr>
            <w:tcW w:w="994" w:type="dxa"/>
            <w:vMerge/>
            <w:tcBorders>
              <w:left w:val="single" w:sz="6" w:space="0" w:color="000000"/>
              <w:right w:val="single" w:sz="6" w:space="0" w:color="000000"/>
            </w:tcBorders>
          </w:tcPr>
          <w:p>
            <w:pPr/>
          </w:p>
        </w:tc>
      </w:tr>
      <w:tr>
        <w:trPr>
          <w:trHeight w:val="348"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关于计提资产减值准备的公告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2019-024</w:t>
            </w:r>
          </w:p>
        </w:tc>
        <w:tc>
          <w:tcPr>
            <w:tcW w:w="994" w:type="dxa"/>
            <w:vMerge/>
            <w:tcBorders>
              <w:left w:val="single" w:sz="6" w:space="0" w:color="000000"/>
              <w:right w:val="single" w:sz="6" w:space="0" w:color="000000"/>
            </w:tcBorders>
          </w:tcPr>
          <w:p>
            <w:pPr/>
          </w:p>
        </w:tc>
      </w:tr>
      <w:tr>
        <w:trPr>
          <w:trHeight w:val="346"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关于会计政策变更的公告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2019-025</w:t>
            </w:r>
          </w:p>
        </w:tc>
        <w:tc>
          <w:tcPr>
            <w:tcW w:w="994" w:type="dxa"/>
            <w:vMerge/>
            <w:tcBorders>
              <w:left w:val="single" w:sz="6" w:space="0" w:color="000000"/>
              <w:right w:val="single" w:sz="6" w:space="0" w:color="000000"/>
            </w:tcBorders>
          </w:tcPr>
          <w:p>
            <w:pPr/>
          </w:p>
        </w:tc>
      </w:tr>
      <w:tr>
        <w:trPr>
          <w:trHeight w:val="348"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年第一季度报告披露的提示性公告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2019-026</w:t>
            </w:r>
          </w:p>
        </w:tc>
        <w:tc>
          <w:tcPr>
            <w:tcW w:w="994" w:type="dxa"/>
            <w:vMerge/>
            <w:tcBorders>
              <w:left w:val="single" w:sz="6" w:space="0" w:color="000000"/>
              <w:right w:val="single" w:sz="6" w:space="0" w:color="000000"/>
            </w:tcBorders>
          </w:tcPr>
          <w:p>
            <w:pPr/>
          </w:p>
        </w:tc>
      </w:tr>
      <w:tr>
        <w:trPr>
          <w:trHeight w:val="348"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年度股东大会通知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2019-027</w:t>
            </w:r>
          </w:p>
        </w:tc>
        <w:tc>
          <w:tcPr>
            <w:tcW w:w="994" w:type="dxa"/>
            <w:vMerge/>
            <w:tcBorders>
              <w:left w:val="single" w:sz="6" w:space="0" w:color="000000"/>
              <w:right w:val="single" w:sz="6" w:space="0" w:color="000000"/>
            </w:tcBorders>
          </w:tcPr>
          <w:p>
            <w:pPr/>
          </w:p>
        </w:tc>
      </w:tr>
      <w:tr>
        <w:trPr>
          <w:trHeight w:val="346"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关于举行</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年度及</w:t>
            </w:r>
            <w:r>
              <w:rPr>
                <w:rFonts w:ascii="Times New Roman" w:hAnsi="Times New Roman" w:cs="Times New Roman" w:eastAsia="Times New Roman" w:hint="default"/>
                <w:sz w:val="18"/>
                <w:szCs w:val="18"/>
              </w:rPr>
              <w:t>2019</w:t>
            </w:r>
            <w:r>
              <w:rPr>
                <w:rFonts w:ascii="宋体" w:hAnsi="宋体" w:cs="宋体" w:eastAsia="宋体" w:hint="default"/>
                <w:sz w:val="18"/>
                <w:szCs w:val="18"/>
              </w:rPr>
              <w:t>年第一季度业绩网上说明会的公告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2019-028</w:t>
            </w:r>
          </w:p>
        </w:tc>
        <w:tc>
          <w:tcPr>
            <w:tcW w:w="994" w:type="dxa"/>
            <w:vMerge/>
            <w:tcBorders>
              <w:left w:val="single" w:sz="6" w:space="0" w:color="000000"/>
              <w:right w:val="single" w:sz="6" w:space="0" w:color="000000"/>
            </w:tcBorders>
          </w:tcPr>
          <w:p>
            <w:pPr/>
          </w:p>
        </w:tc>
      </w:tr>
      <w:tr>
        <w:trPr>
          <w:trHeight w:val="349"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第三届监事会第十二次会议决议公告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2019-029</w:t>
            </w:r>
          </w:p>
        </w:tc>
        <w:tc>
          <w:tcPr>
            <w:tcW w:w="994" w:type="dxa"/>
            <w:vMerge/>
            <w:tcBorders>
              <w:left w:val="single" w:sz="6" w:space="0" w:color="000000"/>
              <w:right w:val="single" w:sz="6" w:space="0" w:color="000000"/>
            </w:tcBorders>
          </w:tcPr>
          <w:p>
            <w:pPr/>
          </w:p>
        </w:tc>
      </w:tr>
      <w:tr>
        <w:trPr>
          <w:trHeight w:val="346"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年年度报告</w:t>
            </w:r>
          </w:p>
        </w:tc>
        <w:tc>
          <w:tcPr>
            <w:tcW w:w="992" w:type="dxa"/>
            <w:tcBorders>
              <w:top w:val="single" w:sz="6" w:space="0" w:color="000000"/>
              <w:left w:val="single" w:sz="6" w:space="0" w:color="000000"/>
              <w:bottom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r>
      <w:tr>
        <w:trPr>
          <w:trHeight w:val="348"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年年度审计报告</w:t>
            </w:r>
          </w:p>
        </w:tc>
        <w:tc>
          <w:tcPr>
            <w:tcW w:w="992" w:type="dxa"/>
            <w:tcBorders>
              <w:top w:val="single" w:sz="6" w:space="0" w:color="000000"/>
              <w:left w:val="single" w:sz="6" w:space="0" w:color="000000"/>
              <w:bottom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r>
      <w:tr>
        <w:trPr>
          <w:trHeight w:val="346"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年第一季度报告全文</w:t>
            </w:r>
          </w:p>
        </w:tc>
        <w:tc>
          <w:tcPr>
            <w:tcW w:w="992" w:type="dxa"/>
            <w:tcBorders>
              <w:top w:val="single" w:sz="6" w:space="0" w:color="000000"/>
              <w:left w:val="single" w:sz="6" w:space="0" w:color="000000"/>
              <w:bottom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r>
      <w:tr>
        <w:trPr>
          <w:trHeight w:val="348"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独立董事关于相关事项的独立意见</w:t>
            </w:r>
          </w:p>
        </w:tc>
        <w:tc>
          <w:tcPr>
            <w:tcW w:w="992" w:type="dxa"/>
            <w:tcBorders>
              <w:top w:val="single" w:sz="6" w:space="0" w:color="000000"/>
              <w:left w:val="single" w:sz="6" w:space="0" w:color="000000"/>
              <w:bottom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r>
      <w:tr>
        <w:trPr>
          <w:trHeight w:val="348"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年度述职报告（赵立三）</w:t>
            </w:r>
          </w:p>
        </w:tc>
        <w:tc>
          <w:tcPr>
            <w:tcW w:w="992" w:type="dxa"/>
            <w:tcBorders>
              <w:top w:val="single" w:sz="6" w:space="0" w:color="000000"/>
              <w:left w:val="single" w:sz="6" w:space="0" w:color="000000"/>
              <w:bottom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r>
      <w:tr>
        <w:trPr>
          <w:trHeight w:val="346"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年度述职报告（赵明）</w:t>
            </w:r>
          </w:p>
        </w:tc>
        <w:tc>
          <w:tcPr>
            <w:tcW w:w="992" w:type="dxa"/>
            <w:tcBorders>
              <w:top w:val="single" w:sz="6" w:space="0" w:color="000000"/>
              <w:left w:val="single" w:sz="6" w:space="0" w:color="000000"/>
              <w:bottom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r>
      <w:tr>
        <w:trPr>
          <w:trHeight w:val="348"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年度述职报告（陈爱珍）</w:t>
            </w:r>
          </w:p>
        </w:tc>
        <w:tc>
          <w:tcPr>
            <w:tcW w:w="992" w:type="dxa"/>
            <w:tcBorders>
              <w:top w:val="single" w:sz="6" w:space="0" w:color="000000"/>
              <w:left w:val="single" w:sz="6" w:space="0" w:color="000000"/>
              <w:bottom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r>
      <w:tr>
        <w:trPr>
          <w:trHeight w:val="348" w:hRule="exact"/>
        </w:trPr>
        <w:tc>
          <w:tcPr>
            <w:tcW w:w="567"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年度财务决算报告</w:t>
            </w:r>
          </w:p>
        </w:tc>
        <w:tc>
          <w:tcPr>
            <w:tcW w:w="992" w:type="dxa"/>
            <w:tcBorders>
              <w:top w:val="single" w:sz="6" w:space="0" w:color="000000"/>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4" w:type="dxa"/>
        <w:tblLayout w:type="fixed"/>
        <w:tblCellMar>
          <w:top w:w="0" w:type="dxa"/>
          <w:left w:w="0" w:type="dxa"/>
          <w:bottom w:w="0" w:type="dxa"/>
          <w:right w:w="0" w:type="dxa"/>
        </w:tblCellMar>
        <w:tblLook w:val="01E0"/>
      </w:tblPr>
      <w:tblGrid>
        <w:gridCol w:w="567"/>
        <w:gridCol w:w="994"/>
        <w:gridCol w:w="5670"/>
        <w:gridCol w:w="992"/>
        <w:gridCol w:w="994"/>
      </w:tblGrid>
      <w:tr>
        <w:trPr>
          <w:trHeight w:val="348" w:hRule="exact"/>
        </w:trPr>
        <w:tc>
          <w:tcPr>
            <w:tcW w:w="567" w:type="dxa"/>
            <w:vMerge w:val="restart"/>
            <w:tcBorders>
              <w:top w:val="single" w:sz="6" w:space="0" w:color="000000"/>
              <w:left w:val="single" w:sz="6" w:space="0" w:color="000000"/>
              <w:right w:val="single" w:sz="6" w:space="0" w:color="000000"/>
            </w:tcBorders>
          </w:tcPr>
          <w:p>
            <w:pPr/>
          </w:p>
        </w:tc>
        <w:tc>
          <w:tcPr>
            <w:tcW w:w="994" w:type="dxa"/>
            <w:vMerge w:val="restart"/>
            <w:tcBorders>
              <w:top w:val="single" w:sz="6" w:space="0" w:color="000000"/>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年度监事会工作报告</w:t>
            </w:r>
          </w:p>
        </w:tc>
        <w:tc>
          <w:tcPr>
            <w:tcW w:w="992" w:type="dxa"/>
            <w:tcBorders>
              <w:top w:val="single" w:sz="6" w:space="0" w:color="000000"/>
              <w:left w:val="single" w:sz="6" w:space="0" w:color="000000"/>
              <w:bottom w:val="single" w:sz="6" w:space="0" w:color="000000"/>
              <w:right w:val="single" w:sz="6" w:space="0" w:color="000000"/>
            </w:tcBorders>
          </w:tcPr>
          <w:p>
            <w:pPr/>
          </w:p>
        </w:tc>
        <w:tc>
          <w:tcPr>
            <w:tcW w:w="994" w:type="dxa"/>
            <w:vMerge w:val="restart"/>
            <w:tcBorders>
              <w:top w:val="single" w:sz="6" w:space="0" w:color="000000"/>
              <w:left w:val="single" w:sz="6" w:space="0" w:color="000000"/>
              <w:right w:val="single" w:sz="6" w:space="0" w:color="000000"/>
            </w:tcBorders>
          </w:tcPr>
          <w:p>
            <w:pPr/>
          </w:p>
        </w:tc>
      </w:tr>
      <w:tr>
        <w:trPr>
          <w:trHeight w:val="346"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年度内部控制自我评价报告</w:t>
            </w:r>
          </w:p>
        </w:tc>
        <w:tc>
          <w:tcPr>
            <w:tcW w:w="992" w:type="dxa"/>
            <w:tcBorders>
              <w:top w:val="single" w:sz="6" w:space="0" w:color="000000"/>
              <w:left w:val="single" w:sz="6" w:space="0" w:color="000000"/>
              <w:bottom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r>
      <w:tr>
        <w:trPr>
          <w:trHeight w:val="348" w:hRule="exact"/>
        </w:trPr>
        <w:tc>
          <w:tcPr>
            <w:tcW w:w="567"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关于公司控股股东及其他关联方资金占用情况汇总表的专项审核报告</w:t>
            </w:r>
          </w:p>
        </w:tc>
        <w:tc>
          <w:tcPr>
            <w:tcW w:w="992" w:type="dxa"/>
            <w:tcBorders>
              <w:top w:val="single" w:sz="6" w:space="0" w:color="000000"/>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r>
      <w:tr>
        <w:trPr>
          <w:trHeight w:val="346"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2"/>
              <w:jc w:val="right"/>
              <w:rPr>
                <w:rFonts w:ascii="Times New Roman" w:hAnsi="Times New Roman" w:cs="Times New Roman" w:eastAsia="Times New Roman" w:hint="default"/>
                <w:sz w:val="18"/>
                <w:szCs w:val="18"/>
              </w:rPr>
            </w:pPr>
            <w:r>
              <w:rPr>
                <w:rFonts w:ascii="Times New Roman"/>
                <w:sz w:val="18"/>
              </w:rPr>
              <w:t>14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2019.5.9</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关于参加河北辖区上市公司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年度投资者网上集体接待日活动的公告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2019-030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0"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67" w:type="dxa"/>
            <w:vMerge w:val="restart"/>
            <w:tcBorders>
              <w:top w:val="single" w:sz="6" w:space="0" w:color="000000"/>
              <w:left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15</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62"/>
              <w:ind w:left="127" w:right="0"/>
              <w:jc w:val="left"/>
              <w:rPr>
                <w:rFonts w:ascii="Times New Roman" w:hAnsi="Times New Roman" w:cs="Times New Roman" w:eastAsia="Times New Roman" w:hint="default"/>
                <w:sz w:val="18"/>
                <w:szCs w:val="18"/>
              </w:rPr>
            </w:pPr>
            <w:r>
              <w:rPr>
                <w:rFonts w:ascii="Times New Roman"/>
                <w:sz w:val="18"/>
              </w:rPr>
              <w:t>2019.5.22</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年度股东大会决议公告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2019-031</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20"/>
              <w:ind w:left="40"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第三届董事会第十五次会议决议公告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2019-032</w:t>
            </w:r>
          </w:p>
        </w:tc>
        <w:tc>
          <w:tcPr>
            <w:tcW w:w="994" w:type="dxa"/>
            <w:vMerge/>
            <w:tcBorders>
              <w:left w:val="single" w:sz="6" w:space="0" w:color="000000"/>
              <w:right w:val="single" w:sz="6" w:space="0" w:color="000000"/>
            </w:tcBorders>
          </w:tcPr>
          <w:p>
            <w:pPr/>
          </w:p>
        </w:tc>
      </w:tr>
      <w:tr>
        <w:trPr>
          <w:trHeight w:val="346"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关于转让子公司股权的公告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2019-033</w:t>
            </w:r>
          </w:p>
        </w:tc>
        <w:tc>
          <w:tcPr>
            <w:tcW w:w="994" w:type="dxa"/>
            <w:vMerge/>
            <w:tcBorders>
              <w:left w:val="single" w:sz="6" w:space="0" w:color="000000"/>
              <w:right w:val="single" w:sz="6" w:space="0" w:color="000000"/>
            </w:tcBorders>
          </w:tcPr>
          <w:p>
            <w:pPr/>
          </w:p>
        </w:tc>
      </w:tr>
      <w:tr>
        <w:trPr>
          <w:trHeight w:val="348"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独立董事关于相关事项的独立意见</w:t>
            </w:r>
          </w:p>
        </w:tc>
        <w:tc>
          <w:tcPr>
            <w:tcW w:w="992" w:type="dxa"/>
            <w:tcBorders>
              <w:top w:val="single" w:sz="6" w:space="0" w:color="000000"/>
              <w:left w:val="single" w:sz="6" w:space="0" w:color="000000"/>
              <w:bottom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r>
      <w:tr>
        <w:trPr>
          <w:trHeight w:val="346" w:hRule="exact"/>
        </w:trPr>
        <w:tc>
          <w:tcPr>
            <w:tcW w:w="567"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年年度股东大会的法律意见书</w:t>
            </w:r>
          </w:p>
        </w:tc>
        <w:tc>
          <w:tcPr>
            <w:tcW w:w="992" w:type="dxa"/>
            <w:tcBorders>
              <w:top w:val="single" w:sz="6" w:space="0" w:color="000000"/>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r>
      <w:tr>
        <w:trPr>
          <w:trHeight w:val="348"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82"/>
              <w:jc w:val="right"/>
              <w:rPr>
                <w:rFonts w:ascii="Times New Roman" w:hAnsi="Times New Roman" w:cs="Times New Roman" w:eastAsia="Times New Roman" w:hint="default"/>
                <w:sz w:val="18"/>
                <w:szCs w:val="18"/>
              </w:rPr>
            </w:pPr>
            <w:r>
              <w:rPr>
                <w:rFonts w:ascii="Times New Roman"/>
                <w:sz w:val="18"/>
              </w:rPr>
              <w:t>16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2019.7.5</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年半年度业绩预告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2019-034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2"/>
              <w:jc w:val="right"/>
              <w:rPr>
                <w:rFonts w:ascii="Times New Roman" w:hAnsi="Times New Roman" w:cs="Times New Roman" w:eastAsia="Times New Roman" w:hint="default"/>
                <w:sz w:val="18"/>
                <w:szCs w:val="18"/>
              </w:rPr>
            </w:pPr>
            <w:r>
              <w:rPr>
                <w:rFonts w:ascii="Times New Roman"/>
                <w:sz w:val="18"/>
              </w:rPr>
              <w:t>17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2019.7.25</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关于收到软件产品增值税退税的公告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2019-035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9" w:hRule="exact"/>
        </w:trPr>
        <w:tc>
          <w:tcPr>
            <w:tcW w:w="567" w:type="dxa"/>
            <w:vMerge w:val="restart"/>
            <w:tcBorders>
              <w:top w:val="single" w:sz="6" w:space="0" w:color="000000"/>
              <w:left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18</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63"/>
              <w:ind w:left="127" w:right="0"/>
              <w:jc w:val="left"/>
              <w:rPr>
                <w:rFonts w:ascii="Times New Roman" w:hAnsi="Times New Roman" w:cs="Times New Roman" w:eastAsia="Times New Roman" w:hint="default"/>
                <w:sz w:val="18"/>
                <w:szCs w:val="18"/>
              </w:rPr>
            </w:pPr>
            <w:r>
              <w:rPr>
                <w:rFonts w:ascii="Times New Roman"/>
                <w:sz w:val="18"/>
              </w:rPr>
              <w:t>2019.8.29</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第三届董事会第十六次会议决议公告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 w:right="0"/>
              <w:jc w:val="center"/>
              <w:rPr>
                <w:rFonts w:ascii="Times New Roman" w:hAnsi="Times New Roman" w:cs="Times New Roman" w:eastAsia="Times New Roman" w:hint="default"/>
                <w:sz w:val="18"/>
                <w:szCs w:val="18"/>
              </w:rPr>
            </w:pPr>
            <w:r>
              <w:rPr>
                <w:rFonts w:ascii="Times New Roman"/>
                <w:sz w:val="18"/>
              </w:rPr>
              <w:t>2019-036</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年半年度报告摘要</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2019-037</w:t>
            </w:r>
          </w:p>
        </w:tc>
        <w:tc>
          <w:tcPr>
            <w:tcW w:w="994" w:type="dxa"/>
            <w:vMerge/>
            <w:tcBorders>
              <w:left w:val="single" w:sz="6" w:space="0" w:color="000000"/>
              <w:right w:val="single" w:sz="6" w:space="0" w:color="000000"/>
            </w:tcBorders>
          </w:tcPr>
          <w:p>
            <w:pPr/>
          </w:p>
        </w:tc>
      </w:tr>
      <w:tr>
        <w:trPr>
          <w:trHeight w:val="346"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年半年度报告披露的提示性公告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2019-038</w:t>
            </w:r>
          </w:p>
        </w:tc>
        <w:tc>
          <w:tcPr>
            <w:tcW w:w="994" w:type="dxa"/>
            <w:vMerge/>
            <w:tcBorders>
              <w:left w:val="single" w:sz="6" w:space="0" w:color="000000"/>
              <w:right w:val="single" w:sz="6" w:space="0" w:color="000000"/>
            </w:tcBorders>
          </w:tcPr>
          <w:p>
            <w:pPr/>
          </w:p>
        </w:tc>
      </w:tr>
      <w:tr>
        <w:trPr>
          <w:trHeight w:val="348"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关于会计政策变更公告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2019-039</w:t>
            </w:r>
          </w:p>
        </w:tc>
        <w:tc>
          <w:tcPr>
            <w:tcW w:w="994" w:type="dxa"/>
            <w:vMerge/>
            <w:tcBorders>
              <w:left w:val="single" w:sz="6" w:space="0" w:color="000000"/>
              <w:right w:val="single" w:sz="6" w:space="0" w:color="000000"/>
            </w:tcBorders>
          </w:tcPr>
          <w:p>
            <w:pPr/>
          </w:p>
        </w:tc>
      </w:tr>
      <w:tr>
        <w:trPr>
          <w:trHeight w:val="346"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关于召开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年第二次临时股东大会的通知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2019-040</w:t>
            </w:r>
          </w:p>
        </w:tc>
        <w:tc>
          <w:tcPr>
            <w:tcW w:w="994" w:type="dxa"/>
            <w:vMerge/>
            <w:tcBorders>
              <w:left w:val="single" w:sz="6" w:space="0" w:color="000000"/>
              <w:right w:val="single" w:sz="6" w:space="0" w:color="000000"/>
            </w:tcBorders>
          </w:tcPr>
          <w:p>
            <w:pPr/>
          </w:p>
        </w:tc>
      </w:tr>
      <w:tr>
        <w:trPr>
          <w:trHeight w:val="348"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第三届监事会第十三次会议决议公告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2019-041</w:t>
            </w:r>
          </w:p>
        </w:tc>
        <w:tc>
          <w:tcPr>
            <w:tcW w:w="994" w:type="dxa"/>
            <w:vMerge/>
            <w:tcBorders>
              <w:left w:val="single" w:sz="6" w:space="0" w:color="000000"/>
              <w:right w:val="single" w:sz="6" w:space="0" w:color="000000"/>
            </w:tcBorders>
          </w:tcPr>
          <w:p>
            <w:pPr/>
          </w:p>
        </w:tc>
      </w:tr>
      <w:tr>
        <w:trPr>
          <w:trHeight w:val="348"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年半年度报告</w:t>
            </w:r>
          </w:p>
        </w:tc>
        <w:tc>
          <w:tcPr>
            <w:tcW w:w="992" w:type="dxa"/>
            <w:tcBorders>
              <w:top w:val="single" w:sz="6" w:space="0" w:color="000000"/>
              <w:left w:val="single" w:sz="6" w:space="0" w:color="000000"/>
              <w:bottom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r>
      <w:tr>
        <w:trPr>
          <w:trHeight w:val="346" w:hRule="exact"/>
        </w:trPr>
        <w:tc>
          <w:tcPr>
            <w:tcW w:w="567"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独立董事关于相关事项的独立意见</w:t>
            </w:r>
          </w:p>
        </w:tc>
        <w:tc>
          <w:tcPr>
            <w:tcW w:w="992" w:type="dxa"/>
            <w:tcBorders>
              <w:top w:val="single" w:sz="6" w:space="0" w:color="000000"/>
              <w:left w:val="single" w:sz="6" w:space="0" w:color="000000"/>
              <w:bottom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r>
      <w:tr>
        <w:trPr>
          <w:trHeight w:val="348" w:hRule="exact"/>
        </w:trPr>
        <w:tc>
          <w:tcPr>
            <w:tcW w:w="567"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《公司章程》修订对照表</w:t>
            </w:r>
          </w:p>
        </w:tc>
        <w:tc>
          <w:tcPr>
            <w:tcW w:w="992" w:type="dxa"/>
            <w:tcBorders>
              <w:top w:val="single" w:sz="6" w:space="0" w:color="000000"/>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r>
      <w:tr>
        <w:trPr>
          <w:trHeight w:val="346" w:hRule="exact"/>
        </w:trPr>
        <w:tc>
          <w:tcPr>
            <w:tcW w:w="567" w:type="dxa"/>
            <w:vMerge w:val="restart"/>
            <w:tcBorders>
              <w:top w:val="single" w:sz="6" w:space="0" w:color="000000"/>
              <w:left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19</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60"/>
              <w:ind w:left="127" w:right="0"/>
              <w:jc w:val="left"/>
              <w:rPr>
                <w:rFonts w:ascii="Times New Roman" w:hAnsi="Times New Roman" w:cs="Times New Roman" w:eastAsia="Times New Roman" w:hint="default"/>
                <w:sz w:val="18"/>
                <w:szCs w:val="18"/>
              </w:rPr>
            </w:pPr>
            <w:r>
              <w:rPr>
                <w:rFonts w:ascii="Times New Roman"/>
                <w:sz w:val="18"/>
              </w:rPr>
              <w:t>2019.9.24</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年第二次临时股东大会决议公告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2019-042</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67"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年第二次临时股东大会的法律意见书</w:t>
            </w:r>
          </w:p>
        </w:tc>
        <w:tc>
          <w:tcPr>
            <w:tcW w:w="992" w:type="dxa"/>
            <w:tcBorders>
              <w:top w:val="single" w:sz="6" w:space="0" w:color="000000"/>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r>
      <w:tr>
        <w:trPr>
          <w:trHeight w:val="346"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2019.09.26</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关于获批组建河北省先进环保产业创新中心的公告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2019-043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60"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2019.10.11</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612"/>
              <w:jc w:val="left"/>
              <w:rPr>
                <w:rFonts w:ascii="宋体" w:hAnsi="宋体" w:cs="宋体" w:eastAsia="宋体" w:hint="default"/>
                <w:sz w:val="18"/>
                <w:szCs w:val="18"/>
              </w:rPr>
            </w:pPr>
            <w:r>
              <w:rPr>
                <w:rFonts w:ascii="宋体" w:hAnsi="宋体" w:cs="宋体" w:eastAsia="宋体" w:hint="default"/>
                <w:sz w:val="18"/>
                <w:szCs w:val="18"/>
              </w:rPr>
              <w:t>关于与辛集市人民政府签署《智慧环境（生态环境大数据及综合 治理）产业创新中心示范基地战略合作框架协议》的公告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2019-044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2019.10.14</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年前三季度业绩预告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2019-045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2019.10.18</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关于完成工商变更登记的公告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2019-046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67" w:type="dxa"/>
            <w:vMerge w:val="restart"/>
            <w:tcBorders>
              <w:top w:val="single" w:sz="6" w:space="0" w:color="000000"/>
              <w:left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24</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62"/>
              <w:ind w:left="81" w:right="0"/>
              <w:jc w:val="left"/>
              <w:rPr>
                <w:rFonts w:ascii="Times New Roman" w:hAnsi="Times New Roman" w:cs="Times New Roman" w:eastAsia="Times New Roman" w:hint="default"/>
                <w:sz w:val="18"/>
                <w:szCs w:val="18"/>
              </w:rPr>
            </w:pPr>
            <w:r>
              <w:rPr>
                <w:rFonts w:ascii="Times New Roman"/>
                <w:sz w:val="18"/>
              </w:rPr>
              <w:t>2019.10.21</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第三届董事会第十七次会议决议公告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2019-047</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567"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关于投资设立河北先进环保产业创新中心有限公司的公告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2019-048</w:t>
            </w:r>
          </w:p>
        </w:tc>
        <w:tc>
          <w:tcPr>
            <w:tcW w:w="994" w:type="dxa"/>
            <w:vMerge/>
            <w:tcBorders>
              <w:left w:val="single" w:sz="6" w:space="0" w:color="000000"/>
              <w:bottom w:val="single" w:sz="6" w:space="0" w:color="000000"/>
              <w:right w:val="single" w:sz="6" w:space="0" w:color="000000"/>
            </w:tcBorders>
          </w:tcPr>
          <w:p>
            <w:pPr/>
          </w:p>
        </w:tc>
      </w:tr>
      <w:tr>
        <w:trPr>
          <w:trHeight w:val="348"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2019.10.23</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关于河北先进环保产业创新中心有限公司完成工商注册登记的公告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2019-049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67" w:type="dxa"/>
            <w:vMerge w:val="restart"/>
            <w:tcBorders>
              <w:top w:val="single" w:sz="6" w:space="0" w:color="000000"/>
              <w:left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26</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60"/>
              <w:ind w:left="81" w:right="0"/>
              <w:jc w:val="left"/>
              <w:rPr>
                <w:rFonts w:ascii="Times New Roman" w:hAnsi="Times New Roman" w:cs="Times New Roman" w:eastAsia="Times New Roman" w:hint="default"/>
                <w:sz w:val="18"/>
                <w:szCs w:val="18"/>
              </w:rPr>
            </w:pPr>
            <w:r>
              <w:rPr>
                <w:rFonts w:ascii="Times New Roman"/>
                <w:sz w:val="18"/>
              </w:rPr>
              <w:t>2019.10.30</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年第三季度报告披露的提示性公告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2019-050</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567"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年第三季度报告</w:t>
            </w:r>
          </w:p>
        </w:tc>
        <w:tc>
          <w:tcPr>
            <w:tcW w:w="992" w:type="dxa"/>
            <w:tcBorders>
              <w:top w:val="single" w:sz="6" w:space="0" w:color="000000"/>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r>
      <w:tr>
        <w:trPr>
          <w:trHeight w:val="348"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2019.11.1</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关于收到软件产品增值税退税的公告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2019-051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8"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2019.11.25</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612"/>
              <w:jc w:val="left"/>
              <w:rPr>
                <w:rFonts w:ascii="宋体" w:hAnsi="宋体" w:cs="宋体" w:eastAsia="宋体" w:hint="default"/>
                <w:sz w:val="18"/>
                <w:szCs w:val="18"/>
              </w:rPr>
            </w:pPr>
            <w:r>
              <w:rPr>
                <w:rFonts w:ascii="宋体" w:hAnsi="宋体" w:cs="宋体" w:eastAsia="宋体" w:hint="default"/>
                <w:sz w:val="18"/>
                <w:szCs w:val="18"/>
              </w:rPr>
              <w:t>关于《智慧环境（生态环境大数据及综合治理）产业创新中心示 范基地战略合作框架协议》的进展公告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2019-052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60"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2019.12.18</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92"/>
              <w:jc w:val="left"/>
              <w:rPr>
                <w:rFonts w:ascii="宋体" w:hAnsi="宋体" w:cs="宋体" w:eastAsia="宋体" w:hint="default"/>
                <w:sz w:val="18"/>
                <w:szCs w:val="18"/>
              </w:rPr>
            </w:pPr>
            <w:r>
              <w:rPr>
                <w:rFonts w:ascii="宋体" w:hAnsi="宋体" w:cs="宋体" w:eastAsia="宋体" w:hint="default"/>
                <w:sz w:val="18"/>
                <w:szCs w:val="18"/>
              </w:rPr>
              <w:t>关于与邯郸市建设投资集团有限公司签署战略合作框架协议的 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2019-053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1133"/>
        <w:jc w:val="left"/>
        <w:rPr>
          <w:b w:val="0"/>
          <w:bCs w:val="0"/>
        </w:rPr>
      </w:pPr>
      <w:bookmarkStart w:name="十九、公司子公司重大事项" w:id="101"/>
      <w:bookmarkEnd w:id="101"/>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33"/>
        <w:jc w:val="left"/>
        <w:rPr>
          <w:b w:val="0"/>
          <w:bCs w:val="0"/>
        </w:rPr>
      </w:pPr>
      <w:bookmarkStart w:name="第六节股份变动及股东情况" w:id="102"/>
      <w:bookmarkEnd w:id="102"/>
      <w:r>
        <w:rPr>
          <w:b w:val="0"/>
          <w:bCs w:val="0"/>
        </w:rPr>
      </w:r>
      <w:bookmarkStart w:name="_bookmark5" w:id="103"/>
      <w:bookmarkEnd w:id="103"/>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股份变动情况" w:id="104"/>
      <w:bookmarkEnd w:id="104"/>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股份变动情况" w:id="105"/>
      <w:bookmarkEnd w:id="105"/>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4"/>
        <w:gridCol w:w="794"/>
        <w:gridCol w:w="792"/>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0"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78,722,91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14.29%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1,279,459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1,279,459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80,002,37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14.52%</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78,722,91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14.29%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1,279,459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1,279,459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80,002,37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14.52%</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78,722,91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14.29%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1,279,459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1,279,459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80,002,37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14.52%</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4"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472,309,6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85.71%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-1,279,45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471,030,1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85.48%</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472,309,6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85.71%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-1,279,45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471,030,1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85.48%</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551,032,5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551,032,5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股份变动的原因</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股份变动的批准情况</w:t>
      </w:r>
    </w:p>
    <w:p>
      <w:pPr>
        <w:pStyle w:val="BodyText"/>
        <w:spacing w:line="338" w:lineRule="auto" w:before="41"/>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spacing w:after="0" w:line="338"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40" w:lineRule="auto" w:before="44"/>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340" w:lineRule="auto" w:before="39"/>
        <w:ind w:left="513" w:right="112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日召开第三届董事会第九次会议、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日召开</w:t>
      </w:r>
      <w:r>
        <w:rPr>
          <w:rFonts w:ascii="Times New Roman" w:hAnsi="Times New Roman" w:cs="Times New Roman" w:eastAsia="Times New Roman" w:hint="default"/>
        </w:rPr>
        <w:t>2018</w:t>
      </w:r>
      <w:r>
        <w:rPr/>
        <w:t>年第一次临时股东大会审议通过了《关于</w:t>
      </w:r>
    </w:p>
    <w:p>
      <w:pPr>
        <w:pStyle w:val="BodyText"/>
        <w:spacing w:line="228" w:lineRule="exact"/>
        <w:ind w:right="0"/>
        <w:jc w:val="left"/>
      </w:pPr>
      <w:r>
        <w:rPr>
          <w:spacing w:val="-4"/>
        </w:rPr>
        <w:t>回购公司股份的议案》，公司决定使用自筹资金以集中竞价交易方式回购公司股份，回购总金额不超过人民币 </w:t>
      </w:r>
      <w:r>
        <w:rPr>
          <w:rFonts w:ascii="Times New Roman" w:hAnsi="Times New Roman" w:cs="Times New Roman" w:eastAsia="Times New Roman" w:hint="default"/>
        </w:rPr>
        <w:t>5000</w:t>
      </w:r>
      <w:r>
        <w:rPr>
          <w:rFonts w:ascii="Times New Roman" w:hAnsi="Times New Roman" w:cs="Times New Roman" w:eastAsia="Times New Roman" w:hint="default"/>
          <w:spacing w:val="40"/>
        </w:rPr>
        <w:t> </w:t>
      </w:r>
      <w:r>
        <w:rPr>
          <w:spacing w:val="-15"/>
        </w:rPr>
        <w:t>万元（含</w:t>
      </w:r>
    </w:p>
    <w:p>
      <w:pPr>
        <w:pStyle w:val="BodyText"/>
        <w:spacing w:line="300" w:lineRule="auto" w:before="63"/>
        <w:ind w:right="1133"/>
        <w:jc w:val="left"/>
      </w:pPr>
      <w:r>
        <w:rPr>
          <w:rFonts w:ascii="Times New Roman" w:hAnsi="Times New Roman" w:cs="Times New Roman" w:eastAsia="Times New Roman" w:hint="default"/>
        </w:rPr>
        <w:t>5000 </w:t>
      </w:r>
      <w:r>
        <w:rPr/>
        <w:t>万元）且不低于人民币 </w:t>
      </w:r>
      <w:r>
        <w:rPr>
          <w:rFonts w:ascii="Times New Roman" w:hAnsi="Times New Roman" w:cs="Times New Roman" w:eastAsia="Times New Roman" w:hint="default"/>
        </w:rPr>
        <w:t>3000 </w:t>
      </w:r>
      <w:r>
        <w:rPr/>
        <w:t>万元（含 </w:t>
      </w:r>
      <w:r>
        <w:rPr>
          <w:rFonts w:ascii="Times New Roman" w:hAnsi="Times New Roman" w:cs="Times New Roman" w:eastAsia="Times New Roman" w:hint="default"/>
        </w:rPr>
        <w:t>3000</w:t>
      </w:r>
      <w:r>
        <w:rPr>
          <w:rFonts w:ascii="Times New Roman" w:hAnsi="Times New Roman" w:cs="Times New Roman" w:eastAsia="Times New Roman" w:hint="default"/>
          <w:spacing w:val="2"/>
        </w:rPr>
        <w:t> </w:t>
      </w:r>
      <w:r>
        <w:rPr/>
        <w:t>万元），回购股份价格不高于人民币</w:t>
      </w:r>
      <w:r>
        <w:rPr>
          <w:rFonts w:ascii="Times New Roman" w:hAnsi="Times New Roman" w:cs="Times New Roman" w:eastAsia="Times New Roman" w:hint="default"/>
        </w:rPr>
        <w:t>12</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w:t>
      </w:r>
      <w:r>
        <w:rPr/>
        <w:t>含</w:t>
      </w:r>
      <w:r>
        <w:rPr>
          <w:rFonts w:ascii="Times New Roman" w:hAnsi="Times New Roman" w:cs="Times New Roman" w:eastAsia="Times New Roman" w:hint="default"/>
        </w:rPr>
        <w:t>12</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w:t>
      </w:r>
      <w:r>
        <w:rPr/>
        <w:t>，回购股份期限 自股东大会审议方案通过之日起不超过</w:t>
      </w:r>
      <w:r>
        <w:rPr>
          <w:rFonts w:ascii="Times New Roman" w:hAnsi="Times New Roman" w:cs="Times New Roman" w:eastAsia="Times New Roman" w:hint="default"/>
        </w:rPr>
        <w:t>6</w:t>
      </w:r>
      <w:r>
        <w:rPr/>
        <w:t>个月。</w:t>
      </w:r>
    </w:p>
    <w:p>
      <w:pPr>
        <w:pStyle w:val="BodyText"/>
        <w:spacing w:line="300" w:lineRule="auto" w:before="53"/>
        <w:ind w:right="1131" w:firstLine="216"/>
        <w:jc w:val="both"/>
      </w:pPr>
      <w:r>
        <w:rPr/>
        <w:t>截至本报告期末，公司累计通过股票回购专用证券账户以集中竞价交易方式回购股份数量为</w:t>
      </w:r>
      <w:r>
        <w:rPr>
          <w:rFonts w:ascii="Times New Roman" w:hAnsi="Times New Roman" w:cs="Times New Roman" w:eastAsia="Times New Roman" w:hint="default"/>
        </w:rPr>
        <w:t>5,658,540</w:t>
      </w:r>
      <w:r>
        <w:rPr>
          <w:rFonts w:ascii="Times New Roman" w:hAnsi="Times New Roman" w:cs="Times New Roman" w:eastAsia="Times New Roman" w:hint="default"/>
          <w:spacing w:val="16"/>
        </w:rPr>
        <w:t> </w:t>
      </w:r>
      <w:r>
        <w:rPr/>
        <w:t>股（其中本报告期 内回购股份数量为</w:t>
      </w:r>
      <w:r>
        <w:rPr>
          <w:rFonts w:ascii="Times New Roman" w:hAnsi="Times New Roman" w:cs="Times New Roman" w:eastAsia="Times New Roman" w:hint="default"/>
        </w:rPr>
        <w:t>1,045,340</w:t>
      </w:r>
      <w:r>
        <w:rPr/>
        <w:t>股），占公司目前总股本的</w:t>
      </w:r>
      <w:r>
        <w:rPr>
          <w:rFonts w:ascii="Times New Roman" w:hAnsi="Times New Roman" w:cs="Times New Roman" w:eastAsia="Times New Roman" w:hint="default"/>
        </w:rPr>
        <w:t>1.03%</w:t>
      </w:r>
      <w:r>
        <w:rPr/>
        <w:t>，最高成交价为</w:t>
      </w:r>
      <w:r>
        <w:rPr>
          <w:rFonts w:ascii="Times New Roman" w:hAnsi="Times New Roman" w:cs="Times New Roman" w:eastAsia="Times New Roman" w:hint="default"/>
        </w:rPr>
        <w:t>8.74</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6.99</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 </w:t>
      </w:r>
      <w:r>
        <w:rPr/>
        <w:t>支付的总</w:t>
      </w:r>
      <w:r>
        <w:rPr>
          <w:spacing w:val="-71"/>
        </w:rPr>
        <w:t> </w:t>
      </w:r>
      <w:r>
        <w:rPr>
          <w:spacing w:val="-71"/>
        </w:rPr>
      </w:r>
      <w:r>
        <w:rPr/>
        <w:t>金额为</w:t>
      </w:r>
      <w:r>
        <w:rPr>
          <w:rFonts w:ascii="Times New Roman" w:hAnsi="Times New Roman" w:cs="Times New Roman" w:eastAsia="Times New Roman" w:hint="default"/>
        </w:rPr>
        <w:t>45,470,567.77</w:t>
      </w:r>
      <w:r>
        <w:rPr/>
        <w:t>元（不含交易费用）。公司本次回购股份方案已实施完毕。</w:t>
      </w:r>
    </w:p>
    <w:p>
      <w:pPr>
        <w:pStyle w:val="BodyText"/>
        <w:spacing w:line="240" w:lineRule="auto" w:before="51"/>
        <w:ind w:right="1133"/>
        <w:jc w:val="left"/>
      </w:pPr>
      <w:r>
        <w:rPr/>
        <w:t>采用集中竞价方式减持回购股份的实施进展情况</w:t>
      </w:r>
    </w:p>
    <w:p>
      <w:pPr>
        <w:pStyle w:val="BodyText"/>
        <w:spacing w:line="340" w:lineRule="auto" w:before="117"/>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40" w:lineRule="auto" w:before="39"/>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2、限售股份变动情况" w:id="106"/>
      <w:bookmarkEnd w:id="106"/>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before="44"/>
        <w:ind w:left="0" w:right="1143"/>
        <w:jc w:val="right"/>
      </w:pPr>
      <w:r>
        <w:rPr/>
        <w:pict>
          <v:shape style="position:absolute;margin-left:56.400002pt;margin-top:-190.258286pt;width:479.15pt;height:292.7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1274"/>
                    <w:gridCol w:w="1561"/>
                    <w:gridCol w:w="1560"/>
                    <w:gridCol w:w="1274"/>
                    <w:gridCol w:w="1136"/>
                    <w:gridCol w:w="1769"/>
                  </w:tblGrid>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2"/>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02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61,423,807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1,279,459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62,703,266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0"/>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每年第一个交易日解 锁其拥有公司股份的 </w:t>
                        </w:r>
                        <w:r>
                          <w:rPr>
                            <w:rFonts w:ascii="Times New Roman" w:hAnsi="Times New Roman" w:cs="Times New Roman" w:eastAsia="Times New Roman" w:hint="default"/>
                            <w:sz w:val="18"/>
                            <w:szCs w:val="18"/>
                          </w:rPr>
                          <w:t>25%</w:t>
                        </w:r>
                      </w:p>
                    </w:tc>
                  </w:tr>
                  <w:tr>
                    <w:trPr>
                      <w:trHeight w:val="102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6,911,000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6,911,000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0"/>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每年第一个交易日解 锁其拥有公司股份的 </w:t>
                        </w:r>
                        <w:r>
                          <w:rPr>
                            <w:rFonts w:ascii="Times New Roman" w:hAnsi="Times New Roman" w:cs="Times New Roman" w:eastAsia="Times New Roman" w:hint="default"/>
                            <w:sz w:val="18"/>
                            <w:szCs w:val="18"/>
                          </w:rPr>
                          <w:t>25%</w:t>
                        </w:r>
                      </w:p>
                    </w:tc>
                  </w:tr>
                  <w:tr>
                    <w:trPr>
                      <w:trHeight w:val="102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6,548,104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6,548,104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0"/>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每年第一个交易日解 锁其拥有公司股份的 </w:t>
                        </w:r>
                        <w:r>
                          <w:rPr>
                            <w:rFonts w:ascii="Times New Roman" w:hAnsi="Times New Roman" w:cs="Times New Roman" w:eastAsia="Times New Roman" w:hint="default"/>
                            <w:sz w:val="18"/>
                            <w:szCs w:val="18"/>
                          </w:rPr>
                          <w:t>25%</w:t>
                        </w:r>
                      </w:p>
                    </w:tc>
                  </w:tr>
                  <w:tr>
                    <w:trPr>
                      <w:trHeight w:val="196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梁常清</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24" w:right="200"/>
                          <w:jc w:val="left"/>
                          <w:rPr>
                            <w:rFonts w:ascii="宋体" w:hAnsi="宋体" w:cs="宋体" w:eastAsia="宋体" w:hint="default"/>
                            <w:sz w:val="18"/>
                            <w:szCs w:val="18"/>
                          </w:rPr>
                        </w:pPr>
                        <w:r>
                          <w:rPr>
                            <w:rFonts w:ascii="宋体" w:hAnsi="宋体" w:cs="宋体" w:eastAsia="宋体" w:hint="default"/>
                            <w:sz w:val="18"/>
                            <w:szCs w:val="18"/>
                          </w:rPr>
                          <w:t>离职高管锁 定股</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日梁常 清先生辞去高管职务 原定任期至 </w:t>
                        </w:r>
                        <w:r>
                          <w:rPr>
                            <w:rFonts w:ascii="Times New Roman" w:hAnsi="Times New Roman" w:cs="Times New Roman" w:eastAsia="Times New Roman" w:hint="default"/>
                            <w:sz w:val="18"/>
                            <w:szCs w:val="18"/>
                          </w:rPr>
                          <w:t>2020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before="7"/>
                          <w:ind w:left="23"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日，离任后其</w:t>
                        </w:r>
                        <w:r>
                          <w:rPr>
                            <w:rFonts w:ascii="宋体" w:hAnsi="宋体" w:cs="宋体" w:eastAsia="宋体" w:hint="default"/>
                            <w:sz w:val="18"/>
                            <w:szCs w:val="18"/>
                          </w:rPr>
                          <w:t> 所持股份按相关规定 锁定</w:t>
                        </w:r>
                        <w:r>
                          <w:rPr>
                            <w:rFonts w:ascii="Times New Roman" w:hAnsi="Times New Roman" w:cs="Times New Roman" w:eastAsia="Times New Roman" w:hint="default"/>
                            <w:sz w:val="18"/>
                            <w:szCs w:val="18"/>
                          </w:rPr>
                          <w:t>.</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78,722,911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1,279,459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80,002,370</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after="0" w:line="240" w:lineRule="auto"/>
        <w:jc w:val="righ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二、证券发行与上市情况" w:id="107"/>
      <w:bookmarkEnd w:id="107"/>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报告期内证券发行（不含优先股）情况" w:id="108"/>
      <w:bookmarkEnd w:id="108"/>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公司股份总数及股东结构的变动、公司资产和负债结构的变动情况说明" w:id="109"/>
      <w:bookmarkEnd w:id="10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3、现存的内部职工股情况" w:id="110"/>
      <w:bookmarkEnd w:id="11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三、股东和实际控制人情况" w:id="111"/>
      <w:bookmarkEnd w:id="111"/>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公司股东数量及持股情况" w:id="112"/>
      <w:bookmarkEnd w:id="11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pict>
          <v:shape style="position:absolute;margin-left:483.339996pt;margin-top:70.667725pt;width:51.75pt;height:31.25pt;mso-position-horizontal-relative:page;mso-position-vertical-relative:paragraph;z-index:-1057864" type="#_x0000_t202" filled="false" stroked="false">
            <v:textbox inset="0,0,0,0">
              <w:txbxContent>
                <w:p>
                  <w:pPr>
                    <w:pStyle w:val="BodyText"/>
                    <w:spacing w:line="205" w:lineRule="exact"/>
                    <w:ind w:left="0" w:right="0"/>
                    <w:jc w:val="left"/>
                  </w:pPr>
                  <w:r>
                    <w:rPr/>
                    <w:t>）</w:t>
                  </w:r>
                </w:p>
              </w:txbxContent>
            </v:textbox>
            <w10:wrap type="none"/>
          </v:shape>
        </w:pict>
      </w:r>
      <w:r>
        <w:rPr/>
        <w:pict>
          <v:group style="position:absolute;margin-left:329.709991pt;margin-top:70.667725pt;width:52.6pt;height:31.25pt;mso-position-horizontal-relative:page;mso-position-vertical-relative:paragraph;z-index:-1057840" coordorigin="6594,1413" coordsize="1052,625">
            <v:shape style="position:absolute;left:6594;top:1413;width:1052;height:625" coordorigin="6594,1413" coordsize="1052,625" path="m6594,2038l7645,2038,7645,1413,6594,1413,6594,2038xe" filled="true" fillcolor="#ffffff" stroked="false">
              <v:path arrowok="t"/>
              <v:fill type="solid"/>
            </v:shape>
            <w10:wrap type="none"/>
          </v:group>
        </w:pict>
      </w:r>
      <w:r>
        <w:rPr/>
        <w:pict>
          <v:group style="position:absolute;margin-left:489.459991pt;margin-top:70.667725pt;width:45.6pt;height:31.25pt;mso-position-horizontal-relative:page;mso-position-vertical-relative:paragraph;z-index:-1057816" coordorigin="9789,1413" coordsize="912,625">
            <v:shape style="position:absolute;left:9789;top:1413;width:912;height:625" coordorigin="9789,1413" coordsize="912,625" path="m9789,2038l10701,2038,10701,1413,9789,1413,9789,2038xe" filled="true" fillcolor="#ffffff" stroked="false">
              <v:path arrowok="t"/>
              <v:fill type="solid"/>
            </v:shape>
            <w10:wrap type="none"/>
          </v:group>
        </w:pict>
      </w: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1204"/>
        <w:gridCol w:w="918"/>
        <w:gridCol w:w="1075"/>
        <w:gridCol w:w="1052"/>
        <w:gridCol w:w="1075"/>
        <w:gridCol w:w="920"/>
        <w:gridCol w:w="1200"/>
        <w:gridCol w:w="440"/>
        <w:gridCol w:w="487"/>
      </w:tblGrid>
      <w:tr>
        <w:trPr>
          <w:trHeight w:val="317"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55,665</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 w:right="168"/>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75" w:type="dxa"/>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56,754</w:t>
            </w: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8" w:right="122"/>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9"/>
              <w:ind w:left="18"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5" w:type="dxa"/>
            <w:vMerge w:val="restart"/>
            <w:tcBorders>
              <w:top w:val="single" w:sz="4" w:space="0" w:color="000000"/>
              <w:left w:val="single" w:sz="12"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3"/>
              <w:ind w:left="-146" w:right="0"/>
              <w:jc w:val="left"/>
              <w:rPr>
                <w:rFonts w:ascii="宋体" w:hAnsi="宋体" w:cs="宋体" w:eastAsia="宋体" w:hint="default"/>
                <w:sz w:val="18"/>
                <w:szCs w:val="18"/>
              </w:rPr>
            </w:pPr>
            <w:r>
              <w:rPr>
                <w:rFonts w:ascii="宋体" w:hAnsi="宋体" w:cs="宋体" w:eastAsia="宋体" w:hint="default"/>
                <w:sz w:val="18"/>
                <w:szCs w:val="18"/>
              </w:rPr>
              <w:t>）</w:t>
            </w:r>
          </w:p>
        </w:tc>
        <w:tc>
          <w:tcPr>
            <w:tcW w:w="212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40" w:type="dxa"/>
            <w:tcBorders>
              <w:top w:val="single" w:sz="4" w:space="0" w:color="000000"/>
              <w:left w:val="single" w:sz="4" w:space="0" w:color="000000"/>
              <w:bottom w:val="nil" w:sz="6" w:space="0" w:color="auto"/>
              <w:right w:val="nil" w:sz="6" w:space="0" w:color="auto"/>
            </w:tcBorders>
          </w:tcPr>
          <w:p>
            <w:pPr/>
          </w:p>
        </w:tc>
        <w:tc>
          <w:tcPr>
            <w:tcW w:w="487"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212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7" w:right="104"/>
              <w:jc w:val="both"/>
              <w:rPr>
                <w:rFonts w:ascii="Times New Roman" w:hAnsi="Times New Roman" w:cs="Times New Roman" w:eastAsia="Times New Roman" w:hint="default"/>
                <w:sz w:val="18"/>
                <w:szCs w:val="18"/>
              </w:rPr>
            </w:pPr>
            <w:r>
              <w:rPr>
                <w:rFonts w:ascii="宋体" w:hAnsi="宋体" w:cs="宋体" w:eastAsia="宋体" w:hint="default"/>
                <w:sz w:val="18"/>
                <w:szCs w:val="18"/>
              </w:rPr>
              <w:t>年度报告披露日前上一月 末表决权恢复的优先股股 </w:t>
            </w:r>
            <w:r>
              <w:rPr>
                <w:rFonts w:ascii="宋体" w:hAnsi="宋体" w:cs="宋体" w:eastAsia="宋体" w:hint="default"/>
                <w:spacing w:val="-12"/>
                <w:sz w:val="18"/>
                <w:szCs w:val="18"/>
              </w:rPr>
              <w:t>东总数（如有）（参见注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p>
        </w:tc>
        <w:tc>
          <w:tcPr>
            <w:tcW w:w="440" w:type="dxa"/>
            <w:vMerge w:val="restart"/>
            <w:tcBorders>
              <w:top w:val="nil" w:sz="6" w:space="0" w:color="auto"/>
              <w:left w:val="single" w:sz="12" w:space="0" w:color="D2D2D2"/>
              <w:right w:val="nil" w:sz="6" w:space="0" w:color="auto"/>
            </w:tcBorders>
          </w:tcPr>
          <w:p>
            <w:pPr/>
          </w:p>
        </w:tc>
        <w:tc>
          <w:tcPr>
            <w:tcW w:w="487"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2120" w:type="dxa"/>
            <w:gridSpan w:val="2"/>
            <w:vMerge/>
            <w:tcBorders>
              <w:left w:val="single" w:sz="4" w:space="0" w:color="000000"/>
              <w:right w:val="single" w:sz="4" w:space="0" w:color="000000"/>
            </w:tcBorders>
            <w:shd w:val="clear" w:color="auto" w:fill="D2D2D2"/>
          </w:tcPr>
          <w:p>
            <w:pPr/>
          </w:p>
        </w:tc>
        <w:tc>
          <w:tcPr>
            <w:tcW w:w="440" w:type="dxa"/>
            <w:vMerge/>
            <w:tcBorders>
              <w:left w:val="single" w:sz="12" w:space="0" w:color="D2D2D2"/>
              <w:right w:val="nil" w:sz="6" w:space="0" w:color="auto"/>
            </w:tcBorders>
          </w:tcPr>
          <w:p>
            <w:pPr/>
          </w:p>
        </w:tc>
        <w:tc>
          <w:tcPr>
            <w:tcW w:w="487"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2120" w:type="dxa"/>
            <w:gridSpan w:val="2"/>
            <w:vMerge/>
            <w:tcBorders>
              <w:left w:val="single" w:sz="4" w:space="0" w:color="000000"/>
              <w:bottom w:val="nil" w:sz="6" w:space="0" w:color="auto"/>
              <w:right w:val="single" w:sz="4" w:space="0" w:color="000000"/>
            </w:tcBorders>
            <w:shd w:val="clear" w:color="auto" w:fill="D2D2D2"/>
          </w:tcPr>
          <w:p>
            <w:pPr/>
          </w:p>
        </w:tc>
        <w:tc>
          <w:tcPr>
            <w:tcW w:w="440" w:type="dxa"/>
            <w:vMerge/>
            <w:tcBorders>
              <w:left w:val="single" w:sz="12" w:space="0" w:color="D2D2D2"/>
              <w:bottom w:val="nil" w:sz="6" w:space="0" w:color="auto"/>
              <w:right w:val="nil" w:sz="6" w:space="0" w:color="auto"/>
            </w:tcBorders>
          </w:tcPr>
          <w:p>
            <w:pPr/>
          </w:p>
        </w:tc>
        <w:tc>
          <w:tcPr>
            <w:tcW w:w="487" w:type="dxa"/>
            <w:tcBorders>
              <w:top w:val="nil" w:sz="6" w:space="0" w:color="auto"/>
              <w:left w:val="nil" w:sz="6" w:space="0" w:color="auto"/>
              <w:bottom w:val="nil" w:sz="6" w:space="0" w:color="auto"/>
              <w:right w:val="single" w:sz="4" w:space="0" w:color="000000"/>
            </w:tcBorders>
          </w:tcPr>
          <w:p>
            <w:pPr/>
          </w:p>
        </w:tc>
      </w:tr>
      <w:tr>
        <w:trPr>
          <w:trHeight w:val="318"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10" w:space="0" w:color="D2D2D2"/>
              <w:bottom w:val="single" w:sz="4" w:space="0" w:color="000000"/>
              <w:right w:val="single" w:sz="10" w:space="0" w:color="D2D2D2"/>
            </w:tcBorders>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13" w:space="0" w:color="D2D2D2"/>
            </w:tcBorders>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2" w:space="0" w:color="D2D2D2"/>
              <w:bottom w:val="single" w:sz="4" w:space="0" w:color="000000"/>
              <w:right w:val="single" w:sz="9" w:space="0" w:color="D2D2D2"/>
            </w:tcBorders>
          </w:tcPr>
          <w:p>
            <w:pPr/>
          </w:p>
        </w:tc>
        <w:tc>
          <w:tcPr>
            <w:tcW w:w="212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40" w:type="dxa"/>
            <w:tcBorders>
              <w:top w:val="nil" w:sz="6" w:space="0" w:color="auto"/>
              <w:left w:val="single" w:sz="4" w:space="0" w:color="000000"/>
              <w:bottom w:val="single" w:sz="4" w:space="0" w:color="000000"/>
              <w:right w:val="nil" w:sz="6" w:space="0" w:color="auto"/>
            </w:tcBorders>
          </w:tcPr>
          <w:p>
            <w:pPr/>
          </w:p>
        </w:tc>
        <w:tc>
          <w:tcPr>
            <w:tcW w:w="487" w:type="dxa"/>
            <w:tcBorders>
              <w:top w:val="nil" w:sz="6" w:space="0" w:color="auto"/>
              <w:left w:val="nil" w:sz="6" w:space="0" w:color="auto"/>
              <w:bottom w:val="single" w:sz="4" w:space="0" w:color="000000"/>
              <w:right w:val="single" w:sz="4" w:space="0" w:color="000000"/>
            </w:tcBorders>
          </w:tcPr>
          <w:p>
            <w:pPr/>
          </w:p>
        </w:tc>
      </w:tr>
      <w:tr>
        <w:trPr>
          <w:trHeight w:val="397"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4" w:space="0" w:color="000000"/>
              <w:right w:val="single" w:sz="4" w:space="0" w:color="000000"/>
            </w:tcBorders>
            <w:shd w:val="clear" w:color="auto" w:fill="D2D2D2"/>
          </w:tcPr>
          <w:p>
            <w:pPr/>
          </w:p>
        </w:tc>
        <w:tc>
          <w:tcPr>
            <w:tcW w:w="918" w:type="dxa"/>
            <w:vMerge w:val="restart"/>
            <w:tcBorders>
              <w:top w:val="single" w:sz="4" w:space="0" w:color="000000"/>
              <w:left w:val="single" w:sz="4" w:space="0" w:color="000000"/>
              <w:right w:val="single" w:sz="4" w:space="0" w:color="000000"/>
            </w:tcBorders>
            <w:shd w:val="clear" w:color="auto" w:fill="D2D2D2"/>
          </w:tcPr>
          <w:p>
            <w:pPr/>
          </w:p>
        </w:tc>
        <w:tc>
          <w:tcPr>
            <w:tcW w:w="10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2" w:right="8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2" w:right="96"/>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2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3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bottom w:val="nil" w:sz="6" w:space="0" w:color="auto"/>
              <w:right w:val="single" w:sz="4" w:space="0" w:color="000000"/>
            </w:tcBorders>
            <w:shd w:val="clear" w:color="auto" w:fill="D2D2D2"/>
          </w:tcPr>
          <w:p>
            <w:pPr/>
          </w:p>
        </w:tc>
        <w:tc>
          <w:tcPr>
            <w:tcW w:w="107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62" w:right="8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0" w:right="6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2127" w:type="dxa"/>
            <w:gridSpan w:val="3"/>
            <w:vMerge/>
            <w:tcBorders>
              <w:left w:val="single" w:sz="4" w:space="0" w:color="000000"/>
              <w:right w:val="single" w:sz="4" w:space="0" w:color="000000"/>
            </w:tcBorders>
            <w:shd w:val="clear" w:color="auto" w:fill="D2D2D2"/>
          </w:tcPr>
          <w:p>
            <w:pPr/>
          </w:p>
        </w:tc>
      </w:tr>
      <w:tr>
        <w:trPr>
          <w:trHeight w:val="140" w:hRule="exact"/>
        </w:trPr>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2127"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23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28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04" w:type="dxa"/>
            <w:vMerge w:val="restart"/>
            <w:tcBorders>
              <w:top w:val="nil" w:sz="6" w:space="0" w:color="auto"/>
              <w:left w:val="single" w:sz="4" w:space="0" w:color="000000"/>
              <w:right w:val="single" w:sz="4" w:space="0" w:color="000000"/>
            </w:tcBorders>
            <w:shd w:val="clear" w:color="auto" w:fill="D2D2D2"/>
          </w:tcPr>
          <w:p>
            <w:pPr/>
          </w:p>
        </w:tc>
        <w:tc>
          <w:tcPr>
            <w:tcW w:w="918" w:type="dxa"/>
            <w:vMerge w:val="restart"/>
            <w:tcBorders>
              <w:top w:val="nil" w:sz="6" w:space="0" w:color="auto"/>
              <w:left w:val="single" w:sz="4" w:space="0" w:color="000000"/>
              <w:right w:val="single" w:sz="4" w:space="0" w:color="000000"/>
            </w:tcBorders>
            <w:shd w:val="clear" w:color="auto" w:fill="D2D2D2"/>
          </w:tcPr>
          <w:p>
            <w:pPr/>
          </w:p>
        </w:tc>
        <w:tc>
          <w:tcPr>
            <w:tcW w:w="1075"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1200" w:type="dxa"/>
            <w:vMerge/>
            <w:tcBorders>
              <w:left w:val="single" w:sz="4" w:space="0" w:color="000000"/>
              <w:right w:val="single" w:sz="4" w:space="0" w:color="000000"/>
            </w:tcBorders>
            <w:shd w:val="clear" w:color="auto" w:fill="D2D2D2"/>
          </w:tcPr>
          <w:p>
            <w:pPr/>
          </w:p>
        </w:tc>
        <w:tc>
          <w:tcPr>
            <w:tcW w:w="927" w:type="dxa"/>
            <w:gridSpan w:val="2"/>
            <w:vMerge/>
            <w:tcBorders>
              <w:left w:val="single" w:sz="4" w:space="0" w:color="000000"/>
              <w:right w:val="single" w:sz="4" w:space="0" w:color="000000"/>
            </w:tcBorders>
            <w:shd w:val="clear" w:color="auto" w:fill="D2D2D2"/>
          </w:tcPr>
          <w:p>
            <w:pPr/>
          </w:p>
        </w:tc>
      </w:tr>
      <w:tr>
        <w:trPr>
          <w:trHeight w:val="161"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0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927" w:type="dxa"/>
            <w:gridSpan w:val="2"/>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14.86%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81,898,409</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 w:right="0"/>
              <w:jc w:val="lef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62,703,266</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19,195,143</w:t>
            </w:r>
          </w:p>
        </w:tc>
        <w:tc>
          <w:tcPr>
            <w:tcW w:w="1200" w:type="dxa"/>
            <w:tcBorders>
              <w:top w:val="single" w:sz="48" w:space="0" w:color="D2D2D2"/>
              <w:left w:val="single" w:sz="4" w:space="0" w:color="000000"/>
              <w:bottom w:val="single" w:sz="4" w:space="0" w:color="000000"/>
              <w:right w:val="single" w:sz="4" w:space="0" w:color="000000"/>
            </w:tcBorders>
          </w:tcPr>
          <w:p>
            <w:pPr>
              <w:pStyle w:val="TableParagraph"/>
              <w:spacing w:line="232" w:lineRule="exact"/>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7"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38"/>
              <w:ind w:left="84" w:right="0"/>
              <w:jc w:val="left"/>
              <w:rPr>
                <w:rFonts w:ascii="Times New Roman" w:hAnsi="Times New Roman" w:cs="Times New Roman" w:eastAsia="Times New Roman" w:hint="default"/>
                <w:sz w:val="18"/>
                <w:szCs w:val="18"/>
              </w:rPr>
            </w:pPr>
            <w:r>
              <w:rPr>
                <w:rFonts w:ascii="Times New Roman"/>
                <w:sz w:val="18"/>
              </w:rPr>
              <w:t>45,600,033</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1.67%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9,214,667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w w:val="95"/>
                <w:sz w:val="18"/>
              </w:rPr>
              <w:t>6,911,000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2,303,667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5,800,000</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1.58%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8,730,806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 w:right="0"/>
              <w:jc w:val="lef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6,548,104</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2,182,702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5" w:right="0"/>
              <w:jc w:val="left"/>
              <w:rPr>
                <w:rFonts w:ascii="Times New Roman" w:hAnsi="Times New Roman" w:cs="Times New Roman" w:eastAsia="Times New Roman" w:hint="default"/>
                <w:sz w:val="18"/>
                <w:szCs w:val="18"/>
              </w:rPr>
            </w:pPr>
            <w:r>
              <w:rPr>
                <w:rFonts w:ascii="Times New Roman"/>
                <w:sz w:val="18"/>
              </w:rPr>
              <w:t>6,020,300</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段桂山</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1.40%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7,723,608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242,920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7,723,608</w:t>
            </w:r>
          </w:p>
        </w:tc>
        <w:tc>
          <w:tcPr>
            <w:tcW w:w="1200" w:type="dxa"/>
            <w:tcBorders>
              <w:top w:val="single" w:sz="4" w:space="0" w:color="000000"/>
              <w:left w:val="single" w:sz="4" w:space="0" w:color="000000"/>
              <w:bottom w:val="single" w:sz="4" w:space="0" w:color="000000"/>
              <w:right w:val="single" w:sz="4" w:space="0" w:color="000000"/>
            </w:tcBorders>
          </w:tcPr>
          <w:p>
            <w:pPr/>
          </w:p>
        </w:tc>
        <w:tc>
          <w:tcPr>
            <w:tcW w:w="927" w:type="dxa"/>
            <w:gridSpan w:val="2"/>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全国社保基金 一零九组合</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5,999,940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5,999,940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5,999,940</w:t>
            </w:r>
          </w:p>
        </w:tc>
        <w:tc>
          <w:tcPr>
            <w:tcW w:w="1200" w:type="dxa"/>
            <w:tcBorders>
              <w:top w:val="single" w:sz="4" w:space="0" w:color="000000"/>
              <w:left w:val="single" w:sz="4" w:space="0" w:color="000000"/>
              <w:bottom w:val="single" w:sz="4" w:space="0" w:color="000000"/>
              <w:right w:val="single" w:sz="4" w:space="0" w:color="000000"/>
            </w:tcBorders>
          </w:tcPr>
          <w:p>
            <w:pPr/>
          </w:p>
        </w:tc>
        <w:tc>
          <w:tcPr>
            <w:tcW w:w="927"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蒋国梁</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1.02%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5,620,124</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5,620,124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5,620,124</w:t>
            </w:r>
          </w:p>
        </w:tc>
        <w:tc>
          <w:tcPr>
            <w:tcW w:w="1200" w:type="dxa"/>
            <w:tcBorders>
              <w:top w:val="single" w:sz="4" w:space="0" w:color="000000"/>
              <w:left w:val="single" w:sz="4" w:space="0" w:color="000000"/>
              <w:bottom w:val="single" w:sz="4" w:space="0" w:color="000000"/>
              <w:right w:val="single" w:sz="4" w:space="0" w:color="000000"/>
            </w:tcBorders>
          </w:tcPr>
          <w:p>
            <w:pPr/>
          </w:p>
        </w:tc>
        <w:tc>
          <w:tcPr>
            <w:tcW w:w="927"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梁常清</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0.70%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3,840,000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 w:right="0"/>
              <w:jc w:val="left"/>
              <w:rPr>
                <w:rFonts w:ascii="Times New Roman" w:hAnsi="Times New Roman" w:cs="Times New Roman" w:eastAsia="Times New Roman" w:hint="default"/>
                <w:sz w:val="18"/>
                <w:szCs w:val="18"/>
              </w:rPr>
            </w:pPr>
            <w:r>
              <w:rPr>
                <w:rFonts w:ascii="Times New Roman"/>
                <w:sz w:val="18"/>
              </w:rPr>
              <w:t>-1,680,000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3,840,000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4" w:space="0" w:color="000000"/>
              <w:left w:val="single" w:sz="4" w:space="0" w:color="000000"/>
              <w:bottom w:val="single" w:sz="4" w:space="0" w:color="000000"/>
              <w:right w:val="single" w:sz="4" w:space="0" w:color="000000"/>
            </w:tcBorders>
          </w:tcPr>
          <w:p>
            <w:pPr/>
          </w:p>
        </w:tc>
        <w:tc>
          <w:tcPr>
            <w:tcW w:w="927"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红塔创新投资 股份有限公司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0.66%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3,616,000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3,616,000</w:t>
            </w:r>
          </w:p>
        </w:tc>
        <w:tc>
          <w:tcPr>
            <w:tcW w:w="1200" w:type="dxa"/>
            <w:tcBorders>
              <w:top w:val="single" w:sz="4" w:space="0" w:color="000000"/>
              <w:left w:val="single" w:sz="4" w:space="0" w:color="000000"/>
              <w:bottom w:val="single" w:sz="4" w:space="0" w:color="000000"/>
              <w:right w:val="single" w:sz="4" w:space="0" w:color="000000"/>
            </w:tcBorders>
          </w:tcPr>
          <w:p>
            <w:pPr/>
          </w:p>
        </w:tc>
        <w:tc>
          <w:tcPr>
            <w:tcW w:w="927"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蒋丽娜</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0.55%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3,010,009</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 w:right="0"/>
              <w:jc w:val="left"/>
              <w:rPr>
                <w:rFonts w:ascii="Times New Roman" w:hAnsi="Times New Roman" w:cs="Times New Roman" w:eastAsia="Times New Roman" w:hint="default"/>
                <w:sz w:val="18"/>
                <w:szCs w:val="18"/>
              </w:rPr>
            </w:pPr>
            <w:r>
              <w:rPr>
                <w:rFonts w:ascii="Times New Roman"/>
                <w:sz w:val="18"/>
              </w:rPr>
              <w:t>3,010,009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3,010,009</w:t>
            </w:r>
          </w:p>
        </w:tc>
        <w:tc>
          <w:tcPr>
            <w:tcW w:w="1200" w:type="dxa"/>
            <w:tcBorders>
              <w:top w:val="single" w:sz="4" w:space="0" w:color="000000"/>
              <w:left w:val="single" w:sz="4" w:space="0" w:color="000000"/>
              <w:bottom w:val="single" w:sz="4" w:space="0" w:color="000000"/>
              <w:right w:val="single" w:sz="4" w:space="0" w:color="000000"/>
            </w:tcBorders>
          </w:tcPr>
          <w:p>
            <w:pPr/>
          </w:p>
        </w:tc>
        <w:tc>
          <w:tcPr>
            <w:tcW w:w="927" w:type="dxa"/>
            <w:gridSpan w:val="2"/>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交通银行股份 有限公司－国</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0.54%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3,000,080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3,000,080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3,000,080</w:t>
            </w:r>
          </w:p>
        </w:tc>
        <w:tc>
          <w:tcPr>
            <w:tcW w:w="1200" w:type="dxa"/>
            <w:tcBorders>
              <w:top w:val="single" w:sz="4" w:space="0" w:color="000000"/>
              <w:left w:val="single" w:sz="4" w:space="0" w:color="000000"/>
              <w:bottom w:val="single" w:sz="4" w:space="0" w:color="000000"/>
              <w:right w:val="single" w:sz="4" w:space="0" w:color="000000"/>
            </w:tcBorders>
          </w:tcPr>
          <w:p>
            <w:pPr/>
          </w:p>
        </w:tc>
        <w:tc>
          <w:tcPr>
            <w:tcW w:w="927"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1192"/>
        <w:gridCol w:w="935"/>
        <w:gridCol w:w="1063"/>
        <w:gridCol w:w="1064"/>
        <w:gridCol w:w="1063"/>
        <w:gridCol w:w="926"/>
        <w:gridCol w:w="1205"/>
        <w:gridCol w:w="922"/>
      </w:tblGrid>
      <w:tr>
        <w:trPr>
          <w:trHeight w:val="98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84"/>
              <w:jc w:val="both"/>
              <w:rPr>
                <w:rFonts w:ascii="宋体" w:hAnsi="宋体" w:cs="宋体" w:eastAsia="宋体" w:hint="default"/>
                <w:sz w:val="18"/>
                <w:szCs w:val="18"/>
              </w:rPr>
            </w:pPr>
            <w:r>
              <w:rPr>
                <w:rFonts w:ascii="宋体" w:hAnsi="宋体" w:cs="宋体" w:eastAsia="宋体" w:hint="default"/>
                <w:sz w:val="18"/>
                <w:szCs w:val="18"/>
              </w:rPr>
              <w:t>泰金鹰增长灵 活配置混合型 证券投资基金</w:t>
            </w:r>
          </w:p>
        </w:tc>
        <w:tc>
          <w:tcPr>
            <w:tcW w:w="119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178"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78"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公司未知前十名股东之间是否存在关联关系，也未知是否属于一致行动人。</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39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051"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39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51"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7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93" w:type="dxa"/>
            <w:gridSpan w:val="2"/>
            <w:vMerge/>
            <w:tcBorders>
              <w:left w:val="single" w:sz="4" w:space="0" w:color="000000"/>
              <w:bottom w:val="nil" w:sz="6" w:space="0" w:color="auto"/>
              <w:right w:val="single" w:sz="4" w:space="0" w:color="000000"/>
            </w:tcBorders>
            <w:shd w:val="clear" w:color="auto" w:fill="D2D2D2"/>
          </w:tcPr>
          <w:p>
            <w:pPr/>
          </w:p>
        </w:tc>
        <w:tc>
          <w:tcPr>
            <w:tcW w:w="5051" w:type="dxa"/>
            <w:gridSpan w:val="5"/>
            <w:vMerge/>
            <w:tcBorders>
              <w:left w:val="single" w:sz="4" w:space="0" w:color="000000"/>
              <w:bottom w:val="nil" w:sz="6" w:space="0" w:color="auto"/>
              <w:right w:val="single" w:sz="4" w:space="0" w:color="000000"/>
            </w:tcBorders>
            <w:shd w:val="clear" w:color="auto" w:fill="D2D2D2"/>
          </w:tcPr>
          <w:p>
            <w:pP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9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5" w:hRule="exact"/>
        </w:trPr>
        <w:tc>
          <w:tcPr>
            <w:tcW w:w="239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051"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50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19,195,143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19,195,143</w:t>
            </w:r>
          </w:p>
        </w:tc>
      </w:tr>
      <w:tr>
        <w:trPr>
          <w:trHeight w:val="401"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段桂山</w:t>
            </w:r>
          </w:p>
        </w:tc>
        <w:tc>
          <w:tcPr>
            <w:tcW w:w="50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7,723,608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center"/>
              <w:rPr>
                <w:rFonts w:ascii="Times New Roman" w:hAnsi="Times New Roman" w:cs="Times New Roman" w:eastAsia="Times New Roman" w:hint="default"/>
                <w:sz w:val="18"/>
                <w:szCs w:val="18"/>
              </w:rPr>
            </w:pPr>
            <w:r>
              <w:rPr>
                <w:rFonts w:ascii="Times New Roman"/>
                <w:sz w:val="18"/>
              </w:rPr>
              <w:t>7,723,608</w:t>
            </w:r>
          </w:p>
        </w:tc>
      </w:tr>
      <w:tr>
        <w:trPr>
          <w:trHeight w:val="403"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全国社保基金一零九组合</w:t>
            </w:r>
          </w:p>
        </w:tc>
        <w:tc>
          <w:tcPr>
            <w:tcW w:w="50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5,999,940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center"/>
              <w:rPr>
                <w:rFonts w:ascii="Times New Roman" w:hAnsi="Times New Roman" w:cs="Times New Roman" w:eastAsia="Times New Roman" w:hint="default"/>
                <w:sz w:val="18"/>
                <w:szCs w:val="18"/>
              </w:rPr>
            </w:pPr>
            <w:r>
              <w:rPr>
                <w:rFonts w:ascii="Times New Roman"/>
                <w:sz w:val="18"/>
              </w:rPr>
              <w:t>5,999,940</w:t>
            </w:r>
          </w:p>
        </w:tc>
      </w:tr>
      <w:tr>
        <w:trPr>
          <w:trHeight w:val="401"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蒋国梁</w:t>
            </w:r>
          </w:p>
        </w:tc>
        <w:tc>
          <w:tcPr>
            <w:tcW w:w="50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5,620,124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center"/>
              <w:rPr>
                <w:rFonts w:ascii="Times New Roman" w:hAnsi="Times New Roman" w:cs="Times New Roman" w:eastAsia="Times New Roman" w:hint="default"/>
                <w:sz w:val="18"/>
                <w:szCs w:val="18"/>
              </w:rPr>
            </w:pPr>
            <w:r>
              <w:rPr>
                <w:rFonts w:ascii="Times New Roman"/>
                <w:sz w:val="18"/>
              </w:rPr>
              <w:t>5,620,124</w:t>
            </w:r>
          </w:p>
        </w:tc>
      </w:tr>
      <w:tr>
        <w:trPr>
          <w:trHeight w:val="403"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红塔创新投资股份有限公司</w:t>
            </w:r>
          </w:p>
        </w:tc>
        <w:tc>
          <w:tcPr>
            <w:tcW w:w="50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3,616,000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center"/>
              <w:rPr>
                <w:rFonts w:ascii="Times New Roman" w:hAnsi="Times New Roman" w:cs="Times New Roman" w:eastAsia="Times New Roman" w:hint="default"/>
                <w:sz w:val="18"/>
                <w:szCs w:val="18"/>
              </w:rPr>
            </w:pPr>
            <w:r>
              <w:rPr>
                <w:rFonts w:ascii="Times New Roman"/>
                <w:sz w:val="18"/>
              </w:rPr>
              <w:t>3,616,000</w:t>
            </w:r>
          </w:p>
        </w:tc>
      </w:tr>
      <w:tr>
        <w:trPr>
          <w:trHeight w:val="401"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蒋丽娜</w:t>
            </w:r>
          </w:p>
        </w:tc>
        <w:tc>
          <w:tcPr>
            <w:tcW w:w="50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3,010,009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center"/>
              <w:rPr>
                <w:rFonts w:ascii="Times New Roman" w:hAnsi="Times New Roman" w:cs="Times New Roman" w:eastAsia="Times New Roman" w:hint="default"/>
                <w:sz w:val="18"/>
                <w:szCs w:val="18"/>
              </w:rPr>
            </w:pPr>
            <w:r>
              <w:rPr>
                <w:rFonts w:ascii="Times New Roman"/>
                <w:sz w:val="18"/>
              </w:rPr>
              <w:t>3,010,009</w:t>
            </w:r>
          </w:p>
        </w:tc>
      </w:tr>
      <w:tr>
        <w:trPr>
          <w:trHeight w:val="1027"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
              <w:jc w:val="both"/>
              <w:rPr>
                <w:rFonts w:ascii="宋体" w:hAnsi="宋体" w:cs="宋体" w:eastAsia="宋体" w:hint="default"/>
                <w:sz w:val="18"/>
                <w:szCs w:val="18"/>
              </w:rPr>
            </w:pPr>
            <w:r>
              <w:rPr>
                <w:rFonts w:ascii="宋体" w:hAnsi="宋体" w:cs="宋体" w:eastAsia="宋体" w:hint="default"/>
                <w:sz w:val="18"/>
                <w:szCs w:val="18"/>
              </w:rPr>
              <w:t>交通银行股份有限公司－国泰 金鹰增长灵活配置混合型证券 投资基金</w:t>
            </w:r>
          </w:p>
        </w:tc>
        <w:tc>
          <w:tcPr>
            <w:tcW w:w="50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3,000,080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65"/>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9" w:right="0"/>
              <w:jc w:val="center"/>
              <w:rPr>
                <w:rFonts w:ascii="Times New Roman" w:hAnsi="Times New Roman" w:cs="Times New Roman" w:eastAsia="Times New Roman" w:hint="default"/>
                <w:sz w:val="18"/>
                <w:szCs w:val="18"/>
              </w:rPr>
            </w:pPr>
            <w:r>
              <w:rPr>
                <w:rFonts w:ascii="Times New Roman"/>
                <w:sz w:val="18"/>
              </w:rPr>
              <w:t>3,000,080</w:t>
            </w:r>
          </w:p>
        </w:tc>
      </w:tr>
      <w:tr>
        <w:trPr>
          <w:trHeight w:val="401"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高春雷</w:t>
            </w:r>
          </w:p>
        </w:tc>
        <w:tc>
          <w:tcPr>
            <w:tcW w:w="50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2,690,820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center"/>
              <w:rPr>
                <w:rFonts w:ascii="Times New Roman" w:hAnsi="Times New Roman" w:cs="Times New Roman" w:eastAsia="Times New Roman" w:hint="default"/>
                <w:sz w:val="18"/>
                <w:szCs w:val="18"/>
              </w:rPr>
            </w:pPr>
            <w:r>
              <w:rPr>
                <w:rFonts w:ascii="Times New Roman"/>
                <w:sz w:val="18"/>
              </w:rPr>
              <w:t>2,690,820</w:t>
            </w:r>
          </w:p>
        </w:tc>
      </w:tr>
      <w:tr>
        <w:trPr>
          <w:trHeight w:val="403"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翁国权</w:t>
            </w:r>
          </w:p>
        </w:tc>
        <w:tc>
          <w:tcPr>
            <w:tcW w:w="50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center"/>
              <w:rPr>
                <w:rFonts w:ascii="Times New Roman" w:hAnsi="Times New Roman" w:cs="Times New Roman" w:eastAsia="Times New Roman" w:hint="default"/>
                <w:sz w:val="18"/>
                <w:szCs w:val="18"/>
              </w:rPr>
            </w:pPr>
            <w:r>
              <w:rPr>
                <w:rFonts w:ascii="Times New Roman"/>
                <w:sz w:val="18"/>
              </w:rPr>
              <w:t>2,380,000</w:t>
            </w:r>
          </w:p>
        </w:tc>
      </w:tr>
      <w:tr>
        <w:trPr>
          <w:trHeight w:val="401"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50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2,303,667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center"/>
              <w:rPr>
                <w:rFonts w:ascii="Times New Roman" w:hAnsi="Times New Roman" w:cs="Times New Roman" w:eastAsia="Times New Roman" w:hint="default"/>
                <w:sz w:val="18"/>
                <w:szCs w:val="18"/>
              </w:rPr>
            </w:pPr>
            <w:r>
              <w:rPr>
                <w:rFonts w:ascii="Times New Roman"/>
                <w:sz w:val="18"/>
              </w:rPr>
              <w:t>2,303,667</w:t>
            </w:r>
          </w:p>
        </w:tc>
      </w:tr>
      <w:tr>
        <w:trPr>
          <w:trHeight w:val="1339"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89"/>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300" w:lineRule="auto" w:before="63"/>
              <w:ind w:left="24" w:right="104"/>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7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9" w:right="117"/>
              <w:jc w:val="left"/>
              <w:rPr>
                <w:rFonts w:ascii="宋体" w:hAnsi="宋体" w:cs="宋体" w:eastAsia="宋体" w:hint="default"/>
                <w:sz w:val="18"/>
                <w:szCs w:val="18"/>
              </w:rPr>
            </w:pPr>
            <w:r>
              <w:rPr>
                <w:rFonts w:ascii="宋体" w:hAnsi="宋体" w:cs="宋体" w:eastAsia="宋体" w:hint="default"/>
                <w:sz w:val="18"/>
                <w:szCs w:val="18"/>
              </w:rPr>
              <w:t>公司未知前十名无限售股东之间以及前十名无限售流通股股东和前十名股东之间是否存在 关联关系，也未知是否属于一致行动人。</w:t>
            </w:r>
          </w:p>
        </w:tc>
      </w:tr>
      <w:tr>
        <w:trPr>
          <w:trHeight w:val="1961"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4" w:right="18"/>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1"/>
                <w:sz w:val="18"/>
                <w:szCs w:val="18"/>
              </w:rPr>
              <w:t>明（如有）（参见注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公司股东段桂山通过普通证券账户持有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1,468,928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股，通过华安证券股份有限公司客户信用</w:t>
            </w:r>
          </w:p>
          <w:p>
            <w:pPr>
              <w:pStyle w:val="TableParagraph"/>
              <w:spacing w:line="240" w:lineRule="auto" w:before="63"/>
              <w:ind w:left="29" w:right="0"/>
              <w:jc w:val="left"/>
              <w:rPr>
                <w:rFonts w:ascii="宋体" w:hAnsi="宋体" w:cs="宋体" w:eastAsia="宋体" w:hint="default"/>
                <w:sz w:val="18"/>
                <w:szCs w:val="18"/>
              </w:rPr>
            </w:pPr>
            <w:r>
              <w:rPr>
                <w:rFonts w:ascii="宋体" w:hAnsi="宋体" w:cs="宋体" w:eastAsia="宋体" w:hint="default"/>
                <w:sz w:val="18"/>
                <w:szCs w:val="18"/>
              </w:rPr>
              <w:t>交易担保证券账户持有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6,254,680</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股，实际合计持有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7,723,608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股；公司股东高春雷通过普通</w:t>
            </w:r>
          </w:p>
          <w:p>
            <w:pPr>
              <w:pStyle w:val="TableParagraph"/>
              <w:spacing w:line="240" w:lineRule="auto" w:before="63"/>
              <w:ind w:left="29" w:right="0"/>
              <w:jc w:val="left"/>
              <w:rPr>
                <w:rFonts w:ascii="宋体" w:hAnsi="宋体" w:cs="宋体" w:eastAsia="宋体" w:hint="default"/>
                <w:sz w:val="18"/>
                <w:szCs w:val="18"/>
              </w:rPr>
            </w:pPr>
            <w:r>
              <w:rPr>
                <w:rFonts w:ascii="宋体" w:hAnsi="宋体" w:cs="宋体" w:eastAsia="宋体" w:hint="default"/>
                <w:sz w:val="18"/>
                <w:szCs w:val="18"/>
              </w:rPr>
              <w:t>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2,400,820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股，通过大通证券股份有限公司客户信用交易担保证券账户持有</w:t>
            </w:r>
          </w:p>
          <w:p>
            <w:pPr>
              <w:pStyle w:val="TableParagraph"/>
              <w:spacing w:line="240" w:lineRule="auto" w:before="63"/>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2,690,820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股；公司股东翁国权通过普通证券账户持有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1,600,000</w:t>
            </w:r>
          </w:p>
          <w:p>
            <w:pPr>
              <w:pStyle w:val="TableParagraph"/>
              <w:spacing w:line="240" w:lineRule="auto" w:before="63"/>
              <w:ind w:left="29" w:right="0"/>
              <w:jc w:val="left"/>
              <w:rPr>
                <w:rFonts w:ascii="宋体" w:hAnsi="宋体" w:cs="宋体" w:eastAsia="宋体" w:hint="default"/>
                <w:sz w:val="18"/>
                <w:szCs w:val="18"/>
              </w:rPr>
            </w:pPr>
            <w:r>
              <w:rPr>
                <w:rFonts w:ascii="宋体" w:hAnsi="宋体" w:cs="宋体" w:eastAsia="宋体" w:hint="default"/>
                <w:sz w:val="18"/>
                <w:szCs w:val="18"/>
              </w:rPr>
              <w:t>股，通过申万宏源证券有限公司客户信用交易担保证券账户持有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780,000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股，实际合计持有</w:t>
            </w:r>
          </w:p>
          <w:p>
            <w:pPr>
              <w:pStyle w:val="TableParagraph"/>
              <w:spacing w:line="240" w:lineRule="auto" w:before="63"/>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49"/>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公司控股股东情况" w:id="113"/>
      <w:bookmarkEnd w:id="11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859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031"/>
        <w:gridCol w:w="4119"/>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1133"/>
        <w:jc w:val="left"/>
      </w:pPr>
      <w:r>
        <w:rPr/>
        <w:t>控股股东报告期内变更</w:t>
      </w:r>
    </w:p>
    <w:p>
      <w:pPr>
        <w:pStyle w:val="BodyText"/>
        <w:spacing w:line="340" w:lineRule="auto" w:before="115"/>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bookmarkStart w:name="3、公司实际控制人及其一致行动人" w:id="114"/>
      <w:bookmarkEnd w:id="114"/>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41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1133"/>
        <w:jc w:val="left"/>
      </w:pPr>
      <w:r>
        <w:rPr/>
        <w:t>实际控制人报告期内变更</w:t>
      </w:r>
    </w:p>
    <w:p>
      <w:pPr>
        <w:pStyle w:val="BodyText"/>
        <w:spacing w:line="35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10"/>
        <w:rPr>
          <w:rFonts w:ascii="宋体" w:hAnsi="宋体" w:cs="宋体" w:eastAsia="宋体" w:hint="default"/>
          <w:sz w:val="23"/>
          <w:szCs w:val="23"/>
        </w:rPr>
      </w:pPr>
    </w:p>
    <w:p>
      <w:pPr>
        <w:spacing w:line="2865" w:lineRule="exact"/>
        <w:ind w:left="1355" w:right="0" w:firstLine="0"/>
        <w:rPr>
          <w:rFonts w:ascii="宋体" w:hAnsi="宋体" w:cs="宋体" w:eastAsia="宋体" w:hint="default"/>
          <w:sz w:val="20"/>
          <w:szCs w:val="20"/>
        </w:rPr>
      </w:pPr>
      <w:r>
        <w:rPr>
          <w:rFonts w:ascii="宋体" w:hAnsi="宋体" w:cs="宋体" w:eastAsia="宋体" w:hint="default"/>
          <w:position w:val="-56"/>
          <w:sz w:val="20"/>
          <w:szCs w:val="20"/>
        </w:rPr>
        <w:drawing>
          <wp:inline distT="0" distB="0" distL="0" distR="0">
            <wp:extent cx="4593590" cy="18192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4593590" cy="1819275"/>
                    </a:xfrm>
                    <a:prstGeom prst="rect">
                      <a:avLst/>
                    </a:prstGeom>
                  </pic:spPr>
                </pic:pic>
              </a:graphicData>
            </a:graphic>
          </wp:inline>
        </w:drawing>
      </w:r>
      <w:r>
        <w:rPr>
          <w:rFonts w:ascii="宋体" w:hAnsi="宋体" w:cs="宋体" w:eastAsia="宋体" w:hint="default"/>
          <w:position w:val="-56"/>
          <w:sz w:val="20"/>
          <w:szCs w:val="20"/>
        </w:rPr>
      </w:r>
    </w:p>
    <w:p>
      <w:pPr>
        <w:spacing w:line="240" w:lineRule="auto" w:before="10"/>
        <w:rPr>
          <w:rFonts w:ascii="宋体" w:hAnsi="宋体" w:cs="宋体" w:eastAsia="宋体" w:hint="default"/>
          <w:sz w:val="25"/>
          <w:szCs w:val="25"/>
        </w:rPr>
      </w:pPr>
    </w:p>
    <w:p>
      <w:pPr>
        <w:pStyle w:val="BodyText"/>
        <w:spacing w:line="240" w:lineRule="auto"/>
        <w:ind w:right="1133"/>
        <w:jc w:val="left"/>
      </w:pPr>
      <w:r>
        <w:rPr/>
        <w:t>实际控制人通过信托或其他资产管理方式控制公司</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4、其他持股在10%以上的法人股东" w:id="115"/>
      <w:bookmarkEnd w:id="115"/>
      <w:r>
        <w:rPr>
          <w:b w:val="0"/>
          <w:bCs w:val="0"/>
        </w:rPr>
      </w: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5、控股股东、实际控制人、重组方及其他承诺主体股份限制减持情况" w:id="116"/>
      <w:bookmarkEnd w:id="116"/>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1133"/>
        <w:jc w:val="left"/>
        <w:rPr>
          <w:b w:val="0"/>
          <w:bCs w:val="0"/>
        </w:rPr>
      </w:pPr>
      <w:bookmarkStart w:name="第七节优先股相关情况" w:id="117"/>
      <w:bookmarkEnd w:id="117"/>
      <w:r>
        <w:rPr>
          <w:b w:val="0"/>
          <w:bCs w:val="0"/>
        </w:rPr>
      </w:r>
      <w:bookmarkStart w:name="_bookmark6" w:id="118"/>
      <w:bookmarkEnd w:id="118"/>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1133"/>
        <w:jc w:val="left"/>
        <w:rPr>
          <w:b w:val="0"/>
          <w:bCs w:val="0"/>
        </w:rPr>
      </w:pPr>
      <w:bookmarkStart w:name="第八节可转换公司债券相关情况" w:id="119"/>
      <w:bookmarkEnd w:id="119"/>
      <w:r>
        <w:rPr>
          <w:b w:val="0"/>
          <w:bCs w:val="0"/>
        </w:rPr>
      </w:r>
      <w:bookmarkStart w:name="_bookmark7" w:id="120"/>
      <w:bookmarkEnd w:id="120"/>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1133"/>
        <w:jc w:val="left"/>
        <w:rPr>
          <w:b w:val="0"/>
          <w:bCs w:val="0"/>
        </w:rPr>
      </w:pPr>
      <w:bookmarkStart w:name="第九节董事、监事、高级管理人员和员工情况" w:id="121"/>
      <w:bookmarkEnd w:id="121"/>
      <w:r>
        <w:rPr>
          <w:b w:val="0"/>
          <w:bCs w:val="0"/>
        </w:rPr>
      </w:r>
      <w:bookmarkStart w:name="_bookmark8" w:id="122"/>
      <w:bookmarkEnd w:id="122"/>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董事、监事和高级管理人员持股变动" w:id="123"/>
      <w:bookmarkEnd w:id="123"/>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81,898,40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81,898,40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8,730,806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8,730,806</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9,214,667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9,214,667</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李国壁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董事、财 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董岩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闫成德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赵立三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赵明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王意勤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01"/>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王少军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99,844,20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99,844,20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二、公司董事、监事、高级管理人员变动情况" w:id="124"/>
      <w:bookmarkEnd w:id="124"/>
      <w:r>
        <w:rPr>
          <w:b w:val="0"/>
          <w:bCs w:val="0"/>
        </w:rPr>
      </w: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三、任职情况" w:id="125"/>
      <w:bookmarkEnd w:id="125"/>
      <w:r>
        <w:rPr>
          <w:b w:val="0"/>
          <w:bCs w:val="0"/>
        </w:rPr>
      </w: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公司现任董事、监事、高级管理人员专业背景、主要工作经历以及目前在公司的主要职责</w:t>
      </w:r>
    </w:p>
    <w:p>
      <w:pPr>
        <w:pStyle w:val="BodyText"/>
        <w:spacing w:line="304" w:lineRule="auto" w:before="94"/>
        <w:ind w:right="1034"/>
        <w:jc w:val="left"/>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、董事</w:t>
      </w:r>
      <w:r>
        <w:rPr>
          <w:rFonts w:ascii="宋体" w:hAnsi="宋体" w:cs="宋体" w:eastAsia="宋体" w:hint="default"/>
          <w:b/>
          <w:bCs/>
          <w:w w:val="100"/>
          <w:sz w:val="21"/>
          <w:szCs w:val="21"/>
        </w:rPr>
        <w:t> </w:t>
      </w:r>
      <w:r>
        <w:rPr>
          <w:rFonts w:ascii="宋体" w:hAnsi="宋体" w:cs="宋体" w:eastAsia="宋体" w:hint="default"/>
          <w:b/>
          <w:bCs/>
          <w:w w:val="95"/>
        </w:rPr>
        <w:t>李玉国：</w:t>
      </w:r>
      <w:r>
        <w:rPr>
          <w:w w:val="95"/>
        </w:rPr>
        <w:t>男，中国国籍，</w:t>
      </w:r>
      <w:r>
        <w:rPr>
          <w:rFonts w:ascii="Times New Roman" w:hAnsi="Times New Roman" w:cs="Times New Roman" w:eastAsia="Times New Roman" w:hint="default"/>
          <w:w w:val="95"/>
        </w:rPr>
        <w:t>1961</w:t>
      </w:r>
      <w:r>
        <w:rPr>
          <w:w w:val="95"/>
        </w:rPr>
        <w:t>年生，北京大学</w:t>
      </w:r>
      <w:r>
        <w:rPr>
          <w:rFonts w:ascii="Times New Roman" w:hAnsi="Times New Roman" w:cs="Times New Roman" w:eastAsia="Times New Roman" w:hint="default"/>
          <w:w w:val="95"/>
        </w:rPr>
        <w:t>EMBA</w:t>
      </w:r>
      <w:r>
        <w:rPr>
          <w:w w:val="95"/>
        </w:rPr>
        <w:t>，教授级高级工程师，公司创始人。先后担任河北省计量测试研究所副</w:t>
      </w:r>
      <w:r>
        <w:rPr>
          <w:spacing w:val="74"/>
          <w:w w:val="95"/>
        </w:rPr>
        <w:t> </w:t>
      </w:r>
      <w:r>
        <w:rPr>
          <w:spacing w:val="74"/>
          <w:w w:val="95"/>
        </w:rPr>
      </w:r>
      <w:r>
        <w:rPr/>
        <w:t>所长、河北省环境计量技术研究中心主任。</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7</w:t>
      </w:r>
      <w:r>
        <w:rPr/>
        <w:t>月创立河北先河科技发展有限公司，任董事长、总经理，公司整体发展</w:t>
      </w:r>
      <w:r>
        <w:rPr>
          <w:spacing w:val="-84"/>
        </w:rPr>
        <w:t> </w:t>
      </w:r>
      <w:r>
        <w:rPr>
          <w:spacing w:val="-84"/>
        </w:rPr>
      </w:r>
      <w:r>
        <w:rPr>
          <w:spacing w:val="-2"/>
        </w:rPr>
        <w:t>战略的规划者，曾主持</w:t>
      </w:r>
      <w:r>
        <w:rPr>
          <w:rFonts w:ascii="Times New Roman" w:hAnsi="Times New Roman" w:cs="Times New Roman" w:eastAsia="Times New Roman" w:hint="default"/>
          <w:spacing w:val="-2"/>
        </w:rPr>
        <w:t>“</w:t>
      </w:r>
      <w:r>
        <w:rPr>
          <w:spacing w:val="-2"/>
        </w:rPr>
        <w:t>粉尘测量仪检定装置</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粮食水分测量仪标准装置</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系列粉尘采样器</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全自动烟尘测试仪</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智</w:t>
      </w:r>
      <w:r>
        <w:rPr>
          <w:spacing w:val="-56"/>
        </w:rPr>
        <w:t> </w:t>
      </w:r>
      <w:r>
        <w:rPr/>
        <w:t>能</w:t>
      </w:r>
      <w:r>
        <w:rPr>
          <w:rFonts w:ascii="Times New Roman" w:hAnsi="Times New Roman" w:cs="Times New Roman" w:eastAsia="Times New Roman" w:hint="default"/>
        </w:rPr>
        <w:t>TSP</w:t>
      </w:r>
      <w:r>
        <w:rPr/>
        <w:t>采样器</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污水</w:t>
      </w:r>
      <w:r>
        <w:rPr>
          <w:rFonts w:ascii="Times New Roman" w:hAnsi="Times New Roman" w:cs="Times New Roman" w:eastAsia="Times New Roman" w:hint="default"/>
        </w:rPr>
        <w:t>COD</w:t>
      </w:r>
      <w:r>
        <w:rPr/>
        <w:t>在线自动监测系统</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城市空气质量连续自动监测系统</w:t>
      </w:r>
      <w:r>
        <w:rPr>
          <w:rFonts w:ascii="Times New Roman" w:hAnsi="Times New Roman" w:cs="Times New Roman" w:eastAsia="Times New Roman" w:hint="default"/>
        </w:rPr>
        <w:t>”</w:t>
      </w:r>
      <w:r>
        <w:rPr/>
        <w:t>等多项国家级科研项目；国家重点科技</w:t>
      </w:r>
      <w:r>
        <w:rPr>
          <w:spacing w:val="-16"/>
        </w:rPr>
        <w:t> </w:t>
      </w:r>
      <w:r>
        <w:rPr>
          <w:spacing w:val="-16"/>
        </w:rPr>
      </w:r>
      <w:r>
        <w:rPr/>
        <w:t>攻关先进个人，中国环保产业突出贡献奖，国家质量监督检验检疫总局优秀中青年专家，河北省</w:t>
      </w:r>
      <w:r>
        <w:rPr>
          <w:rFonts w:ascii="Times New Roman" w:hAnsi="Times New Roman" w:cs="Times New Roman" w:eastAsia="Times New Roman" w:hint="default"/>
        </w:rPr>
        <w:t>“</w:t>
      </w:r>
      <w:r>
        <w:rPr/>
        <w:t>巨人计划</w:t>
      </w:r>
      <w:r>
        <w:rPr>
          <w:rFonts w:ascii="Times New Roman" w:hAnsi="Times New Roman" w:cs="Times New Roman" w:eastAsia="Times New Roman" w:hint="default"/>
        </w:rPr>
        <w:t>”</w:t>
      </w:r>
      <w:r>
        <w:rPr/>
        <w:t>首批创新创业团 </w:t>
      </w:r>
      <w:r>
        <w:rPr>
          <w:spacing w:val="-2"/>
        </w:rPr>
        <w:t>队领军人才，河北省有突出贡献中青年、技术、管理专家，河北省重点建设突出贡献先进个人，河北省首届环保十大杰出人</w:t>
      </w:r>
      <w:r>
        <w:rPr>
          <w:spacing w:val="-65"/>
        </w:rPr>
        <w:t> </w:t>
      </w:r>
      <w:r>
        <w:rPr>
          <w:spacing w:val="-65"/>
        </w:rPr>
      </w:r>
      <w:r>
        <w:rPr>
          <w:spacing w:val="-2"/>
        </w:rPr>
        <w:t>物，</w:t>
      </w:r>
      <w:r>
        <w:rPr>
          <w:rFonts w:ascii="Times New Roman" w:hAnsi="Times New Roman" w:cs="Times New Roman" w:eastAsia="Times New Roman" w:hint="default"/>
          <w:spacing w:val="-2"/>
        </w:rPr>
        <w:t>2012</w:t>
      </w:r>
      <w:r>
        <w:rPr>
          <w:spacing w:val="-2"/>
        </w:rPr>
        <w:t>年度河北十大经济风云人物，纪念改革开放</w:t>
      </w:r>
      <w:r>
        <w:rPr>
          <w:rFonts w:ascii="Times New Roman" w:hAnsi="Times New Roman" w:cs="Times New Roman" w:eastAsia="Times New Roman" w:hint="default"/>
          <w:spacing w:val="-2"/>
        </w:rPr>
        <w:t>40</w:t>
      </w:r>
      <w:r>
        <w:rPr>
          <w:spacing w:val="-2"/>
        </w:rPr>
        <w:t>周年石家庄十大经济人物。中国环保产业协会副会长，河北省政协委</w:t>
      </w:r>
      <w:r>
        <w:rPr>
          <w:spacing w:val="-60"/>
        </w:rPr>
        <w:t> </w:t>
      </w:r>
      <w:r>
        <w:rPr>
          <w:spacing w:val="-60"/>
        </w:rPr>
      </w:r>
      <w:r>
        <w:rPr>
          <w:spacing w:val="-4"/>
        </w:rPr>
        <w:t>员，中国环境监测仪器专业委员会副主任，河北省环境科学学会副会长，河北省可持续发展研究会副会长。现任公司董事长。</w:t>
      </w:r>
    </w:p>
    <w:p>
      <w:pPr>
        <w:pStyle w:val="BodyText"/>
        <w:spacing w:line="300" w:lineRule="auto" w:before="68"/>
        <w:ind w:right="0"/>
        <w:jc w:val="left"/>
      </w:pPr>
      <w:r>
        <w:rPr>
          <w:rFonts w:ascii="宋体" w:hAnsi="宋体" w:cs="宋体" w:eastAsia="宋体" w:hint="default"/>
          <w:b/>
          <w:bCs/>
          <w:spacing w:val="-2"/>
        </w:rPr>
        <w:t>陈荣强：</w:t>
      </w:r>
      <w:r>
        <w:rPr>
          <w:spacing w:val="-2"/>
        </w:rPr>
        <w:t>男，中国国籍，</w:t>
      </w:r>
      <w:r>
        <w:rPr>
          <w:rFonts w:ascii="Times New Roman" w:hAnsi="Times New Roman" w:cs="Times New Roman" w:eastAsia="Times New Roman" w:hint="default"/>
          <w:spacing w:val="-2"/>
        </w:rPr>
        <w:t>1968</w:t>
      </w:r>
      <w:r>
        <w:rPr>
          <w:spacing w:val="-2"/>
        </w:rPr>
        <w:t>年生，本科双学士，经济师。曾任石家庄物资贸易总公司北京期货部经理，河北华正公路投资</w:t>
      </w:r>
      <w:r>
        <w:rPr>
          <w:spacing w:val="-70"/>
        </w:rPr>
        <w:t> </w:t>
      </w:r>
      <w:r>
        <w:rPr>
          <w:spacing w:val="-70"/>
        </w:rPr>
      </w:r>
      <w:r>
        <w:rPr/>
        <w:t>股份有限公司董事兼副总经理。近五年主要负责公司产品营销、市场开拓、经营管理等工作，现任公司董事、总经理。</w:t>
      </w:r>
    </w:p>
    <w:p>
      <w:pPr>
        <w:pStyle w:val="BodyText"/>
        <w:spacing w:line="300" w:lineRule="auto" w:before="70"/>
        <w:ind w:right="1128"/>
        <w:jc w:val="both"/>
      </w:pPr>
      <w:r>
        <w:rPr>
          <w:rFonts w:ascii="宋体" w:hAnsi="宋体" w:cs="宋体" w:eastAsia="宋体" w:hint="default"/>
          <w:b/>
          <w:bCs/>
        </w:rPr>
        <w:t>范朝：</w:t>
      </w:r>
      <w:r>
        <w:rPr/>
        <w:t>男，中国国籍，</w:t>
      </w:r>
      <w:r>
        <w:rPr>
          <w:rFonts w:ascii="Times New Roman" w:hAnsi="Times New Roman" w:cs="Times New Roman" w:eastAsia="Times New Roman" w:hint="default"/>
        </w:rPr>
        <w:t>1968</w:t>
      </w:r>
      <w:r>
        <w:rPr/>
        <w:t>年生，哈尔滨工业大学毕业，教授级高级工程师。参与科研项目</w:t>
      </w:r>
      <w:r>
        <w:rPr>
          <w:rFonts w:ascii="Times New Roman" w:hAnsi="Times New Roman" w:cs="Times New Roman" w:eastAsia="Times New Roman" w:hint="default"/>
        </w:rPr>
        <w:t>9</w:t>
      </w:r>
      <w:r>
        <w:rPr/>
        <w:t>项，其中国家级项目</w:t>
      </w:r>
      <w:r>
        <w:rPr>
          <w:rFonts w:ascii="Times New Roman" w:hAnsi="Times New Roman" w:cs="Times New Roman" w:eastAsia="Times New Roman" w:hint="default"/>
        </w:rPr>
        <w:t>3</w:t>
      </w:r>
      <w:r>
        <w:rPr/>
        <w:t>项， 省</w:t>
      </w:r>
      <w:r>
        <w:rPr>
          <w:spacing w:val="-86"/>
        </w:rPr>
        <w:t> </w:t>
      </w:r>
      <w:r>
        <w:rPr>
          <w:spacing w:val="-86"/>
        </w:rPr>
      </w:r>
      <w:r>
        <w:rPr>
          <w:spacing w:val="-1"/>
        </w:rPr>
        <w:t>部级项目</w:t>
      </w:r>
      <w:r>
        <w:rPr>
          <w:rFonts w:ascii="Times New Roman" w:hAnsi="Times New Roman" w:cs="Times New Roman" w:eastAsia="Times New Roman" w:hint="default"/>
          <w:spacing w:val="-1"/>
        </w:rPr>
        <w:t>5</w:t>
      </w:r>
      <w:r>
        <w:rPr>
          <w:spacing w:val="-1"/>
        </w:rPr>
        <w:t>项，其中获各级科技进步奖</w:t>
      </w:r>
      <w:r>
        <w:rPr>
          <w:rFonts w:ascii="Times New Roman" w:hAnsi="Times New Roman" w:cs="Times New Roman" w:eastAsia="Times New Roman" w:hint="default"/>
          <w:spacing w:val="-1"/>
        </w:rPr>
        <w:t>6</w:t>
      </w:r>
      <w:r>
        <w:rPr>
          <w:spacing w:val="-1"/>
        </w:rPr>
        <w:t>项</w:t>
      </w:r>
      <w:r>
        <w:rPr>
          <w:rFonts w:ascii="Times New Roman" w:hAnsi="Times New Roman" w:cs="Times New Roman" w:eastAsia="Times New Roman" w:hint="default"/>
          <w:spacing w:val="-1"/>
        </w:rPr>
        <w:t>,</w:t>
      </w:r>
      <w:r>
        <w:rPr>
          <w:spacing w:val="-1"/>
        </w:rPr>
        <w:t>八五优秀技术创新项目奖</w:t>
      </w:r>
      <w:r>
        <w:rPr>
          <w:rFonts w:ascii="Times New Roman" w:hAnsi="Times New Roman" w:cs="Times New Roman" w:eastAsia="Times New Roman" w:hint="default"/>
          <w:spacing w:val="-1"/>
        </w:rPr>
        <w:t>1</w:t>
      </w:r>
      <w:r>
        <w:rPr>
          <w:spacing w:val="-1"/>
        </w:rPr>
        <w:t>项，九五国家科技攻关优秀成果奖</w:t>
      </w:r>
      <w:r>
        <w:rPr>
          <w:rFonts w:ascii="Times New Roman" w:hAnsi="Times New Roman" w:cs="Times New Roman" w:eastAsia="Times New Roman" w:hint="default"/>
          <w:spacing w:val="-1"/>
        </w:rPr>
        <w:t>2</w:t>
      </w:r>
      <w:r>
        <w:rPr>
          <w:spacing w:val="-1"/>
        </w:rPr>
        <w:t>项；国家级新产品</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35"/>
        </w:rPr>
        <w:t> </w:t>
      </w:r>
      <w:r>
        <w:rPr/>
        <w:t>项，起草企业标准</w:t>
      </w:r>
      <w:r>
        <w:rPr>
          <w:rFonts w:ascii="Times New Roman" w:hAnsi="Times New Roman" w:cs="Times New Roman" w:eastAsia="Times New Roman" w:hint="default"/>
        </w:rPr>
        <w:t>7</w:t>
      </w:r>
      <w:r>
        <w:rPr/>
        <w:t>项；河北省有突出贡献中青年专家。近五年主要负责公司产品研发、技术服务工作。现任公司董事、副</w:t>
      </w:r>
      <w:r>
        <w:rPr>
          <w:spacing w:val="-84"/>
        </w:rPr>
        <w:t> </w:t>
      </w:r>
      <w:r>
        <w:rPr>
          <w:spacing w:val="-84"/>
        </w:rPr>
      </w:r>
      <w:r>
        <w:rPr/>
        <w:t>总经理。</w:t>
      </w:r>
    </w:p>
    <w:p>
      <w:pPr>
        <w:pStyle w:val="BodyText"/>
        <w:spacing w:line="300" w:lineRule="auto" w:before="72"/>
        <w:ind w:right="1133"/>
        <w:jc w:val="left"/>
      </w:pPr>
      <w:r>
        <w:rPr>
          <w:rFonts w:ascii="宋体" w:hAnsi="宋体" w:cs="宋体" w:eastAsia="宋体" w:hint="default"/>
          <w:b/>
          <w:bCs/>
          <w:spacing w:val="-1"/>
        </w:rPr>
        <w:t>董岩：</w:t>
      </w:r>
      <w:r>
        <w:rPr>
          <w:spacing w:val="-1"/>
        </w:rPr>
        <w:t>男，中国国籍，</w:t>
      </w:r>
      <w:r>
        <w:rPr>
          <w:rFonts w:ascii="Times New Roman" w:hAnsi="Times New Roman" w:cs="Times New Roman" w:eastAsia="Times New Roman" w:hint="default"/>
          <w:spacing w:val="-1"/>
        </w:rPr>
        <w:t>1975</w:t>
      </w:r>
      <w:r>
        <w:rPr>
          <w:spacing w:val="-1"/>
        </w:rPr>
        <w:t>年出生，本科，</w:t>
      </w:r>
      <w:r>
        <w:rPr>
          <w:rFonts w:ascii="Times New Roman" w:hAnsi="Times New Roman" w:cs="Times New Roman" w:eastAsia="Times New Roman" w:hint="default"/>
          <w:spacing w:val="-1"/>
        </w:rPr>
        <w:t>1997-1999</w:t>
      </w:r>
      <w:r>
        <w:rPr>
          <w:spacing w:val="-1"/>
        </w:rPr>
        <w:t>任中国国际经济咨询公司项目经理，</w:t>
      </w:r>
      <w:r>
        <w:rPr>
          <w:rFonts w:ascii="Times New Roman" w:hAnsi="Times New Roman" w:cs="Times New Roman" w:eastAsia="Times New Roman" w:hint="default"/>
          <w:spacing w:val="-1"/>
        </w:rPr>
        <w:t>1999-2001</w:t>
      </w:r>
      <w:r>
        <w:rPr>
          <w:spacing w:val="-1"/>
        </w:rPr>
        <w:t>任清华同方股份有限公</w:t>
      </w:r>
      <w:r>
        <w:rPr>
          <w:spacing w:val="-56"/>
        </w:rPr>
        <w:t> </w:t>
      </w:r>
      <w:r>
        <w:rPr/>
        <w:t>司审计部经理，</w:t>
      </w:r>
      <w:r>
        <w:rPr>
          <w:rFonts w:ascii="Times New Roman" w:hAnsi="Times New Roman" w:cs="Times New Roman" w:eastAsia="Times New Roman" w:hint="default"/>
        </w:rPr>
        <w:t>2001</w:t>
      </w:r>
      <w:r>
        <w:rPr/>
        <w:t>至今任红塔创新投资股份有限公司高级经理、投资部副总经理。现任公司董事。</w:t>
      </w:r>
    </w:p>
    <w:p>
      <w:pPr>
        <w:pStyle w:val="BodyText"/>
        <w:spacing w:line="307" w:lineRule="auto" w:before="53"/>
        <w:ind w:right="1044"/>
        <w:jc w:val="left"/>
      </w:pPr>
      <w:r>
        <w:rPr>
          <w:rFonts w:ascii="宋体" w:hAnsi="宋体" w:cs="宋体" w:eastAsia="宋体" w:hint="default"/>
          <w:b/>
          <w:bCs/>
          <w:spacing w:val="-2"/>
        </w:rPr>
        <w:t>闫成德：</w:t>
      </w:r>
      <w:r>
        <w:rPr>
          <w:spacing w:val="-2"/>
        </w:rPr>
        <w:t>男，中国国籍，</w:t>
      </w:r>
      <w:r>
        <w:rPr>
          <w:rFonts w:ascii="Times New Roman" w:hAnsi="Times New Roman" w:cs="Times New Roman" w:eastAsia="Times New Roman" w:hint="default"/>
          <w:spacing w:val="-2"/>
        </w:rPr>
        <w:t>1938</w:t>
      </w:r>
      <w:r>
        <w:rPr>
          <w:spacing w:val="-2"/>
        </w:rPr>
        <w:t>年生，本科，研究员，曾任中科院计划财务局副局长、中科院机电进口办主任、世行贷款设备</w:t>
      </w:r>
      <w:r>
        <w:rPr>
          <w:spacing w:val="-66"/>
        </w:rPr>
        <w:t> </w:t>
      </w:r>
      <w:r>
        <w:rPr>
          <w:spacing w:val="-66"/>
        </w:rPr>
      </w:r>
      <w:r>
        <w:rPr/>
        <w:t>负责人。获得</w:t>
      </w:r>
      <w:r>
        <w:rPr>
          <w:rFonts w:ascii="Times New Roman" w:hAnsi="Times New Roman" w:cs="Times New Roman" w:eastAsia="Times New Roman" w:hint="default"/>
        </w:rPr>
        <w:t>“</w:t>
      </w:r>
      <w:r>
        <w:rPr/>
        <w:t>国家正负电子对撞机</w:t>
      </w:r>
      <w:r>
        <w:rPr>
          <w:rFonts w:ascii="Times New Roman" w:hAnsi="Times New Roman" w:cs="Times New Roman" w:eastAsia="Times New Roman" w:hint="default"/>
        </w:rPr>
        <w:t>”</w:t>
      </w:r>
      <w:r>
        <w:rPr/>
        <w:t>先进个人、全国机电设备先进工作者，</w:t>
      </w:r>
      <w:r>
        <w:rPr>
          <w:rFonts w:ascii="Times New Roman" w:hAnsi="Times New Roman" w:cs="Times New Roman" w:eastAsia="Times New Roman" w:hint="default"/>
        </w:rPr>
        <w:t>1998-2002</w:t>
      </w:r>
      <w:r>
        <w:rPr/>
        <w:t>任国家科学仪器攻关办负责人，原任</w:t>
      </w:r>
      <w:r>
        <w:rPr>
          <w:spacing w:val="-43"/>
        </w:rPr>
        <w:t> </w:t>
      </w:r>
      <w:r>
        <w:rPr>
          <w:spacing w:val="-43"/>
        </w:rPr>
      </w:r>
      <w:r>
        <w:rPr>
          <w:spacing w:val="-4"/>
        </w:rPr>
        <w:t>科技部科学仪器专家，中国分析测试协会理事，《现代科学仪器》副主编，中国仪器仪表学会、科学仪器工作委员会副主任，</w:t>
      </w:r>
      <w:r>
        <w:rPr>
          <w:spacing w:val="-44"/>
        </w:rPr>
        <w:t> </w:t>
      </w:r>
      <w:r>
        <w:rPr>
          <w:spacing w:val="-44"/>
        </w:rPr>
      </w:r>
      <w:r>
        <w:rPr/>
        <w:t>中国分析仪器分会名誉理事长，创新方法研究会科学工具委员会顾问。曾任公司独立董事，现任公司董事。</w:t>
      </w:r>
    </w:p>
    <w:p>
      <w:pPr>
        <w:pStyle w:val="BodyText"/>
        <w:spacing w:line="300" w:lineRule="auto" w:before="64"/>
        <w:ind w:right="1128"/>
        <w:jc w:val="both"/>
      </w:pPr>
      <w:r>
        <w:rPr>
          <w:rFonts w:ascii="宋体" w:hAnsi="宋体" w:cs="宋体" w:eastAsia="宋体" w:hint="default"/>
          <w:b/>
          <w:bCs/>
          <w:spacing w:val="-5"/>
        </w:rPr>
        <w:t>李国壁：</w:t>
      </w:r>
      <w:r>
        <w:rPr>
          <w:spacing w:val="-5"/>
        </w:rPr>
        <w:t>男，中国国籍，</w:t>
      </w:r>
      <w:r>
        <w:rPr>
          <w:rFonts w:ascii="Times New Roman" w:hAnsi="Times New Roman" w:cs="Times New Roman" w:eastAsia="Times New Roman" w:hint="default"/>
          <w:spacing w:val="-5"/>
        </w:rPr>
        <w:t>1982 </w:t>
      </w:r>
      <w:r>
        <w:rPr>
          <w:spacing w:val="-4"/>
        </w:rPr>
        <w:t>年出生，大学本科学历，中级会计师。</w:t>
      </w:r>
      <w:r>
        <w:rPr>
          <w:rFonts w:ascii="Times New Roman" w:hAnsi="Times New Roman" w:cs="Times New Roman" w:eastAsia="Times New Roman" w:hint="default"/>
          <w:spacing w:val="-4"/>
        </w:rPr>
        <w:t>2004 </w:t>
      </w:r>
      <w:r>
        <w:rPr/>
        <w:t>年 </w:t>
      </w:r>
      <w:r>
        <w:rPr>
          <w:rFonts w:ascii="Times New Roman" w:hAnsi="Times New Roman" w:cs="Times New Roman" w:eastAsia="Times New Roman" w:hint="default"/>
        </w:rPr>
        <w:t>6 </w:t>
      </w:r>
      <w:r>
        <w:rPr>
          <w:spacing w:val="-3"/>
        </w:rPr>
        <w:t>月本科毕业，</w:t>
      </w:r>
      <w:r>
        <w:rPr>
          <w:rFonts w:ascii="Times New Roman" w:hAnsi="Times New Roman" w:cs="Times New Roman" w:eastAsia="Times New Roman" w:hint="default"/>
          <w:spacing w:val="-3"/>
        </w:rPr>
        <w:t>2004 </w:t>
      </w:r>
      <w:r>
        <w:rPr/>
        <w:t>年 </w:t>
      </w:r>
      <w:r>
        <w:rPr>
          <w:rFonts w:ascii="Times New Roman" w:hAnsi="Times New Roman" w:cs="Times New Roman" w:eastAsia="Times New Roman" w:hint="default"/>
        </w:rPr>
        <w:t>6 </w:t>
      </w:r>
      <w:r>
        <w:rPr/>
        <w:t>月至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26"/>
        </w:rPr>
        <w:t> </w:t>
      </w:r>
      <w:r>
        <w:rPr/>
        <w:t>月 </w:t>
      </w:r>
      <w:r>
        <w:rPr>
          <w:spacing w:val="-2"/>
        </w:rPr>
        <w:t>任冀凯集团财务部科员；</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月富世华金刚石财务部科员、科长；</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11</w:t>
      </w:r>
      <w:r>
        <w:rPr>
          <w:spacing w:val="-2"/>
        </w:rPr>
        <w:t>月任冀凯集团财务</w:t>
      </w:r>
      <w:r>
        <w:rPr>
          <w:spacing w:val="-48"/>
        </w:rPr>
        <w:t> </w:t>
      </w:r>
      <w:r>
        <w:rPr>
          <w:spacing w:val="-48"/>
        </w:rPr>
      </w:r>
      <w:r>
        <w:rPr>
          <w:spacing w:val="-2"/>
        </w:rPr>
        <w:t>部副经理；</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月任石家庄中煤装备制造股份有限公司财务负责人；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月进入先河环保工作。现任公</w:t>
      </w:r>
      <w:r>
        <w:rPr>
          <w:spacing w:val="-51"/>
        </w:rPr>
        <w:t> </w:t>
      </w:r>
      <w:r>
        <w:rPr>
          <w:spacing w:val="-51"/>
        </w:rPr>
      </w:r>
      <w:r>
        <w:rPr/>
        <w:t>司董事、财务总监。</w:t>
      </w:r>
    </w:p>
    <w:p>
      <w:pPr>
        <w:spacing w:after="0" w:line="30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2" w:lineRule="auto" w:before="44"/>
        <w:ind w:right="1044"/>
        <w:jc w:val="left"/>
      </w:pPr>
      <w:r>
        <w:rPr>
          <w:rFonts w:ascii="宋体" w:hAnsi="宋体" w:cs="宋体" w:eastAsia="宋体" w:hint="default"/>
          <w:b/>
          <w:bCs/>
          <w:spacing w:val="-2"/>
        </w:rPr>
        <w:t>赵立三：</w:t>
      </w:r>
      <w:r>
        <w:rPr>
          <w:spacing w:val="-2"/>
        </w:rPr>
        <w:t>男，中国国籍，</w:t>
      </w:r>
      <w:r>
        <w:rPr>
          <w:rFonts w:ascii="Times New Roman" w:hAnsi="Times New Roman" w:cs="Times New Roman" w:eastAsia="Times New Roman" w:hint="default"/>
          <w:spacing w:val="-2"/>
        </w:rPr>
        <w:t>1962</w:t>
      </w:r>
      <w:r>
        <w:rPr>
          <w:spacing w:val="-2"/>
        </w:rPr>
        <w:t>年出生，现任河北大学管理学院教授、博士生导师，中国注册会计师，河北大学会计学专业学</w:t>
      </w:r>
      <w:r>
        <w:rPr>
          <w:spacing w:val="-70"/>
        </w:rPr>
        <w:t> </w:t>
      </w:r>
      <w:r>
        <w:rPr>
          <w:spacing w:val="-70"/>
        </w:rPr>
      </w:r>
      <w:r>
        <w:rPr/>
        <w:t>科带头人，河北四通新型金属材料股份有限公司独立董事、公司独立董事。 </w:t>
      </w:r>
      <w:r>
        <w:rPr>
          <w:rFonts w:ascii="宋体" w:hAnsi="宋体" w:cs="宋体" w:eastAsia="宋体" w:hint="default"/>
          <w:b/>
          <w:bCs/>
          <w:spacing w:val="-3"/>
        </w:rPr>
        <w:t>赵明：</w:t>
      </w:r>
      <w:r>
        <w:rPr>
          <w:spacing w:val="-3"/>
        </w:rPr>
        <w:t>男，中国国籍，</w:t>
      </w:r>
      <w:r>
        <w:rPr>
          <w:rFonts w:ascii="Times New Roman" w:hAnsi="Times New Roman" w:cs="Times New Roman" w:eastAsia="Times New Roman" w:hint="default"/>
          <w:spacing w:val="-3"/>
        </w:rPr>
        <w:t>1975</w:t>
      </w:r>
      <w:r>
        <w:rPr>
          <w:spacing w:val="-3"/>
        </w:rPr>
        <w:t>年生，毕业于北京大学，经济学学士。中国社会科学院研究生学历，中级职称。</w:t>
      </w:r>
      <w:r>
        <w:rPr>
          <w:rFonts w:ascii="宋体" w:hAnsi="宋体" w:cs="宋体" w:eastAsia="宋体" w:hint="default"/>
          <w:spacing w:val="-3"/>
        </w:rPr>
        <w:t>2012</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-2017</w:t>
      </w:r>
      <w:r>
        <w:rPr>
          <w:rFonts w:ascii="宋体" w:hAnsi="宋体" w:cs="宋体" w:eastAsia="宋体" w:hint="default"/>
          <w:spacing w:val="-87"/>
        </w:rPr>
        <w:t> </w:t>
      </w:r>
      <w:r>
        <w:rPr>
          <w:rFonts w:ascii="宋体" w:hAnsi="宋体" w:cs="宋体" w:eastAsia="宋体" w:hint="default"/>
          <w:spacing w:val="-87"/>
        </w:rPr>
      </w:r>
      <w:r>
        <w:rPr/>
        <w:t>年</w:t>
      </w:r>
      <w:r>
        <w:rPr>
          <w:rFonts w:ascii="宋体" w:hAnsi="宋体" w:cs="宋体" w:eastAsia="宋体" w:hint="default"/>
        </w:rPr>
        <w:t>2</w:t>
      </w:r>
      <w:r>
        <w:rPr/>
        <w:t>月任</w:t>
      </w:r>
      <w:r>
        <w:rPr>
          <w:rFonts w:ascii="宋体" w:hAnsi="宋体" w:cs="宋体" w:eastAsia="宋体" w:hint="default"/>
        </w:rPr>
        <w:t>360</w:t>
      </w:r>
      <w:r>
        <w:rPr/>
        <w:t>公司助理总裁，</w:t>
      </w:r>
      <w:r>
        <w:rPr>
          <w:rFonts w:ascii="宋体" w:hAnsi="宋体" w:cs="宋体" w:eastAsia="宋体" w:hint="default"/>
        </w:rPr>
        <w:t>2017</w:t>
      </w:r>
      <w:r>
        <w:rPr/>
        <w:t>年</w:t>
      </w:r>
      <w:r>
        <w:rPr>
          <w:rFonts w:ascii="宋体" w:hAnsi="宋体" w:cs="宋体" w:eastAsia="宋体" w:hint="default"/>
        </w:rPr>
        <w:t>3</w:t>
      </w:r>
      <w:r>
        <w:rPr/>
        <w:t>月至</w:t>
      </w:r>
      <w:r>
        <w:rPr>
          <w:rFonts w:ascii="宋体" w:hAnsi="宋体" w:cs="宋体" w:eastAsia="宋体" w:hint="default"/>
        </w:rPr>
        <w:t>2020</w:t>
      </w:r>
      <w:r>
        <w:rPr/>
        <w:t>年</w:t>
      </w:r>
      <w:r>
        <w:rPr>
          <w:rFonts w:ascii="宋体" w:hAnsi="宋体" w:cs="宋体" w:eastAsia="宋体" w:hint="default"/>
        </w:rPr>
        <w:t>2</w:t>
      </w:r>
      <w:r>
        <w:rPr/>
        <w:t>月任深圳乐信控股有限公司副总裁，</w:t>
      </w:r>
      <w:r>
        <w:rPr>
          <w:rFonts w:ascii="宋体" w:hAnsi="宋体" w:cs="宋体" w:eastAsia="宋体" w:hint="default"/>
        </w:rPr>
        <w:t>2020</w:t>
      </w:r>
      <w:r>
        <w:rPr/>
        <w:t>年</w:t>
      </w:r>
      <w:r>
        <w:rPr>
          <w:rFonts w:ascii="宋体" w:hAnsi="宋体" w:cs="宋体" w:eastAsia="宋体" w:hint="default"/>
        </w:rPr>
        <w:t>2</w:t>
      </w:r>
      <w:r>
        <w:rPr/>
        <w:t>月起任深圳乐信控股有限公司 </w:t>
      </w:r>
      <w:r>
        <w:rPr>
          <w:spacing w:val="-4"/>
        </w:rPr>
        <w:t>首席营销官。中国商业经济学会常务理事、中国科技新闻学会理事、中国民营科技实业家协会金融科技行业分会执行秘书长、</w:t>
      </w:r>
      <w:r>
        <w:rPr>
          <w:spacing w:val="-44"/>
        </w:rPr>
        <w:t> </w:t>
      </w:r>
      <w:r>
        <w:rPr>
          <w:spacing w:val="-44"/>
        </w:rPr>
      </w:r>
      <w:r>
        <w:rPr/>
        <w:t>中国国际公共关系协会理事。公司独立董事。</w:t>
      </w:r>
    </w:p>
    <w:p>
      <w:pPr>
        <w:pStyle w:val="BodyText"/>
        <w:spacing w:line="300" w:lineRule="auto" w:before="63"/>
        <w:ind w:right="1129"/>
        <w:jc w:val="left"/>
      </w:pPr>
      <w:r>
        <w:rPr>
          <w:rFonts w:ascii="宋体" w:hAnsi="宋体" w:cs="宋体" w:eastAsia="宋体" w:hint="default"/>
          <w:b/>
          <w:bCs/>
          <w:spacing w:val="-2"/>
        </w:rPr>
        <w:t>陈爱珍：</w:t>
      </w:r>
      <w:r>
        <w:rPr>
          <w:spacing w:val="-2"/>
        </w:rPr>
        <w:t>女，中国国籍，</w:t>
      </w:r>
      <w:r>
        <w:rPr>
          <w:rFonts w:ascii="Times New Roman" w:hAnsi="Times New Roman" w:cs="Times New Roman" w:eastAsia="Times New Roman" w:hint="default"/>
          <w:spacing w:val="-2"/>
        </w:rPr>
        <w:t>1957</w:t>
      </w:r>
      <w:r>
        <w:rPr>
          <w:spacing w:val="-2"/>
        </w:rPr>
        <w:t>年生，研究生学历，律师。北京市众天律师事务所合伙人，东旭蓝天新能源股份有限公司、深</w:t>
      </w:r>
      <w:r>
        <w:rPr>
          <w:spacing w:val="-66"/>
        </w:rPr>
        <w:t> </w:t>
      </w:r>
      <w:r>
        <w:rPr>
          <w:spacing w:val="-66"/>
        </w:rPr>
      </w:r>
      <w:r>
        <w:rPr/>
        <w:t>圳汇洁集团股份有限公司、唐山三友化工股份有限公司独立董事；公司独立董事。</w:t>
      </w:r>
    </w:p>
    <w:p>
      <w:pPr>
        <w:pStyle w:val="BodyText"/>
        <w:spacing w:line="300" w:lineRule="auto" w:before="70"/>
        <w:ind w:right="1131"/>
        <w:jc w:val="left"/>
      </w:pPr>
      <w:r>
        <w:rPr>
          <w:rFonts w:ascii="宋体" w:hAnsi="宋体" w:cs="宋体" w:eastAsia="宋体" w:hint="default"/>
          <w:b/>
          <w:bCs/>
        </w:rPr>
        <w:t>高峰：</w:t>
      </w:r>
      <w:r>
        <w:rPr/>
        <w:t>男，中国国籍，</w:t>
      </w:r>
      <w:r>
        <w:rPr>
          <w:spacing w:val="-5"/>
        </w:rPr>
        <w:t> </w:t>
      </w:r>
      <w:r>
        <w:rPr>
          <w:rFonts w:ascii="Times New Roman" w:hAnsi="Times New Roman" w:cs="Times New Roman" w:eastAsia="Times New Roman" w:hint="default"/>
        </w:rPr>
        <w:t>1975</w:t>
      </w:r>
      <w:r>
        <w:rPr/>
        <w:t>年生，大专学历，</w:t>
      </w:r>
      <w:r>
        <w:rPr>
          <w:spacing w:val="-3"/>
        </w:rPr>
        <w:t> </w:t>
      </w:r>
      <w:r>
        <w:rPr>
          <w:rFonts w:ascii="Times New Roman" w:hAnsi="Times New Roman" w:cs="Times New Roman" w:eastAsia="Times New Roman" w:hint="default"/>
        </w:rPr>
        <w:t>2001</w:t>
      </w:r>
      <w:r>
        <w:rPr/>
        <w:t>年入职公司，先后负责库管、营销管理、计划经营工作；</w:t>
      </w:r>
      <w:r>
        <w:rPr>
          <w:spacing w:val="-1"/>
        </w:rPr>
        <w:t> </w:t>
      </w:r>
      <w:r>
        <w:rPr/>
        <w:t>现任河北先</w:t>
      </w:r>
      <w:r>
        <w:rPr>
          <w:spacing w:val="-88"/>
        </w:rPr>
        <w:t> </w:t>
      </w:r>
      <w:r>
        <w:rPr>
          <w:spacing w:val="-88"/>
        </w:rPr>
      </w:r>
      <w:r>
        <w:rPr/>
        <w:t>河正阳环保设备销售有限公司副总经理、河北先河正源环境治理有限公司副总经理、广东科迪隆科技有限公司董事长。</w:t>
      </w:r>
    </w:p>
    <w:p>
      <w:pPr>
        <w:pStyle w:val="BodyText"/>
        <w:spacing w:line="321" w:lineRule="auto" w:before="72"/>
        <w:ind w:right="1133"/>
        <w:jc w:val="left"/>
      </w:pPr>
      <w:r>
        <w:rPr>
          <w:rFonts w:ascii="宋体" w:hAnsi="宋体" w:cs="宋体" w:eastAsia="宋体" w:hint="default"/>
          <w:b/>
          <w:bCs/>
        </w:rPr>
        <w:t>王意勤：</w:t>
      </w:r>
      <w:r>
        <w:rPr/>
        <w:t>女，中国国籍，</w:t>
      </w:r>
      <w:r>
        <w:rPr>
          <w:rFonts w:ascii="Times New Roman" w:hAnsi="Times New Roman" w:cs="Times New Roman" w:eastAsia="Times New Roman" w:hint="default"/>
        </w:rPr>
        <w:t>1979</w:t>
      </w:r>
      <w:r>
        <w:rPr/>
        <w:t>年生，大专学历，</w:t>
      </w:r>
      <w:r>
        <w:rPr>
          <w:rFonts w:ascii="Times New Roman" w:hAnsi="Times New Roman" w:cs="Times New Roman" w:eastAsia="Times New Roman" w:hint="default"/>
        </w:rPr>
        <w:t>2009</w:t>
      </w:r>
      <w:r>
        <w:rPr/>
        <w:t>年入职公司，先后负责生产计划、采购工作；现负责计划经营工作。 </w:t>
      </w:r>
      <w:r>
        <w:rPr>
          <w:rFonts w:ascii="宋体" w:hAnsi="宋体" w:cs="宋体" w:eastAsia="宋体" w:hint="default"/>
          <w:b/>
          <w:bCs/>
        </w:rPr>
        <w:t>王强：</w:t>
      </w:r>
      <w:r>
        <w:rPr/>
        <w:t>男，中国国籍，</w:t>
      </w:r>
      <w:r>
        <w:rPr>
          <w:rFonts w:ascii="Times New Roman" w:hAnsi="Times New Roman" w:cs="Times New Roman" w:eastAsia="Times New Roman" w:hint="default"/>
        </w:rPr>
        <w:t>1978</w:t>
      </w:r>
      <w:r>
        <w:rPr/>
        <w:t>年生，大学学历，</w:t>
      </w:r>
      <w:r>
        <w:rPr>
          <w:rFonts w:ascii="Times New Roman" w:hAnsi="Times New Roman" w:cs="Times New Roman" w:eastAsia="Times New Roman" w:hint="default"/>
        </w:rPr>
        <w:t>2001</w:t>
      </w:r>
      <w:r>
        <w:rPr/>
        <w:t>年入职公司，先后在技术服务、生产中心、技术与开发中心工作；</w:t>
      </w:r>
      <w:r>
        <w:rPr>
          <w:rFonts w:ascii="Times New Roman" w:hAnsi="Times New Roman" w:cs="Times New Roman" w:eastAsia="Times New Roman" w:hint="default"/>
        </w:rPr>
        <w:t>2009</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年至</w:t>
      </w:r>
      <w:r>
        <w:rPr>
          <w:rFonts w:ascii="Times New Roman" w:hAnsi="Times New Roman" w:cs="Times New Roman" w:eastAsia="Times New Roman" w:hint="default"/>
        </w:rPr>
        <w:t>2013</w:t>
      </w:r>
      <w:r>
        <w:rPr/>
        <w:t>年担任大气产品经理，现任产品开发中心主任。</w:t>
      </w:r>
    </w:p>
    <w:p>
      <w:pPr>
        <w:spacing w:line="302" w:lineRule="auto" w:before="13"/>
        <w:ind w:left="152" w:right="7351" w:firstLine="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、高级管理人员</w:t>
      </w:r>
      <w:r>
        <w:rPr>
          <w:rFonts w:ascii="宋体" w:hAnsi="宋体" w:cs="宋体" w:eastAsia="宋体" w:hint="default"/>
          <w:b/>
          <w:bCs/>
          <w:spacing w:val="-103"/>
          <w:sz w:val="21"/>
          <w:szCs w:val="21"/>
        </w:rPr>
        <w:t> </w:t>
      </w:r>
      <w:r>
        <w:rPr>
          <w:rFonts w:ascii="宋体" w:hAnsi="宋体" w:cs="宋体" w:eastAsia="宋体" w:hint="default"/>
          <w:b/>
          <w:bCs/>
          <w:sz w:val="18"/>
          <w:szCs w:val="18"/>
        </w:rPr>
        <w:t>陈荣强：</w:t>
      </w:r>
      <w:r>
        <w:rPr>
          <w:rFonts w:ascii="宋体" w:hAnsi="宋体" w:cs="宋体" w:eastAsia="宋体" w:hint="default"/>
          <w:sz w:val="18"/>
          <w:szCs w:val="18"/>
        </w:rPr>
        <w:t>总经理，简历详见本节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b/>
          <w:bCs/>
          <w:sz w:val="18"/>
          <w:szCs w:val="18"/>
        </w:rPr>
        <w:t>范朝：</w:t>
      </w:r>
      <w:r>
        <w:rPr>
          <w:rFonts w:ascii="宋体" w:hAnsi="宋体" w:cs="宋体" w:eastAsia="宋体" w:hint="default"/>
          <w:sz w:val="18"/>
          <w:szCs w:val="18"/>
        </w:rPr>
        <w:t>副总经理，简历详见本节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b/>
          <w:bCs/>
          <w:sz w:val="18"/>
          <w:szCs w:val="18"/>
        </w:rPr>
        <w:t>李国壁：</w:t>
      </w:r>
      <w:r>
        <w:rPr>
          <w:rFonts w:ascii="宋体" w:hAnsi="宋体" w:cs="宋体" w:eastAsia="宋体" w:hint="default"/>
          <w:sz w:val="18"/>
          <w:szCs w:val="18"/>
        </w:rPr>
        <w:t>财务总监，简历详见本节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BodyText"/>
        <w:spacing w:line="300" w:lineRule="auto" w:before="52"/>
        <w:ind w:right="1129"/>
        <w:jc w:val="left"/>
      </w:pPr>
      <w:r>
        <w:rPr>
          <w:rFonts w:ascii="宋体" w:hAnsi="宋体" w:cs="宋体" w:eastAsia="宋体" w:hint="default"/>
          <w:b/>
          <w:bCs/>
          <w:spacing w:val="-2"/>
        </w:rPr>
        <w:t>王少军：</w:t>
      </w:r>
      <w:r>
        <w:rPr>
          <w:spacing w:val="-2"/>
        </w:rPr>
        <w:t>董事会秘书，男，中国国籍，</w:t>
      </w:r>
      <w:r>
        <w:rPr>
          <w:rFonts w:ascii="Times New Roman" w:hAnsi="Times New Roman" w:cs="Times New Roman" w:eastAsia="Times New Roman" w:hint="default"/>
          <w:spacing w:val="-2"/>
        </w:rPr>
        <w:t>1979</w:t>
      </w:r>
      <w:r>
        <w:rPr>
          <w:spacing w:val="-2"/>
        </w:rPr>
        <w:t>年出生，管理学硕士。近五年一直任职于公司，主要负责公司证券及投资、企管</w:t>
      </w:r>
      <w:r>
        <w:rPr>
          <w:spacing w:val="-70"/>
        </w:rPr>
        <w:t> </w:t>
      </w:r>
      <w:r>
        <w:rPr>
          <w:spacing w:val="-70"/>
        </w:rPr>
      </w:r>
      <w:r>
        <w:rPr/>
        <w:t>工作。</w:t>
      </w:r>
    </w:p>
    <w:p>
      <w:pPr>
        <w:pStyle w:val="BodyText"/>
        <w:spacing w:line="240" w:lineRule="auto" w:before="70"/>
        <w:ind w:right="1133"/>
        <w:jc w:val="left"/>
      </w:pPr>
      <w:r>
        <w:rPr/>
        <w:t>在股东单位任职情况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9"/>
        <w:gridCol w:w="3190"/>
        <w:gridCol w:w="1066"/>
        <w:gridCol w:w="1195"/>
        <w:gridCol w:w="1330"/>
        <w:gridCol w:w="1589"/>
      </w:tblGrid>
      <w:tr>
        <w:trPr>
          <w:trHeight w:val="713"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3" w:hRule="exact"/>
        </w:trPr>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红塔创新投资股份有限公司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高级经理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1133"/>
        <w:jc w:val="left"/>
      </w:pPr>
      <w:r>
        <w:rPr/>
        <w:t>在其他单位任职情况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478"/>
        <w:gridCol w:w="1702"/>
        <w:gridCol w:w="991"/>
        <w:gridCol w:w="853"/>
        <w:gridCol w:w="1346"/>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56" w:right="34" w:hanging="721"/>
              <w:jc w:val="left"/>
              <w:rPr>
                <w:rFonts w:ascii="宋体" w:hAnsi="宋体" w:cs="宋体" w:eastAsia="宋体" w:hint="default"/>
                <w:sz w:val="18"/>
                <w:szCs w:val="18"/>
              </w:rPr>
            </w:pPr>
            <w:r>
              <w:rPr>
                <w:rFonts w:ascii="宋体" w:hAnsi="宋体" w:cs="宋体" w:eastAsia="宋体" w:hint="default"/>
                <w:sz w:val="18"/>
                <w:szCs w:val="18"/>
              </w:rPr>
              <w:t>在其他单位担任的职 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0" w:right="3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9" w:right="6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6"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赵立三</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河北四通新型金属材料股份有限公司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赵立三</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河北大学管理学院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教授、博士生导师</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赵明</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深圳乐信控股有限公司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首席营销官</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赵明</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中国商业经济学会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赵明</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中国科技新闻学会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赵明</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中国民营科技实业家协会金融科技行业分会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执行秘书长</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赵明</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中国国际公共关系协会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北京市众天律师事务所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东旭蓝天新能源股份有限公司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深圳汇洁集团股份有限公司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203"/>
        <w:gridCol w:w="3478"/>
        <w:gridCol w:w="1702"/>
        <w:gridCol w:w="991"/>
        <w:gridCol w:w="853"/>
        <w:gridCol w:w="1346"/>
      </w:tblGrid>
      <w:tr>
        <w:trPr>
          <w:trHeight w:val="404"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唐山三友化工股份有限公司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1133"/>
        <w:jc w:val="left"/>
      </w:pPr>
      <w:r>
        <w:rPr/>
        <w:t>公司现任及报告期内离任董事、监事和高级管理人员近三年证券监管机构处罚的情况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四、董事、监事、高级管理人员报酬情况" w:id="126"/>
      <w:bookmarkEnd w:id="126"/>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3" w:right="1033" w:hanging="361"/>
        <w:jc w:val="left"/>
      </w:pPr>
      <w:r>
        <w:rPr/>
        <w:t>董事、监事、高级管理人员报酬的决策程序、确定依据、实际支付情况 董事、监事、高级管理人员报酬的决策程序：公司董事、监事报酬由股东大会决定，高级管理人员报酬由董事会决定。 董事、监事、高级管理人员报酬确定依据：</w:t>
      </w:r>
    </w:p>
    <w:p>
      <w:pPr>
        <w:pStyle w:val="BodyText"/>
        <w:spacing w:line="240" w:lineRule="auto" w:before="2"/>
        <w:ind w:left="513" w:right="1133"/>
        <w:jc w:val="left"/>
      </w:pPr>
      <w:r>
        <w:rPr/>
        <w:t>（</w:t>
      </w:r>
      <w:r>
        <w:rPr>
          <w:rFonts w:ascii="Times New Roman" w:hAnsi="Times New Roman" w:cs="Times New Roman" w:eastAsia="Times New Roman" w:hint="default"/>
        </w:rPr>
        <w:t>1</w:t>
      </w:r>
      <w:r>
        <w:rPr/>
        <w:t>）内部董事、监事根据其在公司所担任的具体职务、按照公司整体薪酬及考核制度确定报酬。</w:t>
      </w:r>
    </w:p>
    <w:p>
      <w:pPr>
        <w:pStyle w:val="BodyText"/>
        <w:spacing w:line="300" w:lineRule="auto" w:before="63"/>
        <w:ind w:right="1124" w:firstLine="360"/>
        <w:jc w:val="left"/>
      </w:pPr>
      <w:r>
        <w:rPr/>
        <w:t>（</w:t>
      </w:r>
      <w:r>
        <w:rPr>
          <w:rFonts w:ascii="Times New Roman" w:hAnsi="Times New Roman" w:cs="Times New Roman" w:eastAsia="Times New Roman" w:hint="default"/>
        </w:rPr>
        <w:t>2</w:t>
      </w:r>
      <w:r>
        <w:rPr/>
        <w:t>）在股东单位任职并领取薪酬的外部董事不在公司领取薪酬；未在股东单位任职并领取薪酬的外部董事薪酬参照独 立董事薪酬标准执行。</w:t>
      </w:r>
    </w:p>
    <w:p>
      <w:pPr>
        <w:pStyle w:val="BodyText"/>
        <w:spacing w:line="240" w:lineRule="auto" w:before="32"/>
        <w:ind w:left="513" w:right="1133"/>
        <w:jc w:val="left"/>
      </w:pPr>
      <w:r>
        <w:rPr/>
        <w:t>（</w:t>
      </w:r>
      <w:r>
        <w:rPr>
          <w:rFonts w:ascii="Times New Roman" w:hAnsi="Times New Roman" w:cs="Times New Roman" w:eastAsia="Times New Roman" w:hint="default"/>
        </w:rPr>
        <w:t>3</w:t>
      </w:r>
      <w:r>
        <w:rPr/>
        <w:t>）在公司只担任高管职务的，按公司整体薪酬及考核制度领取薪酬。</w:t>
      </w:r>
    </w:p>
    <w:p>
      <w:pPr>
        <w:pStyle w:val="BodyText"/>
        <w:spacing w:line="309" w:lineRule="auto" w:before="63"/>
        <w:ind w:right="1131" w:firstLine="360"/>
        <w:jc w:val="both"/>
      </w:pPr>
      <w:r>
        <w:rPr/>
        <w:t>（</w:t>
      </w:r>
      <w:r>
        <w:rPr>
          <w:rFonts w:ascii="Times New Roman" w:hAnsi="Times New Roman" w:cs="Times New Roman" w:eastAsia="Times New Roman" w:hint="default"/>
        </w:rPr>
        <w:t>4</w:t>
      </w:r>
      <w:r>
        <w:rPr/>
        <w:t>）公司内部董事、监事、高级管理人员薪酬分为基本薪酬和绩效协议薪酬，基本薪酬按月发放，绩效协议薪酬在会 </w:t>
      </w:r>
      <w:r>
        <w:rPr>
          <w:spacing w:val="-2"/>
        </w:rPr>
        <w:t>计年度结束后，结合每人的绩效考核、履职情况和公司当年生产经营情况综合确定，一次性发放；未在股东单位任职并领取</w:t>
      </w:r>
      <w:r>
        <w:rPr>
          <w:spacing w:val="-65"/>
        </w:rPr>
        <w:t> </w:t>
      </w:r>
      <w:r>
        <w:rPr>
          <w:spacing w:val="-65"/>
        </w:rPr>
      </w:r>
      <w:r>
        <w:rPr/>
        <w:t>薪酬的外部董事、独立董事津贴按年度发放。上述薪酬涉及的个人所得税由公司统一代扣代缴。</w:t>
      </w:r>
    </w:p>
    <w:p>
      <w:pPr>
        <w:pStyle w:val="BodyText"/>
        <w:spacing w:line="360" w:lineRule="auto" w:before="24"/>
        <w:ind w:right="1754" w:firstLine="360"/>
        <w:jc w:val="left"/>
      </w:pPr>
      <w:r>
        <w:rPr/>
        <w:t>董事、监事和高级管理人员报酬的实际支付情况：报告期内，公司已向董事、监事及管理人员全额支付薪酬。 公司报告期内董事、监事和高级管理人员报酬情况</w:t>
      </w:r>
    </w:p>
    <w:p>
      <w:pPr>
        <w:pStyle w:val="BodyText"/>
        <w:spacing w:line="240" w:lineRule="auto" w:before="27"/>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李国壁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闫成德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赵立三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王意勤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王少军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304.33</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公司董事、高级管理人员报告期内被授予的股权激励情况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五、公司员工情况" w:id="127"/>
      <w:bookmarkEnd w:id="127"/>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员工数量、专业构成及教育程度" w:id="128"/>
      <w:bookmarkEnd w:id="128"/>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1,356</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547</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1,903</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1,903</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9"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1,376</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1,903</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945</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1,903</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2、薪酬政策" w:id="129"/>
      <w:bookmarkEnd w:id="129"/>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薪酬制定原则：</w:t>
      </w:r>
    </w:p>
    <w:p>
      <w:pPr>
        <w:pStyle w:val="BodyText"/>
        <w:spacing w:line="240" w:lineRule="auto" w:before="76"/>
        <w:ind w:left="585" w:right="1133"/>
        <w:jc w:val="left"/>
      </w:pPr>
      <w:r>
        <w:rPr/>
        <w:t>（</w:t>
      </w:r>
      <w:r>
        <w:rPr>
          <w:rFonts w:ascii="Times New Roman" w:hAnsi="Times New Roman" w:cs="Times New Roman" w:eastAsia="Times New Roman" w:hint="default"/>
        </w:rPr>
        <w:t>1</w:t>
      </w:r>
      <w:r>
        <w:rPr/>
        <w:t>）效率优先，兼顾公平的原则；</w:t>
      </w:r>
    </w:p>
    <w:p>
      <w:pPr>
        <w:pStyle w:val="BodyText"/>
        <w:spacing w:line="240" w:lineRule="auto" w:before="63"/>
        <w:ind w:left="585" w:right="1133"/>
        <w:jc w:val="left"/>
      </w:pPr>
      <w:r>
        <w:rPr/>
        <w:t>（</w:t>
      </w:r>
      <w:r>
        <w:rPr>
          <w:rFonts w:ascii="Times New Roman" w:hAnsi="Times New Roman" w:cs="Times New Roman" w:eastAsia="Times New Roman" w:hint="default"/>
        </w:rPr>
        <w:t>2</w:t>
      </w:r>
      <w:r>
        <w:rPr/>
        <w:t>））团队绩效及个人绩效与薪酬分配紧密结合的原则；</w:t>
      </w:r>
    </w:p>
    <w:p>
      <w:pPr>
        <w:pStyle w:val="BodyText"/>
        <w:spacing w:line="240" w:lineRule="auto" w:before="63"/>
        <w:ind w:left="585" w:right="1133"/>
        <w:jc w:val="left"/>
      </w:pPr>
      <w:r>
        <w:rPr/>
        <w:t>（</w:t>
      </w:r>
      <w:r>
        <w:rPr>
          <w:rFonts w:ascii="Times New Roman" w:hAnsi="Times New Roman" w:cs="Times New Roman" w:eastAsia="Times New Roman" w:hint="default"/>
        </w:rPr>
        <w:t>3</w:t>
      </w:r>
      <w:r>
        <w:rPr/>
        <w:t>）员工工资增长与公司经营发展和效益提高相适应的原则；</w:t>
      </w:r>
    </w:p>
    <w:p>
      <w:pPr>
        <w:pStyle w:val="BodyText"/>
        <w:spacing w:line="240" w:lineRule="auto" w:before="63"/>
        <w:ind w:left="585" w:right="1133"/>
        <w:jc w:val="left"/>
      </w:pPr>
      <w:r>
        <w:rPr/>
        <w:t>（</w:t>
      </w:r>
      <w:r>
        <w:rPr>
          <w:rFonts w:ascii="Times New Roman" w:hAnsi="Times New Roman" w:cs="Times New Roman" w:eastAsia="Times New Roman" w:hint="default"/>
        </w:rPr>
        <w:t>4</w:t>
      </w:r>
      <w:r>
        <w:rPr/>
        <w:t>）保持外部竞争力的原则。</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3、培训计划" w:id="130"/>
      <w:bookmarkEnd w:id="130"/>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0" w:firstLine="360"/>
        <w:jc w:val="both"/>
      </w:pPr>
      <w:r>
        <w:rPr>
          <w:spacing w:val="-2"/>
        </w:rPr>
        <w:t>公司致力于加强人才队伍建设，加大培训投入，提高员工素质。通过不断完善培训管理制度，建立了多种培训渠道，公</w:t>
      </w:r>
      <w:r>
        <w:rPr/>
        <w:t> </w:t>
      </w:r>
      <w:r>
        <w:rPr>
          <w:spacing w:val="-2"/>
        </w:rPr>
        <w:t>司不定期举办培训活动，请公司内训讲师、外部讲师讲授课程，拓展了员工职业发展渠道，满足员工个人能力和职业发展的</w:t>
      </w:r>
      <w:r>
        <w:rPr>
          <w:spacing w:val="-64"/>
        </w:rPr>
        <w:t> </w:t>
      </w:r>
      <w:r>
        <w:rPr>
          <w:spacing w:val="-64"/>
        </w:rPr>
      </w:r>
      <w:r>
        <w:rPr/>
        <w:t>需求，实现企业和员工的双赢。</w:t>
      </w:r>
    </w:p>
    <w:p>
      <w:pPr>
        <w:spacing w:after="0" w:line="316"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4、劳务外包情况" w:id="131"/>
      <w:bookmarkEnd w:id="131"/>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111"/>
        <w:jc w:val="center"/>
        <w:rPr>
          <w:b w:val="0"/>
          <w:bCs w:val="0"/>
        </w:rPr>
      </w:pPr>
      <w:bookmarkStart w:name="第十节公司治理" w:id="132"/>
      <w:bookmarkEnd w:id="132"/>
      <w:r>
        <w:rPr>
          <w:b w:val="0"/>
          <w:bCs w:val="0"/>
        </w:rPr>
      </w:r>
      <w:bookmarkStart w:name="_bookmark9" w:id="133"/>
      <w:bookmarkEnd w:id="133"/>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bookmarkStart w:name="一、公司治理的基本状况" w:id="134"/>
      <w:bookmarkEnd w:id="134"/>
      <w:r>
        <w:rPr>
          <w:b w:val="0"/>
          <w:bCs w:val="0"/>
        </w:rPr>
      </w: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2"/>
        </w:rPr>
        <w:t>报告期内，公司严格按照《公司法》、《证券法》、中国证监会《上市公司治理准则》、《深圳证券交易所创业板股票</w:t>
      </w:r>
      <w:r>
        <w:rPr/>
        <w:t> 上市规则》、《深圳证券交易所创业板上市公司规范运作指引》等有关法律法规、规范性文件的要求，</w:t>
      </w:r>
      <w:r>
        <w:rPr>
          <w:spacing w:val="-16"/>
        </w:rPr>
        <w:t> </w:t>
      </w:r>
      <w:r>
        <w:rPr/>
        <w:t>不断完善由股东大</w:t>
      </w:r>
      <w:r>
        <w:rPr/>
        <w:t> </w:t>
      </w:r>
      <w:r>
        <w:rPr>
          <w:spacing w:val="-2"/>
        </w:rPr>
        <w:t>会、董事会、监事会和经营管理层组成的公司治理结构，加强公司内部管理和控制制度，促进了公司规范运作，进一步提高</w:t>
      </w:r>
      <w:r>
        <w:rPr>
          <w:spacing w:val="-67"/>
        </w:rPr>
        <w:t> </w:t>
      </w:r>
      <w:r>
        <w:rPr>
          <w:spacing w:val="-67"/>
        </w:rPr>
      </w:r>
      <w:r>
        <w:rPr>
          <w:spacing w:val="-2"/>
        </w:rPr>
        <w:t>了公司治理水平。截至本报告期末，公司治理的实际状况基本符合中国证监会《上市公司治理准则》和《深圳证券交易所创</w:t>
      </w:r>
      <w:r>
        <w:rPr>
          <w:spacing w:val="-67"/>
        </w:rPr>
        <w:t> </w:t>
      </w:r>
      <w:r>
        <w:rPr>
          <w:spacing w:val="-67"/>
        </w:rPr>
      </w:r>
      <w:r>
        <w:rPr/>
        <w:t>业板上市公司规范运作指引》的要求。</w:t>
      </w:r>
    </w:p>
    <w:p>
      <w:pPr>
        <w:pStyle w:val="BodyText"/>
        <w:spacing w:line="300" w:lineRule="auto" w:before="19"/>
        <w:ind w:left="441" w:right="1133" w:firstLine="72"/>
        <w:jc w:val="left"/>
      </w:pPr>
      <w:r>
        <w:rPr>
          <w:rFonts w:ascii="Times New Roman" w:hAnsi="Times New Roman" w:cs="Times New Roman" w:eastAsia="Times New Roman" w:hint="default"/>
        </w:rPr>
        <w:t>1</w:t>
      </w:r>
      <w:r>
        <w:rPr/>
        <w:t>、关于股东与股东大会 </w:t>
      </w:r>
      <w:r>
        <w:rPr>
          <w:spacing w:val="-1"/>
        </w:rPr>
        <w:t>公司股东大会均严格按照《上市公司股东大会规则》《公司章程》《股东大会议事规则》等规定召集、召开，并尽可能</w:t>
      </w:r>
    </w:p>
    <w:p>
      <w:pPr>
        <w:pStyle w:val="BodyText"/>
        <w:spacing w:line="316" w:lineRule="auto" w:before="31"/>
        <w:ind w:right="1130"/>
        <w:jc w:val="both"/>
      </w:pPr>
      <w:r>
        <w:rPr>
          <w:spacing w:val="-2"/>
        </w:rPr>
        <w:t>为股东参加股东大会创造便利条件，对每一项需要审议的事项均设定充裕的时间给股东表达意见，确保所有股东，特别是公</w:t>
      </w:r>
      <w:r>
        <w:rPr>
          <w:spacing w:val="-66"/>
        </w:rPr>
        <w:t> </w:t>
      </w:r>
      <w:r>
        <w:rPr>
          <w:spacing w:val="-66"/>
        </w:rPr>
      </w:r>
      <w:r>
        <w:rPr>
          <w:spacing w:val="-2"/>
        </w:rPr>
        <w:t>众股东的平等地位，充分行使自己的权利。同时，公司聘请律师见证股东大会，确保会议召集召开以及表决程序符合相关法</w:t>
      </w:r>
      <w:r>
        <w:rPr>
          <w:spacing w:val="-63"/>
        </w:rPr>
        <w:t> </w:t>
      </w:r>
      <w:r>
        <w:rPr>
          <w:spacing w:val="-63"/>
        </w:rPr>
      </w:r>
      <w:r>
        <w:rPr/>
        <w:t>律规定，维护股东的合法权益。</w:t>
      </w:r>
    </w:p>
    <w:p>
      <w:pPr>
        <w:pStyle w:val="BodyText"/>
        <w:spacing w:line="300" w:lineRule="auto" w:before="19"/>
        <w:ind w:left="441" w:right="1133" w:firstLine="72"/>
        <w:jc w:val="left"/>
      </w:pPr>
      <w:r>
        <w:rPr>
          <w:rFonts w:ascii="Times New Roman" w:hAnsi="Times New Roman" w:cs="Times New Roman" w:eastAsia="Times New Roman" w:hint="default"/>
        </w:rPr>
        <w:t>2</w:t>
      </w:r>
      <w:r>
        <w:rPr/>
        <w:t>、关于公司与控股股东、实际控制人 </w:t>
      </w:r>
      <w:r>
        <w:rPr>
          <w:spacing w:val="-1"/>
        </w:rPr>
        <w:t>报告期内，控股股东及实际控制人严格规范自己的行为，没有超越股东大会直接或间接干预公司的决策和经营活动。公</w:t>
      </w:r>
    </w:p>
    <w:p>
      <w:pPr>
        <w:pStyle w:val="BodyText"/>
        <w:spacing w:line="316" w:lineRule="auto" w:before="31"/>
        <w:ind w:right="1136"/>
        <w:jc w:val="both"/>
      </w:pPr>
      <w:r>
        <w:rPr>
          <w:spacing w:val="-2"/>
        </w:rPr>
        <w:t>司在业务、人员、资产、机构、财务上独立于控股股东，公司董事会、监事会和内部机构独立运作。公司不存在为控股股东</w:t>
      </w:r>
      <w:r>
        <w:rPr>
          <w:spacing w:val="-73"/>
        </w:rPr>
        <w:t> </w:t>
      </w:r>
      <w:r>
        <w:rPr>
          <w:spacing w:val="-73"/>
        </w:rPr>
      </w:r>
      <w:r>
        <w:rPr/>
        <w:t>及其关联企业提供担保的情形，亦不存在控股股东非经营性占用公司资金的行为。</w:t>
      </w:r>
    </w:p>
    <w:p>
      <w:pPr>
        <w:pStyle w:val="BodyText"/>
        <w:spacing w:line="300" w:lineRule="auto" w:before="19"/>
        <w:ind w:left="513" w:right="1033"/>
        <w:jc w:val="left"/>
      </w:pPr>
      <w:r>
        <w:rPr>
          <w:rFonts w:ascii="Times New Roman" w:hAnsi="Times New Roman" w:cs="Times New Roman" w:eastAsia="Times New Roman" w:hint="default"/>
        </w:rPr>
        <w:t>3</w:t>
      </w:r>
      <w:r>
        <w:rPr/>
        <w:t>、关于董事和董事会 公司董事会成员任免均严格履行董事会、股东大会批准程序，不存在与相关法律、法规，《公司章程》相抵触的情形。</w:t>
      </w:r>
    </w:p>
    <w:p>
      <w:pPr>
        <w:pStyle w:val="BodyText"/>
        <w:spacing w:line="319" w:lineRule="auto" w:before="31"/>
        <w:ind w:right="1132"/>
        <w:jc w:val="both"/>
      </w:pPr>
      <w:r>
        <w:rPr>
          <w:spacing w:val="-2"/>
        </w:rPr>
        <w:t>各位董事能够依据《董事会议事规则》、《独立董事工作制度》、《深圳证券交易所创业板上市公司规范运作指引》等开展</w:t>
      </w:r>
      <w:r>
        <w:rPr>
          <w:spacing w:val="-68"/>
        </w:rPr>
        <w:t> </w:t>
      </w:r>
      <w:r>
        <w:rPr>
          <w:spacing w:val="-68"/>
        </w:rPr>
      </w:r>
      <w:r>
        <w:rPr>
          <w:spacing w:val="-2"/>
        </w:rPr>
        <w:t>工作，出席董事会、董事会专门委员会和股东大会，勤勉尽责地履行职责和义务，同时积极学习熟悉相关法律法规，提高履</w:t>
      </w:r>
      <w:r>
        <w:rPr>
          <w:spacing w:val="-67"/>
        </w:rPr>
        <w:t> </w:t>
      </w:r>
      <w:r>
        <w:rPr>
          <w:spacing w:val="-67"/>
        </w:rPr>
      </w:r>
      <w:r>
        <w:rPr/>
        <w:t>职能力。</w:t>
      </w:r>
    </w:p>
    <w:p>
      <w:pPr>
        <w:pStyle w:val="BodyText"/>
        <w:spacing w:line="316" w:lineRule="auto" w:before="17"/>
        <w:ind w:right="1132" w:firstLine="360"/>
        <w:jc w:val="both"/>
      </w:pPr>
      <w:r>
        <w:rPr>
          <w:spacing w:val="-2"/>
        </w:rPr>
        <w:t>公司董事会会议的召集、召开等程序均符合相关规定的要求；董事会会议记录内容真实、准确、完整，保存安全；会议</w:t>
      </w:r>
      <w:r>
        <w:rPr/>
        <w:t> </w:t>
      </w:r>
      <w:r>
        <w:rPr>
          <w:spacing w:val="-2"/>
        </w:rPr>
        <w:t>决议做到充分准确且及时披露。公司按照《深圳证券交易所创业板上市公司规范运作指引》的要求，下设有战略委员会、薪</w:t>
      </w:r>
      <w:r>
        <w:rPr>
          <w:spacing w:val="-67"/>
        </w:rPr>
        <w:t> </w:t>
      </w:r>
      <w:r>
        <w:rPr>
          <w:spacing w:val="-67"/>
        </w:rPr>
      </w:r>
      <w:r>
        <w:rPr>
          <w:spacing w:val="-2"/>
        </w:rPr>
        <w:t>酬与考核委员会、审计委员会和提名委员会四个专门委员会。各委员会依据《公司章程》和各委员会议事规则的规定履行职</w:t>
      </w:r>
      <w:r>
        <w:rPr>
          <w:spacing w:val="-65"/>
        </w:rPr>
        <w:t> </w:t>
      </w:r>
      <w:r>
        <w:rPr>
          <w:spacing w:val="-65"/>
        </w:rPr>
      </w:r>
      <w:r>
        <w:rPr/>
        <w:t>权，不受公司任何其他部门和个人的干预。</w:t>
      </w:r>
    </w:p>
    <w:p>
      <w:pPr>
        <w:pStyle w:val="BodyText"/>
        <w:spacing w:line="300" w:lineRule="auto" w:before="19"/>
        <w:ind w:left="585" w:right="1141" w:hanging="72"/>
        <w:jc w:val="left"/>
      </w:pPr>
      <w:r>
        <w:rPr>
          <w:rFonts w:ascii="Times New Roman" w:hAnsi="Times New Roman" w:cs="Times New Roman" w:eastAsia="Times New Roman" w:hint="default"/>
        </w:rPr>
        <w:t>4</w:t>
      </w:r>
      <w:r>
        <w:rPr/>
        <w:t>、关于监事和监事会 公司监事会设监事</w:t>
      </w:r>
      <w:r>
        <w:rPr>
          <w:rFonts w:ascii="Times New Roman" w:hAnsi="Times New Roman" w:cs="Times New Roman" w:eastAsia="Times New Roman" w:hint="default"/>
        </w:rPr>
        <w:t>3</w:t>
      </w:r>
      <w:r>
        <w:rPr/>
        <w:t>名，其中职工代表监事</w:t>
      </w:r>
      <w:r>
        <w:rPr>
          <w:rFonts w:ascii="Times New Roman" w:hAnsi="Times New Roman" w:cs="Times New Roman" w:eastAsia="Times New Roman" w:hint="default"/>
        </w:rPr>
        <w:t>1</w:t>
      </w:r>
      <w:r>
        <w:rPr/>
        <w:t>名，其任职资格符合相关法律、法规及《公司章程》的相关要求。各位监</w:t>
      </w:r>
    </w:p>
    <w:p>
      <w:pPr>
        <w:pStyle w:val="BodyText"/>
        <w:spacing w:line="316" w:lineRule="auto" w:before="13"/>
        <w:ind w:right="1133"/>
        <w:jc w:val="both"/>
      </w:pPr>
      <w:r>
        <w:rPr>
          <w:spacing w:val="-2"/>
        </w:rPr>
        <w:t>事能够按照《监事会议事规则》的要求，认真履行自身的职责。公司监事会本着对公司和全体股东负责的精神，依法、独立</w:t>
      </w:r>
      <w:r>
        <w:rPr>
          <w:spacing w:val="-68"/>
        </w:rPr>
        <w:t> </w:t>
      </w:r>
      <w:r>
        <w:rPr>
          <w:spacing w:val="-68"/>
        </w:rPr>
      </w:r>
      <w:r>
        <w:rPr>
          <w:spacing w:val="-2"/>
        </w:rPr>
        <w:t>地对公司财务状况、重大交易、公司董事、总经理和其他高级管理人员履行职责的合法性、合规性进行监督，维护公司和股</w:t>
      </w:r>
      <w:r>
        <w:rPr>
          <w:spacing w:val="-67"/>
        </w:rPr>
        <w:t> </w:t>
      </w:r>
      <w:r>
        <w:rPr>
          <w:spacing w:val="-67"/>
        </w:rPr>
      </w:r>
      <w:r>
        <w:rPr/>
        <w:t>东的合法权益。</w:t>
      </w:r>
    </w:p>
    <w:p>
      <w:pPr>
        <w:pStyle w:val="BodyText"/>
        <w:spacing w:line="300" w:lineRule="auto" w:before="19"/>
        <w:ind w:left="513" w:right="1129"/>
        <w:jc w:val="left"/>
      </w:pPr>
      <w:r>
        <w:rPr>
          <w:rFonts w:ascii="Times New Roman" w:hAnsi="Times New Roman" w:cs="Times New Roman" w:eastAsia="Times New Roman" w:hint="default"/>
        </w:rPr>
        <w:t>5</w:t>
      </w:r>
      <w:r>
        <w:rPr/>
        <w:t>、关于绩效评价与激励约束机制 </w:t>
      </w:r>
      <w:r>
        <w:rPr>
          <w:spacing w:val="-2"/>
        </w:rPr>
        <w:t>公司已建立和完善了公正、透明的高级管理人员的绩效考核标准和激励约束机制。高级管理人员的聘任公开、透明，符</w:t>
      </w:r>
    </w:p>
    <w:p>
      <w:pPr>
        <w:pStyle w:val="BodyText"/>
        <w:spacing w:line="316" w:lineRule="auto" w:before="31"/>
        <w:ind w:right="1131"/>
        <w:jc w:val="both"/>
      </w:pPr>
      <w:r>
        <w:rPr>
          <w:spacing w:val="-2"/>
        </w:rPr>
        <w:t>合法律、法规的规定。公司董事会下设的薪酬与考核委员会负责对公司的董事、高级管理人员进行绩效考核，公司现有的考</w:t>
      </w:r>
      <w:r>
        <w:rPr>
          <w:spacing w:val="-64"/>
        </w:rPr>
        <w:t> </w:t>
      </w:r>
      <w:r>
        <w:rPr>
          <w:spacing w:val="-64"/>
        </w:rPr>
      </w:r>
      <w:r>
        <w:rPr/>
        <w:t>核及激励约束机制符合公司的发展现状。</w:t>
      </w:r>
    </w:p>
    <w:p>
      <w:pPr>
        <w:pStyle w:val="BodyText"/>
        <w:spacing w:line="300" w:lineRule="auto" w:before="19"/>
        <w:ind w:left="513" w:right="0"/>
        <w:jc w:val="left"/>
      </w:pPr>
      <w:r>
        <w:rPr>
          <w:rFonts w:ascii="Times New Roman" w:hAnsi="Times New Roman" w:cs="Times New Roman" w:eastAsia="Times New Roman" w:hint="default"/>
        </w:rPr>
        <w:t>6</w:t>
      </w:r>
      <w:r>
        <w:rPr/>
        <w:t>、关于信息披露与透明度 </w:t>
      </w:r>
      <w:r>
        <w:rPr>
          <w:spacing w:val="-4"/>
        </w:rPr>
        <w:t>报告期内，公司严格按照有关法律法规及规范性文件等监管规定要求，真实、准确、及时、公平、完整地披露有关信息；</w:t>
      </w:r>
    </w:p>
    <w:p>
      <w:pPr>
        <w:pStyle w:val="BodyText"/>
        <w:spacing w:line="312" w:lineRule="auto" w:before="31"/>
        <w:ind w:right="1129"/>
        <w:jc w:val="left"/>
      </w:pPr>
      <w:r>
        <w:rPr/>
        <w:t>通过中国证监会指定媒体《中国证券报》、《证券时报》和巨潮资讯网（</w:t>
      </w:r>
      <w:hyperlink r:id="rId11">
        <w:r>
          <w:rPr>
            <w:rFonts w:ascii="Times New Roman" w:hAnsi="Times New Roman" w:cs="Times New Roman" w:eastAsia="Times New Roman" w:hint="default"/>
          </w:rPr>
          <w:t>www.cninfo.com.cn</w:t>
        </w:r>
      </w:hyperlink>
      <w:r>
        <w:rPr/>
        <w:t>）为公司信息披露的指定报纸 </w:t>
      </w:r>
      <w:r>
        <w:rPr>
          <w:spacing w:val="-2"/>
        </w:rPr>
        <w:t>和网站，确保公司所有股东能够以平等的机会获得信息。同时公司高度重视投资者关系管理，通过设立投资者电话专线、传</w:t>
      </w:r>
      <w:r>
        <w:rPr>
          <w:spacing w:val="-64"/>
        </w:rPr>
        <w:t> </w:t>
      </w:r>
      <w:r>
        <w:rPr>
          <w:spacing w:val="-64"/>
        </w:rPr>
      </w:r>
      <w:r>
        <w:rPr>
          <w:spacing w:val="-2"/>
        </w:rPr>
        <w:t>真、邮箱等多种渠道，认真回复投资者咨询、进行网上业绩说明会等多种形式，提高公司信息透明度，保障全体股东特别是</w:t>
      </w:r>
      <w:r>
        <w:rPr>
          <w:spacing w:val="-67"/>
        </w:rPr>
        <w:t> </w:t>
      </w:r>
      <w:r>
        <w:rPr>
          <w:spacing w:val="-67"/>
        </w:rPr>
      </w:r>
      <w:r>
        <w:rPr/>
        <w:t>中小股东的合法权益。</w:t>
      </w:r>
    </w:p>
    <w:p>
      <w:pPr>
        <w:spacing w:after="0" w:line="312"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40" w:lineRule="auto" w:before="44"/>
        <w:ind w:left="585" w:right="1129" w:hanging="72"/>
        <w:jc w:val="left"/>
      </w:pPr>
      <w:r>
        <w:rPr>
          <w:rFonts w:ascii="Times New Roman" w:hAnsi="Times New Roman" w:cs="Times New Roman" w:eastAsia="Times New Roman" w:hint="default"/>
        </w:rPr>
        <w:t>7</w:t>
      </w:r>
      <w:r>
        <w:rPr/>
        <w:t>、关于相关利益者 公司在努力经营管理的同时，充分尊重和维护相关利益者的合法权益，实现社会、股东、公司、客户、供应商、员工</w:t>
      </w:r>
    </w:p>
    <w:p>
      <w:pPr>
        <w:pStyle w:val="BodyText"/>
        <w:spacing w:line="357" w:lineRule="auto" w:before="1"/>
        <w:ind w:right="3194"/>
        <w:jc w:val="left"/>
      </w:pPr>
      <w:r>
        <w:rPr/>
        <w:t>等各方利益的和谐发展，同时高度重视社会责任的履行，共同推动公司和行业持续、稳健发展。 公司治理的实际状况与中国证监会发布的有关上市公司治理的规范性文件是否存在重大差异</w:t>
      </w:r>
    </w:p>
    <w:p>
      <w:pPr>
        <w:pStyle w:val="BodyText"/>
        <w:spacing w:line="240" w:lineRule="auto" w:before="29"/>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left="513" w:right="1133"/>
        <w:jc w:val="left"/>
      </w:pPr>
      <w:r>
        <w:rPr/>
        <w:t>公司治理的实际状况与中国证监会发布的有关上市公司治理的规范性文件不存在重大差异。</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bookmarkStart w:name="二、公司相对于控股股东在业务、人员、资产、机构、财务等方面的独立情况" w:id="135"/>
      <w:bookmarkEnd w:id="135"/>
      <w:r>
        <w:rPr>
          <w:b w:val="0"/>
          <w:bCs w:val="0"/>
        </w:rPr>
      </w:r>
      <w:r>
        <w:rPr/>
        <w:t>二、公司相对于控股股东在业务、人员、资产、机构、财务等方面的独立情况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76" w:firstLine="398"/>
        <w:jc w:val="left"/>
      </w:pPr>
      <w:r>
        <w:rPr/>
        <w:t>公司产权明晰、权责明确、运作规范，在业务、人员、资产、机构和财务等方面遵循了上市公司规范运作的要求，与 公司控股股东严格分开，具有独立法人地位和独立完整的业务体系和自主经营能力。</w:t>
      </w:r>
    </w:p>
    <w:p>
      <w:pPr>
        <w:pStyle w:val="BodyText"/>
        <w:spacing w:line="319" w:lineRule="auto" w:before="19"/>
        <w:ind w:right="1129" w:firstLine="360"/>
        <w:jc w:val="left"/>
      </w:pPr>
      <w:r>
        <w:rPr>
          <w:spacing w:val="-2"/>
        </w:rPr>
        <w:t>业务分开方面：公司拥有完整的生产、采购和销售体系，能够独立开展生产经营活动；公司在业务经营上与控股股东及</w:t>
      </w:r>
      <w:r>
        <w:rPr/>
        <w:t> 其关联方不存在同业竞争或显失公平的关联交易。</w:t>
      </w:r>
    </w:p>
    <w:p>
      <w:pPr>
        <w:pStyle w:val="BodyText"/>
        <w:spacing w:line="316" w:lineRule="auto" w:before="17"/>
        <w:ind w:right="1034" w:firstLine="360"/>
        <w:jc w:val="left"/>
      </w:pPr>
      <w:r>
        <w:rPr/>
        <w:t>人员分开方面：公司总经理、副总经理、财务总监、董事会秘书等高级管理人员均在公司领取报酬；公司董事、监事、 总经理及其他高级管理人员均依合法程序选举或聘任，不存在控股股东超越公司董事会和股东大会做出人事任免决定的情 况；公司员工独立于控股股东并独立执行劳动、人事及工资管理制。</w:t>
      </w:r>
    </w:p>
    <w:p>
      <w:pPr>
        <w:pStyle w:val="BodyText"/>
        <w:spacing w:line="316" w:lineRule="auto" w:before="19"/>
        <w:ind w:right="1129" w:firstLine="360"/>
        <w:jc w:val="left"/>
      </w:pPr>
      <w:r>
        <w:rPr>
          <w:spacing w:val="-2"/>
        </w:rPr>
        <w:t>资产分开方面：公司合法拥有与经营有关的土地、厂房、机器设备、商标、专利等资产，公司控股股东不存在占用公司</w:t>
      </w:r>
      <w:r>
        <w:rPr/>
        <w:t> 的资金、资产和其他资源的情况。</w:t>
      </w:r>
    </w:p>
    <w:p>
      <w:pPr>
        <w:pStyle w:val="BodyText"/>
        <w:spacing w:line="316" w:lineRule="auto" w:before="19"/>
        <w:ind w:right="1129" w:firstLine="360"/>
        <w:jc w:val="left"/>
      </w:pPr>
      <w:r>
        <w:rPr>
          <w:spacing w:val="-2"/>
        </w:rPr>
        <w:t>机构分开方面：公司已建立了适应自身发展需要和市场竞争需要的职能机构，内部经营管理机构健全，各职能机构在人</w:t>
      </w:r>
      <w:r>
        <w:rPr/>
        <w:t> 员、办公场所和管理制度等各方面均完全独立于控股股东。</w:t>
      </w:r>
    </w:p>
    <w:p>
      <w:pPr>
        <w:pStyle w:val="BodyText"/>
        <w:spacing w:line="316" w:lineRule="auto" w:before="59"/>
        <w:ind w:right="1133" w:firstLine="288"/>
        <w:jc w:val="left"/>
      </w:pPr>
      <w:r>
        <w:rPr>
          <w:spacing w:val="-1"/>
        </w:rPr>
        <w:t>财务分开方面：公司设有独立的财务部门，并建立了独立的会计核算体系和规范的财务管理制度，独立纳税，独立进行</w:t>
      </w:r>
      <w:r>
        <w:rPr/>
        <w:t> 财务决策；公司独立在银行开户，不存在与控股股东共用银行账户的情形。</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bookmarkStart w:name="三、同业竞争情况" w:id="136"/>
      <w:bookmarkEnd w:id="136"/>
      <w:r>
        <w:rPr>
          <w:b w:val="0"/>
          <w:bCs w:val="0"/>
        </w:rPr>
      </w: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四、报告期内召开的年度股东大会和临时股东大会的有关情况" w:id="137"/>
      <w:bookmarkEnd w:id="137"/>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本报告期股东大会情况" w:id="138"/>
      <w:bookmarkEnd w:id="138"/>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2、表决权恢复的优先股股东请求召开临时股东大会" w:id="139"/>
      <w:bookmarkEnd w:id="139"/>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五、报告期内独立董事履行职责的情况" w:id="140"/>
      <w:bookmarkEnd w:id="140"/>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独立董事出席董事会及股东大会的情况" w:id="141"/>
      <w:bookmarkEnd w:id="14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赵立三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57" w:lineRule="auto" w:before="49"/>
        <w:ind w:right="8054"/>
        <w:jc w:val="left"/>
      </w:pPr>
      <w:r>
        <w:rPr/>
        <w:t>连续两次未亲自出席董事会的说明 无</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bookmarkStart w:name="2、独立董事对公司有关事项提出异议的情况" w:id="142"/>
      <w:bookmarkEnd w:id="14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独立董事对公司有关事项是否提出异议</w:t>
      </w:r>
    </w:p>
    <w:p>
      <w:pPr>
        <w:pStyle w:val="BodyText"/>
        <w:spacing w:line="340" w:lineRule="auto" w:before="115"/>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bookmarkStart w:name="3、独立董事履行职责的其他说明" w:id="143"/>
      <w:bookmarkEnd w:id="14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独立董事对公司有关建议是否被采纳</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357" w:lineRule="auto" w:before="103"/>
        <w:ind w:left="513" w:right="1133"/>
        <w:jc w:val="left"/>
      </w:pPr>
      <w:r>
        <w:rPr/>
        <w:t>独立董事对公司有关建议被采纳或未被采纳的说明 </w:t>
      </w:r>
      <w:r>
        <w:rPr>
          <w:spacing w:val="-2"/>
        </w:rPr>
        <w:t>报告期内，公司独立董事勤勉尽责地认真履行职责，积极出席相关会议，认真审阅各项议案，发表了相关独立意见；了</w:t>
      </w:r>
    </w:p>
    <w:p>
      <w:pPr>
        <w:pStyle w:val="BodyText"/>
        <w:spacing w:line="224" w:lineRule="exact"/>
        <w:ind w:right="0"/>
        <w:jc w:val="left"/>
      </w:pPr>
      <w:r>
        <w:rPr/>
        <w:t>解公司运营、经营状况、内部控制建设以及董事会决议和股东大会决议的执行情况；利用自己的专业优势，对公司的经营管</w:t>
      </w:r>
    </w:p>
    <w:p>
      <w:pPr>
        <w:pStyle w:val="BodyText"/>
        <w:spacing w:line="316" w:lineRule="auto" w:before="76"/>
        <w:ind w:right="1129"/>
        <w:jc w:val="left"/>
      </w:pPr>
      <w:r>
        <w:rPr>
          <w:spacing w:val="-2"/>
        </w:rPr>
        <w:t>理、规范运作提出了合理的专业性的建议，均被采纳。独立董事坚持谨慎、独立、公正的原则切实维护公司的整体利益，尤</w:t>
      </w:r>
      <w:r>
        <w:rPr>
          <w:spacing w:val="-68"/>
        </w:rPr>
        <w:t> </w:t>
      </w:r>
      <w:r>
        <w:rPr>
          <w:spacing w:val="-68"/>
        </w:rPr>
      </w:r>
      <w:r>
        <w:rPr/>
        <w:t>其是中小股东的合法权益。</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bookmarkStart w:name="六、董事会下设专门委员会在报告期内履行职责情况" w:id="144"/>
      <w:bookmarkEnd w:id="144"/>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right="1034" w:firstLine="288"/>
        <w:jc w:val="left"/>
      </w:pPr>
      <w:r>
        <w:rPr/>
        <w:t>公司董事会下设战略委员会、薪酬与考核委员会、审计委员会及提名委员会。</w:t>
      </w:r>
      <w:r>
        <w:rPr>
          <w:rFonts w:ascii="Times New Roman" w:hAnsi="Times New Roman" w:cs="Times New Roman" w:eastAsia="Times New Roman" w:hint="default"/>
        </w:rPr>
        <w:t>2019</w:t>
      </w:r>
      <w:r>
        <w:rPr/>
        <w:t>年度，各专门委员会根据工作细则等 </w:t>
      </w:r>
      <w:r>
        <w:rPr>
          <w:spacing w:val="-2"/>
        </w:rPr>
        <w:t>相关制度的规定，忠实履行职责，充分发挥各自的专业作用：在对公司发展战略、投资决策提出合理建议，为公司持续稳定</w:t>
      </w:r>
      <w:r>
        <w:rPr>
          <w:spacing w:val="-67"/>
        </w:rPr>
        <w:t> </w:t>
      </w:r>
      <w:r>
        <w:rPr>
          <w:spacing w:val="-67"/>
        </w:rPr>
      </w:r>
      <w:r>
        <w:rPr/>
        <w:t>发展提出了宝贵的意见和建议；审查公司董事及高级管理人员的履行职责情况并对其进行绩效考评；进行公司审计的沟通、 </w:t>
      </w:r>
      <w:r>
        <w:rPr>
          <w:spacing w:val="-2"/>
        </w:rPr>
        <w:t>监督和核查工作等，未有违反《公司章程》等相关规定事宜。公司充分尊重并采纳了各专门委员会的建议，切实履行了相关</w:t>
      </w:r>
      <w:r>
        <w:rPr>
          <w:spacing w:val="-67"/>
        </w:rPr>
        <w:t> </w:t>
      </w:r>
      <w:r>
        <w:rPr>
          <w:spacing w:val="-67"/>
        </w:rPr>
      </w:r>
      <w:r>
        <w:rPr/>
        <w:t>的责任和义务。</w:t>
      </w:r>
    </w:p>
    <w:p>
      <w:pPr>
        <w:spacing w:line="240" w:lineRule="auto" w:before="13"/>
        <w:rPr>
          <w:rFonts w:ascii="宋体" w:hAnsi="宋体" w:cs="宋体" w:eastAsia="宋体" w:hint="default"/>
          <w:sz w:val="20"/>
          <w:szCs w:val="20"/>
        </w:rPr>
      </w:pPr>
    </w:p>
    <w:p>
      <w:pPr>
        <w:pStyle w:val="Heading2"/>
        <w:spacing w:line="240" w:lineRule="auto"/>
        <w:ind w:right="1133"/>
        <w:jc w:val="left"/>
        <w:rPr>
          <w:b w:val="0"/>
          <w:bCs w:val="0"/>
        </w:rPr>
      </w:pPr>
      <w:bookmarkStart w:name="七、监事会工作情况" w:id="145"/>
      <w:bookmarkEnd w:id="145"/>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监事会在报告期内的监督活动中发现公司是否存在风险</w:t>
      </w:r>
    </w:p>
    <w:p>
      <w:pPr>
        <w:pStyle w:val="BodyText"/>
        <w:spacing w:line="240" w:lineRule="auto" w:before="114"/>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公司监事会对报告期内的监督事项无异议。</w:t>
      </w:r>
    </w:p>
    <w:p>
      <w:pPr>
        <w:spacing w:line="240" w:lineRule="auto" w:before="4"/>
        <w:rPr>
          <w:rFonts w:ascii="宋体" w:hAnsi="宋体" w:cs="宋体" w:eastAsia="宋体" w:hint="default"/>
          <w:sz w:val="25"/>
          <w:szCs w:val="25"/>
        </w:rPr>
      </w:pPr>
    </w:p>
    <w:p>
      <w:pPr>
        <w:pStyle w:val="Heading2"/>
        <w:spacing w:line="240" w:lineRule="auto"/>
        <w:ind w:right="1133"/>
        <w:jc w:val="left"/>
        <w:rPr>
          <w:b w:val="0"/>
          <w:bCs w:val="0"/>
        </w:rPr>
      </w:pPr>
      <w:bookmarkStart w:name="八、高级管理人员的考评及激励情况" w:id="146"/>
      <w:bookmarkEnd w:id="146"/>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360"/>
        <w:jc w:val="both"/>
      </w:pPr>
      <w:r>
        <w:rPr>
          <w:spacing w:val="-2"/>
        </w:rPr>
        <w:t>公司已建立了绩效评价激励体系，管理者的收入与公司经营业绩挂钩，高级管理人员的聘任公开、透明，符合法律、法</w:t>
      </w:r>
      <w:r>
        <w:rPr/>
        <w:t> </w:t>
      </w:r>
      <w:r>
        <w:rPr>
          <w:spacing w:val="-2"/>
        </w:rPr>
        <w:t>规的规定。公司董事会设立了薪酬与考核委员会，负责公司薪酬政策或薪酬方案的审定。报告期内，本公司高级管理人员经</w:t>
      </w:r>
      <w:r>
        <w:rPr>
          <w:spacing w:val="-65"/>
        </w:rPr>
        <w:t> </w:t>
      </w:r>
      <w:r>
        <w:rPr>
          <w:spacing w:val="-65"/>
        </w:rPr>
      </w:r>
      <w:r>
        <w:rPr/>
        <w:t>考核，均认真履行了工作职责，工作业绩良好。</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bookmarkStart w:name="九、内部控制评价报告" w:id="147"/>
      <w:bookmarkEnd w:id="147"/>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报告期内发现的内部控制重大缺陷的具体情况" w:id="148"/>
      <w:bookmarkEnd w:id="148"/>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2、内控自我评价报告" w:id="149"/>
      <w:bookmarkEnd w:id="149"/>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BodyText"/>
        <w:spacing w:line="240" w:lineRule="auto" w:before="44"/>
        <w:ind w:left="0" w:right="1143"/>
        <w:jc w:val="right"/>
      </w:pPr>
      <w:r>
        <w:rPr/>
        <w:pict>
          <v:shape style="position:absolute;margin-left:57pt;margin-top:-20.888287pt;width:478.7pt;height:272.9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3"/>
                    <w:gridCol w:w="3333"/>
                    <w:gridCol w:w="3053"/>
                  </w:tblGrid>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年度内部控制自我评价报告》详见巨潮资讯网（</w:t>
                        </w:r>
                        <w:hyperlink r:id="rId11">
                          <w:r>
                            <w:rPr>
                              <w:rFonts w:ascii="Times New Roman" w:hAnsi="Times New Roman" w:cs="Times New Roman" w:eastAsia="Times New Roman" w:hint="default"/>
                              <w:sz w:val="18"/>
                              <w:szCs w:val="18"/>
                            </w:rPr>
                            <w:t>www.cninfo.com.cn</w:t>
                          </w:r>
                        </w:hyperlink>
                      </w:p>
                    </w:tc>
                  </w:tr>
                  <w:tr>
                    <w:trPr>
                      <w:trHeight w:val="715"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9"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2"/>
        <w:spacing w:line="240" w:lineRule="auto" w:before="26"/>
        <w:ind w:right="1133"/>
        <w:jc w:val="left"/>
        <w:rPr>
          <w:b w:val="0"/>
          <w:bCs w:val="0"/>
        </w:rPr>
      </w:pPr>
      <w:bookmarkStart w:name="十、内部控制审计报告或鉴证报告" w:id="150"/>
      <w:bookmarkEnd w:id="150"/>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33"/>
        <w:jc w:val="left"/>
        <w:rPr>
          <w:b w:val="0"/>
          <w:bCs w:val="0"/>
        </w:rPr>
      </w:pPr>
      <w:bookmarkStart w:name="第十一节公司债券相关情况" w:id="151"/>
      <w:bookmarkEnd w:id="151"/>
      <w:r>
        <w:rPr>
          <w:b w:val="0"/>
          <w:bCs w:val="0"/>
        </w:rPr>
      </w:r>
      <w:bookmarkStart w:name="_bookmark10" w:id="152"/>
      <w:bookmarkEnd w:id="152"/>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117"/>
        <w:jc w:val="center"/>
        <w:rPr>
          <w:b w:val="0"/>
          <w:bCs w:val="0"/>
        </w:rPr>
      </w:pPr>
      <w:bookmarkStart w:name="第十二节财务报告" w:id="153"/>
      <w:bookmarkEnd w:id="153"/>
      <w:r>
        <w:rPr>
          <w:b w:val="0"/>
          <w:bCs w:val="0"/>
        </w:rPr>
      </w:r>
      <w:bookmarkStart w:name="_bookmark11" w:id="154"/>
      <w:bookmarkEnd w:id="154"/>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审计报告" w:id="155"/>
      <w:bookmarkEnd w:id="155"/>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利安达会计师事务所（特殊普通合伙）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利安达审字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邱淦泳，许海丽</w:t>
            </w:r>
          </w:p>
        </w:tc>
      </w:tr>
    </w:tbl>
    <w:p>
      <w:pPr>
        <w:pStyle w:val="BodyText"/>
        <w:spacing w:line="240" w:lineRule="auto" w:before="49"/>
        <w:ind w:left="133" w:right="1113"/>
        <w:jc w:val="center"/>
      </w:pPr>
      <w:r>
        <w:rPr/>
        <w:t>审计报告正文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8"/>
          <w:szCs w:val="18"/>
        </w:rPr>
      </w:pPr>
    </w:p>
    <w:p>
      <w:pPr>
        <w:pStyle w:val="Heading3"/>
        <w:spacing w:line="240" w:lineRule="auto"/>
        <w:ind w:left="133" w:right="1113"/>
        <w:jc w:val="center"/>
        <w:rPr>
          <w:b w:val="0"/>
          <w:bCs w:val="0"/>
        </w:rPr>
      </w:pPr>
      <w:r>
        <w:rPr/>
        <w:t>审 计 报</w:t>
      </w:r>
      <w:r>
        <w:rPr>
          <w:spacing w:val="-53"/>
        </w:rPr>
        <w:t> </w:t>
      </w:r>
      <w:r>
        <w:rPr/>
        <w:t>告</w:t>
      </w:r>
      <w:r>
        <w:rPr>
          <w:b w:val="0"/>
          <w:bCs w:val="0"/>
        </w:rPr>
      </w:r>
    </w:p>
    <w:p>
      <w:pPr>
        <w:spacing w:line="240" w:lineRule="auto" w:before="11"/>
        <w:rPr>
          <w:rFonts w:ascii="宋体" w:hAnsi="宋体" w:cs="宋体" w:eastAsia="宋体" w:hint="default"/>
          <w:b/>
          <w:bCs/>
          <w:sz w:val="24"/>
          <w:szCs w:val="24"/>
        </w:rPr>
      </w:pPr>
    </w:p>
    <w:p>
      <w:pPr>
        <w:pStyle w:val="BodyText"/>
        <w:spacing w:line="240" w:lineRule="auto" w:before="44"/>
        <w:ind w:left="0" w:right="1155"/>
        <w:jc w:val="right"/>
      </w:pPr>
      <w:r>
        <w:rPr>
          <w:spacing w:val="-1"/>
        </w:rPr>
        <w:t>利安达审字</w:t>
      </w:r>
      <w:r>
        <w:rPr>
          <w:rFonts w:ascii="Times New Roman" w:hAnsi="Times New Roman" w:cs="Times New Roman" w:eastAsia="Times New Roman" w:hint="default"/>
          <w:spacing w:val="-1"/>
        </w:rPr>
        <w:t>[2020]</w:t>
      </w:r>
      <w:r>
        <w:rPr>
          <w:spacing w:val="-1"/>
        </w:rPr>
        <w:t>第</w:t>
      </w:r>
      <w:r>
        <w:rPr>
          <w:rFonts w:ascii="Times New Roman" w:hAnsi="Times New Roman" w:cs="Times New Roman" w:eastAsia="Times New Roman" w:hint="default"/>
          <w:spacing w:val="-1"/>
        </w:rPr>
        <w:t>2228</w:t>
      </w:r>
      <w:r>
        <w:rPr>
          <w:spacing w:val="-1"/>
        </w:rPr>
        <w:t>号</w:t>
      </w:r>
    </w:p>
    <w:p>
      <w:pPr>
        <w:spacing w:line="240" w:lineRule="auto" w:before="3"/>
        <w:rPr>
          <w:rFonts w:ascii="宋体" w:hAnsi="宋体" w:cs="宋体" w:eastAsia="宋体" w:hint="default"/>
          <w:sz w:val="25"/>
          <w:szCs w:val="25"/>
        </w:rPr>
      </w:pPr>
    </w:p>
    <w:p>
      <w:pPr>
        <w:pStyle w:val="Heading4"/>
        <w:spacing w:line="240" w:lineRule="auto" w:before="44"/>
        <w:ind w:left="152" w:right="1133"/>
        <w:jc w:val="left"/>
        <w:rPr>
          <w:b w:val="0"/>
          <w:bCs w:val="0"/>
        </w:rPr>
      </w:pPr>
      <w:r>
        <w:rPr/>
        <w:t>河北先河环保科技股份有限公司全体股东：</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3"/>
          <w:szCs w:val="23"/>
        </w:rPr>
      </w:pPr>
    </w:p>
    <w:p>
      <w:pPr>
        <w:pStyle w:val="Heading4"/>
        <w:spacing w:line="240" w:lineRule="auto" w:before="0"/>
        <w:ind w:right="1133"/>
        <w:jc w:val="left"/>
        <w:rPr>
          <w:b w:val="0"/>
          <w:bCs w:val="0"/>
        </w:rPr>
      </w:pPr>
      <w:bookmarkStart w:name="一、审计意见" w:id="156"/>
      <w:bookmarkEnd w:id="156"/>
      <w:r>
        <w:rPr>
          <w:b w:val="0"/>
          <w:bCs w:val="0"/>
        </w:rPr>
      </w:r>
      <w:r>
        <w:rPr/>
        <w:t>一、审计意见</w:t>
      </w:r>
      <w:r>
        <w:rPr>
          <w:b w:val="0"/>
          <w:bCs w:val="0"/>
        </w:rPr>
      </w:r>
    </w:p>
    <w:p>
      <w:pPr>
        <w:spacing w:line="240" w:lineRule="auto" w:before="10"/>
        <w:rPr>
          <w:rFonts w:ascii="宋体" w:hAnsi="宋体" w:cs="宋体" w:eastAsia="宋体" w:hint="default"/>
          <w:b/>
          <w:bCs/>
          <w:sz w:val="17"/>
          <w:szCs w:val="17"/>
        </w:rPr>
      </w:pPr>
    </w:p>
    <w:p>
      <w:pPr>
        <w:pStyle w:val="BodyText"/>
        <w:spacing w:line="316" w:lineRule="auto"/>
        <w:ind w:right="1128" w:firstLine="360"/>
        <w:jc w:val="both"/>
      </w:pPr>
      <w:r>
        <w:rPr>
          <w:spacing w:val="-5"/>
        </w:rPr>
        <w:t>我们审计了河北先河环保科技股份有限公司（以下简称“先河环保公司”）财务报表，包括</w:t>
      </w:r>
      <w:r>
        <w:rPr>
          <w:spacing w:val="-38"/>
        </w:rPr>
        <w:t> </w:t>
      </w:r>
      <w:r>
        <w:rPr>
          <w:rFonts w:ascii="宋体" w:hAnsi="宋体" w:cs="宋体" w:eastAsia="宋体" w:hint="default"/>
        </w:rPr>
        <w:t>2019</w:t>
      </w:r>
      <w:r>
        <w:rPr>
          <w:rFonts w:ascii="宋体" w:hAnsi="宋体" w:cs="宋体" w:eastAsia="宋体" w:hint="default"/>
          <w:spacing w:val="-40"/>
        </w:rPr>
        <w:t> </w:t>
      </w:r>
      <w:r>
        <w:rPr/>
        <w:t>年</w:t>
      </w:r>
      <w:r>
        <w:rPr>
          <w:spacing w:val="-44"/>
        </w:rPr>
        <w:t> </w:t>
      </w:r>
      <w:r>
        <w:rPr>
          <w:rFonts w:ascii="宋体" w:hAnsi="宋体" w:cs="宋体" w:eastAsia="宋体" w:hint="default"/>
          <w:spacing w:val="-1"/>
        </w:rPr>
        <w:t>12</w:t>
      </w:r>
      <w:r>
        <w:rPr>
          <w:rFonts w:ascii="宋体" w:hAnsi="宋体" w:cs="宋体" w:eastAsia="宋体" w:hint="default"/>
          <w:spacing w:val="-41"/>
        </w:rPr>
        <w:t> </w:t>
      </w:r>
      <w:r>
        <w:rPr/>
        <w:t>月</w:t>
      </w:r>
      <w:r>
        <w:rPr>
          <w:spacing w:val="-42"/>
        </w:rPr>
        <w:t> </w:t>
      </w:r>
      <w:r>
        <w:rPr>
          <w:rFonts w:ascii="宋体" w:hAnsi="宋体" w:cs="宋体" w:eastAsia="宋体" w:hint="default"/>
          <w:spacing w:val="-1"/>
        </w:rPr>
        <w:t>31</w:t>
      </w:r>
      <w:r>
        <w:rPr>
          <w:rFonts w:ascii="宋体" w:hAnsi="宋体" w:cs="宋体" w:eastAsia="宋体" w:hint="default"/>
          <w:spacing w:val="-41"/>
        </w:rPr>
        <w:t> </w:t>
      </w:r>
      <w:r>
        <w:rPr/>
        <w:t>日的合并及 母公司资产负债表，</w:t>
      </w:r>
      <w:r>
        <w:rPr>
          <w:rFonts w:ascii="宋体" w:hAnsi="宋体" w:cs="宋体" w:eastAsia="宋体" w:hint="default"/>
        </w:rPr>
        <w:t>2019</w:t>
      </w:r>
      <w:r>
        <w:rPr>
          <w:rFonts w:ascii="宋体" w:hAnsi="宋体" w:cs="宋体" w:eastAsia="宋体" w:hint="default"/>
          <w:spacing w:val="3"/>
        </w:rPr>
        <w:t> </w:t>
      </w:r>
      <w:r>
        <w:rPr/>
        <w:t>年度的合并及母公司利润表、合并及母公司现金流量表、合并及母公司股东权益变动表以及相关 财务报表附注。</w:t>
      </w:r>
    </w:p>
    <w:p>
      <w:pPr>
        <w:pStyle w:val="BodyText"/>
        <w:spacing w:line="240" w:lineRule="auto" w:before="19"/>
        <w:ind w:left="513" w:right="0"/>
        <w:jc w:val="left"/>
        <w:rPr>
          <w:rFonts w:ascii="宋体" w:hAnsi="宋体" w:cs="宋体" w:eastAsia="宋体" w:hint="default"/>
        </w:rPr>
      </w:pPr>
      <w:r>
        <w:rPr/>
        <w:t>我们认为，后附的财务报表在所有重大方面按照企业会计准则的规定编制，公允反映了先河环保公司</w:t>
      </w:r>
      <w:r>
        <w:rPr>
          <w:spacing w:val="-35"/>
        </w:rPr>
        <w:t> </w:t>
      </w:r>
      <w:r>
        <w:rPr>
          <w:rFonts w:ascii="宋体" w:hAnsi="宋体" w:cs="宋体" w:eastAsia="宋体" w:hint="default"/>
        </w:rPr>
        <w:t>2019</w:t>
      </w:r>
      <w:r>
        <w:rPr>
          <w:rFonts w:ascii="宋体" w:hAnsi="宋体" w:cs="宋体" w:eastAsia="宋体" w:hint="default"/>
          <w:spacing w:val="-34"/>
        </w:rPr>
        <w:t> </w:t>
      </w:r>
      <w:r>
        <w:rPr/>
        <w:t>年</w:t>
      </w:r>
      <w:r>
        <w:rPr>
          <w:spacing w:val="-35"/>
        </w:rPr>
        <w:t> </w:t>
      </w:r>
      <w:r>
        <w:rPr>
          <w:rFonts w:ascii="宋体" w:hAnsi="宋体" w:cs="宋体" w:eastAsia="宋体" w:hint="default"/>
        </w:rPr>
        <w:t>12</w:t>
      </w:r>
      <w:r>
        <w:rPr>
          <w:rFonts w:ascii="宋体" w:hAnsi="宋体" w:cs="宋体" w:eastAsia="宋体" w:hint="default"/>
          <w:spacing w:val="-34"/>
        </w:rPr>
        <w:t> </w:t>
      </w:r>
      <w:r>
        <w:rPr/>
        <w:t>月</w:t>
      </w:r>
      <w:r>
        <w:rPr>
          <w:spacing w:val="-38"/>
        </w:rPr>
        <w:t> </w:t>
      </w:r>
      <w:r>
        <w:rPr>
          <w:rFonts w:ascii="宋体" w:hAnsi="宋体" w:cs="宋体" w:eastAsia="宋体" w:hint="default"/>
        </w:rPr>
        <w:t>31</w:t>
      </w:r>
    </w:p>
    <w:p>
      <w:pPr>
        <w:spacing w:line="477" w:lineRule="auto" w:before="76"/>
        <w:ind w:left="513" w:right="4365" w:hanging="361"/>
        <w:jc w:val="left"/>
        <w:rPr>
          <w:rFonts w:ascii="宋体" w:hAnsi="宋体" w:cs="宋体" w:eastAsia="宋体" w:hint="default"/>
          <w:sz w:val="18"/>
          <w:szCs w:val="18"/>
        </w:rPr>
      </w:pPr>
      <w:r>
        <w:rPr>
          <w:rFonts w:ascii="宋体" w:hAnsi="宋体" w:cs="宋体" w:eastAsia="宋体" w:hint="default"/>
          <w:sz w:val="18"/>
          <w:szCs w:val="18"/>
        </w:rPr>
        <w:t>日合并及母公司的财务状况以及</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年度合并及母公司的经营成果和现金流量。 </w:t>
      </w:r>
      <w:bookmarkStart w:name="二、形成审计意见的基础" w:id="157"/>
      <w:bookmarkEnd w:id="157"/>
      <w:r>
        <w:rPr>
          <w:rFonts w:ascii="宋体" w:hAnsi="宋体" w:cs="宋体" w:eastAsia="宋体" w:hint="default"/>
          <w:sz w:val="18"/>
          <w:szCs w:val="18"/>
        </w:rPr>
      </w:r>
      <w:r>
        <w:rPr>
          <w:rFonts w:ascii="宋体" w:hAnsi="宋体" w:cs="宋体" w:eastAsia="宋体" w:hint="default"/>
          <w:b/>
          <w:bCs/>
          <w:sz w:val="18"/>
          <w:szCs w:val="18"/>
        </w:rPr>
        <w:t>二、形成审计意见的基础</w:t>
      </w:r>
      <w:r>
        <w:rPr>
          <w:rFonts w:ascii="宋体" w:hAnsi="宋体" w:cs="宋体" w:eastAsia="宋体" w:hint="default"/>
          <w:sz w:val="18"/>
          <w:szCs w:val="18"/>
        </w:rPr>
      </w:r>
    </w:p>
    <w:p>
      <w:pPr>
        <w:pStyle w:val="BodyText"/>
        <w:spacing w:line="316" w:lineRule="auto" w:before="54"/>
        <w:ind w:right="1130" w:firstLine="360"/>
        <w:jc w:val="both"/>
      </w:pPr>
      <w:r>
        <w:rPr>
          <w:spacing w:val="-2"/>
        </w:rPr>
        <w:t>我们按照中国注册会计师审计准则的规定执行了审计工作。审计报告的“注册会计师对财务报表审计的责任”部分进一</w:t>
      </w:r>
      <w:r>
        <w:rPr/>
        <w:t> </w:t>
      </w:r>
      <w:r>
        <w:rPr>
          <w:spacing w:val="-2"/>
        </w:rPr>
        <w:t>步阐述了我们在这些准则下的责任。按照中国注册会计师职业道德守则，我们独立于先河环保公司，并履行了职业道德方面</w:t>
      </w:r>
      <w:r>
        <w:rPr>
          <w:spacing w:val="-63"/>
        </w:rPr>
        <w:t> </w:t>
      </w:r>
      <w:r>
        <w:rPr>
          <w:spacing w:val="-63"/>
        </w:rPr>
      </w:r>
      <w:r>
        <w:rPr/>
        <w:t>的其他责任。我们相信，我们获取的审计证据是充分、适当的，为发表审计意见提供了基础。</w:t>
      </w:r>
    </w:p>
    <w:p>
      <w:pPr>
        <w:pStyle w:val="BodyText"/>
        <w:spacing w:line="468" w:lineRule="exact" w:before="10"/>
        <w:ind w:left="513" w:right="1129"/>
        <w:jc w:val="left"/>
      </w:pPr>
      <w:bookmarkStart w:name="三、关键审计事项" w:id="158"/>
      <w:bookmarkEnd w:id="158"/>
      <w:r>
        <w:rPr/>
      </w: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40" w:lineRule="auto" w:before="8"/>
        <w:ind w:right="0"/>
        <w:jc w:val="left"/>
      </w:pPr>
      <w:r>
        <w:rPr/>
        <w:t>审计并形成审计意见为背景</w:t>
      </w:r>
      <w:r>
        <w:rPr>
          <w:spacing w:val="-87"/>
        </w:rPr>
        <w:t>，</w:t>
      </w:r>
      <w:r>
        <w:rPr/>
        <w:t>我们不对这些事项单独发表意见</w:t>
      </w:r>
      <w:r>
        <w:rPr>
          <w:spacing w:val="-87"/>
        </w:rPr>
        <w:t>。</w:t>
      </w:r>
      <w:r>
        <w:rPr/>
        <w:t>我们确定下列事项是需要在审计报告中沟通的关键审计事项。</w:t>
      </w:r>
    </w:p>
    <w:p>
      <w:pPr>
        <w:pStyle w:val="Heading4"/>
        <w:spacing w:line="316" w:lineRule="auto"/>
        <w:ind w:right="8767"/>
        <w:jc w:val="left"/>
        <w:rPr>
          <w:b w:val="0"/>
          <w:bCs w:val="0"/>
        </w:rPr>
      </w:pPr>
      <w:r>
        <w:rPr/>
        <w:t>（一）商誉减值测试</w:t>
      </w:r>
      <w:r>
        <w:rPr>
          <w:w w:val="99"/>
        </w:rPr>
        <w:t> </w:t>
      </w:r>
      <w:bookmarkStart w:name="1、事项描述" w:id="159"/>
      <w:bookmarkEnd w:id="159"/>
      <w:r>
        <w:rPr>
          <w:w w:val="99"/>
        </w:rPr>
      </w:r>
      <w:r>
        <w:rPr>
          <w:rFonts w:ascii="宋体" w:hAnsi="宋体" w:cs="宋体" w:eastAsia="宋体" w:hint="default"/>
        </w:rPr>
        <w:t>1</w:t>
      </w:r>
      <w:r>
        <w:rPr/>
        <w:t>、事项描述</w:t>
      </w:r>
      <w:r>
        <w:rPr>
          <w:b w:val="0"/>
          <w:bCs w:val="0"/>
        </w:rPr>
      </w:r>
    </w:p>
    <w:p>
      <w:pPr>
        <w:pStyle w:val="BodyText"/>
        <w:spacing w:line="316" w:lineRule="auto" w:before="19"/>
        <w:ind w:right="1129" w:firstLine="360"/>
        <w:jc w:val="both"/>
      </w:pPr>
      <w:r>
        <w:rPr/>
        <w:t>截止</w:t>
      </w:r>
      <w:r>
        <w:rPr>
          <w:spacing w:val="-49"/>
        </w:rPr>
        <w:t> </w:t>
      </w:r>
      <w:r>
        <w:rPr>
          <w:rFonts w:ascii="宋体" w:hAnsi="宋体" w:cs="宋体" w:eastAsia="宋体" w:hint="default"/>
        </w:rPr>
        <w:t>2019</w:t>
      </w:r>
      <w:r>
        <w:rPr>
          <w:rFonts w:ascii="宋体" w:hAnsi="宋体" w:cs="宋体" w:eastAsia="宋体" w:hint="default"/>
          <w:spacing w:val="-50"/>
        </w:rPr>
        <w:t> </w:t>
      </w:r>
      <w:r>
        <w:rPr/>
        <w:t>年</w:t>
      </w:r>
      <w:r>
        <w:rPr>
          <w:spacing w:val="-49"/>
        </w:rPr>
        <w:t> </w:t>
      </w:r>
      <w:r>
        <w:rPr>
          <w:rFonts w:ascii="宋体" w:hAnsi="宋体" w:cs="宋体" w:eastAsia="宋体" w:hint="default"/>
        </w:rPr>
        <w:t>12</w:t>
      </w:r>
      <w:r>
        <w:rPr>
          <w:rFonts w:ascii="宋体" w:hAnsi="宋体" w:cs="宋体" w:eastAsia="宋体" w:hint="default"/>
          <w:spacing w:val="-48"/>
        </w:rPr>
        <w:t> </w:t>
      </w:r>
      <w:r>
        <w:rPr/>
        <w:t>月</w:t>
      </w:r>
      <w:r>
        <w:rPr>
          <w:spacing w:val="-51"/>
        </w:rPr>
        <w:t> </w:t>
      </w:r>
      <w:r>
        <w:rPr>
          <w:rFonts w:ascii="宋体" w:hAnsi="宋体" w:cs="宋体" w:eastAsia="宋体" w:hint="default"/>
        </w:rPr>
        <w:t>31</w:t>
      </w:r>
      <w:r>
        <w:rPr>
          <w:rFonts w:ascii="宋体" w:hAnsi="宋体" w:cs="宋体" w:eastAsia="宋体" w:hint="default"/>
          <w:spacing w:val="-48"/>
        </w:rPr>
        <w:t> </w:t>
      </w:r>
      <w:r>
        <w:rPr/>
        <w:t>日，先河环保公司合并财务报表中商誉账面价值为</w:t>
      </w:r>
      <w:r>
        <w:rPr>
          <w:spacing w:val="-48"/>
        </w:rPr>
        <w:t> </w:t>
      </w:r>
      <w:r>
        <w:rPr>
          <w:rFonts w:ascii="宋体" w:hAnsi="宋体" w:cs="宋体" w:eastAsia="宋体" w:hint="default"/>
        </w:rPr>
        <w:t>287,438,779.65</w:t>
      </w:r>
      <w:r>
        <w:rPr>
          <w:rFonts w:ascii="宋体" w:hAnsi="宋体" w:cs="宋体" w:eastAsia="宋体" w:hint="default"/>
          <w:spacing w:val="-47"/>
        </w:rPr>
        <w:t> </w:t>
      </w:r>
      <w:r>
        <w:rPr>
          <w:spacing w:val="-5"/>
        </w:rPr>
        <w:t>元，先河环保公司管理层（以</w:t>
      </w:r>
      <w:r>
        <w:rPr/>
        <w:t> </w:t>
      </w:r>
      <w:r>
        <w:rPr>
          <w:spacing w:val="-2"/>
        </w:rPr>
        <w:t>下简称“管理层”）在每年年度终了对商誉进行减值测试，并依据减值测试的结果调整商誉的账面价值。商誉减值测试的结</w:t>
      </w:r>
      <w:r>
        <w:rPr>
          <w:spacing w:val="-72"/>
        </w:rPr>
        <w:t> </w:t>
      </w:r>
      <w:r>
        <w:rPr>
          <w:spacing w:val="-72"/>
        </w:rPr>
      </w:r>
      <w:r>
        <w:rPr>
          <w:spacing w:val="-2"/>
        </w:rPr>
        <w:t>果很大程度上依赖于管理层所做的估计和采用的假设，包括对资产组预计未来可产生现金流量和折现率等的估计。该等估计</w:t>
      </w:r>
      <w:r>
        <w:rPr>
          <w:spacing w:val="-62"/>
        </w:rPr>
        <w:t> </w:t>
      </w:r>
      <w:r>
        <w:rPr>
          <w:spacing w:val="-62"/>
        </w:rPr>
      </w:r>
      <w:r>
        <w:rPr>
          <w:spacing w:val="-2"/>
        </w:rPr>
        <w:t>受到管理层对未来市场以及对经济环境判断的影响，采用不同的估计和假设会对评估的商誉之可收回价值有很大的影响。由</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3374" w:hanging="361"/>
        <w:jc w:val="left"/>
      </w:pPr>
      <w:r>
        <w:rPr/>
        <w:t>于减值测试过程较为复杂，同时涉及重大判断，因此我们确定商誉减值测试为关键审计事项。 关于商誉减值测试的会计政策见财务报表附注四（</w:t>
      </w:r>
      <w:r>
        <w:rPr>
          <w:rFonts w:ascii="宋体" w:hAnsi="宋体" w:cs="宋体" w:eastAsia="宋体" w:hint="default"/>
        </w:rPr>
        <w:t>20</w:t>
      </w:r>
      <w:r>
        <w:rPr/>
        <w:t>）</w:t>
      </w:r>
    </w:p>
    <w:p>
      <w:pPr>
        <w:spacing w:line="316" w:lineRule="auto" w:before="17"/>
        <w:ind w:left="513" w:right="5893" w:firstLine="0"/>
        <w:jc w:val="left"/>
        <w:rPr>
          <w:rFonts w:ascii="宋体" w:hAnsi="宋体" w:cs="宋体" w:eastAsia="宋体" w:hint="default"/>
          <w:sz w:val="18"/>
          <w:szCs w:val="18"/>
        </w:rPr>
      </w:pPr>
      <w:bookmarkStart w:name="2、审计应对" w:id="160"/>
      <w:bookmarkEnd w:id="160"/>
      <w:r>
        <w:rPr/>
      </w:r>
      <w:r>
        <w:rPr>
          <w:rFonts w:ascii="宋体" w:hAnsi="宋体" w:cs="宋体" w:eastAsia="宋体" w:hint="default"/>
          <w:b/>
          <w:bCs/>
          <w:sz w:val="18"/>
          <w:szCs w:val="18"/>
        </w:rPr>
        <w:t>2</w:t>
      </w:r>
      <w:r>
        <w:rPr>
          <w:rFonts w:ascii="宋体" w:hAnsi="宋体" w:cs="宋体" w:eastAsia="宋体" w:hint="default"/>
          <w:b/>
          <w:bCs/>
          <w:sz w:val="18"/>
          <w:szCs w:val="18"/>
        </w:rPr>
        <w:t>、审计应对</w:t>
      </w:r>
      <w:r>
        <w:rPr>
          <w:rFonts w:ascii="宋体" w:hAnsi="宋体" w:cs="宋体" w:eastAsia="宋体" w:hint="default"/>
          <w:b/>
          <w:bCs/>
          <w:w w:val="99"/>
          <w:sz w:val="18"/>
          <w:szCs w:val="18"/>
        </w:rPr>
        <w:t> </w:t>
      </w:r>
      <w:bookmarkStart w:name="我们对先河环保公司商誉减值执行的主要审计程序包括：" w:id="161"/>
      <w:bookmarkEnd w:id="161"/>
      <w:r>
        <w:rPr>
          <w:rFonts w:ascii="宋体" w:hAnsi="宋体" w:cs="宋体" w:eastAsia="宋体" w:hint="default"/>
          <w:b/>
          <w:bCs/>
          <w:w w:val="99"/>
          <w:sz w:val="18"/>
          <w:szCs w:val="18"/>
        </w:rPr>
      </w:r>
      <w:r>
        <w:rPr>
          <w:rFonts w:ascii="宋体" w:hAnsi="宋体" w:cs="宋体" w:eastAsia="宋体" w:hint="default"/>
          <w:sz w:val="18"/>
          <w:szCs w:val="18"/>
        </w:rPr>
        <w:t>我们对先河环保公司商誉减值执行的主要审计程序包括：</w:t>
      </w:r>
    </w:p>
    <w:p>
      <w:pPr>
        <w:pStyle w:val="BodyText"/>
        <w:tabs>
          <w:tab w:pos="1285" w:val="left" w:leader="none"/>
        </w:tabs>
        <w:spacing w:line="240" w:lineRule="auto" w:before="19"/>
        <w:ind w:left="592" w:right="1133"/>
        <w:jc w:val="left"/>
      </w:pPr>
      <w:r>
        <w:rPr/>
        <w:t>（</w:t>
      </w:r>
      <w:r>
        <w:rPr>
          <w:rFonts w:ascii="宋体" w:hAnsi="宋体" w:cs="宋体" w:eastAsia="宋体" w:hint="default"/>
        </w:rPr>
        <w:t>1</w:t>
      </w:r>
      <w:r>
        <w:rPr/>
        <w:t>）</w:t>
        <w:tab/>
        <w:t>了解各资产组的历史业绩情况及发展规划，以及行业的发展趋势；</w:t>
      </w:r>
    </w:p>
    <w:p>
      <w:pPr>
        <w:pStyle w:val="BodyText"/>
        <w:tabs>
          <w:tab w:pos="1285" w:val="left" w:leader="none"/>
        </w:tabs>
        <w:spacing w:line="316" w:lineRule="auto" w:before="76"/>
        <w:ind w:left="1012" w:right="1178" w:hanging="420"/>
        <w:jc w:val="left"/>
      </w:pPr>
      <w:r>
        <w:rPr/>
        <w:t>（</w:t>
      </w:r>
      <w:r>
        <w:rPr>
          <w:rFonts w:ascii="宋体" w:hAnsi="宋体" w:cs="宋体" w:eastAsia="宋体" w:hint="default"/>
        </w:rPr>
        <w:t>2</w:t>
      </w:r>
      <w:r>
        <w:rPr/>
        <w:t>）</w:t>
        <w:tab/>
        <w:t>评估管理层对公司商誉所属资产组的认定和进行商誉减值测试时采用的关键假设和方法，检查相关的假设和 方法的合理性；</w:t>
      </w:r>
    </w:p>
    <w:p>
      <w:pPr>
        <w:pStyle w:val="BodyText"/>
        <w:tabs>
          <w:tab w:pos="1285" w:val="left" w:leader="none"/>
        </w:tabs>
        <w:spacing w:line="240" w:lineRule="auto" w:before="19"/>
        <w:ind w:left="592" w:right="1133"/>
        <w:jc w:val="left"/>
      </w:pPr>
      <w:r>
        <w:rPr/>
        <w:t>（</w:t>
      </w:r>
      <w:r>
        <w:rPr>
          <w:rFonts w:ascii="宋体" w:hAnsi="宋体" w:cs="宋体" w:eastAsia="宋体" w:hint="default"/>
        </w:rPr>
        <w:t>3</w:t>
      </w:r>
      <w:r>
        <w:rPr/>
        <w:t>）</w:t>
        <w:tab/>
        <w:t>复核外部估值专家对资产组的估值方法及出具的评估报告；</w:t>
      </w:r>
    </w:p>
    <w:p>
      <w:pPr>
        <w:pStyle w:val="BodyText"/>
        <w:tabs>
          <w:tab w:pos="1285" w:val="left" w:leader="none"/>
        </w:tabs>
        <w:spacing w:line="240" w:lineRule="auto" w:before="76"/>
        <w:ind w:left="592" w:right="1133"/>
        <w:jc w:val="left"/>
      </w:pPr>
      <w:r>
        <w:rPr/>
        <w:t>（</w:t>
      </w:r>
      <w:r>
        <w:rPr>
          <w:rFonts w:ascii="宋体" w:hAnsi="宋体" w:cs="宋体" w:eastAsia="宋体" w:hint="default"/>
        </w:rPr>
        <w:t>4</w:t>
      </w:r>
      <w:r>
        <w:rPr/>
        <w:t>）</w:t>
        <w:tab/>
        <w:t>复核现金流量预测水平和所采用折现率的合理性，并与相关资产组的历史数据及行业水平进行比较分析；</w:t>
      </w:r>
    </w:p>
    <w:p>
      <w:pPr>
        <w:pStyle w:val="BodyText"/>
        <w:tabs>
          <w:tab w:pos="1285" w:val="left" w:leader="none"/>
        </w:tabs>
        <w:spacing w:line="240" w:lineRule="auto" w:before="76"/>
        <w:ind w:left="592" w:right="1133"/>
        <w:jc w:val="left"/>
      </w:pPr>
      <w:r>
        <w:rPr/>
        <w:t>（</w:t>
      </w:r>
      <w:r>
        <w:rPr>
          <w:rFonts w:ascii="宋体" w:hAnsi="宋体" w:cs="宋体" w:eastAsia="宋体" w:hint="default"/>
        </w:rPr>
        <w:t>5</w:t>
      </w:r>
      <w:r>
        <w:rPr/>
        <w:t>）</w:t>
        <w:tab/>
        <w:t>复核管理层编制的商誉所属资产组可收回金额的计算表；</w:t>
      </w:r>
    </w:p>
    <w:p>
      <w:pPr>
        <w:pStyle w:val="BodyText"/>
        <w:tabs>
          <w:tab w:pos="1285" w:val="left" w:leader="none"/>
        </w:tabs>
        <w:spacing w:line="240" w:lineRule="auto" w:before="76"/>
        <w:ind w:left="592" w:right="1133"/>
        <w:jc w:val="left"/>
      </w:pPr>
      <w:r>
        <w:rPr/>
        <w:t>（</w:t>
      </w:r>
      <w:r>
        <w:rPr>
          <w:rFonts w:ascii="宋体" w:hAnsi="宋体" w:cs="宋体" w:eastAsia="宋体" w:hint="default"/>
        </w:rPr>
        <w:t>6</w:t>
      </w:r>
      <w:r>
        <w:rPr/>
        <w:t>）</w:t>
        <w:tab/>
        <w:t>比较商誉所属资产组的账面价值与其可收回金额的差异，确认是否存在商誉减值情况。</w:t>
      </w:r>
    </w:p>
    <w:p>
      <w:pPr>
        <w:pStyle w:val="Heading4"/>
        <w:spacing w:line="319" w:lineRule="auto"/>
        <w:ind w:right="8405"/>
        <w:jc w:val="left"/>
        <w:rPr>
          <w:b w:val="0"/>
          <w:bCs w:val="0"/>
        </w:rPr>
      </w:pPr>
      <w:bookmarkStart w:name="（二）应收账款坏账准备" w:id="162"/>
      <w:bookmarkEnd w:id="162"/>
      <w:r>
        <w:rPr>
          <w:b w:val="0"/>
          <w:bCs w:val="0"/>
        </w:rPr>
      </w:r>
      <w:r>
        <w:rPr/>
        <w:t>（二）应收账款坏账准备</w:t>
      </w:r>
      <w:r>
        <w:rPr>
          <w:w w:val="99"/>
        </w:rPr>
        <w:t> </w:t>
      </w:r>
      <w:bookmarkStart w:name="1、事项描述" w:id="163"/>
      <w:bookmarkEnd w:id="163"/>
      <w:r>
        <w:rPr>
          <w:w w:val="99"/>
        </w:rPr>
      </w:r>
      <w:r>
        <w:rPr>
          <w:rFonts w:ascii="宋体" w:hAnsi="宋体" w:cs="宋体" w:eastAsia="宋体" w:hint="default"/>
        </w:rPr>
        <w:t>1</w:t>
      </w:r>
      <w:r>
        <w:rPr/>
        <w:t>、事项描述</w:t>
      </w:r>
      <w:r>
        <w:rPr>
          <w:b w:val="0"/>
          <w:bCs w:val="0"/>
        </w:rPr>
      </w:r>
    </w:p>
    <w:p>
      <w:pPr>
        <w:pStyle w:val="BodyText"/>
        <w:spacing w:line="240" w:lineRule="auto" w:before="17"/>
        <w:ind w:left="513" w:right="0"/>
        <w:jc w:val="left"/>
      </w:pPr>
      <w:r>
        <w:rPr/>
        <w:t>截止</w:t>
      </w:r>
      <w:r>
        <w:rPr>
          <w:spacing w:val="-47"/>
        </w:rPr>
        <w:t> </w:t>
      </w:r>
      <w:r>
        <w:rPr>
          <w:rFonts w:ascii="宋体" w:hAnsi="宋体" w:cs="宋体" w:eastAsia="宋体" w:hint="default"/>
        </w:rPr>
        <w:t>2019</w:t>
      </w:r>
      <w:r>
        <w:rPr>
          <w:rFonts w:ascii="宋体" w:hAnsi="宋体" w:cs="宋体" w:eastAsia="宋体" w:hint="default"/>
          <w:spacing w:val="-48"/>
        </w:rPr>
        <w:t> </w:t>
      </w:r>
      <w:r>
        <w:rPr/>
        <w:t>年</w:t>
      </w:r>
      <w:r>
        <w:rPr>
          <w:spacing w:val="-47"/>
        </w:rPr>
        <w:t> </w:t>
      </w:r>
      <w:r>
        <w:rPr>
          <w:rFonts w:ascii="宋体" w:hAnsi="宋体" w:cs="宋体" w:eastAsia="宋体" w:hint="default"/>
        </w:rPr>
        <w:t>12</w:t>
      </w:r>
      <w:r>
        <w:rPr>
          <w:rFonts w:ascii="宋体" w:hAnsi="宋体" w:cs="宋体" w:eastAsia="宋体" w:hint="default"/>
          <w:spacing w:val="-46"/>
        </w:rPr>
        <w:t> </w:t>
      </w:r>
      <w:r>
        <w:rPr/>
        <w:t>月</w:t>
      </w:r>
      <w:r>
        <w:rPr>
          <w:spacing w:val="-49"/>
        </w:rPr>
        <w:t> </w:t>
      </w:r>
      <w:r>
        <w:rPr>
          <w:rFonts w:ascii="宋体" w:hAnsi="宋体" w:cs="宋体" w:eastAsia="宋体" w:hint="default"/>
        </w:rPr>
        <w:t>31</w:t>
      </w:r>
      <w:r>
        <w:rPr>
          <w:rFonts w:ascii="宋体" w:hAnsi="宋体" w:cs="宋体" w:eastAsia="宋体" w:hint="default"/>
          <w:spacing w:val="-46"/>
        </w:rPr>
        <w:t> </w:t>
      </w:r>
      <w:r>
        <w:rPr/>
        <w:t>日，如先河环保公司财务报表附注六、</w:t>
      </w:r>
      <w:r>
        <w:rPr>
          <w:rFonts w:ascii="宋体" w:hAnsi="宋体" w:cs="宋体" w:eastAsia="宋体" w:hint="default"/>
        </w:rPr>
        <w:t>4</w:t>
      </w:r>
      <w:r>
        <w:rPr>
          <w:rFonts w:ascii="宋体" w:hAnsi="宋体" w:cs="宋体" w:eastAsia="宋体" w:hint="default"/>
          <w:spacing w:val="-45"/>
        </w:rPr>
        <w:t> </w:t>
      </w:r>
      <w:r>
        <w:rPr/>
        <w:t>所述，先河环保公司应收账款余额</w:t>
      </w:r>
      <w:r>
        <w:rPr>
          <w:spacing w:val="-46"/>
        </w:rPr>
        <w:t> </w:t>
      </w:r>
      <w:r>
        <w:rPr>
          <w:rFonts w:ascii="宋体" w:hAnsi="宋体" w:cs="宋体" w:eastAsia="宋体" w:hint="default"/>
        </w:rPr>
        <w:t>780,842,573.71</w:t>
      </w:r>
      <w:r>
        <w:rPr>
          <w:rFonts w:ascii="宋体" w:hAnsi="宋体" w:cs="宋体" w:eastAsia="宋体" w:hint="default"/>
          <w:spacing w:val="-44"/>
        </w:rPr>
        <w:t> </w:t>
      </w:r>
      <w:r>
        <w:rPr>
          <w:spacing w:val="-3"/>
        </w:rPr>
        <w:t>元，</w:t>
      </w:r>
      <w:r>
        <w:rPr/>
      </w:r>
    </w:p>
    <w:p>
      <w:pPr>
        <w:pStyle w:val="BodyText"/>
        <w:spacing w:line="316" w:lineRule="auto" w:before="76"/>
        <w:ind w:right="1034"/>
        <w:jc w:val="left"/>
      </w:pPr>
      <w:r>
        <w:rPr/>
        <w:t>坏账准备金额</w:t>
      </w:r>
      <w:r>
        <w:rPr>
          <w:spacing w:val="-42"/>
        </w:rPr>
        <w:t> </w:t>
      </w:r>
      <w:r>
        <w:rPr>
          <w:rFonts w:ascii="宋体" w:hAnsi="宋体" w:cs="宋体" w:eastAsia="宋体" w:hint="default"/>
        </w:rPr>
        <w:t>156,179,700.34</w:t>
      </w:r>
      <w:r>
        <w:rPr>
          <w:rFonts w:ascii="宋体" w:hAnsi="宋体" w:cs="宋体" w:eastAsia="宋体" w:hint="default"/>
          <w:spacing w:val="-43"/>
        </w:rPr>
        <w:t> </w:t>
      </w:r>
      <w:r>
        <w:rPr>
          <w:spacing w:val="-6"/>
        </w:rPr>
        <w:t>元，净值为</w:t>
      </w:r>
      <w:r>
        <w:rPr>
          <w:spacing w:val="-42"/>
        </w:rPr>
        <w:t> </w:t>
      </w:r>
      <w:r>
        <w:rPr>
          <w:rFonts w:ascii="宋体" w:hAnsi="宋体" w:cs="宋体" w:eastAsia="宋体" w:hint="default"/>
        </w:rPr>
        <w:t>624,662,873.37</w:t>
      </w:r>
      <w:r>
        <w:rPr>
          <w:rFonts w:ascii="宋体" w:hAnsi="宋体" w:cs="宋体" w:eastAsia="宋体" w:hint="default"/>
          <w:spacing w:val="-41"/>
        </w:rPr>
        <w:t> </w:t>
      </w:r>
      <w:r>
        <w:rPr>
          <w:spacing w:val="-3"/>
        </w:rPr>
        <w:t>元，应收账款净值账面价值较高。管理层在对应收账款的可回收</w:t>
      </w:r>
      <w:r>
        <w:rPr>
          <w:spacing w:val="-84"/>
        </w:rPr>
        <w:t> </w:t>
      </w:r>
      <w:r>
        <w:rPr>
          <w:spacing w:val="-84"/>
        </w:rPr>
      </w:r>
      <w:r>
        <w:rPr>
          <w:spacing w:val="-2"/>
        </w:rPr>
        <w:t>性进行评估时，需要综合考虑应收账款的账龄、债务人的还款记录、债务人的行业现状等因素。由于应收账款余额重大且坏</w:t>
      </w:r>
      <w:r>
        <w:rPr>
          <w:spacing w:val="-65"/>
        </w:rPr>
        <w:t> </w:t>
      </w:r>
      <w:r>
        <w:rPr>
          <w:spacing w:val="-65"/>
        </w:rPr>
      </w:r>
      <w:r>
        <w:rPr/>
        <w:t>账准备的评估涉及运用重要会计估计和判断，且若应收账款不能按期收回或无法收回而发生坏账对财务报表影响较为重大， 因此我们确定应收账款的坏账准备为关键审计事项。</w:t>
      </w:r>
    </w:p>
    <w:p>
      <w:pPr>
        <w:pStyle w:val="BodyText"/>
        <w:spacing w:line="316" w:lineRule="auto" w:before="19"/>
        <w:ind w:left="508" w:right="5178" w:firstLine="4"/>
        <w:jc w:val="left"/>
      </w:pPr>
      <w:r>
        <w:rPr/>
        <w:t>关于应收账款坏账准备的会计政策见财务报表附注四（</w:t>
      </w:r>
      <w:r>
        <w:rPr>
          <w:rFonts w:ascii="宋体" w:hAnsi="宋体" w:cs="宋体" w:eastAsia="宋体" w:hint="default"/>
        </w:rPr>
        <w:t>10</w:t>
      </w:r>
      <w:r>
        <w:rPr/>
        <w:t>） </w:t>
      </w:r>
      <w:bookmarkStart w:name="2、审计应对" w:id="164"/>
      <w:bookmarkEnd w:id="164"/>
      <w:r>
        <w:rPr/>
      </w:r>
      <w:r>
        <w:rPr>
          <w:rFonts w:ascii="宋体" w:hAnsi="宋体" w:cs="宋体" w:eastAsia="宋体" w:hint="default"/>
          <w:b/>
          <w:bCs/>
        </w:rPr>
        <w:t>2</w:t>
      </w:r>
      <w:r>
        <w:rPr>
          <w:rFonts w:ascii="宋体" w:hAnsi="宋体" w:cs="宋体" w:eastAsia="宋体" w:hint="default"/>
          <w:b/>
          <w:bCs/>
        </w:rPr>
        <w:t>、审计应对</w:t>
      </w:r>
      <w:r>
        <w:rPr>
          <w:rFonts w:ascii="宋体" w:hAnsi="宋体" w:cs="宋体" w:eastAsia="宋体" w:hint="default"/>
          <w:b/>
          <w:bCs/>
          <w:w w:val="99"/>
        </w:rPr>
        <w:t> </w:t>
      </w:r>
      <w:r>
        <w:rPr/>
        <w:t>我们对先河环保公司应收账款坏账准备执行的主要审计程序包括：</w:t>
      </w:r>
    </w:p>
    <w:p>
      <w:pPr>
        <w:pStyle w:val="BodyText"/>
        <w:tabs>
          <w:tab w:pos="1285" w:val="left" w:leader="none"/>
        </w:tabs>
        <w:spacing w:line="240" w:lineRule="auto" w:before="19"/>
        <w:ind w:left="590" w:right="1133"/>
        <w:jc w:val="left"/>
      </w:pPr>
      <w:r>
        <w:rPr/>
        <w:t>（</w:t>
      </w:r>
      <w:r>
        <w:rPr>
          <w:rFonts w:ascii="宋体" w:hAnsi="宋体" w:cs="宋体" w:eastAsia="宋体" w:hint="default"/>
        </w:rPr>
        <w:t>1</w:t>
      </w:r>
      <w:r>
        <w:rPr/>
        <w:t>）</w:t>
        <w:tab/>
        <w:t>评估管理层对应收账款管理相关内部控制的设计和运行有效性；</w:t>
      </w:r>
    </w:p>
    <w:p>
      <w:pPr>
        <w:pStyle w:val="BodyText"/>
        <w:tabs>
          <w:tab w:pos="1285" w:val="left" w:leader="none"/>
        </w:tabs>
        <w:spacing w:line="240" w:lineRule="auto" w:before="76"/>
        <w:ind w:left="590" w:right="1133"/>
        <w:jc w:val="left"/>
      </w:pPr>
      <w:r>
        <w:rPr/>
        <w:t>（</w:t>
      </w:r>
      <w:r>
        <w:rPr>
          <w:rFonts w:ascii="宋体" w:hAnsi="宋体" w:cs="宋体" w:eastAsia="宋体" w:hint="default"/>
        </w:rPr>
        <w:t>2</w:t>
      </w:r>
      <w:r>
        <w:rPr/>
        <w:t>）</w:t>
        <w:tab/>
        <w:t>了解和评价先河环保公司应收账款坏账准备会计估计的合理性；</w:t>
      </w:r>
    </w:p>
    <w:p>
      <w:pPr>
        <w:pStyle w:val="BodyText"/>
        <w:tabs>
          <w:tab w:pos="1285" w:val="left" w:leader="none"/>
        </w:tabs>
        <w:spacing w:line="240" w:lineRule="auto" w:before="76"/>
        <w:ind w:left="590" w:right="1133"/>
        <w:jc w:val="left"/>
      </w:pPr>
      <w:r>
        <w:rPr/>
        <w:t>（</w:t>
      </w:r>
      <w:r>
        <w:rPr>
          <w:rFonts w:ascii="宋体" w:hAnsi="宋体" w:cs="宋体" w:eastAsia="宋体" w:hint="default"/>
        </w:rPr>
        <w:t>3</w:t>
      </w:r>
      <w:r>
        <w:rPr/>
        <w:t>）</w:t>
        <w:tab/>
        <w:t>复核管理层对应收账款可收回性进行评估的相关考虑和客观证据；</w:t>
      </w:r>
    </w:p>
    <w:p>
      <w:pPr>
        <w:pStyle w:val="BodyText"/>
        <w:tabs>
          <w:tab w:pos="1285" w:val="left" w:leader="none"/>
        </w:tabs>
        <w:spacing w:line="316" w:lineRule="auto" w:before="77"/>
        <w:ind w:left="1010" w:right="1178" w:hanging="420"/>
        <w:jc w:val="left"/>
      </w:pPr>
      <w:r>
        <w:rPr/>
        <w:t>（</w:t>
      </w:r>
      <w:r>
        <w:rPr>
          <w:rFonts w:ascii="宋体" w:hAnsi="宋体" w:cs="宋体" w:eastAsia="宋体" w:hint="default"/>
        </w:rPr>
        <w:t>4</w:t>
      </w:r>
      <w:r>
        <w:rPr/>
        <w:t>）</w:t>
        <w:tab/>
        <w:t>复核先河环保公司对应收账款坏账准备的计提过程，包括单项计提的坏账准备以及按组合计提的坏账准备， 检查计提方法是否按照先河环保公司坏账政策执行，重新计算坏账计提金额是否适当；</w:t>
      </w:r>
    </w:p>
    <w:p>
      <w:pPr>
        <w:pStyle w:val="BodyText"/>
        <w:tabs>
          <w:tab w:pos="1285" w:val="left" w:leader="none"/>
        </w:tabs>
        <w:spacing w:line="240" w:lineRule="auto" w:before="19"/>
        <w:ind w:left="590" w:right="1133"/>
        <w:jc w:val="left"/>
      </w:pPr>
      <w:r>
        <w:rPr/>
        <w:t>（</w:t>
      </w:r>
      <w:r>
        <w:rPr>
          <w:rFonts w:ascii="宋体" w:hAnsi="宋体" w:cs="宋体" w:eastAsia="宋体" w:hint="default"/>
        </w:rPr>
        <w:t>5</w:t>
      </w:r>
      <w:r>
        <w:rPr/>
        <w:t>）</w:t>
        <w:tab/>
        <w:t>对应收账款期末余额选取样本执行函证程序；</w:t>
      </w:r>
    </w:p>
    <w:p>
      <w:pPr>
        <w:pStyle w:val="BodyText"/>
        <w:tabs>
          <w:tab w:pos="1285" w:val="left" w:leader="none"/>
        </w:tabs>
        <w:spacing w:line="240" w:lineRule="auto" w:before="76"/>
        <w:ind w:left="590" w:right="1133"/>
        <w:jc w:val="left"/>
      </w:pPr>
      <w:r>
        <w:rPr/>
        <w:t>（</w:t>
      </w:r>
      <w:r>
        <w:rPr>
          <w:rFonts w:ascii="宋体" w:hAnsi="宋体" w:cs="宋体" w:eastAsia="宋体" w:hint="default"/>
        </w:rPr>
        <w:t>6</w:t>
      </w:r>
      <w:r>
        <w:rPr/>
        <w:t>）</w:t>
        <w:tab/>
        <w:t>结合期后回款情况检查，进一步验证应收账款的可收回性。</w:t>
      </w:r>
    </w:p>
    <w:p>
      <w:pPr>
        <w:pStyle w:val="Heading4"/>
        <w:spacing w:line="316" w:lineRule="auto"/>
        <w:ind w:right="8947"/>
        <w:jc w:val="left"/>
        <w:rPr>
          <w:b w:val="0"/>
          <w:bCs w:val="0"/>
        </w:rPr>
      </w:pPr>
      <w:r>
        <w:rPr/>
        <w:t>（三）收入的确认</w:t>
      </w:r>
      <w:r>
        <w:rPr>
          <w:w w:val="99"/>
        </w:rPr>
        <w:t> </w:t>
      </w:r>
      <w:r>
        <w:rPr>
          <w:rFonts w:ascii="宋体" w:hAnsi="宋体" w:cs="宋体" w:eastAsia="宋体" w:hint="default"/>
        </w:rPr>
        <w:t>1</w:t>
      </w:r>
      <w:r>
        <w:rPr/>
        <w:t>、事项描述</w:t>
      </w:r>
      <w:r>
        <w:rPr>
          <w:b w:val="0"/>
          <w:bCs w:val="0"/>
        </w:rPr>
      </w:r>
    </w:p>
    <w:p>
      <w:pPr>
        <w:pStyle w:val="BodyText"/>
        <w:spacing w:line="316" w:lineRule="auto" w:before="19"/>
        <w:ind w:right="1034" w:firstLine="360"/>
        <w:jc w:val="left"/>
      </w:pPr>
      <w:r>
        <w:rPr/>
        <w:t>先河环保公司是集环境监测、治理、服务为一体的集团化公司，业务涵盖生态环境监测装备、运维服务、社会化检测、 环境大数据分析及决策支持服务、</w:t>
      </w:r>
      <w:r>
        <w:rPr>
          <w:rFonts w:ascii="宋体" w:hAnsi="宋体" w:cs="宋体" w:eastAsia="宋体" w:hint="default"/>
        </w:rPr>
        <w:t>VOCs</w:t>
      </w:r>
      <w:r>
        <w:rPr>
          <w:rFonts w:ascii="宋体" w:hAnsi="宋体" w:cs="宋体" w:eastAsia="宋体" w:hint="default"/>
          <w:spacing w:val="-53"/>
        </w:rPr>
        <w:t> </w:t>
      </w:r>
      <w:r>
        <w:rPr/>
        <w:t>治理、农村分散污水治理等领域。如财务报表附注六、</w:t>
      </w:r>
      <w:r>
        <w:rPr>
          <w:rFonts w:ascii="宋体" w:hAnsi="宋体" w:cs="宋体" w:eastAsia="宋体" w:hint="default"/>
        </w:rPr>
        <w:t>31</w:t>
      </w:r>
      <w:r>
        <w:rPr>
          <w:rFonts w:ascii="宋体" w:hAnsi="宋体" w:cs="宋体" w:eastAsia="宋体" w:hint="default"/>
          <w:spacing w:val="-53"/>
        </w:rPr>
        <w:t> </w:t>
      </w:r>
      <w:r>
        <w:rPr/>
        <w:t>所述，</w:t>
      </w:r>
      <w:r>
        <w:rPr>
          <w:rFonts w:ascii="宋体" w:hAnsi="宋体" w:cs="宋体" w:eastAsia="宋体" w:hint="default"/>
        </w:rPr>
        <w:t>2019</w:t>
      </w:r>
      <w:r>
        <w:rPr>
          <w:rFonts w:ascii="宋体" w:hAnsi="宋体" w:cs="宋体" w:eastAsia="宋体" w:hint="default"/>
          <w:spacing w:val="-53"/>
        </w:rPr>
        <w:t> </w:t>
      </w:r>
      <w:r>
        <w:rPr/>
        <w:t>年度，先河环 </w:t>
      </w:r>
      <w:r>
        <w:rPr>
          <w:spacing w:val="10"/>
        </w:rPr>
        <w:t>保公司主营业务收入为 </w:t>
      </w:r>
      <w:r>
        <w:rPr>
          <w:rFonts w:ascii="宋体" w:hAnsi="宋体" w:cs="宋体" w:eastAsia="宋体" w:hint="default"/>
        </w:rPr>
        <w:t>1,372,227,610.70 </w:t>
      </w:r>
      <w:r>
        <w:rPr>
          <w:spacing w:val="11"/>
        </w:rPr>
        <w:t>元，其中：环境监测系统收入 </w:t>
      </w:r>
      <w:r>
        <w:rPr>
          <w:rFonts w:ascii="宋体" w:hAnsi="宋体" w:cs="宋体" w:eastAsia="宋体" w:hint="default"/>
        </w:rPr>
        <w:t>898,956,664.48</w:t>
      </w:r>
      <w:r>
        <w:rPr>
          <w:rFonts w:ascii="宋体" w:hAnsi="宋体" w:cs="宋体" w:eastAsia="宋体" w:hint="default"/>
          <w:spacing w:val="40"/>
        </w:rPr>
        <w:t> </w:t>
      </w:r>
      <w:r>
        <w:rPr>
          <w:spacing w:val="11"/>
        </w:rPr>
        <w:t>元、运营及咨询服务收入</w:t>
      </w:r>
    </w:p>
    <w:p>
      <w:pPr>
        <w:pStyle w:val="BodyText"/>
        <w:spacing w:line="319" w:lineRule="auto" w:before="19"/>
        <w:ind w:right="1130"/>
        <w:jc w:val="both"/>
      </w:pPr>
      <w:r>
        <w:rPr>
          <w:rFonts w:ascii="宋体" w:hAnsi="宋体" w:cs="宋体" w:eastAsia="宋体" w:hint="default"/>
        </w:rPr>
        <w:t>354,321,675.93</w:t>
      </w:r>
      <w:r>
        <w:rPr>
          <w:rFonts w:ascii="宋体" w:hAnsi="宋体" w:cs="宋体" w:eastAsia="宋体" w:hint="default"/>
          <w:spacing w:val="-51"/>
        </w:rPr>
        <w:t> </w:t>
      </w:r>
      <w:r>
        <w:rPr>
          <w:spacing w:val="-4"/>
        </w:rPr>
        <w:t>元、其他收入</w:t>
      </w:r>
      <w:r>
        <w:rPr>
          <w:spacing w:val="-55"/>
        </w:rPr>
        <w:t> </w:t>
      </w:r>
      <w:r>
        <w:rPr>
          <w:rFonts w:ascii="宋体" w:hAnsi="宋体" w:cs="宋体" w:eastAsia="宋体" w:hint="default"/>
        </w:rPr>
        <w:t>118,949,270.29</w:t>
      </w:r>
      <w:r>
        <w:rPr>
          <w:rFonts w:ascii="宋体" w:hAnsi="宋体" w:cs="宋体" w:eastAsia="宋体" w:hint="default"/>
          <w:spacing w:val="-51"/>
        </w:rPr>
        <w:t> </w:t>
      </w:r>
      <w:r>
        <w:rPr/>
        <w:t>元。先河环保公司对于销售产品产生的收入是在商品所有权上的风险和报酬 </w:t>
      </w:r>
      <w:r>
        <w:rPr>
          <w:spacing w:val="-2"/>
        </w:rPr>
        <w:t>已转移至客户时确认的。公司销售商品收入具体判断标准：对于需安装调试且需要客户验收，于客户验收合格后确认收入的</w:t>
      </w:r>
      <w:r>
        <w:rPr>
          <w:spacing w:val="-63"/>
        </w:rPr>
        <w:t> </w:t>
      </w:r>
      <w:r>
        <w:rPr>
          <w:spacing w:val="-63"/>
        </w:rPr>
      </w:r>
      <w:r>
        <w:rPr>
          <w:spacing w:val="-2"/>
        </w:rPr>
        <w:t>实现；对不需要安装的仪器、备件的销售，于商品发出后确认收入的实现；运营维护服务具有长期和重复性的特点，在运营</w:t>
      </w:r>
      <w:r>
        <w:rPr>
          <w:spacing w:val="-67"/>
        </w:rPr>
        <w:t> </w:t>
      </w:r>
      <w:r>
        <w:rPr>
          <w:spacing w:val="-67"/>
        </w:rPr>
      </w:r>
      <w:r>
        <w:rPr>
          <w:spacing w:val="-2"/>
        </w:rPr>
        <w:t>维护期内分期确认收入。由于收入是先河环保公司的关键业绩指标之一，从而存在管理层为了达到特定目标或期望而操纵收</w:t>
      </w:r>
      <w:r>
        <w:rPr>
          <w:spacing w:val="-64"/>
        </w:rPr>
        <w:t> </w:t>
      </w:r>
      <w:r>
        <w:rPr>
          <w:spacing w:val="-64"/>
        </w:rPr>
      </w:r>
      <w:r>
        <w:rPr/>
        <w:t>入确认时点的固有风险，我们将先河环保公司收入确认作为关键审计事项。</w:t>
      </w:r>
    </w:p>
    <w:p>
      <w:pPr>
        <w:spacing w:line="316" w:lineRule="auto" w:before="17"/>
        <w:ind w:left="508" w:right="6258" w:firstLine="4"/>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、审计应对</w:t>
      </w:r>
      <w:r>
        <w:rPr>
          <w:rFonts w:ascii="宋体" w:hAnsi="宋体" w:cs="宋体" w:eastAsia="宋体" w:hint="default"/>
          <w:b/>
          <w:bCs/>
          <w:w w:val="99"/>
          <w:sz w:val="18"/>
          <w:szCs w:val="18"/>
        </w:rPr>
        <w:t> </w:t>
      </w:r>
      <w:r>
        <w:rPr>
          <w:rFonts w:ascii="宋体" w:hAnsi="宋体" w:cs="宋体" w:eastAsia="宋体" w:hint="default"/>
          <w:sz w:val="18"/>
          <w:szCs w:val="18"/>
        </w:rPr>
        <w:t>我们对先河环保公司收入确认的主要审计程序包括：</w:t>
      </w:r>
    </w:p>
    <w:p>
      <w:pPr>
        <w:pStyle w:val="BodyText"/>
        <w:tabs>
          <w:tab w:pos="1285" w:val="left" w:leader="none"/>
        </w:tabs>
        <w:spacing w:line="240" w:lineRule="auto" w:before="19"/>
        <w:ind w:left="585" w:right="1133"/>
        <w:jc w:val="left"/>
      </w:pPr>
      <w:r>
        <w:rPr/>
        <w:t>（</w:t>
      </w:r>
      <w:r>
        <w:rPr>
          <w:rFonts w:ascii="Times New Roman" w:hAnsi="Times New Roman" w:cs="Times New Roman" w:eastAsia="Times New Roman" w:hint="default"/>
        </w:rPr>
        <w:t>1</w:t>
      </w:r>
      <w:r>
        <w:rPr/>
        <w:t>）</w:t>
        <w:tab/>
        <w:t>了解和评价管理层与收入确认相关内部控制的设计和运行有效性；</w:t>
      </w:r>
    </w:p>
    <w:p>
      <w:pPr>
        <w:pStyle w:val="BodyText"/>
        <w:tabs>
          <w:tab w:pos="1285" w:val="left" w:leader="none"/>
        </w:tabs>
        <w:spacing w:line="300" w:lineRule="auto" w:before="63"/>
        <w:ind w:left="1005" w:right="1178" w:hanging="420"/>
        <w:jc w:val="left"/>
      </w:pPr>
      <w:r>
        <w:rPr/>
        <w:t>（</w:t>
      </w:r>
      <w:r>
        <w:rPr>
          <w:rFonts w:ascii="Times New Roman" w:hAnsi="Times New Roman" w:cs="Times New Roman" w:eastAsia="Times New Roman" w:hint="default"/>
        </w:rPr>
        <w:t>2</w:t>
      </w:r>
      <w:r>
        <w:rPr/>
        <w:t>）</w:t>
        <w:tab/>
        <w:t>选取样本检查销售合同，识别与商品所有权上的风险和报酬转移相关的合同条款与条件，评价收入确认时点 是否符合企业会计准则的要求；</w:t>
      </w:r>
    </w:p>
    <w:p>
      <w:pPr>
        <w:pStyle w:val="BodyText"/>
        <w:tabs>
          <w:tab w:pos="1285" w:val="left" w:leader="none"/>
        </w:tabs>
        <w:spacing w:line="240" w:lineRule="auto" w:before="31"/>
        <w:ind w:left="585" w:right="1133"/>
        <w:jc w:val="left"/>
      </w:pPr>
      <w:r>
        <w:rPr/>
        <w:t>（</w:t>
      </w:r>
      <w:r>
        <w:rPr>
          <w:rFonts w:ascii="Times New Roman" w:hAnsi="Times New Roman" w:cs="Times New Roman" w:eastAsia="Times New Roman" w:hint="default"/>
        </w:rPr>
        <w:t>3</w:t>
      </w:r>
      <w:r>
        <w:rPr/>
        <w:t>）</w:t>
        <w:tab/>
        <w:t>对本年记录的销售收入交易选取样本，核对发票、销售合同、安装验收单及出库单，评价相关收入是否符合</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1005" w:right="1133"/>
        <w:jc w:val="left"/>
      </w:pPr>
      <w:r>
        <w:rPr/>
        <w:t>收入确认的会计政策；</w:t>
      </w:r>
    </w:p>
    <w:p>
      <w:pPr>
        <w:pStyle w:val="BodyText"/>
        <w:tabs>
          <w:tab w:pos="1285" w:val="left" w:leader="none"/>
        </w:tabs>
        <w:spacing w:line="300" w:lineRule="auto" w:before="77"/>
        <w:ind w:left="1005" w:right="1178" w:hanging="420"/>
        <w:jc w:val="left"/>
      </w:pPr>
      <w:r>
        <w:rPr/>
        <w:t>（</w:t>
      </w:r>
      <w:r>
        <w:rPr>
          <w:rFonts w:ascii="Times New Roman" w:hAnsi="Times New Roman" w:cs="Times New Roman" w:eastAsia="Times New Roman" w:hint="default"/>
        </w:rPr>
        <w:t>4</w:t>
      </w:r>
      <w:r>
        <w:rPr/>
        <w:t>）</w:t>
        <w:tab/>
        <w:t>对本年记录的运营收入选取样本，按照提供服务的运营维护期限进行测算，评价相关收入确认是否符合收入 确认的会计政策；</w:t>
      </w:r>
    </w:p>
    <w:p>
      <w:pPr>
        <w:pStyle w:val="BodyText"/>
        <w:tabs>
          <w:tab w:pos="1285" w:val="left" w:leader="none"/>
        </w:tabs>
        <w:spacing w:line="300" w:lineRule="auto" w:before="31"/>
        <w:ind w:left="1005" w:right="1178" w:hanging="420"/>
        <w:jc w:val="left"/>
      </w:pPr>
      <w:r>
        <w:rPr/>
        <w:t>（</w:t>
      </w:r>
      <w:r>
        <w:rPr>
          <w:rFonts w:ascii="Times New Roman" w:hAnsi="Times New Roman" w:cs="Times New Roman" w:eastAsia="Times New Roman" w:hint="default"/>
        </w:rPr>
        <w:t>5</w:t>
      </w:r>
      <w:r>
        <w:rPr/>
        <w:t>）</w:t>
        <w:tab/>
        <w:t>就资产负债表日前后记录的收入交易，选取样本，核对安装验收单、出库单及其他支持性文件，以评价收入 是否被记录于恰当的会计期间；</w:t>
      </w:r>
    </w:p>
    <w:p>
      <w:pPr>
        <w:pStyle w:val="BodyText"/>
        <w:tabs>
          <w:tab w:pos="1285" w:val="left" w:leader="none"/>
        </w:tabs>
        <w:spacing w:line="300" w:lineRule="auto" w:before="31"/>
        <w:ind w:left="1005" w:right="1178" w:hanging="420"/>
        <w:jc w:val="left"/>
      </w:pPr>
      <w:r>
        <w:rPr/>
        <w:t>（</w:t>
      </w:r>
      <w:r>
        <w:rPr>
          <w:rFonts w:ascii="Times New Roman" w:hAnsi="Times New Roman" w:cs="Times New Roman" w:eastAsia="Times New Roman" w:hint="default"/>
        </w:rPr>
        <w:t>6</w:t>
      </w:r>
      <w:r>
        <w:rPr/>
        <w:t>）</w:t>
        <w:tab/>
        <w:t>结合应收账款函证程序，同时函证收入发生额的真实性及准确性，并抽查收入确认的相关单据，检查已确认 的收入的真实性。</w:t>
      </w:r>
    </w:p>
    <w:p>
      <w:pPr>
        <w:spacing w:line="240" w:lineRule="auto" w:before="4"/>
        <w:rPr>
          <w:rFonts w:ascii="宋体" w:hAnsi="宋体" w:cs="宋体" w:eastAsia="宋体" w:hint="default"/>
          <w:sz w:val="14"/>
          <w:szCs w:val="14"/>
        </w:rPr>
      </w:pPr>
    </w:p>
    <w:p>
      <w:pPr>
        <w:pStyle w:val="Heading4"/>
        <w:spacing w:line="240" w:lineRule="auto" w:before="0"/>
        <w:ind w:right="1133"/>
        <w:jc w:val="left"/>
        <w:rPr>
          <w:b w:val="0"/>
          <w:bCs w:val="0"/>
        </w:rPr>
      </w:pPr>
      <w:bookmarkStart w:name="四、其他信息" w:id="165"/>
      <w:bookmarkEnd w:id="165"/>
      <w:r>
        <w:rPr>
          <w:b w:val="0"/>
          <w:bCs w:val="0"/>
        </w:rPr>
      </w:r>
      <w:r>
        <w:rPr/>
        <w:t>四、其他信息</w:t>
      </w:r>
      <w:r>
        <w:rPr>
          <w:b w:val="0"/>
          <w:bCs w:val="0"/>
        </w:rPr>
      </w:r>
    </w:p>
    <w:p>
      <w:pPr>
        <w:spacing w:line="240" w:lineRule="auto" w:before="10"/>
        <w:rPr>
          <w:rFonts w:ascii="宋体" w:hAnsi="宋体" w:cs="宋体" w:eastAsia="宋体" w:hint="default"/>
          <w:b/>
          <w:bCs/>
          <w:sz w:val="17"/>
          <w:szCs w:val="17"/>
        </w:rPr>
      </w:pPr>
    </w:p>
    <w:p>
      <w:pPr>
        <w:pStyle w:val="BodyText"/>
        <w:spacing w:line="316" w:lineRule="auto"/>
        <w:ind w:right="1132" w:firstLine="360"/>
        <w:jc w:val="both"/>
      </w:pPr>
      <w:r>
        <w:rPr/>
        <w:t>先河环保公司管理层对其他信息负责。其他信息包括</w:t>
      </w:r>
      <w:r>
        <w:rPr>
          <w:spacing w:val="-42"/>
        </w:rPr>
        <w:t> </w:t>
      </w:r>
      <w:r>
        <w:rPr>
          <w:rFonts w:ascii="宋体" w:hAnsi="宋体" w:cs="宋体" w:eastAsia="宋体" w:hint="default"/>
        </w:rPr>
        <w:t>2019</w:t>
      </w:r>
      <w:r>
        <w:rPr>
          <w:rFonts w:ascii="宋体" w:hAnsi="宋体" w:cs="宋体" w:eastAsia="宋体" w:hint="default"/>
          <w:spacing w:val="-41"/>
        </w:rPr>
        <w:t> </w:t>
      </w:r>
      <w:r>
        <w:rPr/>
        <w:t>年年度报告中涵盖的信息，但不包括财务报表和我们的审计 报告。</w:t>
      </w:r>
    </w:p>
    <w:p>
      <w:pPr>
        <w:pStyle w:val="BodyText"/>
        <w:spacing w:line="319" w:lineRule="auto" w:before="19"/>
        <w:ind w:left="513" w:right="1129"/>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7"/>
        <w:ind w:left="513" w:right="1129" w:hanging="361"/>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right="1133"/>
        <w:jc w:val="left"/>
      </w:pPr>
      <w:r>
        <w:rPr/>
        <w:t>报告。</w:t>
      </w:r>
    </w:p>
    <w:p>
      <w:pPr>
        <w:spacing w:line="460" w:lineRule="atLeast" w:before="8"/>
        <w:ind w:left="513" w:right="1133" w:firstLine="0"/>
        <w:jc w:val="left"/>
        <w:rPr>
          <w:rFonts w:ascii="宋体" w:hAnsi="宋体" w:cs="宋体" w:eastAsia="宋体" w:hint="default"/>
          <w:sz w:val="18"/>
          <w:szCs w:val="18"/>
        </w:rPr>
      </w:pPr>
      <w:bookmarkStart w:name="五、管理层和治理层对财务报表的责任" w:id="166"/>
      <w:bookmarkEnd w:id="166"/>
      <w:r>
        <w:rPr/>
      </w: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先河环保公司管理层（以下简称管理层）负责按照企业会计准则的规定编制财务报表，使其实现公允反映，并设计、执</w:t>
      </w:r>
    </w:p>
    <w:p>
      <w:pPr>
        <w:pStyle w:val="BodyText"/>
        <w:spacing w:line="316" w:lineRule="auto" w:before="76"/>
        <w:ind w:left="513" w:right="1129" w:hanging="361"/>
        <w:jc w:val="left"/>
      </w:pPr>
      <w:r>
        <w:rPr/>
        <w:t>行和维护必要的内部控制，以使财务报表不存在由于舞弊或错误导致的重大错报。 </w:t>
      </w:r>
      <w:r>
        <w:rPr>
          <w:spacing w:val="-2"/>
        </w:rPr>
        <w:t>在编制财务报表时，管理层负责评估先河环保公司的持续经营能力，披露与持续经营相关的事项（如适用），并运用持</w:t>
      </w:r>
    </w:p>
    <w:p>
      <w:pPr>
        <w:pStyle w:val="BodyText"/>
        <w:spacing w:line="316" w:lineRule="auto" w:before="19"/>
        <w:ind w:left="513" w:right="4094" w:hanging="361"/>
        <w:jc w:val="left"/>
      </w:pPr>
      <w:r>
        <w:rPr/>
        <w:t>续经营假设，除非管理层计划清算先河环保公司、终止运营或别无其他现实的选择。 治理层负责监督先河环保公司的财务报告过程。</w:t>
      </w:r>
    </w:p>
    <w:p>
      <w:pPr>
        <w:spacing w:line="468" w:lineRule="exact" w:before="11"/>
        <w:ind w:left="626" w:right="1129" w:hanging="113"/>
        <w:jc w:val="left"/>
        <w:rPr>
          <w:rFonts w:ascii="宋体" w:hAnsi="宋体" w:cs="宋体" w:eastAsia="宋体" w:hint="default"/>
          <w:sz w:val="18"/>
          <w:szCs w:val="18"/>
        </w:rPr>
      </w:pPr>
      <w:bookmarkStart w:name="六、注册会计师对财务报表审计的责任" w:id="167"/>
      <w:bookmarkEnd w:id="167"/>
      <w:r>
        <w:rPr/>
      </w: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pacing w:val="-1"/>
          <w:sz w:val="18"/>
          <w:szCs w:val="18"/>
        </w:rPr>
        <w:t>我们的目标是对财务报表整体是否不存在由于舞弊或错误导致的重大错报获取合理保证，并出具包含审计意见的审计</w:t>
      </w:r>
    </w:p>
    <w:p>
      <w:pPr>
        <w:pStyle w:val="BodyText"/>
        <w:spacing w:line="316" w:lineRule="auto" w:before="8"/>
        <w:ind w:right="1130"/>
        <w:jc w:val="both"/>
      </w:pPr>
      <w:r>
        <w:rPr>
          <w:spacing w:val="-2"/>
        </w:rPr>
        <w:t>报告。合理保证是高水平的保证，但并不能保证按照审计准则执行的审计在某一重大错报存在时总能发现。错报可能由于舞</w:t>
      </w:r>
      <w:r>
        <w:rPr>
          <w:spacing w:val="-63"/>
        </w:rPr>
        <w:t> </w:t>
      </w:r>
      <w:r>
        <w:rPr>
          <w:spacing w:val="-63"/>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19"/>
        <w:ind w:left="513" w:right="1133"/>
        <w:jc w:val="left"/>
      </w:pPr>
      <w:r>
        <w:rPr/>
        <w:t>在按照审计准则执行审计工作的过程中，我们运用职业判断，并保持职业怀疑。同时，我们也执行以下工作：</w:t>
      </w:r>
    </w:p>
    <w:p>
      <w:pPr>
        <w:pStyle w:val="BodyText"/>
        <w:spacing w:line="316" w:lineRule="auto" w:before="76"/>
        <w:ind w:right="1050" w:firstLine="360"/>
        <w:jc w:val="both"/>
      </w:pPr>
      <w:r>
        <w:rPr/>
        <w:t>（一）识别和评估由于舞弊或错误导致的财务报表重大错报风险，设计和实施审计程序以应对这些风险，并获取充分、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9"/>
        <w:ind w:left="513" w:right="1133"/>
        <w:jc w:val="left"/>
      </w:pPr>
      <w:r>
        <w:rPr/>
        <w:t>（二）了解与审计相关的内部控制，以设计恰当的审计程序，但目的并非对内部控制的有效性发表意见。</w:t>
      </w:r>
    </w:p>
    <w:p>
      <w:pPr>
        <w:pStyle w:val="BodyText"/>
        <w:spacing w:line="240" w:lineRule="auto" w:before="76"/>
        <w:ind w:left="513" w:right="1133"/>
        <w:jc w:val="left"/>
      </w:pPr>
      <w:r>
        <w:rPr/>
        <w:t>（三）评价管理层选用会计政策的恰当性和作出会计估计及相关披露的合理性。</w:t>
      </w:r>
    </w:p>
    <w:p>
      <w:pPr>
        <w:pStyle w:val="BodyText"/>
        <w:spacing w:line="316" w:lineRule="auto" w:before="77"/>
        <w:ind w:right="1128" w:firstLine="360"/>
        <w:jc w:val="both"/>
      </w:pPr>
      <w:r>
        <w:rPr>
          <w:spacing w:val="-2"/>
        </w:rPr>
        <w:t>（四）对管理层使用持续经营假设的恰当性得出结论。同时，根据获取的审计证据，就可能导致对先河环保公司持续经</w:t>
      </w:r>
      <w:r>
        <w:rPr/>
        <w:t> </w:t>
      </w:r>
      <w:r>
        <w:rPr>
          <w:spacing w:val="-2"/>
        </w:rPr>
        <w:t>营能力产生重大疑虑的事项或情况是否存在重大不确定性得出结论。如果我们得出结论认为存在重大不确定性，审计准则要</w:t>
      </w:r>
      <w:r>
        <w:rPr>
          <w:spacing w:val="-64"/>
        </w:rPr>
        <w:t> </w:t>
      </w:r>
      <w:r>
        <w:rPr>
          <w:spacing w:val="-64"/>
        </w:rPr>
      </w:r>
      <w:r>
        <w:rPr>
          <w:spacing w:val="-2"/>
        </w:rPr>
        <w:t>求我们在审计报告中提请报表使用者注意财务报表中的相关披露；如果披露不充分，我们应当发表非无保留意见。我们的结</w:t>
      </w:r>
      <w:r>
        <w:rPr>
          <w:spacing w:val="-66"/>
        </w:rPr>
        <w:t> </w:t>
      </w:r>
      <w:r>
        <w:rPr>
          <w:spacing w:val="-66"/>
        </w:rPr>
      </w:r>
      <w:r>
        <w:rPr/>
        <w:t>论基于截至审计报告日可获得的信息。然而，未来的事项或情况可能导致先河环保公司不能持续经营。</w:t>
      </w:r>
    </w:p>
    <w:p>
      <w:pPr>
        <w:pStyle w:val="BodyText"/>
        <w:spacing w:line="240" w:lineRule="auto" w:before="19"/>
        <w:ind w:left="513" w:right="1133"/>
        <w:jc w:val="left"/>
      </w:pPr>
      <w:r>
        <w:rPr/>
        <w:t>（五）评价财务报表的总体列报、结构和内容，并评价财务报表是否公允反映相关交易和事项。</w:t>
      </w:r>
    </w:p>
    <w:p>
      <w:pPr>
        <w:pStyle w:val="BodyText"/>
        <w:spacing w:line="316" w:lineRule="auto" w:before="76"/>
        <w:ind w:right="1132" w:firstLine="360"/>
        <w:jc w:val="both"/>
      </w:pPr>
      <w:r>
        <w:rPr>
          <w:spacing w:val="-2"/>
        </w:rPr>
        <w:t>（六）就先河环保公司中实体或业务活动的财务信息获取充分、适当的审计证据，以对财务报表发表意见。我们负责指</w:t>
      </w:r>
      <w:r>
        <w:rPr/>
        <w:t> 导、监督和执行集团审计。我们对审计意见承担全部责任。</w:t>
      </w:r>
    </w:p>
    <w:p>
      <w:pPr>
        <w:pStyle w:val="BodyText"/>
        <w:spacing w:line="316" w:lineRule="auto" w:before="19"/>
        <w:ind w:right="1134" w:firstLine="353"/>
        <w:jc w:val="both"/>
      </w:pPr>
      <w:r>
        <w:rPr>
          <w:spacing w:val="-2"/>
        </w:rPr>
        <w:t>我们与治理层就计划的审计范围、时间安排和重大审计发现等事项进行沟通，包括沟通我们在审计中识别出的值得关注</w:t>
      </w:r>
      <w:r>
        <w:rPr/>
        <w:t> 的内部控制缺陷。</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2" w:firstLine="360"/>
        <w:jc w:val="both"/>
      </w:pPr>
      <w:r>
        <w:rPr/>
        <w:t>我们还就已遵守与独立性相关的职业道德要求向治理层提供声明</w:t>
      </w:r>
      <w:r>
        <w:rPr>
          <w:spacing w:val="-82"/>
        </w:rPr>
        <w:t>，</w:t>
      </w:r>
      <w:r>
        <w:rPr/>
        <w:t>并与治理层沟通可能被合理认为影响我们独立性的所</w:t>
      </w:r>
      <w:r>
        <w:rPr/>
        <w:t> 有关系和其他事项，以及相关的防范措施（如适用</w:t>
      </w:r>
      <w:r>
        <w:rPr>
          <w:spacing w:val="-92"/>
        </w:rPr>
        <w:t>）</w:t>
      </w:r>
      <w:r>
        <w:rPr/>
        <w:t>。</w:t>
      </w:r>
    </w:p>
    <w:p>
      <w:pPr>
        <w:pStyle w:val="BodyText"/>
        <w:spacing w:line="316" w:lineRule="auto" w:before="17"/>
        <w:ind w:right="1129"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2"/>
        </w:rPr>
        <w:t> </w:t>
      </w:r>
      <w:r>
        <w:rPr>
          <w:spacing w:val="-62"/>
        </w:rPr>
      </w:r>
      <w:r>
        <w:rPr/>
        <w:t>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tbl>
      <w:tblPr>
        <w:tblW w:w="0" w:type="auto"/>
        <w:jc w:val="left"/>
        <w:tblInd w:w="692" w:type="dxa"/>
        <w:tblLayout w:type="fixed"/>
        <w:tblCellMar>
          <w:top w:w="0" w:type="dxa"/>
          <w:left w:w="0" w:type="dxa"/>
          <w:bottom w:w="0" w:type="dxa"/>
          <w:right w:w="0" w:type="dxa"/>
        </w:tblCellMar>
        <w:tblLook w:val="01E0"/>
      </w:tblPr>
      <w:tblGrid>
        <w:gridCol w:w="3633"/>
        <w:gridCol w:w="3696"/>
      </w:tblGrid>
      <w:tr>
        <w:trPr>
          <w:trHeight w:val="1036" w:hRule="exact"/>
        </w:trPr>
        <w:tc>
          <w:tcPr>
            <w:tcW w:w="3633" w:type="dxa"/>
            <w:tcBorders>
              <w:top w:val="nil" w:sz="6" w:space="0" w:color="auto"/>
              <w:left w:val="nil" w:sz="6" w:space="0" w:color="auto"/>
              <w:bottom w:val="nil" w:sz="6" w:space="0" w:color="auto"/>
              <w:right w:val="nil" w:sz="6" w:space="0" w:color="auto"/>
            </w:tcBorders>
          </w:tcPr>
          <w:p>
            <w:pPr>
              <w:pStyle w:val="TableParagraph"/>
              <w:spacing w:line="180" w:lineRule="exact"/>
              <w:ind w:right="171"/>
              <w:jc w:val="center"/>
              <w:rPr>
                <w:rFonts w:ascii="宋体" w:hAnsi="宋体" w:cs="宋体" w:eastAsia="宋体" w:hint="default"/>
                <w:sz w:val="18"/>
                <w:szCs w:val="18"/>
              </w:rPr>
            </w:pPr>
            <w:r>
              <w:rPr>
                <w:rFonts w:ascii="宋体" w:hAnsi="宋体" w:cs="宋体" w:eastAsia="宋体" w:hint="default"/>
                <w:sz w:val="18"/>
                <w:szCs w:val="18"/>
              </w:rPr>
              <w:t>利安达会计师事务所（特殊普通合伙）</w:t>
            </w:r>
          </w:p>
        </w:tc>
        <w:tc>
          <w:tcPr>
            <w:tcW w:w="3696" w:type="dxa"/>
            <w:tcBorders>
              <w:top w:val="nil" w:sz="6" w:space="0" w:color="auto"/>
              <w:left w:val="nil" w:sz="6" w:space="0" w:color="auto"/>
              <w:bottom w:val="nil" w:sz="6" w:space="0" w:color="auto"/>
              <w:right w:val="nil" w:sz="6" w:space="0" w:color="auto"/>
            </w:tcBorders>
          </w:tcPr>
          <w:p>
            <w:pPr>
              <w:pStyle w:val="TableParagraph"/>
              <w:spacing w:line="180" w:lineRule="exact"/>
              <w:ind w:left="373" w:right="0"/>
              <w:jc w:val="left"/>
              <w:rPr>
                <w:rFonts w:ascii="宋体" w:hAnsi="宋体" w:cs="宋体" w:eastAsia="宋体" w:hint="default"/>
                <w:sz w:val="18"/>
                <w:szCs w:val="18"/>
              </w:rPr>
            </w:pPr>
            <w:r>
              <w:rPr>
                <w:rFonts w:ascii="宋体" w:hAnsi="宋体" w:cs="宋体" w:eastAsia="宋体" w:hint="default"/>
                <w:sz w:val="18"/>
                <w:szCs w:val="18"/>
              </w:rPr>
              <w:t>中国注册会计师</w:t>
            </w:r>
          </w:p>
          <w:p>
            <w:pPr>
              <w:pStyle w:val="TableParagraph"/>
              <w:spacing w:line="240" w:lineRule="auto" w:before="77"/>
              <w:ind w:left="373" w:right="0"/>
              <w:jc w:val="left"/>
              <w:rPr>
                <w:rFonts w:ascii="宋体" w:hAnsi="宋体" w:cs="宋体" w:eastAsia="宋体" w:hint="default"/>
                <w:sz w:val="18"/>
                <w:szCs w:val="18"/>
              </w:rPr>
            </w:pPr>
            <w:r>
              <w:rPr>
                <w:rFonts w:ascii="宋体" w:hAnsi="宋体" w:cs="宋体" w:eastAsia="宋体" w:hint="default"/>
                <w:sz w:val="18"/>
                <w:szCs w:val="18"/>
              </w:rPr>
              <w:t>（项目合伙人）：邱淦泳</w:t>
            </w:r>
          </w:p>
        </w:tc>
      </w:tr>
      <w:tr>
        <w:trPr>
          <w:trHeight w:val="1112" w:hRule="exact"/>
        </w:trPr>
        <w:tc>
          <w:tcPr>
            <w:tcW w:w="36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71"/>
              <w:jc w:val="center"/>
              <w:rPr>
                <w:rFonts w:ascii="宋体" w:hAnsi="宋体" w:cs="宋体" w:eastAsia="宋体" w:hint="default"/>
                <w:sz w:val="18"/>
                <w:szCs w:val="18"/>
              </w:rPr>
            </w:pPr>
            <w:r>
              <w:rPr>
                <w:rFonts w:ascii="宋体" w:hAnsi="宋体" w:cs="宋体" w:eastAsia="宋体" w:hint="default"/>
                <w:sz w:val="18"/>
                <w:szCs w:val="18"/>
              </w:rPr>
              <w:t>中国·北京</w:t>
            </w:r>
          </w:p>
        </w:tc>
        <w:tc>
          <w:tcPr>
            <w:tcW w:w="36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93" w:right="0"/>
              <w:jc w:val="left"/>
              <w:rPr>
                <w:rFonts w:ascii="宋体" w:hAnsi="宋体" w:cs="宋体" w:eastAsia="宋体" w:hint="default"/>
                <w:sz w:val="18"/>
                <w:szCs w:val="18"/>
              </w:rPr>
            </w:pPr>
            <w:r>
              <w:rPr>
                <w:rFonts w:ascii="宋体" w:hAnsi="宋体" w:cs="宋体" w:eastAsia="宋体" w:hint="default"/>
                <w:sz w:val="18"/>
                <w:szCs w:val="18"/>
              </w:rPr>
              <w:t>中国注册会计师：许海丽</w:t>
            </w:r>
          </w:p>
        </w:tc>
      </w:tr>
      <w:tr>
        <w:trPr>
          <w:trHeight w:val="569" w:hRule="exact"/>
        </w:trPr>
        <w:tc>
          <w:tcPr>
            <w:tcW w:w="3633" w:type="dxa"/>
            <w:tcBorders>
              <w:top w:val="nil" w:sz="6" w:space="0" w:color="auto"/>
              <w:left w:val="nil" w:sz="6" w:space="0" w:color="auto"/>
              <w:bottom w:val="nil" w:sz="6" w:space="0" w:color="auto"/>
              <w:right w:val="nil" w:sz="6" w:space="0" w:color="auto"/>
            </w:tcBorders>
          </w:tcPr>
          <w:p>
            <w:pPr/>
          </w:p>
        </w:tc>
        <w:tc>
          <w:tcPr>
            <w:tcW w:w="36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516" w:right="0"/>
              <w:jc w:val="left"/>
              <w:rPr>
                <w:rFonts w:ascii="宋体" w:hAnsi="宋体" w:cs="宋体" w:eastAsia="宋体" w:hint="default"/>
                <w:sz w:val="18"/>
                <w:szCs w:val="18"/>
              </w:rPr>
            </w:pPr>
            <w:r>
              <w:rPr>
                <w:rFonts w:ascii="宋体" w:hAnsi="宋体" w:cs="宋体" w:eastAsia="宋体" w:hint="default"/>
                <w:sz w:val="18"/>
                <w:szCs w:val="18"/>
              </w:rPr>
              <w:t>二〇二〇年四月二十七日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2"/>
        <w:spacing w:line="240" w:lineRule="auto" w:before="26"/>
        <w:ind w:right="1133"/>
        <w:jc w:val="left"/>
        <w:rPr>
          <w:b w:val="0"/>
          <w:bCs w:val="0"/>
        </w:rPr>
      </w:pPr>
      <w:bookmarkStart w:name="二、财务报表" w:id="168"/>
      <w:bookmarkEnd w:id="168"/>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财务附注中报表的单位为：元</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1、合并资产负债表" w:id="169"/>
      <w:bookmarkEnd w:id="16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编制单位：河北先河环保科技股份有限公司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573" w:space="503"/>
            <w:col w:w="1642" w:space="3202"/>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86"/>
              <w:jc w:val="right"/>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757,851,304.15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572,708,285.99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00"/>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10,617,279.36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917,300.00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624,662,873.37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599,886,629.33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75,571,198.15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103,052,392.47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60,857,497.93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98,802,386.60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399,314,981.07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473,444,069.39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1,598,242.08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2,917,860.11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1,945,473,376.11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1,851,728,923.89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245,085,966.09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246,675,191.87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5,266,632.90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22,715,525.77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25,253,048.77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287,438,779.65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310,650,771.51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2,634,052.31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3,144,924.98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29,030,871.17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27,852,383.95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586,905,194.99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618,842,953.98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2,532,378,571.10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2,470,571,877.87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1,934,600.00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24,186,941.00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184,318,952.52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171,137,912.69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112,651,234.05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131,253,789.10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12,852,892.97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13,053,569.63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85,502,175.28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96,267,029.83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22,220,714.96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23,675,151.69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4,562,282.40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9,124,564.80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424,042,852.18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602,698,958.74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8,312,216.15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6,388,941.78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39,839.18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79,678.36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8,352,055.33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6,468,620.14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432,394,907.51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609,167,578.88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551,032,550.00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551,032,550.00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471,132,852.81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471,132,852.81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45,470,567.77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36,901,998.60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2,033,734.88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1,656,668.40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126,356,358.11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93,330,489.89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957,609,736.62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727,987,313.88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2,062,694,664.65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1,808,237,876.38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37,288,998.94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53,166,422.61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2,099,983,663.59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1,861,404,298.99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2,532,378,571.10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2,470,571,877.87</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1133"/>
        <w:jc w:val="left"/>
      </w:pPr>
      <w:r>
        <w:rPr/>
        <w:t>法定代表人：李玉国</w:t>
        <w:tab/>
      </w:r>
      <w:r>
        <w:rPr>
          <w:spacing w:val="-1"/>
        </w:rPr>
        <w:t>主管会计工作负责人：李国壁</w:t>
        <w:tab/>
      </w:r>
      <w:r>
        <w:rPr/>
        <w:t>会计机构负责人：王才宁</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母公司资产负债表" w:id="170"/>
      <w:bookmarkEnd w:id="17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619,401,071.86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420,584,176.26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8,309,706.76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579,777,917.38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504,134,384.18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59,155,437.55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88,469,472.07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157,136,288.10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193,527,072.46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282,893,895.15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344,774,895.14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1,706,674,316.80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1,551,490,000.11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494,276,948.90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512,276,948.90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165,319,118.62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174,632,075.28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72,413.79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11,731,510.68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11,893,807.10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2,313,842.83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355,980.00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22,795,607.00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21,443,593.11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696,437,028.03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720,674,818.18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2,403,111,344.83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2,272,164,818.29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24,186,941.00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142,070,345.43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143,428,527.44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33,529,579.86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52,859,651.72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6,595,175.32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6,313,527.75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64,407,970.77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63,945,611.16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4,922,426.06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8,181,525.68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4,562,282.40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9,124,564.80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258,022,379.84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442,040,349.55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7,005,824.96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3,731,441.78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7,005,824.96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3,731,441.78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265,028,204.80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445,771,791.33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551,032,550.00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551,032,550.00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461,132,852.81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471,132,852.81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45,470,567.77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36,901,998.60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126,356,358.11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93,330,489.89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1,045,031,946.88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747,799,132.86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2,138,083,140.03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1,826,393,026.96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2,403,111,344.83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2,272,164,818.29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3、合并利润表" w:id="171"/>
      <w:bookmarkEnd w:id="17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1,374,326,135.32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1,374,100,144.47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1,374,326,135.32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1,374,100,144.47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1,069,282,569.55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1,058,204,027.62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700,014,430.25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681,997,581.69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496.209991pt;width:158.9pt;height:20.65pt;mso-position-horizontal-relative:page;mso-position-vertical-relative:page;z-index:-1057768" coordorigin="4220,9924" coordsize="3178,413">
            <v:group style="position:absolute;left:4231;top:9935;width:2;height:392" coordorigin="4231,9935" coordsize="2,392">
              <v:shape style="position:absolute;left:4231;top:9935;width:2;height:392" coordorigin="4231,9935" coordsize="0,392" path="m4231,9935l4231,10326e" filled="false" stroked="true" strokeweight="1.08pt" strokecolor="#ffffff">
                <v:path arrowok="t"/>
              </v:shape>
            </v:group>
            <v:group style="position:absolute;left:4242;top:9935;width:3157;height:392" coordorigin="4242,9935" coordsize="3157,392">
              <v:shape style="position:absolute;left:4242;top:9935;width:3157;height:392" coordorigin="4242,9935" coordsize="3157,392" path="m4242,10326l7398,10326,7398,9935,4242,9935,4242,1032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3222"/>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13,769,561.19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12,698,120.56</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150,648,883.19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157,165,771.10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149,771,589.27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153,559,938.84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61,077,116.84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55,978,066.79</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-5,999,011.19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-3,195,451.36</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2,357,034.46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1,857,566.40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10,101,446.63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5,768,104.45</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31,757,569.09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47,274,441.38</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148,586.95</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-12,464,051.89</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-23,211,991.86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-53,012,723.04</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334,968.79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38,723.98</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301,608,646.85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310,196,559.17</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7,111,858.42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2,063,469.51</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1,686,635.60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884,539.40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71.935982pt;width:158.9pt;height:20.7pt;mso-position-horizontal-relative:page;mso-position-vertical-relative:page;z-index:-1057744" coordorigin="4220,1439" coordsize="3178,414">
            <v:group style="position:absolute;left:4231;top:1450;width:2;height:392" coordorigin="4231,1450" coordsize="2,392">
              <v:shape style="position:absolute;left:4231;top:1450;width:2;height:392" coordorigin="4231,1450" coordsize="0,392" path="m4231,1450l4231,1841e" filled="false" stroked="true" strokeweight="1.08pt" strokecolor="#ffffff">
                <v:path arrowok="t"/>
              </v:shape>
            </v:group>
            <v:group style="position:absolute;left:4242;top:1450;width:3157;height:392" coordorigin="4242,1450" coordsize="3157,392">
              <v:shape style="position:absolute;left:4242;top:1450;width:3157;height:392" coordorigin="4242,1450" coordsize="3157,392" path="m4242,1841l7398,1841,7398,1450,4242,1450,4242,184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1071"/>
        <w:gridCol w:w="2151"/>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6" w:right="0"/>
              <w:jc w:val="left"/>
              <w:rPr>
                <w:rFonts w:ascii="Times New Roman" w:hAnsi="Times New Roman" w:cs="Times New Roman" w:eastAsia="Times New Roman" w:hint="default"/>
                <w:sz w:val="18"/>
                <w:szCs w:val="18"/>
              </w:rPr>
            </w:pPr>
            <w:r>
              <w:rPr>
                <w:rFonts w:ascii="Times New Roman"/>
                <w:sz w:val="18"/>
              </w:rPr>
              <w:t>307,033,869.67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311,375,489.28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44,268,278.46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44,154,321.47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262,765,591.21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267,221,167.81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5" w:right="0"/>
              <w:jc w:val="left"/>
              <w:rPr>
                <w:rFonts w:ascii="Times New Roman" w:hAnsi="Times New Roman" w:cs="Times New Roman" w:eastAsia="Times New Roman" w:hint="default"/>
                <w:sz w:val="18"/>
                <w:szCs w:val="18"/>
              </w:rPr>
            </w:pPr>
            <w:r>
              <w:rPr>
                <w:rFonts w:ascii="Times New Roman"/>
                <w:sz w:val="18"/>
              </w:rPr>
              <w:t>262,765,591.21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267,221,167.81</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262,648,290.96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259,434,109.03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117,300.25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7,787,058.78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530,015.09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1,436,543.74</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377,066.48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925,295.62</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377,066.48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925,295.62</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377,066.48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925,295.62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152,948.61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511,248.12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263,295,606.30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268,657,711.55</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263,025,357.44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260,359,404.65</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270,248.86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8,298,306.90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0.47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0.47</w:t>
            </w:r>
          </w:p>
        </w:tc>
      </w:tr>
    </w:tbl>
    <w:p>
      <w:pPr>
        <w:pStyle w:val="BodyText"/>
        <w:tabs>
          <w:tab w:pos="3578" w:val="left" w:leader="none"/>
          <w:tab w:pos="7721" w:val="left" w:leader="none"/>
        </w:tabs>
        <w:spacing w:line="621" w:lineRule="auto" w:before="49"/>
        <w:ind w:right="1223"/>
        <w:jc w:val="left"/>
      </w:pPr>
      <w:r>
        <w:rPr/>
        <w:t>本期发生同一控制下企业合并的，被合并方在合并前实现的净利润为：元，上期被合并方实现的净利润为：元。 法定代表人：李玉国</w:t>
        <w:tab/>
      </w:r>
      <w:r>
        <w:rPr>
          <w:spacing w:val="-1"/>
        </w:rPr>
        <w:t>主管会计工作负责人：李国壁</w:t>
        <w:tab/>
      </w:r>
      <w:r>
        <w:rPr/>
        <w:t>会计机构负责人：王才宁</w:t>
      </w:r>
    </w:p>
    <w:p>
      <w:pPr>
        <w:pStyle w:val="Heading3"/>
        <w:spacing w:line="240" w:lineRule="auto" w:before="69"/>
        <w:ind w:right="1133"/>
        <w:jc w:val="left"/>
        <w:rPr>
          <w:b w:val="0"/>
          <w:bCs w:val="0"/>
        </w:rPr>
      </w:pPr>
      <w:bookmarkStart w:name="4、母公司利润表" w:id="172"/>
      <w:bookmarkEnd w:id="172"/>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1,089,187,415.94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967,014,017.76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526,766,086.37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462,630,897.76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11,299,899.61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9,157,868.11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105,992,100.81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97,163,550.37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79,864,724.73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78,199,877.50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38,140,951.43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26,886,691.56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-5,736,735.42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-2,431,671.40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2,357,034.46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1,857,566.40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9,253,862.29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5,134,105.55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28,770,985.20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42,499,467.43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18,730,975.48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18,939,096.00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92" w:right="0"/>
              <w:jc w:val="left"/>
              <w:rPr>
                <w:rFonts w:ascii="宋体" w:hAnsi="宋体" w:cs="宋体" w:eastAsia="宋体" w:hint="default"/>
                <w:sz w:val="18"/>
                <w:szCs w:val="18"/>
              </w:rPr>
            </w:pPr>
            <w:r>
              <w:rPr>
                <w:rFonts w:ascii="宋体" w:hAnsi="宋体" w:cs="宋体" w:eastAsia="宋体" w:hint="default"/>
                <w:sz w:val="18"/>
                <w:szCs w:val="18"/>
              </w:rPr>
              <w:t>以摊余成本计量的金融</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67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190"/>
              <w:jc w:val="left"/>
              <w:rPr>
                <w:rFonts w:ascii="宋体" w:hAnsi="宋体" w:cs="宋体" w:eastAsia="宋体" w:hint="default"/>
                <w:sz w:val="18"/>
                <w:szCs w:val="18"/>
              </w:rPr>
            </w:pPr>
            <w:r>
              <w:rPr>
                <w:rFonts w:ascii="宋体" w:hAnsi="宋体" w:cs="宋体" w:eastAsia="宋体" w:hint="default"/>
                <w:sz w:val="18"/>
                <w:szCs w:val="18"/>
              </w:rPr>
              <w:t>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-9,013,425.93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-22,622,876.76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322,735.58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371,671,658.74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334,222,490.53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4,537,349.11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744,435.36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1,035,317.64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51,330.00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375,173,690.21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334,915,595.89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44,915,007.97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39,896,259.03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330,258,682.24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295,019,336.86</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330,258,682.24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295,019,336.86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46" w:right="0"/>
              <w:jc w:val="left"/>
              <w:rPr>
                <w:rFonts w:ascii="Times New Roman" w:hAnsi="Times New Roman" w:cs="Times New Roman" w:eastAsia="Times New Roman" w:hint="default"/>
                <w:sz w:val="18"/>
                <w:szCs w:val="18"/>
              </w:rPr>
            </w:pPr>
            <w:r>
              <w:rPr>
                <w:rFonts w:ascii="Times New Roman"/>
                <w:sz w:val="18"/>
              </w:rPr>
              <w:t>330,258,682.24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295,019,336.86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5、合并现金流量表" w:id="173"/>
      <w:bookmarkEnd w:id="17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013" w:right="0"/>
              <w:jc w:val="left"/>
              <w:rPr>
                <w:rFonts w:ascii="Times New Roman" w:hAnsi="Times New Roman" w:cs="Times New Roman" w:eastAsia="Times New Roman" w:hint="default"/>
                <w:sz w:val="18"/>
                <w:szCs w:val="18"/>
              </w:rPr>
            </w:pPr>
            <w:r>
              <w:rPr>
                <w:rFonts w:ascii="Times New Roman"/>
                <w:sz w:val="18"/>
              </w:rPr>
              <w:t>1,452,805,146.87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9" w:right="0"/>
              <w:jc w:val="left"/>
              <w:rPr>
                <w:rFonts w:ascii="Times New Roman" w:hAnsi="Times New Roman" w:cs="Times New Roman" w:eastAsia="Times New Roman" w:hint="default"/>
                <w:sz w:val="18"/>
                <w:szCs w:val="18"/>
              </w:rPr>
            </w:pPr>
            <w:r>
              <w:rPr>
                <w:rFonts w:ascii="Times New Roman"/>
                <w:sz w:val="18"/>
              </w:rPr>
              <w:t>1,107,368,615.64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26,173,152.71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40,780,408.03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157,904,310.19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55,970,953.67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1,636,882,609.77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1,204,119,977.34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630,959,765.72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788,679,398.28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217,204,948.37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174,922,615.53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178,847,090.65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146,394,125.41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257,148,413.03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166,387,257.59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1,284,160,217.77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1,276,383,396.81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352,722,392.00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-72,263,419.47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61,813.70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7,142,936.43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14,076,947.96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51,281,698.09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26,531,829.53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7,336,220.56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35,559,712.50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71,531,829.53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42,895,933.06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-20,250,131.44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-2,895,933.06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10,134,334.75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22,863,165.44</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4,714,779.19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5,643,398.24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11,568,569.17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36,901,998.60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155,702,903.92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59,765,164.04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-155,702,903.92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74,234,835.96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199,411.73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682,788.43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176,968,768.37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-241,728.14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pacing w:val="-1"/>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556,600,541.05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556,842,269.19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733,569,309.42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556,600,541.05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6、母公司现金流量表" w:id="174"/>
      <w:bookmarkEnd w:id="17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1,087,443,841.97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789,824,350.20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25,183,568.38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39,515,793.13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125,964,139.13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19,072,252.09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1,238,591,549.48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848,412,395.42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446,467,550.81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557,961,474.11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145,385,499.32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105,299,138.78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146,597,173.95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117,880,041.13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176,878,557.35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162,313,188.24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915,328,781.43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943,453,842.26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323,262,768.05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-95,041,446.84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19,203,200.00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18,939,096.00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7,142,936.43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pacing w:val="-1"/>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41,346,136.43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58,939,096.00</w:t>
            </w: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7,899,195.70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999,345.48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6,765,402.94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14,664,598.64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40,999,345.48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26,681,537.79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17,939,750.52</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134,000,000.00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134,000,000.00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5,419,555.56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17,219,767.20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11,568,569.17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36,901,998.60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150,988,124.73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54,121,765.80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-150,988,124.73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79,878,234.20</w:t>
            </w: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36"/>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198,956,181.11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2,776,537.88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414,532,950.33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411,756,412.45</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613,489,131.44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414,532,950.33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7、合并所有者权益变动表" w:id="175"/>
      <w:bookmarkEnd w:id="17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本期金额</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41"/>
        <w:gridCol w:w="494"/>
        <w:gridCol w:w="466"/>
        <w:gridCol w:w="466"/>
        <w:gridCol w:w="468"/>
        <w:gridCol w:w="583"/>
        <w:gridCol w:w="586"/>
        <w:gridCol w:w="583"/>
        <w:gridCol w:w="584"/>
        <w:gridCol w:w="583"/>
        <w:gridCol w:w="583"/>
        <w:gridCol w:w="586"/>
        <w:gridCol w:w="584"/>
        <w:gridCol w:w="583"/>
        <w:gridCol w:w="586"/>
        <w:gridCol w:w="578"/>
      </w:tblGrid>
      <w:tr>
        <w:trPr>
          <w:trHeight w:val="401" w:hRule="exact"/>
        </w:trPr>
        <w:tc>
          <w:tcPr>
            <w:tcW w:w="1241" w:type="dxa"/>
            <w:vMerge w:val="restart"/>
            <w:tcBorders>
              <w:top w:val="single" w:sz="4" w:space="0" w:color="000000"/>
              <w:left w:val="single" w:sz="4" w:space="0" w:color="000000"/>
              <w:right w:val="single" w:sz="4" w:space="0" w:color="000000"/>
            </w:tcBorders>
            <w:shd w:val="clear" w:color="auto" w:fill="D2D2D2"/>
          </w:tcPr>
          <w:p>
            <w:pP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1"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7149" w:type="dxa"/>
            <w:gridSpan w:val="13"/>
            <w:vMerge/>
            <w:tcBorders>
              <w:left w:val="single" w:sz="4" w:space="0" w:color="000000"/>
              <w:bottom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206" w:hRule="exact"/>
        </w:trPr>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94" w:type="dxa"/>
            <w:vMerge w:val="restart"/>
            <w:tcBorders>
              <w:top w:val="single" w:sz="4" w:space="0" w:color="000000"/>
              <w:left w:val="single" w:sz="4" w:space="0" w:color="000000"/>
              <w:right w:val="single" w:sz="4" w:space="0" w:color="000000"/>
            </w:tcBorders>
            <w:shd w:val="clear" w:color="auto" w:fill="D2D2D2"/>
          </w:tcPr>
          <w:p>
            <w:pPr/>
          </w:p>
        </w:tc>
        <w:tc>
          <w:tcPr>
            <w:tcW w:w="14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64"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1" w:hRule="exact"/>
        </w:trPr>
        <w:tc>
          <w:tcPr>
            <w:tcW w:w="1241" w:type="dxa"/>
            <w:vMerge w:val="restart"/>
            <w:tcBorders>
              <w:top w:val="nil" w:sz="6" w:space="0" w:color="auto"/>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33" w:hRule="exact"/>
        </w:trPr>
        <w:tc>
          <w:tcPr>
            <w:tcW w:w="1241"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2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1241"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551,0</w:t>
            </w:r>
          </w:p>
          <w:p>
            <w:pPr>
              <w:pStyle w:val="TableParagraph"/>
              <w:spacing w:line="240" w:lineRule="auto" w:before="102"/>
              <w:ind w:left="49" w:right="0"/>
              <w:jc w:val="left"/>
              <w:rPr>
                <w:rFonts w:ascii="Times New Roman" w:hAnsi="Times New Roman" w:cs="Times New Roman" w:eastAsia="Times New Roman" w:hint="default"/>
                <w:sz w:val="18"/>
                <w:szCs w:val="18"/>
              </w:rPr>
            </w:pPr>
            <w:r>
              <w:rPr>
                <w:rFonts w:ascii="Times New Roman"/>
                <w:sz w:val="18"/>
              </w:rPr>
              <w:t>32,55</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0.00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471,13</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2,852.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81</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36,901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,998.6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83"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1,656,</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668.40</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93,330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,489.8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3" w:type="dxa"/>
            <w:vMerge w:val="restart"/>
            <w:tcBorders>
              <w:top w:val="single" w:sz="22" w:space="0" w:color="D2D2D2"/>
              <w:left w:val="single" w:sz="4" w:space="0" w:color="000000"/>
              <w:right w:val="single" w:sz="4" w:space="0" w:color="000000"/>
            </w:tcBorders>
          </w:tcPr>
          <w:p>
            <w:pPr/>
          </w:p>
        </w:tc>
        <w:tc>
          <w:tcPr>
            <w:tcW w:w="586" w:type="dxa"/>
            <w:vMerge w:val="restart"/>
            <w:tcBorders>
              <w:top w:val="single" w:sz="22" w:space="0" w:color="D2D2D2"/>
              <w:left w:val="single" w:sz="4" w:space="0" w:color="000000"/>
              <w:right w:val="single" w:sz="4" w:space="0" w:color="000000"/>
            </w:tcBorders>
          </w:tcPr>
          <w:p>
            <w:pPr>
              <w:pStyle w:val="TableParagraph"/>
              <w:spacing w:line="240" w:lineRule="auto" w:before="68"/>
              <w:ind w:left="60" w:right="0"/>
              <w:jc w:val="left"/>
              <w:rPr>
                <w:rFonts w:ascii="Times New Roman" w:hAnsi="Times New Roman" w:cs="Times New Roman" w:eastAsia="Times New Roman" w:hint="default"/>
                <w:sz w:val="18"/>
                <w:szCs w:val="18"/>
              </w:rPr>
            </w:pPr>
            <w:r>
              <w:rPr>
                <w:rFonts w:ascii="Times New Roman"/>
                <w:sz w:val="18"/>
              </w:rPr>
              <w:t>727,98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7,313.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88</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1,808,</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237,87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6.38</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53,166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,422.6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78" w:type="dxa"/>
            <w:vMerge w:val="restart"/>
            <w:tcBorders>
              <w:top w:val="single" w:sz="40" w:space="0" w:color="D2D2D2"/>
              <w:left w:val="single" w:sz="4" w:space="0" w:color="000000"/>
              <w:right w:val="single" w:sz="4" w:space="0" w:color="000000"/>
            </w:tcBorders>
          </w:tcPr>
          <w:p>
            <w:pPr>
              <w:pStyle w:val="TableParagraph"/>
              <w:spacing w:line="240" w:lineRule="auto" w:before="45"/>
              <w:ind w:left="75" w:right="0"/>
              <w:jc w:val="center"/>
              <w:rPr>
                <w:rFonts w:ascii="Times New Roman" w:hAnsi="Times New Roman" w:cs="Times New Roman" w:eastAsia="Times New Roman" w:hint="default"/>
                <w:sz w:val="18"/>
                <w:szCs w:val="18"/>
              </w:rPr>
            </w:pPr>
            <w:r>
              <w:rPr>
                <w:rFonts w:ascii="Times New Roman"/>
                <w:sz w:val="18"/>
              </w:rPr>
              <w:t>1,861,</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404,29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8.99</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6"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551,0</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32,55</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0.00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471,13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2,852.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81</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,998.6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1,656,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668.40</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93,330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727,98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7,313.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88</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1,808,</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237,87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6.38</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53,166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1,861,</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404,29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8.99</w:t>
            </w:r>
          </w:p>
        </w:tc>
      </w:tr>
      <w:tr>
        <w:trPr>
          <w:trHeight w:val="706"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02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8,568,</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569.17</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377,06</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6.48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33,025</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,868.2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229,62</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2,422.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74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254,45</w:t>
            </w:r>
          </w:p>
          <w:p>
            <w:pPr>
              <w:pStyle w:val="TableParagraph"/>
              <w:spacing w:line="240" w:lineRule="auto" w:before="103"/>
              <w:ind w:left="100" w:right="0"/>
              <w:jc w:val="left"/>
              <w:rPr>
                <w:rFonts w:ascii="Times New Roman" w:hAnsi="Times New Roman" w:cs="Times New Roman" w:eastAsia="Times New Roman" w:hint="default"/>
                <w:sz w:val="18"/>
                <w:szCs w:val="18"/>
              </w:rPr>
            </w:pPr>
            <w:r>
              <w:rPr>
                <w:rFonts w:ascii="Times New Roman"/>
                <w:sz w:val="18"/>
              </w:rPr>
              <w:t>6,788.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-15,87</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7,423.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238,57</w:t>
            </w:r>
          </w:p>
          <w:p>
            <w:pPr>
              <w:pStyle w:val="TableParagraph"/>
              <w:spacing w:line="240" w:lineRule="auto" w:before="103"/>
              <w:ind w:left="95" w:right="0"/>
              <w:jc w:val="left"/>
              <w:rPr>
                <w:rFonts w:ascii="Times New Roman" w:hAnsi="Times New Roman" w:cs="Times New Roman" w:eastAsia="Times New Roman" w:hint="default"/>
                <w:sz w:val="18"/>
                <w:szCs w:val="18"/>
              </w:rPr>
            </w:pPr>
            <w:r>
              <w:rPr>
                <w:rFonts w:ascii="Times New Roman"/>
                <w:sz w:val="18"/>
              </w:rPr>
              <w:t>9,364.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60</w:t>
            </w: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377,06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6.48</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262,64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8,290.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96</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263,02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5,357.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44</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270,24</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8.86</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263,29</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5,606.</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30</w:t>
            </w:r>
          </w:p>
        </w:tc>
      </w:tr>
      <w:tr>
        <w:trPr>
          <w:trHeight w:val="706"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8,568,</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569.17</w:t>
            </w: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-8,568,</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569.17</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-10,63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2,893.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34</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-19,20</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1,462.</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51</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8,568,</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569.17</w:t>
            </w: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-8,568,</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569.17</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10"/>
              <w:ind w:left="88" w:right="0"/>
              <w:jc w:val="left"/>
              <w:rPr>
                <w:rFonts w:ascii="Times New Roman" w:hAnsi="Times New Roman" w:cs="Times New Roman" w:eastAsia="Times New Roman" w:hint="default"/>
                <w:sz w:val="18"/>
                <w:szCs w:val="18"/>
              </w:rPr>
            </w:pPr>
            <w:r>
              <w:rPr>
                <w:rFonts w:ascii="Times New Roman"/>
                <w:sz w:val="18"/>
              </w:rPr>
              <w:t>-10,63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2,893.</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110"/>
              <w:ind w:left="81" w:right="0"/>
              <w:jc w:val="left"/>
              <w:rPr>
                <w:rFonts w:ascii="Times New Roman" w:hAnsi="Times New Roman" w:cs="Times New Roman" w:eastAsia="Times New Roman" w:hint="default"/>
                <w:sz w:val="18"/>
                <w:szCs w:val="18"/>
              </w:rPr>
            </w:pPr>
            <w:r>
              <w:rPr>
                <w:rFonts w:ascii="Times New Roman"/>
                <w:sz w:val="18"/>
              </w:rPr>
              <w:t>-19,20</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1,462.</w:t>
            </w:r>
          </w:p>
        </w:tc>
      </w:tr>
      <w:tr>
        <w:trPr>
          <w:trHeight w:val="391"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36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4" w:right="0"/>
              <w:jc w:val="left"/>
              <w:rPr>
                <w:rFonts w:ascii="Times New Roman" w:hAnsi="Times New Roman" w:cs="Times New Roman" w:eastAsia="Times New Roman" w:hint="default"/>
                <w:sz w:val="18"/>
                <w:szCs w:val="18"/>
              </w:rPr>
            </w:pPr>
            <w:r>
              <w:rPr>
                <w:rFonts w:ascii="Times New Roman"/>
                <w:sz w:val="18"/>
              </w:rPr>
              <w:t>34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7" w:right="0"/>
              <w:jc w:val="left"/>
              <w:rPr>
                <w:rFonts w:ascii="Times New Roman" w:hAnsi="Times New Roman" w:cs="Times New Roman" w:eastAsia="Times New Roman" w:hint="default"/>
                <w:sz w:val="18"/>
                <w:szCs w:val="18"/>
              </w:rPr>
            </w:pPr>
            <w:r>
              <w:rPr>
                <w:rFonts w:ascii="Times New Roman"/>
                <w:sz w:val="18"/>
              </w:rPr>
              <w:t>51</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33,025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-33,02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5,868.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-5,514,</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779.19</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-5,514,</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779.19</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33,025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-33,02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5,868.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-5,514,</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779.19</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-5,514,</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779.19</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551,0</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32,55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471,13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2,852.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81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2,033,</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734.88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126,35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6,358.</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957,60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9,736.</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2,062,</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694,66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4.65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37,288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2,099,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983,66</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3.59</w:t>
            </w:r>
          </w:p>
        </w:tc>
      </w:tr>
    </w:tbl>
    <w:p>
      <w:pPr>
        <w:pStyle w:val="BodyText"/>
        <w:spacing w:line="240" w:lineRule="auto" w:before="49"/>
        <w:ind w:right="1133"/>
        <w:jc w:val="left"/>
      </w:pPr>
      <w:r>
        <w:rPr/>
        <w:t>上期金额</w:t>
      </w:r>
    </w:p>
    <w:p>
      <w:pPr>
        <w:pStyle w:val="BodyText"/>
        <w:spacing w:line="240" w:lineRule="auto" w:before="117"/>
        <w:ind w:left="0" w:right="1131"/>
        <w:jc w:val="right"/>
      </w:pPr>
      <w:r>
        <w:rPr/>
        <w:t>单位：元</w:t>
      </w:r>
    </w:p>
    <w:p>
      <w:pPr>
        <w:spacing w:after="0" w:line="240" w:lineRule="auto"/>
        <w:jc w:val="right"/>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200"/>
        <w:gridCol w:w="490"/>
        <w:gridCol w:w="449"/>
        <w:gridCol w:w="449"/>
        <w:gridCol w:w="493"/>
        <w:gridCol w:w="576"/>
        <w:gridCol w:w="576"/>
        <w:gridCol w:w="578"/>
        <w:gridCol w:w="576"/>
        <w:gridCol w:w="576"/>
        <w:gridCol w:w="578"/>
        <w:gridCol w:w="588"/>
        <w:gridCol w:w="567"/>
        <w:gridCol w:w="569"/>
        <w:gridCol w:w="641"/>
        <w:gridCol w:w="653"/>
      </w:tblGrid>
      <w:tr>
        <w:trPr>
          <w:trHeight w:val="402"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51" w:hRule="exact"/>
        </w:trPr>
        <w:tc>
          <w:tcPr>
            <w:tcW w:w="1200" w:type="dxa"/>
            <w:vMerge/>
            <w:tcBorders>
              <w:left w:val="single" w:sz="4" w:space="0" w:color="000000"/>
              <w:right w:val="single" w:sz="4" w:space="0" w:color="000000"/>
            </w:tcBorders>
            <w:shd w:val="clear" w:color="auto" w:fill="D2D2D2"/>
          </w:tcPr>
          <w:p>
            <w:pPr/>
          </w:p>
        </w:tc>
        <w:tc>
          <w:tcPr>
            <w:tcW w:w="7065"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7065" w:type="dxa"/>
            <w:gridSpan w:val="13"/>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490" w:type="dxa"/>
            <w:vMerge w:val="restart"/>
            <w:tcBorders>
              <w:top w:val="single" w:sz="4" w:space="0" w:color="000000"/>
              <w:left w:val="single" w:sz="4" w:space="0" w:color="000000"/>
              <w:right w:val="single" w:sz="4" w:space="0" w:color="000000"/>
            </w:tcBorders>
            <w:shd w:val="clear" w:color="auto" w:fill="D2D2D2"/>
          </w:tcPr>
          <w:p>
            <w:pPr/>
          </w:p>
        </w:tc>
        <w:tc>
          <w:tcPr>
            <w:tcW w:w="13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tcBorders>
              <w:left w:val="single" w:sz="4" w:space="0" w:color="000000"/>
              <w:right w:val="single" w:sz="4" w:space="0" w:color="000000"/>
            </w:tcBorders>
            <w:shd w:val="clear" w:color="auto" w:fill="D2D2D2"/>
          </w:tcPr>
          <w:p>
            <w:pPr/>
          </w:p>
        </w:tc>
      </w:tr>
      <w:tr>
        <w:trPr>
          <w:trHeight w:val="165"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3"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0" w:hRule="exact"/>
        </w:trPr>
        <w:tc>
          <w:tcPr>
            <w:tcW w:w="1200"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33" w:hRule="exact"/>
        </w:trPr>
        <w:tc>
          <w:tcPr>
            <w:tcW w:w="1200"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r>
      <w:tr>
        <w:trPr>
          <w:trHeight w:val="218"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344,3</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95,34</w:t>
            </w:r>
          </w:p>
          <w:p>
            <w:pPr>
              <w:pStyle w:val="TableParagraph"/>
              <w:spacing w:line="240" w:lineRule="auto" w:before="105"/>
              <w:ind w:left="138" w:right="0"/>
              <w:jc w:val="left"/>
              <w:rPr>
                <w:rFonts w:ascii="Times New Roman" w:hAnsi="Times New Roman" w:cs="Times New Roman" w:eastAsia="Times New Roman" w:hint="default"/>
                <w:sz w:val="18"/>
                <w:szCs w:val="18"/>
              </w:rPr>
            </w:pPr>
            <w:r>
              <w:rPr>
                <w:rFonts w:ascii="Times New Roman"/>
                <w:sz w:val="18"/>
              </w:rPr>
              <w:t>4.00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677,77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0,058.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81</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22" w:space="0" w:color="D2D2D2"/>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731,37</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2.78</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63,828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vMerge w:val="restart"/>
            <w:tcBorders>
              <w:top w:val="single" w:sz="22" w:space="0" w:color="D2D2D2"/>
              <w:left w:val="single" w:sz="4" w:space="0" w:color="000000"/>
              <w:right w:val="single" w:sz="4" w:space="0" w:color="000000"/>
            </w:tcBorders>
          </w:tcPr>
          <w:p>
            <w:pPr/>
          </w:p>
        </w:tc>
        <w:tc>
          <w:tcPr>
            <w:tcW w:w="588" w:type="dxa"/>
            <w:vMerge w:val="restart"/>
            <w:tcBorders>
              <w:top w:val="single" w:sz="22" w:space="0" w:color="D2D2D2"/>
              <w:left w:val="single" w:sz="4" w:space="0" w:color="000000"/>
              <w:right w:val="single" w:sz="4" w:space="0" w:color="000000"/>
            </w:tcBorders>
          </w:tcPr>
          <w:p>
            <w:pPr>
              <w:pStyle w:val="TableParagraph"/>
              <w:spacing w:line="240" w:lineRule="auto" w:before="68"/>
              <w:ind w:left="62" w:right="0"/>
              <w:jc w:val="left"/>
              <w:rPr>
                <w:rFonts w:ascii="Times New Roman" w:hAnsi="Times New Roman" w:cs="Times New Roman" w:eastAsia="Times New Roman" w:hint="default"/>
                <w:sz w:val="18"/>
                <w:szCs w:val="18"/>
              </w:rPr>
            </w:pPr>
            <w:r>
              <w:rPr>
                <w:rFonts w:ascii="Times New Roman"/>
                <w:sz w:val="18"/>
              </w:rPr>
              <w:t>515,63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7,231.</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1,602,</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362,56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2.90</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51,328,</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749.38</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91,312.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r>
      <w:tr>
        <w:trPr>
          <w:trHeight w:val="703"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344,3</w:t>
            </w:r>
          </w:p>
          <w:p>
            <w:pPr>
              <w:pStyle w:val="TableParagraph"/>
              <w:spacing w:line="240" w:lineRule="auto" w:before="102"/>
              <w:ind w:left="46" w:right="0"/>
              <w:jc w:val="left"/>
              <w:rPr>
                <w:rFonts w:ascii="Times New Roman" w:hAnsi="Times New Roman" w:cs="Times New Roman" w:eastAsia="Times New Roman" w:hint="default"/>
                <w:sz w:val="18"/>
                <w:szCs w:val="18"/>
              </w:rPr>
            </w:pPr>
            <w:r>
              <w:rPr>
                <w:rFonts w:ascii="Times New Roman"/>
                <w:sz w:val="18"/>
              </w:rPr>
              <w:t>95,34</w:t>
            </w:r>
          </w:p>
          <w:p>
            <w:pPr>
              <w:pStyle w:val="TableParagraph"/>
              <w:spacing w:line="240" w:lineRule="auto" w:before="105"/>
              <w:ind w:left="138" w:right="0"/>
              <w:jc w:val="left"/>
              <w:rPr>
                <w:rFonts w:ascii="Times New Roman" w:hAnsi="Times New Roman" w:cs="Times New Roman" w:eastAsia="Times New Roman" w:hint="default"/>
                <w:sz w:val="18"/>
                <w:szCs w:val="18"/>
              </w:rPr>
            </w:pPr>
            <w:r>
              <w:rPr>
                <w:rFonts w:ascii="Times New Roman"/>
                <w:sz w:val="18"/>
              </w:rPr>
              <w:t>4.00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677,77</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0,058.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81</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731,37</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2.78</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63,828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,556.2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515,63</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7,231.</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3"/>
              <w:ind w:left="61" w:right="0"/>
              <w:jc w:val="center"/>
              <w:rPr>
                <w:rFonts w:ascii="Times New Roman" w:hAnsi="Times New Roman" w:cs="Times New Roman" w:eastAsia="Times New Roman" w:hint="default"/>
                <w:sz w:val="18"/>
                <w:szCs w:val="18"/>
              </w:rPr>
            </w:pPr>
            <w:r>
              <w:rPr>
                <w:rFonts w:ascii="Times New Roman"/>
                <w:sz w:val="18"/>
              </w:rPr>
              <w:t>1,602,</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362,56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2.90</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51,328,</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749.38</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1,653,6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91,312.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r>
      <w:tr>
        <w:trPr>
          <w:trHeight w:val="703"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33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206,6</w:t>
            </w:r>
          </w:p>
          <w:p>
            <w:pPr>
              <w:pStyle w:val="TableParagraph"/>
              <w:spacing w:line="240" w:lineRule="auto" w:before="105"/>
              <w:ind w:left="42" w:right="0"/>
              <w:jc w:val="left"/>
              <w:rPr>
                <w:rFonts w:ascii="Times New Roman" w:hAnsi="Times New Roman" w:cs="Times New Roman" w:eastAsia="Times New Roman" w:hint="default"/>
                <w:sz w:val="18"/>
                <w:szCs w:val="18"/>
              </w:rPr>
            </w:pPr>
            <w:r>
              <w:rPr>
                <w:rFonts w:ascii="Times New Roman"/>
                <w:sz w:val="18"/>
              </w:rPr>
              <w:t>37,20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6.00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-206,6</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37,206</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36,901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925,29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5.62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29,501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212,35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0,082.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205,87</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5,313.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1,837,6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73.23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207,712</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,986.71</w:t>
            </w:r>
          </w:p>
        </w:tc>
      </w:tr>
      <w:tr>
        <w:trPr>
          <w:trHeight w:val="163"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925,29</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5.62</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259,43</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4,109.</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03</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260,35</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9,404.</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65</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8,298,3</w:t>
            </w:r>
          </w:p>
          <w:p>
            <w:pPr>
              <w:pStyle w:val="TableParagraph"/>
              <w:spacing w:line="240" w:lineRule="auto" w:before="102"/>
              <w:ind w:left="188" w:right="0"/>
              <w:jc w:val="center"/>
              <w:rPr>
                <w:rFonts w:ascii="Times New Roman" w:hAnsi="Times New Roman" w:cs="Times New Roman" w:eastAsia="Times New Roman" w:hint="default"/>
                <w:sz w:val="18"/>
                <w:szCs w:val="18"/>
              </w:rPr>
            </w:pPr>
            <w:r>
              <w:rPr>
                <w:rFonts w:ascii="Times New Roman"/>
                <w:sz w:val="18"/>
              </w:rPr>
              <w:t>06.90</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268,657</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,711.55</w:t>
            </w:r>
          </w:p>
        </w:tc>
      </w:tr>
      <w:tr>
        <w:trPr>
          <w:trHeight w:val="703"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36,901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-36,90</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1,998.</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-36,901</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,998.60</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10"/>
              <w:ind w:left="50" w:right="0"/>
              <w:jc w:val="left"/>
              <w:rPr>
                <w:rFonts w:ascii="Times New Roman" w:hAnsi="Times New Roman" w:cs="Times New Roman" w:eastAsia="Times New Roman" w:hint="default"/>
                <w:sz w:val="18"/>
                <w:szCs w:val="18"/>
              </w:rPr>
            </w:pPr>
            <w:r>
              <w:rPr>
                <w:rFonts w:ascii="Times New Roman"/>
                <w:sz w:val="18"/>
              </w:rPr>
              <w:t>36,901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,998.6</w:t>
            </w: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110"/>
              <w:ind w:left="69" w:right="0"/>
              <w:jc w:val="left"/>
              <w:rPr>
                <w:rFonts w:ascii="Times New Roman" w:hAnsi="Times New Roman" w:cs="Times New Roman" w:eastAsia="Times New Roman" w:hint="default"/>
                <w:sz w:val="18"/>
                <w:szCs w:val="18"/>
              </w:rPr>
            </w:pPr>
            <w:r>
              <w:rPr>
                <w:rFonts w:ascii="Times New Roman"/>
                <w:sz w:val="18"/>
              </w:rPr>
              <w:t>-36,90</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1,998.</w:t>
            </w: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-36,901</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,998.60</w:t>
            </w:r>
          </w:p>
        </w:tc>
      </w:tr>
      <w:tr>
        <w:trPr>
          <w:trHeight w:val="391"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3"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36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5" w:right="0"/>
              <w:jc w:val="left"/>
              <w:rPr>
                <w:rFonts w:ascii="Times New Roman" w:hAnsi="Times New Roman" w:cs="Times New Roman" w:eastAsia="Times New Roman" w:hint="default"/>
                <w:sz w:val="18"/>
                <w:szCs w:val="18"/>
              </w:rPr>
            </w:pPr>
            <w:r>
              <w:rPr>
                <w:rFonts w:ascii="Times New Roman"/>
                <w:sz w:val="18"/>
              </w:rPr>
              <w:t>60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29,501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-46,72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1,700.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-17,21</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9,767.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20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-6,822,</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959.04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-24,042</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,726.24</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29,501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-29,50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1,933.</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9" w:lineRule="auto" w:before="63"/>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-17,21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9,767.</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-17,21</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9,767.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20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-6,822,</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959.04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-24,042</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,726.24</w:t>
            </w: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206,6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37,20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6.00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-206,6</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37,206</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206,6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37,20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6.00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-206,6</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37,206</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-362,3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25.37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-362,3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25.37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362,325</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.37</w:t>
            </w: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551,0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32,55</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 w:right="0"/>
              <w:jc w:val="left"/>
              <w:rPr>
                <w:rFonts w:ascii="Times New Roman" w:hAnsi="Times New Roman" w:cs="Times New Roman" w:eastAsia="Times New Roman" w:hint="default"/>
                <w:sz w:val="18"/>
                <w:szCs w:val="18"/>
              </w:rPr>
            </w:pPr>
            <w:r>
              <w:rPr>
                <w:rFonts w:ascii="Times New Roman"/>
                <w:sz w:val="18"/>
              </w:rPr>
              <w:t>471,13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2,852.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 w:right="0"/>
              <w:jc w:val="left"/>
              <w:rPr>
                <w:rFonts w:ascii="Times New Roman" w:hAnsi="Times New Roman" w:cs="Times New Roman" w:eastAsia="Times New Roman" w:hint="default"/>
                <w:sz w:val="18"/>
                <w:szCs w:val="18"/>
              </w:rPr>
            </w:pPr>
            <w:r>
              <w:rPr>
                <w:rFonts w:ascii="Times New Roman"/>
                <w:sz w:val="18"/>
              </w:rPr>
              <w:t>36,901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,998.6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1,656,</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668.40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 w:right="0"/>
              <w:jc w:val="left"/>
              <w:rPr>
                <w:rFonts w:ascii="Times New Roman" w:hAnsi="Times New Roman" w:cs="Times New Roman" w:eastAsia="Times New Roman" w:hint="default"/>
                <w:sz w:val="18"/>
                <w:szCs w:val="18"/>
              </w:rPr>
            </w:pPr>
            <w:r>
              <w:rPr>
                <w:rFonts w:ascii="Times New Roman"/>
                <w:sz w:val="18"/>
              </w:rPr>
              <w:t>93,330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,489.8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2" w:right="0"/>
              <w:jc w:val="left"/>
              <w:rPr>
                <w:rFonts w:ascii="Times New Roman" w:hAnsi="Times New Roman" w:cs="Times New Roman" w:eastAsia="Times New Roman" w:hint="default"/>
                <w:sz w:val="18"/>
                <w:szCs w:val="18"/>
              </w:rPr>
            </w:pPr>
            <w:r>
              <w:rPr>
                <w:rFonts w:ascii="Times New Roman"/>
                <w:sz w:val="18"/>
              </w:rPr>
              <w:t>727,98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7,313.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4" w:right="0"/>
              <w:jc w:val="left"/>
              <w:rPr>
                <w:rFonts w:ascii="Times New Roman" w:hAnsi="Times New Roman" w:cs="Times New Roman" w:eastAsia="Times New Roman" w:hint="default"/>
                <w:sz w:val="18"/>
                <w:szCs w:val="18"/>
              </w:rPr>
            </w:pPr>
            <w:r>
              <w:rPr>
                <w:rFonts w:ascii="Times New Roman"/>
                <w:sz w:val="18"/>
              </w:rPr>
              <w:t>1,808,</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237,87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53,166,</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422.61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1" w:right="0"/>
              <w:jc w:val="left"/>
              <w:rPr>
                <w:rFonts w:ascii="Times New Roman" w:hAnsi="Times New Roman" w:cs="Times New Roman" w:eastAsia="Times New Roman" w:hint="default"/>
                <w:sz w:val="18"/>
                <w:szCs w:val="18"/>
              </w:rPr>
            </w:pPr>
            <w:r>
              <w:rPr>
                <w:rFonts w:ascii="Times New Roman"/>
                <w:sz w:val="18"/>
              </w:rPr>
              <w:t>1,861,4</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04,298.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5"/>
      </w:tblGrid>
      <w:tr>
        <w:trPr>
          <w:trHeight w:val="36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4" w:right="0"/>
              <w:jc w:val="left"/>
              <w:rPr>
                <w:rFonts w:ascii="Times New Roman" w:hAnsi="Times New Roman" w:cs="Times New Roman" w:eastAsia="Times New Roman" w:hint="default"/>
                <w:sz w:val="18"/>
                <w:szCs w:val="18"/>
              </w:rPr>
            </w:pPr>
            <w:r>
              <w:rPr>
                <w:rFonts w:ascii="Times New Roman"/>
                <w:sz w:val="18"/>
              </w:rPr>
              <w:t>81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6" w:right="0"/>
              <w:jc w:val="left"/>
              <w:rPr>
                <w:rFonts w:ascii="Times New Roman" w:hAnsi="Times New Roman" w:cs="Times New Roman" w:eastAsia="Times New Roman" w:hint="default"/>
                <w:sz w:val="18"/>
                <w:szCs w:val="18"/>
              </w:rPr>
            </w:pPr>
            <w:r>
              <w:rPr>
                <w:rFonts w:ascii="Times New Roman"/>
                <w:sz w:val="18"/>
              </w:rPr>
              <w:t>88</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6.38</w:t>
            </w:r>
          </w:p>
        </w:tc>
        <w:tc>
          <w:tcPr>
            <w:tcW w:w="641"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8、母公司所有者权益变动表" w:id="176"/>
      <w:bookmarkEnd w:id="17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94"/>
        <w:gridCol w:w="629"/>
        <w:gridCol w:w="605"/>
        <w:gridCol w:w="603"/>
        <w:gridCol w:w="605"/>
        <w:gridCol w:w="727"/>
        <w:gridCol w:w="728"/>
        <w:gridCol w:w="725"/>
        <w:gridCol w:w="727"/>
        <w:gridCol w:w="727"/>
        <w:gridCol w:w="615"/>
        <w:gridCol w:w="710"/>
        <w:gridCol w:w="862"/>
      </w:tblGrid>
      <w:tr>
        <w:trPr>
          <w:trHeight w:val="401"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6" w:hRule="exact"/>
        </w:trPr>
        <w:tc>
          <w:tcPr>
            <w:tcW w:w="12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294" w:type="dxa"/>
            <w:vMerge/>
            <w:tcBorders>
              <w:left w:val="single" w:sz="4" w:space="0" w:color="000000"/>
              <w:bottom w:val="nil" w:sz="6" w:space="0" w:color="auto"/>
              <w:right w:val="single" w:sz="4" w:space="0" w:color="000000"/>
            </w:tcBorders>
            <w:shd w:val="clear" w:color="auto" w:fill="D2D2D2"/>
          </w:tcPr>
          <w:p>
            <w:pPr/>
          </w:p>
        </w:tc>
        <w:tc>
          <w:tcPr>
            <w:tcW w:w="6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4" w:space="0" w:color="000000"/>
            </w:tcBorders>
            <w:shd w:val="clear" w:color="auto" w:fill="D2D2D2"/>
          </w:tcPr>
          <w:p>
            <w:pPr/>
          </w:p>
        </w:tc>
      </w:tr>
      <w:tr>
        <w:trPr>
          <w:trHeight w:val="202" w:hRule="exact"/>
        </w:trPr>
        <w:tc>
          <w:tcPr>
            <w:tcW w:w="1294" w:type="dxa"/>
            <w:vMerge w:val="restart"/>
            <w:tcBorders>
              <w:top w:val="nil" w:sz="6" w:space="0" w:color="auto"/>
              <w:left w:val="single" w:sz="4" w:space="0" w:color="000000"/>
              <w:right w:val="single" w:sz="4" w:space="0" w:color="000000"/>
            </w:tcBorders>
            <w:shd w:val="clear" w:color="auto" w:fill="D2D2D2"/>
          </w:tcPr>
          <w:p>
            <w:pPr/>
          </w:p>
        </w:tc>
        <w:tc>
          <w:tcPr>
            <w:tcW w:w="629"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82" w:hRule="exact"/>
        </w:trPr>
        <w:tc>
          <w:tcPr>
            <w:tcW w:w="1294" w:type="dxa"/>
            <w:vMerge/>
            <w:tcBorders>
              <w:left w:val="single" w:sz="4" w:space="0" w:color="000000"/>
              <w:bottom w:val="single" w:sz="4" w:space="0" w:color="000000"/>
              <w:right w:val="single" w:sz="4" w:space="0" w:color="000000"/>
            </w:tcBorders>
            <w:shd w:val="clear" w:color="auto" w:fill="D2D2D2"/>
          </w:tcPr>
          <w:p>
            <w:pPr/>
          </w:p>
        </w:tc>
        <w:tc>
          <w:tcPr>
            <w:tcW w:w="6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85"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551,03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2,550.0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21" w:space="0" w:color="D2D2D2"/>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471,132,</w:t>
            </w:r>
          </w:p>
          <w:p>
            <w:pPr>
              <w:pStyle w:val="TableParagraph"/>
              <w:spacing w:line="240" w:lineRule="auto" w:before="103"/>
              <w:ind w:left="175" w:right="0"/>
              <w:jc w:val="center"/>
              <w:rPr>
                <w:rFonts w:ascii="Times New Roman" w:hAnsi="Times New Roman" w:cs="Times New Roman" w:eastAsia="Times New Roman" w:hint="default"/>
                <w:sz w:val="18"/>
                <w:szCs w:val="18"/>
              </w:rPr>
            </w:pPr>
            <w:r>
              <w:rPr>
                <w:rFonts w:ascii="Times New Roman"/>
                <w:sz w:val="18"/>
              </w:rPr>
              <w:t>852.81</w:t>
            </w:r>
          </w:p>
        </w:tc>
        <w:tc>
          <w:tcPr>
            <w:tcW w:w="728" w:type="dxa"/>
            <w:vMerge w:val="restart"/>
            <w:tcBorders>
              <w:top w:val="single" w:sz="21" w:space="0" w:color="D2D2D2"/>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36,901,9</w:t>
            </w:r>
          </w:p>
          <w:p>
            <w:pPr>
              <w:pStyle w:val="TableParagraph"/>
              <w:spacing w:line="240" w:lineRule="auto" w:before="103"/>
              <w:ind w:left="290" w:right="0"/>
              <w:jc w:val="left"/>
              <w:rPr>
                <w:rFonts w:ascii="Times New Roman" w:hAnsi="Times New Roman" w:cs="Times New Roman" w:eastAsia="Times New Roman" w:hint="default"/>
                <w:sz w:val="18"/>
                <w:szCs w:val="18"/>
              </w:rPr>
            </w:pPr>
            <w:r>
              <w:rPr>
                <w:rFonts w:ascii="Times New Roman"/>
                <w:sz w:val="18"/>
              </w:rPr>
              <w:t>98.60</w:t>
            </w:r>
          </w:p>
        </w:tc>
        <w:tc>
          <w:tcPr>
            <w:tcW w:w="725" w:type="dxa"/>
            <w:vMerge w:val="restart"/>
            <w:tcBorders>
              <w:top w:val="single" w:sz="21" w:space="0" w:color="D2D2D2"/>
              <w:left w:val="single" w:sz="4" w:space="0" w:color="000000"/>
              <w:right w:val="single" w:sz="4" w:space="0" w:color="000000"/>
            </w:tcBorders>
          </w:tcPr>
          <w:p>
            <w:pPr/>
          </w:p>
        </w:tc>
        <w:tc>
          <w:tcPr>
            <w:tcW w:w="727" w:type="dxa"/>
            <w:vMerge w:val="restart"/>
            <w:tcBorders>
              <w:top w:val="single" w:sz="21" w:space="0" w:color="D2D2D2"/>
              <w:left w:val="single" w:sz="4" w:space="0" w:color="000000"/>
              <w:right w:val="single" w:sz="4" w:space="0" w:color="000000"/>
            </w:tcBorders>
          </w:tcPr>
          <w:p>
            <w:pPr/>
          </w:p>
        </w:tc>
        <w:tc>
          <w:tcPr>
            <w:tcW w:w="727" w:type="dxa"/>
            <w:vMerge w:val="restart"/>
            <w:tcBorders>
              <w:top w:val="single" w:sz="21" w:space="0" w:color="D2D2D2"/>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93,330,4</w:t>
            </w:r>
          </w:p>
          <w:p>
            <w:pPr>
              <w:pStyle w:val="TableParagraph"/>
              <w:spacing w:line="240" w:lineRule="auto" w:before="103"/>
              <w:ind w:left="287" w:right="0"/>
              <w:jc w:val="left"/>
              <w:rPr>
                <w:rFonts w:ascii="Times New Roman" w:hAnsi="Times New Roman" w:cs="Times New Roman" w:eastAsia="Times New Roman" w:hint="default"/>
                <w:sz w:val="18"/>
                <w:szCs w:val="18"/>
              </w:rPr>
            </w:pPr>
            <w:r>
              <w:rPr>
                <w:rFonts w:ascii="Times New Roman"/>
                <w:sz w:val="18"/>
              </w:rPr>
              <w:t>89.89</w:t>
            </w:r>
          </w:p>
        </w:tc>
        <w:tc>
          <w:tcPr>
            <w:tcW w:w="615" w:type="dxa"/>
            <w:vMerge w:val="restart"/>
            <w:tcBorders>
              <w:top w:val="single" w:sz="21" w:space="0" w:color="D2D2D2"/>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747,79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9,132.8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21" w:space="0" w:color="D2D2D2"/>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1,826,393,</w:t>
            </w:r>
          </w:p>
          <w:p>
            <w:pPr>
              <w:pStyle w:val="TableParagraph"/>
              <w:spacing w:line="240" w:lineRule="auto" w:before="103"/>
              <w:ind w:left="335" w:right="0"/>
              <w:jc w:val="left"/>
              <w:rPr>
                <w:rFonts w:ascii="Times New Roman" w:hAnsi="Times New Roman" w:cs="Times New Roman" w:eastAsia="Times New Roman" w:hint="default"/>
                <w:sz w:val="18"/>
                <w:szCs w:val="18"/>
              </w:rPr>
            </w:pPr>
            <w:r>
              <w:rPr>
                <w:rFonts w:ascii="Times New Roman"/>
                <w:sz w:val="18"/>
              </w:rPr>
              <w:t>026.96</w:t>
            </w:r>
          </w:p>
        </w:tc>
      </w:tr>
      <w:tr>
        <w:trPr>
          <w:trHeight w:val="704"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551,03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2,550.0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471,132,</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852.81</w:t>
            </w:r>
          </w:p>
        </w:tc>
        <w:tc>
          <w:tcPr>
            <w:tcW w:w="72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36,901,9</w:t>
            </w:r>
          </w:p>
          <w:p>
            <w:pPr>
              <w:pStyle w:val="TableParagraph"/>
              <w:spacing w:line="240" w:lineRule="auto" w:before="102"/>
              <w:ind w:left="290" w:right="0"/>
              <w:jc w:val="left"/>
              <w:rPr>
                <w:rFonts w:ascii="Times New Roman" w:hAnsi="Times New Roman" w:cs="Times New Roman" w:eastAsia="Times New Roman" w:hint="default"/>
                <w:sz w:val="18"/>
                <w:szCs w:val="18"/>
              </w:rPr>
            </w:pPr>
            <w:r>
              <w:rPr>
                <w:rFonts w:ascii="Times New Roman"/>
                <w:sz w:val="18"/>
              </w:rPr>
              <w:t>98.60</w:t>
            </w: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93,330,4</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89.89</w:t>
            </w: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747,79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9,132.8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1,826,393,</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026.96</w:t>
            </w:r>
          </w:p>
        </w:tc>
      </w:tr>
      <w:tr>
        <w:trPr>
          <w:trHeight w:val="703"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02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000.00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8,568,56</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9.17</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33,025,8</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68.22</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2,814.0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311,690,11</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3.07</w:t>
            </w:r>
          </w:p>
        </w:tc>
      </w:tr>
      <w:tr>
        <w:trPr>
          <w:trHeight w:val="163"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330,25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8,682.2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330,258,6</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82.24</w:t>
            </w:r>
          </w:p>
        </w:tc>
      </w:tr>
      <w:tr>
        <w:trPr>
          <w:trHeight w:val="703"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8,568,56</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9.17</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-8,568,569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.17</w:t>
            </w:r>
          </w:p>
        </w:tc>
      </w:tr>
      <w:tr>
        <w:trPr>
          <w:trHeight w:val="7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8,568,56</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9.17</w:t>
            </w: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-8,568,569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.17</w:t>
            </w:r>
          </w:p>
        </w:tc>
      </w:tr>
      <w:tr>
        <w:trPr>
          <w:trHeight w:val="391"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40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2" w:right="0"/>
              <w:jc w:val="left"/>
              <w:rPr>
                <w:rFonts w:ascii="Times New Roman" w:hAnsi="Times New Roman" w:cs="Times New Roman" w:eastAsia="Times New Roman" w:hint="default"/>
                <w:sz w:val="18"/>
                <w:szCs w:val="18"/>
              </w:rPr>
            </w:pPr>
            <w:r>
              <w:rPr>
                <w:rFonts w:ascii="Times New Roman"/>
                <w:sz w:val="18"/>
              </w:rPr>
              <w:t>33,025,8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8" w:right="0"/>
              <w:jc w:val="left"/>
              <w:rPr>
                <w:rFonts w:ascii="Times New Roman" w:hAnsi="Times New Roman" w:cs="Times New Roman" w:eastAsia="Times New Roman" w:hint="default"/>
                <w:sz w:val="18"/>
                <w:szCs w:val="18"/>
              </w:rPr>
            </w:pPr>
            <w:r>
              <w:rPr>
                <w:rFonts w:ascii="Times New Roman"/>
                <w:sz w:val="18"/>
              </w:rPr>
              <w:t>-33,025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36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68.22</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 w:right="0"/>
              <w:jc w:val="left"/>
              <w:rPr>
                <w:rFonts w:ascii="Times New Roman" w:hAnsi="Times New Roman" w:cs="Times New Roman" w:eastAsia="Times New Roman" w:hint="default"/>
                <w:sz w:val="18"/>
                <w:szCs w:val="18"/>
              </w:rPr>
            </w:pPr>
            <w:r>
              <w:rPr>
                <w:rFonts w:ascii="Times New Roman"/>
                <w:sz w:val="18"/>
              </w:rPr>
              <w:t>,868.22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33,025,8</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68.22</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-33,025</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,868.22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000.00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0.00</w:t>
            </w: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2,550.0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461,132,</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852.81</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45,470,5</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67.77</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126,356,</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358.11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31,946.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2,138,083,</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140.03</w:t>
            </w:r>
          </w:p>
        </w:tc>
      </w:tr>
    </w:tbl>
    <w:p>
      <w:pPr>
        <w:pStyle w:val="BodyText"/>
        <w:spacing w:line="240" w:lineRule="auto" w:before="49"/>
        <w:ind w:right="1133"/>
        <w:jc w:val="left"/>
      </w:pPr>
      <w:r>
        <w:rPr/>
        <w:t>上期金额</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30"/>
        <w:gridCol w:w="606"/>
        <w:gridCol w:w="562"/>
        <w:gridCol w:w="560"/>
        <w:gridCol w:w="584"/>
        <w:gridCol w:w="684"/>
        <w:gridCol w:w="686"/>
        <w:gridCol w:w="684"/>
        <w:gridCol w:w="782"/>
        <w:gridCol w:w="665"/>
        <w:gridCol w:w="797"/>
        <w:gridCol w:w="797"/>
        <w:gridCol w:w="919"/>
      </w:tblGrid>
      <w:tr>
        <w:trPr>
          <w:trHeight w:val="397" w:hRule="exact"/>
        </w:trPr>
        <w:tc>
          <w:tcPr>
            <w:tcW w:w="1230" w:type="dxa"/>
            <w:vMerge w:val="restart"/>
            <w:tcBorders>
              <w:top w:val="single" w:sz="4" w:space="0" w:color="000000"/>
              <w:left w:val="single" w:sz="4" w:space="0" w:color="000000"/>
              <w:right w:val="single" w:sz="4" w:space="0" w:color="000000"/>
            </w:tcBorders>
            <w:shd w:val="clear" w:color="auto" w:fill="D2D2D2"/>
          </w:tcPr>
          <w:p>
            <w:pPr/>
          </w:p>
        </w:tc>
        <w:tc>
          <w:tcPr>
            <w:tcW w:w="832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8" w:hRule="exact"/>
        </w:trPr>
        <w:tc>
          <w:tcPr>
            <w:tcW w:w="1230" w:type="dxa"/>
            <w:vMerge/>
            <w:tcBorders>
              <w:left w:val="single" w:sz="4" w:space="0" w:color="000000"/>
              <w:bottom w:val="nil" w:sz="6" w:space="0" w:color="auto"/>
              <w:right w:val="single" w:sz="4" w:space="0" w:color="000000"/>
            </w:tcBorders>
            <w:shd w:val="clear" w:color="auto" w:fill="D2D2D2"/>
          </w:tcPr>
          <w:p>
            <w:pPr/>
          </w:p>
        </w:tc>
        <w:tc>
          <w:tcPr>
            <w:tcW w:w="606" w:type="dxa"/>
            <w:vMerge w:val="restart"/>
            <w:tcBorders>
              <w:top w:val="single" w:sz="4" w:space="0" w:color="000000"/>
              <w:left w:val="single" w:sz="4" w:space="0" w:color="000000"/>
              <w:right w:val="single" w:sz="4" w:space="0" w:color="000000"/>
            </w:tcBorders>
            <w:shd w:val="clear" w:color="auto" w:fill="D2D2D2"/>
          </w:tcPr>
          <w:p>
            <w:pPr/>
          </w:p>
        </w:tc>
        <w:tc>
          <w:tcPr>
            <w:tcW w:w="170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2" w:hRule="exact"/>
        </w:trPr>
        <w:tc>
          <w:tcPr>
            <w:tcW w:w="12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06" w:type="dxa"/>
            <w:vMerge/>
            <w:tcBorders>
              <w:left w:val="single" w:sz="4" w:space="0" w:color="000000"/>
              <w:bottom w:val="nil" w:sz="6" w:space="0" w:color="auto"/>
              <w:right w:val="single" w:sz="4" w:space="0" w:color="000000"/>
            </w:tcBorders>
            <w:shd w:val="clear" w:color="auto" w:fill="D2D2D2"/>
          </w:tcPr>
          <w:p>
            <w:pPr/>
          </w:p>
        </w:tc>
        <w:tc>
          <w:tcPr>
            <w:tcW w:w="1706" w:type="dxa"/>
            <w:gridSpan w:val="3"/>
            <w:vMerge/>
            <w:tcBorders>
              <w:left w:val="single" w:sz="4" w:space="0" w:color="000000"/>
              <w:bottom w:val="single" w:sz="4" w:space="0" w:color="000000"/>
              <w:right w:val="single" w:sz="4" w:space="0" w:color="000000"/>
            </w:tcBorders>
            <w:shd w:val="clear" w:color="auto" w:fill="D2D2D2"/>
          </w:tcPr>
          <w:p>
            <w:pP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47"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1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89" w:right="86"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6" w:hRule="exact"/>
        </w:trPr>
        <w:tc>
          <w:tcPr>
            <w:tcW w:w="1230" w:type="dxa"/>
            <w:vMerge/>
            <w:tcBorders>
              <w:left w:val="single" w:sz="4" w:space="0" w:color="000000"/>
              <w:bottom w:val="nil" w:sz="6" w:space="0" w:color="auto"/>
              <w:right w:val="single" w:sz="4" w:space="0" w:color="000000"/>
            </w:tcBorders>
            <w:shd w:val="clear" w:color="auto" w:fill="D2D2D2"/>
          </w:tcPr>
          <w:p>
            <w:pPr/>
          </w:p>
        </w:tc>
        <w:tc>
          <w:tcPr>
            <w:tcW w:w="6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181" w:right="101"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190" w:right="88"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9"/>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9"/>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9" w:type="dxa"/>
            <w:vMerge/>
            <w:tcBorders>
              <w:left w:val="single" w:sz="4" w:space="0" w:color="000000"/>
              <w:right w:val="single" w:sz="4" w:space="0" w:color="000000"/>
            </w:tcBorders>
            <w:shd w:val="clear" w:color="auto" w:fill="D2D2D2"/>
          </w:tcPr>
          <w:p>
            <w:pPr/>
          </w:p>
        </w:tc>
      </w:tr>
      <w:tr>
        <w:trPr>
          <w:trHeight w:val="196" w:hRule="exact"/>
        </w:trPr>
        <w:tc>
          <w:tcPr>
            <w:tcW w:w="1230" w:type="dxa"/>
            <w:vMerge w:val="restart"/>
            <w:tcBorders>
              <w:top w:val="nil" w:sz="6" w:space="0" w:color="auto"/>
              <w:left w:val="single" w:sz="4" w:space="0" w:color="000000"/>
              <w:right w:val="single" w:sz="4" w:space="0" w:color="000000"/>
            </w:tcBorders>
            <w:shd w:val="clear" w:color="auto" w:fill="D2D2D2"/>
          </w:tcPr>
          <w:p>
            <w:pPr/>
          </w:p>
        </w:tc>
        <w:tc>
          <w:tcPr>
            <w:tcW w:w="60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560"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1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19" w:type="dxa"/>
            <w:vMerge/>
            <w:tcBorders>
              <w:left w:val="single" w:sz="4" w:space="0" w:color="000000"/>
              <w:right w:val="single" w:sz="4" w:space="0" w:color="000000"/>
            </w:tcBorders>
            <w:shd w:val="clear" w:color="auto" w:fill="D2D2D2"/>
          </w:tcPr>
          <w:p>
            <w:pPr/>
          </w:p>
        </w:tc>
      </w:tr>
      <w:tr>
        <w:trPr>
          <w:trHeight w:val="156" w:hRule="exact"/>
        </w:trPr>
        <w:tc>
          <w:tcPr>
            <w:tcW w:w="1230" w:type="dxa"/>
            <w:vMerge/>
            <w:tcBorders>
              <w:left w:val="single" w:sz="4" w:space="0" w:color="000000"/>
              <w:right w:val="single" w:sz="4" w:space="0" w:color="000000"/>
            </w:tcBorders>
            <w:shd w:val="clear" w:color="auto" w:fill="D2D2D2"/>
          </w:tcPr>
          <w:p>
            <w:pPr/>
          </w:p>
        </w:tc>
        <w:tc>
          <w:tcPr>
            <w:tcW w:w="606" w:type="dxa"/>
            <w:vMerge w:val="restart"/>
            <w:tcBorders>
              <w:top w:val="nil" w:sz="6" w:space="0" w:color="auto"/>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560"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1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30" w:type="dxa"/>
            <w:vMerge/>
            <w:tcBorders>
              <w:left w:val="single" w:sz="4" w:space="0" w:color="000000"/>
              <w:bottom w:val="single" w:sz="4" w:space="0" w:color="000000"/>
              <w:right w:val="single" w:sz="4" w:space="0" w:color="000000"/>
            </w:tcBorders>
            <w:shd w:val="clear" w:color="auto" w:fill="D2D2D2"/>
          </w:tcPr>
          <w:p>
            <w:pPr/>
          </w:p>
        </w:tc>
        <w:tc>
          <w:tcPr>
            <w:tcW w:w="60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60" w:type="dxa"/>
            <w:vMerge/>
            <w:tcBorders>
              <w:left w:val="single" w:sz="4" w:space="0" w:color="000000"/>
              <w:bottom w:val="single" w:sz="4" w:space="0" w:color="000000"/>
              <w:right w:val="single" w:sz="4" w:space="0" w:color="000000"/>
            </w:tcBorders>
            <w:shd w:val="clear" w:color="auto" w:fill="D2D2D2"/>
          </w:tcPr>
          <w:p>
            <w:pPr/>
          </w:p>
        </w:tc>
        <w:tc>
          <w:tcPr>
            <w:tcW w:w="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85"/>
                <w:sz w:val="18"/>
                <w:szCs w:val="18"/>
              </w:rPr>
              <w:t>、</w:t>
            </w:r>
            <w:r>
              <w:rPr>
                <w:rFonts w:ascii="宋体" w:hAnsi="宋体" w:cs="宋体" w:eastAsia="宋体" w:hint="default"/>
                <w:sz w:val="18"/>
                <w:szCs w:val="18"/>
              </w:rPr>
              <w:t>上年期末余</w:t>
            </w:r>
          </w:p>
        </w:tc>
        <w:tc>
          <w:tcPr>
            <w:tcW w:w="6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0"/>
              <w:ind w:left="56" w:right="0"/>
              <w:jc w:val="left"/>
              <w:rPr>
                <w:rFonts w:ascii="Times New Roman" w:hAnsi="Times New Roman" w:cs="Times New Roman" w:eastAsia="Times New Roman" w:hint="default"/>
                <w:sz w:val="18"/>
                <w:szCs w:val="18"/>
              </w:rPr>
            </w:pPr>
            <w:r>
              <w:rPr>
                <w:rFonts w:ascii="Times New Roman"/>
                <w:sz w:val="18"/>
              </w:rPr>
              <w:t>344,39</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7" w:right="0"/>
              <w:jc w:val="left"/>
              <w:rPr>
                <w:rFonts w:ascii="Times New Roman" w:hAnsi="Times New Roman" w:cs="Times New Roman" w:eastAsia="Times New Roman" w:hint="default"/>
                <w:sz w:val="18"/>
                <w:szCs w:val="18"/>
              </w:rPr>
            </w:pPr>
            <w:r>
              <w:rPr>
                <w:rFonts w:ascii="Times New Roman"/>
                <w:sz w:val="18"/>
              </w:rPr>
              <w:t>677,770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3" w:right="0"/>
              <w:jc w:val="left"/>
              <w:rPr>
                <w:rFonts w:ascii="Times New Roman" w:hAnsi="Times New Roman" w:cs="Times New Roman" w:eastAsia="Times New Roman" w:hint="default"/>
                <w:sz w:val="18"/>
                <w:szCs w:val="18"/>
              </w:rPr>
            </w:pPr>
            <w:r>
              <w:rPr>
                <w:rFonts w:ascii="Times New Roman"/>
                <w:sz w:val="18"/>
              </w:rPr>
              <w:t>63,828,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499,501,4</w:t>
            </w:r>
          </w:p>
        </w:tc>
        <w:tc>
          <w:tcPr>
            <w:tcW w:w="79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3" w:right="0"/>
              <w:jc w:val="left"/>
              <w:rPr>
                <w:rFonts w:ascii="Times New Roman" w:hAnsi="Times New Roman" w:cs="Times New Roman" w:eastAsia="Times New Roman" w:hint="default"/>
                <w:sz w:val="18"/>
                <w:szCs w:val="18"/>
              </w:rPr>
            </w:pPr>
            <w:r>
              <w:rPr>
                <w:rFonts w:ascii="Times New Roman"/>
                <w:sz w:val="18"/>
              </w:rPr>
              <w:t>1,585,495,4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67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0" w:right="0"/>
              <w:jc w:val="left"/>
              <w:rPr>
                <w:rFonts w:ascii="Times New Roman" w:hAnsi="Times New Roman" w:cs="Times New Roman" w:eastAsia="Times New Roman" w:hint="default"/>
                <w:sz w:val="18"/>
                <w:szCs w:val="18"/>
              </w:rPr>
            </w:pPr>
            <w:r>
              <w:rPr>
                <w:rFonts w:ascii="Times New Roman"/>
                <w:sz w:val="18"/>
              </w:rPr>
              <w:t>5,344.</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5" w:right="0"/>
              <w:jc w:val="left"/>
              <w:rPr>
                <w:rFonts w:ascii="Times New Roman" w:hAnsi="Times New Roman" w:cs="Times New Roman" w:eastAsia="Times New Roman" w:hint="default"/>
                <w:sz w:val="18"/>
                <w:szCs w:val="18"/>
              </w:rPr>
            </w:pPr>
            <w:r>
              <w:rPr>
                <w:rFonts w:ascii="Times New Roman"/>
                <w:sz w:val="18"/>
              </w:rPr>
              <w:t>,058.81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9" w:right="0"/>
              <w:jc w:val="left"/>
              <w:rPr>
                <w:rFonts w:ascii="Times New Roman" w:hAnsi="Times New Roman" w:cs="Times New Roman" w:eastAsia="Times New Roman" w:hint="default"/>
                <w:sz w:val="18"/>
                <w:szCs w:val="18"/>
              </w:rPr>
            </w:pPr>
            <w:r>
              <w:rPr>
                <w:rFonts w:ascii="Times New Roman"/>
                <w:sz w:val="18"/>
              </w:rPr>
              <w:t>556.20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9" w:right="0"/>
              <w:jc w:val="left"/>
              <w:rPr>
                <w:rFonts w:ascii="Times New Roman" w:hAnsi="Times New Roman" w:cs="Times New Roman" w:eastAsia="Times New Roman" w:hint="default"/>
                <w:sz w:val="18"/>
                <w:szCs w:val="18"/>
              </w:rPr>
            </w:pPr>
            <w:r>
              <w:rPr>
                <w:rFonts w:ascii="Times New Roman"/>
                <w:sz w:val="18"/>
              </w:rPr>
              <w:t>96.89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91" w:right="0"/>
              <w:jc w:val="left"/>
              <w:rPr>
                <w:rFonts w:ascii="Times New Roman" w:hAnsi="Times New Roman" w:cs="Times New Roman" w:eastAsia="Times New Roman" w:hint="default"/>
                <w:sz w:val="18"/>
                <w:szCs w:val="18"/>
              </w:rPr>
            </w:pPr>
            <w:r>
              <w:rPr>
                <w:rFonts w:ascii="Times New Roman"/>
                <w:sz w:val="18"/>
              </w:rPr>
              <w:t>55.90</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344,39</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5,344.</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677,770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,058.81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63,828,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556.20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499,501,4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96.89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1,585,495,4</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55.90</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206,63</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7,206.</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7,206.0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36,901,9</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98.60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29,501,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933.69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248,297,6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35.97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240,897,57</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1.06</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295,019,3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36.86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295,019,33</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6.86</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36,901,9</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98.60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-36,901,998</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.60</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36,901,9</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98.60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-36,901,998</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.60</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29,501,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933.69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-46,721,7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00.89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-17,219,767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29,501,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933.69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-29,501,9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33.69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-17,219,7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67.20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-17,219,767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206,63</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7,206.</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7,206.0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206,63</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7,206.</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-206,63</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7,206.0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36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551,03</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2,550.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471,132</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,852.81</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36,901,9</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98.60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93,330,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489.89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747,799,1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32.86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1,826,393,0</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26.96</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33" w:right="8825"/>
        <w:jc w:val="center"/>
        <w:rPr>
          <w:b w:val="0"/>
          <w:bCs w:val="0"/>
        </w:rPr>
      </w:pPr>
      <w:bookmarkStart w:name="三、公司基本情况" w:id="177"/>
      <w:bookmarkEnd w:id="177"/>
      <w:r>
        <w:rPr>
          <w:b w:val="0"/>
          <w:bCs w:val="0"/>
        </w:rPr>
      </w:r>
      <w:r>
        <w:rPr/>
        <w:t>三、公司基本情况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573" w:right="1133"/>
        <w:jc w:val="left"/>
        <w:rPr>
          <w:b w:val="0"/>
          <w:bCs w:val="0"/>
        </w:rPr>
      </w:pPr>
      <w:r>
        <w:rPr/>
        <w:t>（一）公司概况</w:t>
      </w:r>
      <w:r>
        <w:rPr>
          <w:b w:val="0"/>
          <w:bCs w:val="0"/>
        </w:rPr>
      </w:r>
    </w:p>
    <w:p>
      <w:pPr>
        <w:pStyle w:val="Heading4"/>
        <w:spacing w:line="240" w:lineRule="auto" w:before="118"/>
        <w:ind w:left="573" w:right="1133"/>
        <w:jc w:val="left"/>
        <w:rPr>
          <w:b w:val="0"/>
          <w:bCs w:val="0"/>
        </w:rPr>
      </w:pPr>
      <w:r>
        <w:rPr>
          <w:rFonts w:ascii="Times New Roman" w:hAnsi="Times New Roman" w:cs="Times New Roman" w:eastAsia="Times New Roman" w:hint="default"/>
        </w:rPr>
        <w:t>1</w:t>
      </w:r>
      <w:r>
        <w:rPr/>
        <w:t>、历史沿革</w:t>
      </w:r>
      <w:r>
        <w:rPr>
          <w:b w:val="0"/>
          <w:bCs w:val="0"/>
        </w:rPr>
      </w:r>
    </w:p>
    <w:p>
      <w:pPr>
        <w:pStyle w:val="BodyText"/>
        <w:spacing w:line="309" w:lineRule="auto" w:before="123"/>
        <w:ind w:right="1132" w:firstLine="420"/>
        <w:jc w:val="both"/>
      </w:pPr>
      <w:r>
        <w:rPr/>
        <w:t>河北先河环保科技股份有限公司（以下简称</w:t>
      </w:r>
      <w:r>
        <w:rPr>
          <w:rFonts w:ascii="Times New Roman" w:hAnsi="Times New Roman" w:cs="Times New Roman" w:eastAsia="Times New Roman" w:hint="default"/>
        </w:rPr>
        <w:t>“</w:t>
      </w:r>
      <w:r>
        <w:rPr/>
        <w:t>公司或本公司</w:t>
      </w:r>
      <w:r>
        <w:rPr>
          <w:rFonts w:ascii="Times New Roman" w:hAnsi="Times New Roman" w:cs="Times New Roman" w:eastAsia="Times New Roman" w:hint="default"/>
        </w:rPr>
        <w:t>”</w:t>
      </w:r>
      <w:r>
        <w:rPr/>
        <w:t>），</w:t>
      </w:r>
      <w:r>
        <w:rPr>
          <w:spacing w:val="37"/>
        </w:rPr>
        <w:t>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日在原河北先河科技发展有限公司的基 </w:t>
      </w:r>
      <w:r>
        <w:rPr>
          <w:spacing w:val="4"/>
        </w:rPr>
        <w:t>础上，经河北省工商行政管理局批准，整体变更为河北先河环保科技股份有限公司，公司营业执照统一社会信用代码为</w:t>
      </w:r>
      <w:r>
        <w:rPr>
          <w:spacing w:val="-53"/>
        </w:rPr>
        <w:t> </w:t>
      </w:r>
      <w:r>
        <w:rPr>
          <w:spacing w:val="-53"/>
        </w:rPr>
      </w:r>
      <w:r>
        <w:rPr>
          <w:rFonts w:ascii="Times New Roman" w:hAnsi="Times New Roman" w:cs="Times New Roman" w:eastAsia="Times New Roman" w:hint="default"/>
        </w:rPr>
        <w:t>91130100104363113U</w:t>
      </w:r>
      <w:r>
        <w:rPr/>
        <w:t>，公司法定代表人为李玉国；注册地：石家庄市湘江道</w:t>
      </w:r>
      <w:r>
        <w:rPr>
          <w:rFonts w:ascii="Times New Roman" w:hAnsi="Times New Roman" w:cs="Times New Roman" w:eastAsia="Times New Roman" w:hint="default"/>
        </w:rPr>
        <w:t>251</w:t>
      </w:r>
      <w:r>
        <w:rPr/>
        <w:t>号。</w:t>
      </w:r>
    </w:p>
    <w:p>
      <w:pPr>
        <w:pStyle w:val="BodyText"/>
        <w:spacing w:line="300" w:lineRule="auto" w:before="65"/>
        <w:ind w:right="1129" w:firstLine="420"/>
        <w:jc w:val="both"/>
      </w:pPr>
      <w:r>
        <w:rPr/>
        <w:t>公司前身河北先河科技发展有限公司（以下简称</w:t>
      </w:r>
      <w:r>
        <w:rPr>
          <w:rFonts w:ascii="Times New Roman" w:hAnsi="Times New Roman" w:cs="Times New Roman" w:eastAsia="Times New Roman" w:hint="default"/>
        </w:rPr>
        <w:t>“</w:t>
      </w:r>
      <w:r>
        <w:rPr/>
        <w:t>先河有限</w:t>
      </w:r>
      <w:r>
        <w:rPr>
          <w:rFonts w:ascii="Times New Roman" w:hAnsi="Times New Roman" w:cs="Times New Roman" w:eastAsia="Times New Roman" w:hint="default"/>
        </w:rPr>
        <w:t>”</w:t>
      </w:r>
      <w:r>
        <w:rPr/>
        <w:t>）成立于</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日，注册资本人民币</w:t>
      </w:r>
      <w:r>
        <w:rPr>
          <w:rFonts w:ascii="Times New Roman" w:hAnsi="Times New Roman" w:cs="Times New Roman" w:eastAsia="Times New Roman" w:hint="default"/>
        </w:rPr>
        <w:t>50</w:t>
      </w:r>
      <w:r>
        <w:rPr/>
        <w:t>万元，公司于 </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4</w:t>
      </w:r>
      <w:r>
        <w:rPr>
          <w:spacing w:val="-2"/>
        </w:rPr>
        <w:t>月进行了增资，增资后注册资本变更为人民币</w:t>
      </w:r>
      <w:r>
        <w:rPr>
          <w:rFonts w:ascii="Times New Roman" w:hAnsi="Times New Roman" w:cs="Times New Roman" w:eastAsia="Times New Roman" w:hint="default"/>
          <w:spacing w:val="-2"/>
        </w:rPr>
        <w:t>130</w:t>
      </w:r>
      <w:r>
        <w:rPr>
          <w:spacing w:val="-2"/>
        </w:rPr>
        <w:t>万元；公司于</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12</w:t>
      </w:r>
      <w:r>
        <w:rPr>
          <w:spacing w:val="-2"/>
        </w:rPr>
        <w:t>月进行了增资，增资后注册资本变更为人民</w:t>
      </w:r>
      <w:r>
        <w:rPr>
          <w:spacing w:val="-56"/>
        </w:rPr>
        <w:t> </w:t>
      </w:r>
      <w:r>
        <w:rPr>
          <w:spacing w:val="-56"/>
        </w:rPr>
      </w:r>
      <w:r>
        <w:rPr/>
        <w:t>币</w:t>
      </w:r>
      <w:r>
        <w:rPr>
          <w:rFonts w:ascii="Times New Roman" w:hAnsi="Times New Roman" w:cs="Times New Roman" w:eastAsia="Times New Roman" w:hint="default"/>
        </w:rPr>
        <w:t>1,743</w:t>
      </w:r>
      <w:r>
        <w:rPr/>
        <w:t>万元；公司于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月进行了增资，增资后的注册资本为人民币</w:t>
      </w:r>
      <w:r>
        <w:rPr>
          <w:rFonts w:ascii="Times New Roman" w:hAnsi="Times New Roman" w:cs="Times New Roman" w:eastAsia="Times New Roman" w:hint="default"/>
        </w:rPr>
        <w:t>2,218.3636</w:t>
      </w:r>
      <w:r>
        <w:rPr/>
        <w:t>万元；公司于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月进行了增资，</w:t>
      </w:r>
      <w:r>
        <w:rPr>
          <w:spacing w:val="-52"/>
        </w:rPr>
        <w:t> </w:t>
      </w:r>
      <w:r>
        <w:rPr>
          <w:spacing w:val="-52"/>
        </w:rPr>
      </w:r>
      <w:r>
        <w:rPr/>
        <w:t>增资后的注册资本为人民币</w:t>
      </w:r>
      <w:r>
        <w:rPr>
          <w:rFonts w:ascii="Times New Roman" w:hAnsi="Times New Roman" w:cs="Times New Roman" w:eastAsia="Times New Roman" w:hint="default"/>
        </w:rPr>
        <w:t>2,838.1982</w:t>
      </w:r>
      <w:r>
        <w:rPr/>
        <w:t>万元。</w:t>
      </w:r>
    </w:p>
    <w:p>
      <w:pPr>
        <w:pStyle w:val="BodyText"/>
        <w:spacing w:line="300" w:lineRule="auto" w:before="73"/>
        <w:ind w:right="1128" w:firstLine="420"/>
        <w:jc w:val="both"/>
      </w:pP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5</w:t>
      </w:r>
      <w:r>
        <w:rPr>
          <w:spacing w:val="-2"/>
        </w:rPr>
        <w:t>月，根据公司股东会决议、发起人协议和公司章程的规定，由李玉国、北京科桥投资顾问有限公司、红塔创新</w:t>
      </w:r>
      <w:r>
        <w:rPr/>
        <w:t> </w:t>
      </w:r>
      <w:r>
        <w:rPr>
          <w:spacing w:val="-2"/>
        </w:rPr>
        <w:t>投资股份有限公司、上海兴烨创业投资有限公司、上海正同创业投资有限公司及其他</w:t>
      </w:r>
      <w:r>
        <w:rPr>
          <w:rFonts w:ascii="Times New Roman" w:hAnsi="Times New Roman" w:cs="Times New Roman" w:eastAsia="Times New Roman" w:hint="default"/>
          <w:spacing w:val="-2"/>
        </w:rPr>
        <w:t>41</w:t>
      </w:r>
      <w:r>
        <w:rPr>
          <w:spacing w:val="-2"/>
        </w:rPr>
        <w:t>名自然人股东作为发起人，由公司前</w:t>
      </w:r>
      <w:r>
        <w:rPr>
          <w:spacing w:val="-61"/>
        </w:rPr>
        <w:t> </w:t>
      </w:r>
      <w:r>
        <w:rPr>
          <w:spacing w:val="-61"/>
        </w:rPr>
      </w:r>
      <w:r>
        <w:rPr/>
        <w:t>身先河有限截至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日经审计后的净资产</w:t>
      </w:r>
      <w:r>
        <w:rPr>
          <w:rFonts w:ascii="Times New Roman" w:hAnsi="Times New Roman" w:cs="Times New Roman" w:eastAsia="Times New Roman" w:hint="default"/>
        </w:rPr>
        <w:t>13,000.21</w:t>
      </w:r>
      <w:r>
        <w:rPr/>
        <w:t>万元，按</w:t>
      </w:r>
      <w:r>
        <w:rPr>
          <w:rFonts w:ascii="Times New Roman" w:hAnsi="Times New Roman" w:cs="Times New Roman" w:eastAsia="Times New Roman" w:hint="default"/>
        </w:rPr>
        <w:t>1:0.6923</w:t>
      </w:r>
      <w:r>
        <w:rPr/>
        <w:t>的比例折为股本总额</w:t>
      </w:r>
      <w:r>
        <w:rPr>
          <w:rFonts w:ascii="Times New Roman" w:hAnsi="Times New Roman" w:cs="Times New Roman" w:eastAsia="Times New Roman" w:hint="default"/>
        </w:rPr>
        <w:t>9,000.00</w:t>
      </w:r>
      <w:r>
        <w:rPr/>
        <w:t>万元，整体变更为 股份有限公司。整体变更后公司注册资本变更为</w:t>
      </w:r>
      <w:r>
        <w:rPr>
          <w:rFonts w:ascii="Times New Roman" w:hAnsi="Times New Roman" w:cs="Times New Roman" w:eastAsia="Times New Roman" w:hint="default"/>
        </w:rPr>
        <w:t>9,000.00</w:t>
      </w:r>
      <w:r>
        <w:rPr/>
        <w:t>万元。</w:t>
      </w:r>
    </w:p>
    <w:p>
      <w:pPr>
        <w:pStyle w:val="BodyText"/>
        <w:spacing w:line="307" w:lineRule="auto" w:before="70"/>
        <w:ind w:right="1038" w:firstLine="420"/>
        <w:jc w:val="both"/>
      </w:pPr>
      <w:r>
        <w:rPr>
          <w:spacing w:val="-3"/>
        </w:rPr>
        <w:t>经中国证券监督管理委员会《关于核准河北先河环保科技股份有限公司首次公开发行股票并在创业板上市的批复》（证</w:t>
      </w:r>
      <w:r>
        <w:rPr/>
        <w:t> 监许可</w:t>
      </w:r>
      <w:r>
        <w:rPr>
          <w:rFonts w:ascii="Times New Roman" w:hAnsi="Times New Roman" w:cs="Times New Roman" w:eastAsia="Times New Roman" w:hint="default"/>
        </w:rPr>
        <w:t>[2010]1402 </w:t>
      </w:r>
      <w:r>
        <w:rPr/>
        <w:t>号文）的批准，同意核准本公司公开发行不超过</w:t>
      </w:r>
      <w:r>
        <w:rPr>
          <w:rFonts w:ascii="Times New Roman" w:hAnsi="Times New Roman" w:cs="Times New Roman" w:eastAsia="Times New Roman" w:hint="default"/>
        </w:rPr>
        <w:t>3,000</w:t>
      </w:r>
      <w:r>
        <w:rPr/>
        <w:t>万股新股。公司于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日通过深圳证券交</w:t>
      </w:r>
      <w:r>
        <w:rPr>
          <w:spacing w:val="-77"/>
        </w:rPr>
        <w:t> </w:t>
      </w:r>
      <w:r>
        <w:rPr>
          <w:spacing w:val="-77"/>
        </w:rPr>
      </w:r>
      <w:r>
        <w:rPr>
          <w:spacing w:val="-2"/>
        </w:rPr>
        <w:t>易所，采用网下向配售对象询价配售和网上向社会公众投资者定价发行相结合的方式，公开发行人民币普通股（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3,000</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spacing w:val="-2"/>
        </w:rPr>
        <w:t>万股，共募集资金人民币</w:t>
      </w:r>
      <w:r>
        <w:rPr>
          <w:rFonts w:ascii="Times New Roman" w:hAnsi="Times New Roman" w:cs="Times New Roman" w:eastAsia="Times New Roman" w:hint="default"/>
          <w:spacing w:val="-2"/>
        </w:rPr>
        <w:t>62,650.33</w:t>
      </w:r>
      <w:r>
        <w:rPr>
          <w:spacing w:val="-2"/>
        </w:rPr>
        <w:t>万元（已扣除发行费用），其中新增注册资本（股本）</w:t>
      </w:r>
      <w:r>
        <w:rPr>
          <w:rFonts w:ascii="Times New Roman" w:hAnsi="Times New Roman" w:cs="Times New Roman" w:eastAsia="Times New Roman" w:hint="default"/>
          <w:spacing w:val="-2"/>
        </w:rPr>
        <w:t>3,000.00</w:t>
      </w:r>
      <w:r>
        <w:rPr>
          <w:spacing w:val="-2"/>
        </w:rPr>
        <w:t>万元，其余计入资本公积，</w:t>
      </w:r>
    </w:p>
    <w:p>
      <w:pPr>
        <w:spacing w:after="0" w:line="307"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3"/>
        <w:jc w:val="left"/>
      </w:pPr>
      <w:r>
        <w:rPr>
          <w:spacing w:val="-1"/>
        </w:rPr>
        <w:t>首次公开发行后注册资本变更为</w:t>
      </w:r>
      <w:r>
        <w:rPr>
          <w:rFonts w:ascii="Times New Roman" w:hAnsi="Times New Roman" w:cs="Times New Roman" w:eastAsia="Times New Roman" w:hint="default"/>
          <w:spacing w:val="-1"/>
        </w:rPr>
        <w:t>12,000.00</w:t>
      </w:r>
      <w:r>
        <w:rPr>
          <w:spacing w:val="-1"/>
        </w:rPr>
        <w:t>万元。经深圳证券交易所深证上</w:t>
      </w:r>
      <w:r>
        <w:rPr>
          <w:rFonts w:ascii="Times New Roman" w:hAnsi="Times New Roman" w:cs="Times New Roman" w:eastAsia="Times New Roman" w:hint="default"/>
          <w:spacing w:val="-1"/>
        </w:rPr>
        <w:t>[2010]353</w:t>
      </w:r>
      <w:r>
        <w:rPr>
          <w:spacing w:val="-1"/>
        </w:rPr>
        <w:t>号文批准，公司股票于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5</w:t>
      </w:r>
      <w:r>
        <w:rPr>
          <w:spacing w:val="-1"/>
        </w:rPr>
        <w:t>日在</w:t>
      </w:r>
      <w:r>
        <w:rPr>
          <w:spacing w:val="-58"/>
        </w:rPr>
        <w:t> </w:t>
      </w:r>
      <w:r>
        <w:rPr/>
        <w:t>深圳证券交易所创业板挂牌交易，股票代码为</w:t>
      </w:r>
      <w:r>
        <w:rPr>
          <w:rFonts w:ascii="Times New Roman" w:hAnsi="Times New Roman" w:cs="Times New Roman" w:eastAsia="Times New Roman" w:hint="default"/>
        </w:rPr>
        <w:t>300137</w:t>
      </w:r>
      <w:r>
        <w:rPr/>
        <w:t>。</w:t>
      </w:r>
    </w:p>
    <w:p>
      <w:pPr>
        <w:pStyle w:val="BodyText"/>
        <w:spacing w:line="300" w:lineRule="auto" w:before="73"/>
        <w:ind w:right="1133" w:firstLine="42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月根据</w:t>
      </w:r>
      <w:r>
        <w:rPr>
          <w:rFonts w:ascii="Times New Roman" w:hAnsi="Times New Roman" w:cs="Times New Roman" w:eastAsia="Times New Roman" w:hint="default"/>
        </w:rPr>
        <w:t>2010</w:t>
      </w:r>
      <w:r>
        <w:rPr/>
        <w:t>年度股东大会决议，公司以总股本</w:t>
      </w:r>
      <w:r>
        <w:rPr>
          <w:rFonts w:ascii="Times New Roman" w:hAnsi="Times New Roman" w:cs="Times New Roman" w:eastAsia="Times New Roman" w:hint="default"/>
        </w:rPr>
        <w:t>12,000</w:t>
      </w:r>
      <w:r>
        <w:rPr/>
        <w:t>万股为基数，以资本公积金向全体股东每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w:t>
      </w:r>
      <w:r>
        <w:rPr>
          <w:spacing w:val="2"/>
        </w:rPr>
        <w:t> </w:t>
      </w:r>
      <w:r>
        <w:rPr/>
        <w:t>注册资本由</w:t>
      </w:r>
      <w:r>
        <w:rPr>
          <w:rFonts w:ascii="Times New Roman" w:hAnsi="Times New Roman" w:cs="Times New Roman" w:eastAsia="Times New Roman" w:hint="default"/>
        </w:rPr>
        <w:t>12,000</w:t>
      </w:r>
      <w:r>
        <w:rPr/>
        <w:t>万元变更为</w:t>
      </w:r>
      <w:r>
        <w:rPr>
          <w:rFonts w:ascii="Times New Roman" w:hAnsi="Times New Roman" w:cs="Times New Roman" w:eastAsia="Times New Roman" w:hint="default"/>
        </w:rPr>
        <w:t>15,600</w:t>
      </w:r>
      <w:r>
        <w:rPr/>
        <w:t>万元。</w:t>
      </w:r>
    </w:p>
    <w:p>
      <w:pPr>
        <w:pStyle w:val="BodyText"/>
        <w:spacing w:line="300" w:lineRule="auto" w:before="73"/>
        <w:ind w:right="1133" w:firstLine="42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月根据</w:t>
      </w:r>
      <w:r>
        <w:rPr>
          <w:rFonts w:ascii="Times New Roman" w:hAnsi="Times New Roman" w:cs="Times New Roman" w:eastAsia="Times New Roman" w:hint="default"/>
        </w:rPr>
        <w:t>2012</w:t>
      </w:r>
      <w:r>
        <w:rPr/>
        <w:t>年度股东大会决议，公司以总股数</w:t>
      </w:r>
      <w:r>
        <w:rPr>
          <w:rFonts w:ascii="Times New Roman" w:hAnsi="Times New Roman" w:cs="Times New Roman" w:eastAsia="Times New Roman" w:hint="default"/>
        </w:rPr>
        <w:t>15,600</w:t>
      </w:r>
      <w:r>
        <w:rPr/>
        <w:t>万股为基数，以资本公积向全体股东每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股共计</w:t>
      </w:r>
      <w:r>
        <w:rPr>
          <w:spacing w:val="2"/>
        </w:rPr>
        <w:t> </w:t>
      </w:r>
      <w:r>
        <w:rPr/>
        <w:t>转增</w:t>
      </w:r>
      <w:r>
        <w:rPr>
          <w:rFonts w:ascii="Times New Roman" w:hAnsi="Times New Roman" w:cs="Times New Roman" w:eastAsia="Times New Roman" w:hint="default"/>
        </w:rPr>
        <w:t>46,800,000</w:t>
      </w:r>
      <w:r>
        <w:rPr/>
        <w:t>股，注册资本由</w:t>
      </w:r>
      <w:r>
        <w:rPr>
          <w:rFonts w:ascii="Times New Roman" w:hAnsi="Times New Roman" w:cs="Times New Roman" w:eastAsia="Times New Roman" w:hint="default"/>
        </w:rPr>
        <w:t>15,600</w:t>
      </w:r>
      <w:r>
        <w:rPr/>
        <w:t>万元变更为人民币</w:t>
      </w:r>
      <w:r>
        <w:rPr>
          <w:rFonts w:ascii="Times New Roman" w:hAnsi="Times New Roman" w:cs="Times New Roman" w:eastAsia="Times New Roman" w:hint="default"/>
        </w:rPr>
        <w:t>20,280</w:t>
      </w:r>
      <w:r>
        <w:rPr/>
        <w:t>万元。</w:t>
      </w:r>
    </w:p>
    <w:p>
      <w:pPr>
        <w:pStyle w:val="BodyText"/>
        <w:spacing w:line="300" w:lineRule="auto" w:before="73"/>
        <w:ind w:right="1133" w:firstLine="42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月根据</w:t>
      </w:r>
      <w:r>
        <w:rPr>
          <w:rFonts w:ascii="Times New Roman" w:hAnsi="Times New Roman" w:cs="Times New Roman" w:eastAsia="Times New Roman" w:hint="default"/>
        </w:rPr>
        <w:t>2013</w:t>
      </w:r>
      <w:r>
        <w:rPr/>
        <w:t>年度股东大会决议，公司以总股本</w:t>
      </w:r>
      <w:r>
        <w:rPr>
          <w:rFonts w:ascii="Times New Roman" w:hAnsi="Times New Roman" w:cs="Times New Roman" w:eastAsia="Times New Roman" w:hint="default"/>
        </w:rPr>
        <w:t>20,280</w:t>
      </w:r>
      <w:r>
        <w:rPr/>
        <w:t>万股为基数，以资本公积向全体股东每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股共计</w:t>
      </w:r>
      <w:r>
        <w:rPr>
          <w:spacing w:val="2"/>
        </w:rPr>
        <w:t> </w:t>
      </w:r>
      <w:r>
        <w:rPr/>
        <w:t>转增</w:t>
      </w:r>
      <w:r>
        <w:rPr>
          <w:rFonts w:ascii="Times New Roman" w:hAnsi="Times New Roman" w:cs="Times New Roman" w:eastAsia="Times New Roman" w:hint="default"/>
        </w:rPr>
        <w:t>121,680,000  </w:t>
      </w:r>
      <w:r>
        <w:rPr/>
        <w:t>股，注册资本由</w:t>
      </w:r>
      <w:r>
        <w:rPr>
          <w:rFonts w:ascii="Times New Roman" w:hAnsi="Times New Roman" w:cs="Times New Roman" w:eastAsia="Times New Roman" w:hint="default"/>
        </w:rPr>
        <w:t>20,280</w:t>
      </w:r>
      <w:r>
        <w:rPr/>
        <w:t>万元变更为人民币</w:t>
      </w:r>
      <w:r>
        <w:rPr>
          <w:rFonts w:ascii="Times New Roman" w:hAnsi="Times New Roman" w:cs="Times New Roman" w:eastAsia="Times New Roman" w:hint="default"/>
        </w:rPr>
        <w:t>32,448</w:t>
      </w:r>
      <w:r>
        <w:rPr>
          <w:rFonts w:ascii="Times New Roman" w:hAnsi="Times New Roman" w:cs="Times New Roman" w:eastAsia="Times New Roman" w:hint="default"/>
          <w:spacing w:val="4"/>
        </w:rPr>
        <w:t> </w:t>
      </w:r>
      <w:r>
        <w:rPr/>
        <w:t>万元。</w:t>
      </w:r>
    </w:p>
    <w:p>
      <w:pPr>
        <w:pStyle w:val="BodyText"/>
        <w:spacing w:line="300" w:lineRule="auto" w:before="73"/>
        <w:ind w:right="1128" w:firstLine="420"/>
        <w:jc w:val="both"/>
      </w:pPr>
      <w:r>
        <w:rPr/>
        <w:t>根据本公司</w:t>
      </w:r>
      <w:r>
        <w:rPr>
          <w:rFonts w:ascii="Times New Roman" w:hAnsi="Times New Roman" w:cs="Times New Roman" w:eastAsia="Times New Roman" w:hint="default"/>
        </w:rPr>
        <w:t>2014</w:t>
      </w:r>
      <w:r>
        <w:rPr/>
        <w:t>年第二次临时股东大会决议并经中国证券监督管理委员会《关于核准河北先河环保科技股份有限公司 </w:t>
      </w:r>
      <w:r>
        <w:rPr>
          <w:spacing w:val="-4"/>
        </w:rPr>
        <w:t>向梁常清等发行股份购买资产并募集配套资金的批复》（证监许可</w:t>
      </w:r>
      <w:r>
        <w:rPr>
          <w:rFonts w:ascii="Times New Roman" w:hAnsi="Times New Roman" w:cs="Times New Roman" w:eastAsia="Times New Roman" w:hint="default"/>
          <w:spacing w:val="-4"/>
        </w:rPr>
        <w:t>[2014]</w:t>
      </w:r>
      <w:r>
        <w:rPr>
          <w:rFonts w:ascii="Times New Roman" w:hAnsi="Times New Roman" w:cs="Times New Roman" w:eastAsia="Times New Roman" w:hint="default"/>
        </w:rPr>
        <w:t> </w:t>
      </w:r>
      <w:r>
        <w:rPr>
          <w:rFonts w:ascii="Times New Roman" w:hAnsi="Times New Roman" w:cs="Times New Roman" w:eastAsia="Times New Roman" w:hint="default"/>
          <w:spacing w:val="-1"/>
        </w:rPr>
        <w:t>1396</w:t>
      </w:r>
      <w:r>
        <w:rPr>
          <w:rFonts w:ascii="Times New Roman" w:hAnsi="Times New Roman" w:cs="Times New Roman" w:eastAsia="Times New Roman" w:hint="default"/>
        </w:rPr>
        <w:t> </w:t>
      </w:r>
      <w:r>
        <w:rPr>
          <w:spacing w:val="-5"/>
        </w:rPr>
        <w:t>号）核准，本公司向梁常清发行股份</w:t>
      </w:r>
      <w:r>
        <w:rPr>
          <w:rFonts w:ascii="Times New Roman" w:hAnsi="Times New Roman" w:cs="Times New Roman" w:eastAsia="Times New Roman" w:hint="default"/>
          <w:spacing w:val="-5"/>
        </w:rPr>
        <w:t>12,761,019</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spacing w:val="10"/>
        </w:rPr>
        <w:t>股购买其持有的广东科迪隆科技有限公司</w:t>
      </w:r>
      <w:r>
        <w:rPr>
          <w:rFonts w:ascii="Times New Roman" w:hAnsi="Times New Roman" w:cs="Times New Roman" w:eastAsia="Times New Roman" w:hint="default"/>
          <w:spacing w:val="10"/>
        </w:rPr>
        <w:t>50%</w:t>
      </w:r>
      <w:r>
        <w:rPr>
          <w:spacing w:val="10"/>
        </w:rPr>
        <w:t>的股权和广西先得环保科技有限公司</w:t>
      </w:r>
      <w:r>
        <w:rPr>
          <w:rFonts w:ascii="Times New Roman" w:hAnsi="Times New Roman" w:cs="Times New Roman" w:eastAsia="Times New Roman" w:hint="default"/>
          <w:spacing w:val="10"/>
        </w:rPr>
        <w:t>50%</w:t>
      </w:r>
      <w:r>
        <w:rPr>
          <w:spacing w:val="10"/>
        </w:rPr>
        <w:t>的股权， 向梁宝欣发行股份</w:t>
      </w:r>
      <w:r>
        <w:rPr>
          <w:spacing w:val="-43"/>
        </w:rPr>
        <w:t> </w:t>
      </w:r>
      <w:r>
        <w:rPr>
          <w:spacing w:val="-43"/>
        </w:rPr>
      </w:r>
      <w:r>
        <w:rPr>
          <w:rFonts w:ascii="Times New Roman" w:hAnsi="Times New Roman" w:cs="Times New Roman" w:eastAsia="Times New Roman" w:hint="default"/>
        </w:rPr>
        <w:t>1,531,322</w:t>
      </w:r>
      <w:r>
        <w:rPr/>
        <w:t>股及支付现金</w:t>
      </w:r>
      <w:r>
        <w:rPr>
          <w:rFonts w:ascii="Times New Roman" w:hAnsi="Times New Roman" w:cs="Times New Roman" w:eastAsia="Times New Roman" w:hint="default"/>
        </w:rPr>
        <w:t>7,920</w:t>
      </w:r>
      <w:r>
        <w:rPr/>
        <w:t>万元购买其持有的广东科迪隆科技有限公司</w:t>
      </w:r>
      <w:r>
        <w:rPr>
          <w:rFonts w:ascii="Times New Roman" w:hAnsi="Times New Roman" w:cs="Times New Roman" w:eastAsia="Times New Roman" w:hint="default"/>
        </w:rPr>
        <w:t>30%</w:t>
      </w:r>
      <w:r>
        <w:rPr/>
        <w:t>的股权和广西先得环保科技有限公司</w:t>
      </w:r>
      <w:r>
        <w:rPr>
          <w:rFonts w:ascii="Times New Roman" w:hAnsi="Times New Roman" w:cs="Times New Roman" w:eastAsia="Times New Roman" w:hint="default"/>
        </w:rPr>
        <w:t>30%</w:t>
      </w:r>
      <w:r>
        <w:rPr/>
        <w:t>的股</w:t>
      </w:r>
      <w:r>
        <w:rPr>
          <w:spacing w:val="8"/>
        </w:rPr>
        <w:t> </w:t>
      </w:r>
      <w:r>
        <w:rPr/>
        <w:t>权。本次交易同时向其他不超过 </w:t>
      </w:r>
      <w:r>
        <w:rPr>
          <w:rFonts w:ascii="Times New Roman" w:hAnsi="Times New Roman" w:cs="Times New Roman" w:eastAsia="Times New Roman" w:hint="default"/>
        </w:rPr>
        <w:t>5 </w:t>
      </w:r>
      <w:r>
        <w:rPr/>
        <w:t>名特定投资者发行股份募集配套资金不超过 </w:t>
      </w:r>
      <w:r>
        <w:rPr>
          <w:rFonts w:ascii="Times New Roman" w:hAnsi="Times New Roman" w:cs="Times New Roman" w:eastAsia="Times New Roman" w:hint="default"/>
        </w:rPr>
        <w:t>8,800</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日止公司非公开发 行股票</w:t>
      </w:r>
      <w:r>
        <w:rPr>
          <w:rFonts w:ascii="Times New Roman" w:hAnsi="Times New Roman" w:cs="Times New Roman" w:eastAsia="Times New Roman" w:hint="default"/>
        </w:rPr>
        <w:t>5,623,003</w:t>
      </w:r>
      <w:r>
        <w:rPr/>
        <w:t>股新股用于募集本次发行股票购买资产的配套资金，</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日增发完成，增发后本公司总股本变更为 </w:t>
      </w:r>
      <w:r>
        <w:rPr>
          <w:rFonts w:ascii="Times New Roman" w:hAnsi="Times New Roman" w:cs="Times New Roman" w:eastAsia="Times New Roman" w:hint="default"/>
        </w:rPr>
        <w:t>344,395,344</w:t>
      </w:r>
      <w:r>
        <w:rPr>
          <w:rFonts w:ascii="Times New Roman" w:hAnsi="Times New Roman" w:cs="Times New Roman" w:eastAsia="Times New Roman" w:hint="default"/>
          <w:spacing w:val="19"/>
        </w:rPr>
        <w:t> </w:t>
      </w:r>
      <w:r>
        <w:rPr/>
        <w:t>股，注册资本由</w:t>
      </w:r>
      <w:r>
        <w:rPr>
          <w:rFonts w:ascii="Times New Roman" w:hAnsi="Times New Roman" w:cs="Times New Roman" w:eastAsia="Times New Roman" w:hint="default"/>
        </w:rPr>
        <w:t>32,448</w:t>
      </w:r>
      <w:r>
        <w:rPr/>
        <w:t>万元变更为人民币</w:t>
      </w:r>
      <w:r>
        <w:rPr>
          <w:rFonts w:ascii="Times New Roman" w:hAnsi="Times New Roman" w:cs="Times New Roman" w:eastAsia="Times New Roman" w:hint="default"/>
        </w:rPr>
        <w:t>34,439</w:t>
      </w:r>
      <w:r>
        <w:rPr/>
        <w:t>万元。</w:t>
      </w:r>
    </w:p>
    <w:p>
      <w:pPr>
        <w:pStyle w:val="BodyText"/>
        <w:spacing w:line="300" w:lineRule="auto" w:before="73"/>
        <w:ind w:right="1133"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月根据</w:t>
      </w:r>
      <w:r>
        <w:rPr>
          <w:rFonts w:ascii="Times New Roman" w:hAnsi="Times New Roman" w:cs="Times New Roman" w:eastAsia="Times New Roman" w:hint="default"/>
        </w:rPr>
        <w:t>2017</w:t>
      </w:r>
      <w:r>
        <w:rPr/>
        <w:t>年度股东大会决议，公司以总股本</w:t>
      </w:r>
      <w:r>
        <w:rPr>
          <w:rFonts w:ascii="Times New Roman" w:hAnsi="Times New Roman" w:cs="Times New Roman" w:eastAsia="Times New Roman" w:hint="default"/>
        </w:rPr>
        <w:t>34,439</w:t>
      </w:r>
      <w:r>
        <w:rPr/>
        <w:t>万股为基数，以资本公积向全体股东每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股共计</w:t>
      </w:r>
      <w:r>
        <w:rPr>
          <w:spacing w:val="2"/>
        </w:rPr>
        <w:t> </w:t>
      </w:r>
      <w:r>
        <w:rPr/>
        <w:t>转增</w:t>
      </w:r>
      <w:r>
        <w:rPr>
          <w:rFonts w:ascii="Times New Roman" w:hAnsi="Times New Roman" w:cs="Times New Roman" w:eastAsia="Times New Roman" w:hint="default"/>
        </w:rPr>
        <w:t>206,637,206</w:t>
      </w:r>
      <w:r>
        <w:rPr/>
        <w:t>股，转增完毕后，公司总股本变更为</w:t>
      </w:r>
      <w:r>
        <w:rPr>
          <w:rFonts w:ascii="Times New Roman" w:hAnsi="Times New Roman" w:cs="Times New Roman" w:eastAsia="Times New Roman" w:hint="default"/>
        </w:rPr>
        <w:t>551,032,550</w:t>
      </w:r>
      <w:r>
        <w:rPr/>
        <w:t>股，注册资本由</w:t>
      </w:r>
      <w:r>
        <w:rPr>
          <w:rFonts w:ascii="Times New Roman" w:hAnsi="Times New Roman" w:cs="Times New Roman" w:eastAsia="Times New Roman" w:hint="default"/>
        </w:rPr>
        <w:t>34,439</w:t>
      </w:r>
      <w:r>
        <w:rPr/>
        <w:t>万元变更为</w:t>
      </w:r>
      <w:r>
        <w:rPr>
          <w:rFonts w:ascii="Times New Roman" w:hAnsi="Times New Roman" w:cs="Times New Roman" w:eastAsia="Times New Roman" w:hint="default"/>
        </w:rPr>
        <w:t>55,103.26</w:t>
      </w:r>
      <w:r>
        <w:rPr/>
        <w:t>万元。</w:t>
      </w:r>
    </w:p>
    <w:p>
      <w:pPr>
        <w:pStyle w:val="BodyText"/>
        <w:spacing w:line="300" w:lineRule="auto" w:before="73"/>
        <w:ind w:right="1133" w:firstLine="420"/>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日，李玉国先生持有本公司股份 </w:t>
      </w:r>
      <w:r>
        <w:rPr>
          <w:rFonts w:ascii="Times New Roman" w:hAnsi="Times New Roman" w:cs="Times New Roman" w:eastAsia="Times New Roman" w:hint="default"/>
        </w:rPr>
        <w:t>81,898,409 </w:t>
      </w:r>
      <w:r>
        <w:rPr/>
        <w:t>股，占本公司总股本的</w:t>
      </w:r>
      <w:r>
        <w:rPr>
          <w:spacing w:val="2"/>
        </w:rPr>
        <w:t> </w:t>
      </w:r>
      <w:r>
        <w:rPr>
          <w:rFonts w:ascii="Times New Roman" w:hAnsi="Times New Roman" w:cs="Times New Roman" w:eastAsia="Times New Roman" w:hint="default"/>
        </w:rPr>
        <w:t>14.86%</w:t>
      </w:r>
      <w:r>
        <w:rPr/>
        <w:t>，为第一大股东和实际 控制人。</w:t>
      </w:r>
    </w:p>
    <w:p>
      <w:pPr>
        <w:spacing w:line="340" w:lineRule="auto" w:before="71"/>
        <w:ind w:left="573" w:right="63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、所处行业</w:t>
      </w:r>
      <w:r>
        <w:rPr>
          <w:rFonts w:ascii="宋体" w:hAnsi="宋体" w:cs="宋体" w:eastAsia="宋体" w:hint="default"/>
          <w:b/>
          <w:bCs/>
          <w:spacing w:val="-104"/>
          <w:sz w:val="21"/>
          <w:szCs w:val="21"/>
        </w:rPr>
        <w:t> </w:t>
      </w:r>
      <w:r>
        <w:rPr>
          <w:rFonts w:ascii="宋体" w:hAnsi="宋体" w:cs="宋体" w:eastAsia="宋体" w:hint="default"/>
          <w:sz w:val="18"/>
          <w:szCs w:val="18"/>
        </w:rPr>
        <w:t>公司所属行业为环境监测专用仪器仪表制造行业。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、经营范围</w:t>
      </w:r>
      <w:r>
        <w:rPr>
          <w:rFonts w:ascii="宋体" w:hAnsi="宋体" w:cs="宋体" w:eastAsia="宋体" w:hint="default"/>
          <w:sz w:val="21"/>
          <w:szCs w:val="21"/>
        </w:rPr>
      </w:r>
    </w:p>
    <w:p>
      <w:pPr>
        <w:pStyle w:val="BodyText"/>
        <w:spacing w:line="316" w:lineRule="auto" w:before="4"/>
        <w:ind w:right="1034" w:firstLine="420"/>
        <w:jc w:val="left"/>
      </w:pPr>
      <w:r>
        <w:rPr/>
        <w:t>本公司经批准的经营范围：从事仪器、仪表、环境治理设备及相关产品的研制开发、生产、安装、销售、技术推广、 </w:t>
      </w:r>
      <w:r>
        <w:rPr>
          <w:spacing w:val="-4"/>
        </w:rPr>
        <w:t>技术转让、技术咨询、技术服务；机动车尾气遥感检测系统研发；化工产品（化学危险品及易制毒化学品除外）、电子产品、</w:t>
      </w:r>
      <w:r>
        <w:rPr>
          <w:spacing w:val="-41"/>
        </w:rPr>
        <w:t> </w:t>
      </w:r>
      <w:r>
        <w:rPr>
          <w:spacing w:val="-41"/>
        </w:rPr>
      </w:r>
      <w:r>
        <w:rPr/>
        <w:t>五金交电、仪器、仪表、针纺织品、塑料制品、橡胶制品、通讯器材（不含无线电移动电话、地面卫星接收设备）的批发、 </w:t>
      </w:r>
      <w:r>
        <w:rPr>
          <w:spacing w:val="-2"/>
        </w:rPr>
        <w:t>零售；软件产品的开发、生产和销售；环境监测仪器的研制、生产、销售；数字信息技术服务；数据处理、数据服务；计算</w:t>
      </w:r>
      <w:r>
        <w:rPr>
          <w:spacing w:val="-67"/>
        </w:rPr>
        <w:t> </w:t>
      </w:r>
      <w:r>
        <w:rPr>
          <w:spacing w:val="-67"/>
        </w:rPr>
      </w:r>
      <w:r>
        <w:rPr>
          <w:spacing w:val="-4"/>
        </w:rPr>
        <w:t>机信息系统集成服务，环境监测仪器的维修、运营服务；环保工程、环境检测；环境工程设计、施工及技术咨询、技术服务；</w:t>
      </w:r>
      <w:r>
        <w:rPr>
          <w:spacing w:val="-41"/>
        </w:rPr>
        <w:t> </w:t>
      </w:r>
      <w:r>
        <w:rPr>
          <w:spacing w:val="-41"/>
        </w:rPr>
      </w:r>
      <w:r>
        <w:rPr/>
        <w:t>清洁服务；环境监测；节能产品技术、热泵产品技术、中央空调设备技术、压缩机及配件技术的开发、生产、销售及安装； </w:t>
      </w:r>
      <w:r>
        <w:rPr>
          <w:spacing w:val="-4"/>
        </w:rPr>
        <w:t>采暖系统工程的设计、暖通工程施工；房屋租赁；环境监测设备的销售；水处理设备、净水设备的研发、制造、销售及安装；</w:t>
      </w:r>
      <w:r>
        <w:rPr>
          <w:spacing w:val="-41"/>
        </w:rPr>
        <w:t> </w:t>
      </w:r>
      <w:r>
        <w:rPr>
          <w:spacing w:val="-41"/>
        </w:rPr>
      </w:r>
      <w:r>
        <w:rPr>
          <w:spacing w:val="-4"/>
        </w:rPr>
        <w:t>环境治理服务；垃圾清运服务；自营和代理各类商品及技术的进出口业务，国家限制和禁止的除外。（依法须经批准的项目，</w:t>
      </w:r>
      <w:r>
        <w:rPr>
          <w:spacing w:val="-45"/>
        </w:rPr>
        <w:t> </w:t>
      </w:r>
      <w:r>
        <w:rPr>
          <w:spacing w:val="-45"/>
        </w:rPr>
      </w:r>
      <w:r>
        <w:rPr/>
        <w:t>经相关部门批准后方可开展经营活动）</w:t>
      </w:r>
    </w:p>
    <w:p>
      <w:pPr>
        <w:pStyle w:val="Heading3"/>
        <w:spacing w:line="240" w:lineRule="auto" w:before="58"/>
        <w:ind w:left="573" w:right="1133"/>
        <w:jc w:val="left"/>
        <w:rPr>
          <w:b w:val="0"/>
          <w:bCs w:val="0"/>
        </w:rPr>
      </w:pPr>
      <w:r>
        <w:rPr>
          <w:rFonts w:ascii="Times New Roman" w:hAnsi="Times New Roman" w:cs="Times New Roman" w:eastAsia="Times New Roman" w:hint="default"/>
        </w:rPr>
        <w:t>4</w:t>
      </w:r>
      <w:r>
        <w:rPr/>
        <w:t>、财务报告批准报出日</w:t>
      </w:r>
      <w:r>
        <w:rPr>
          <w:b w:val="0"/>
          <w:bCs w:val="0"/>
        </w:rPr>
      </w:r>
    </w:p>
    <w:p>
      <w:pPr>
        <w:pStyle w:val="BodyText"/>
        <w:spacing w:line="240" w:lineRule="auto" w:before="102"/>
        <w:ind w:left="573" w:right="1133"/>
        <w:jc w:val="left"/>
      </w:pPr>
      <w:r>
        <w:rPr/>
        <w:t>本财务报表业经本公司董事会于</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27</w:t>
      </w:r>
      <w:r>
        <w:rPr/>
        <w:t>日决议批准报出。</w:t>
      </w:r>
    </w:p>
    <w:p>
      <w:pPr>
        <w:pStyle w:val="Heading3"/>
        <w:spacing w:line="240" w:lineRule="auto" w:before="116"/>
        <w:ind w:right="1133"/>
        <w:jc w:val="left"/>
        <w:rPr>
          <w:b w:val="0"/>
          <w:bCs w:val="0"/>
        </w:rPr>
      </w:pPr>
      <w:r>
        <w:rPr/>
        <w:t>（二）本年度合并财务报表范围</w:t>
      </w:r>
      <w:r>
        <w:rPr>
          <w:b w:val="0"/>
          <w:bCs w:val="0"/>
        </w:rPr>
      </w:r>
    </w:p>
    <w:p>
      <w:pPr>
        <w:pStyle w:val="BodyText"/>
        <w:spacing w:line="316" w:lineRule="auto" w:before="118"/>
        <w:ind w:right="1133" w:firstLine="420"/>
        <w:jc w:val="left"/>
      </w:pPr>
      <w:r>
        <w:rPr/>
        <w:t>本公司</w:t>
      </w:r>
      <w:r>
        <w:rPr>
          <w:rFonts w:ascii="宋体" w:hAnsi="宋体" w:cs="宋体" w:eastAsia="宋体" w:hint="default"/>
        </w:rPr>
        <w:t>2019</w:t>
      </w:r>
      <w:r>
        <w:rPr/>
        <w:t>年度纳入合并范围内子公司共计</w:t>
      </w:r>
      <w:r>
        <w:rPr>
          <w:rFonts w:ascii="宋体" w:hAnsi="宋体" w:cs="宋体" w:eastAsia="宋体" w:hint="default"/>
        </w:rPr>
        <w:t>23</w:t>
      </w:r>
      <w:r>
        <w:rPr/>
        <w:t>家，详见本“附注九、在其他主体中的权益”。本公司本年度合并范围 比上年度减少</w:t>
      </w:r>
      <w:r>
        <w:rPr>
          <w:rFonts w:ascii="宋体" w:hAnsi="宋体" w:cs="宋体" w:eastAsia="宋体" w:hint="default"/>
        </w:rPr>
        <w:t>2</w:t>
      </w:r>
      <w:r>
        <w:rPr/>
        <w:t>家，详见“本附注八、合并范围的变化”。</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bookmarkStart w:name="四、财务报表的编制基础" w:id="178"/>
      <w:bookmarkEnd w:id="178"/>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编制基础" w:id="179"/>
      <w:bookmarkEnd w:id="17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3" w:right="1133"/>
        <w:jc w:val="left"/>
      </w:pPr>
      <w:r>
        <w:rPr/>
        <w:t>本公司财务报表以持续经营假设为基础，根据实际发生的交易和事项，按照财政部发布的《企业会计准则——基本准</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1"/>
        <w:jc w:val="both"/>
      </w:pPr>
      <w:r>
        <w:rPr/>
        <w:t>则》（财政部令第</w:t>
      </w:r>
      <w:r>
        <w:rPr>
          <w:rFonts w:ascii="宋体" w:hAnsi="宋体" w:cs="宋体" w:eastAsia="宋体" w:hint="default"/>
        </w:rPr>
        <w:t>33</w:t>
      </w:r>
      <w:r>
        <w:rPr/>
        <w:t>号发布、财政部令第</w:t>
      </w:r>
      <w:r>
        <w:rPr>
          <w:rFonts w:ascii="宋体" w:hAnsi="宋体" w:cs="宋体" w:eastAsia="宋体" w:hint="default"/>
        </w:rPr>
        <w:t>76</w:t>
      </w:r>
      <w:r>
        <w:rPr/>
        <w:t>号修订）、于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日及其后颁布和修订的</w:t>
      </w:r>
      <w:r>
        <w:rPr>
          <w:rFonts w:ascii="宋体" w:hAnsi="宋体" w:cs="宋体" w:eastAsia="宋体" w:hint="default"/>
        </w:rPr>
        <w:t>42</w:t>
      </w:r>
      <w:r>
        <w:rPr/>
        <w:t>项具体会计准则、企业会计</w:t>
      </w:r>
      <w:r>
        <w:rPr>
          <w:spacing w:val="-86"/>
        </w:rPr>
        <w:t> </w:t>
      </w:r>
      <w:r>
        <w:rPr>
          <w:spacing w:val="-2"/>
        </w:rPr>
        <w:t>准则应用指南、企业会计准则解释及其他相关规定（以下合称“企业会计准则”），以及中国证券监督管理委员会《公开发</w:t>
      </w:r>
      <w:r>
        <w:rPr>
          <w:spacing w:val="-68"/>
        </w:rPr>
        <w:t> </w:t>
      </w:r>
      <w:r>
        <w:rPr>
          <w:spacing w:val="-68"/>
        </w:rPr>
      </w:r>
      <w:r>
        <w:rPr/>
        <w:t>行证券的公司信息披露编报规则第</w:t>
      </w:r>
      <w:r>
        <w:rPr>
          <w:rFonts w:ascii="宋体" w:hAnsi="宋体" w:cs="宋体" w:eastAsia="宋体" w:hint="default"/>
        </w:rPr>
        <w:t>15</w:t>
      </w:r>
      <w:r>
        <w:rPr/>
        <w:t>号——财务报告的一般规定》（</w:t>
      </w:r>
      <w:r>
        <w:rPr>
          <w:rFonts w:ascii="宋体" w:hAnsi="宋体" w:cs="宋体" w:eastAsia="宋体" w:hint="default"/>
        </w:rPr>
        <w:t>2014</w:t>
      </w:r>
      <w:r>
        <w:rPr/>
        <w:t>年修订）的披露规定编制。</w:t>
      </w:r>
    </w:p>
    <w:p>
      <w:pPr>
        <w:pStyle w:val="BodyText"/>
        <w:spacing w:line="316" w:lineRule="auto" w:before="77"/>
        <w:ind w:right="1138" w:firstLine="420"/>
        <w:jc w:val="both"/>
      </w:pPr>
      <w:r>
        <w:rPr/>
        <w:t>根据企业会计准则的相关规定，本公司会计核算以权责发生制为基础。本财务报表均以历史成本为计量基础。资产如 果发生减值，则按照相关规定计提相应的减值准备。</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2、持续经营" w:id="180"/>
      <w:bookmarkEnd w:id="18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8" w:firstLine="420"/>
        <w:jc w:val="both"/>
      </w:pPr>
      <w:r>
        <w:rPr/>
        <w:t>本公司管理层对公司自报告期末起至少</w:t>
      </w:r>
      <w:r>
        <w:rPr>
          <w:rFonts w:ascii="宋体" w:hAnsi="宋体" w:cs="宋体" w:eastAsia="宋体" w:hint="default"/>
        </w:rPr>
        <w:t>12</w:t>
      </w:r>
      <w:r>
        <w:rPr/>
        <w:t>个月的持续经营能力评估后认为公司不存在可能导致持续经营产生重大疑虑 的事项或情况，本公司财务报表是按照持续经营假设为基础编制的。</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bookmarkStart w:name="五、重要会计政策及会计估计" w:id="181"/>
      <w:bookmarkEnd w:id="181"/>
      <w:r>
        <w:rPr>
          <w:b w:val="0"/>
          <w:bCs w:val="0"/>
        </w:rPr>
      </w: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81" w:lineRule="auto"/>
        <w:ind w:left="573" w:right="1133" w:hanging="421"/>
        <w:jc w:val="left"/>
      </w:pPr>
      <w:r>
        <w:rPr/>
        <w:t>具体会计政策和会计估计提示： 本公司根据实际生产经营特点，依据相关企业会计准则的规定，对收入确认等交易和事项制定了若干项具体会计政策</w:t>
      </w:r>
    </w:p>
    <w:p>
      <w:pPr>
        <w:pStyle w:val="BodyText"/>
        <w:spacing w:line="203" w:lineRule="exact"/>
        <w:ind w:right="0"/>
        <w:jc w:val="both"/>
      </w:pPr>
      <w:r>
        <w:rPr/>
        <w:t>和会计估计。</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bookmarkStart w:name="1、遵循企业会计准则的声明" w:id="182"/>
      <w:bookmarkEnd w:id="18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firstLine="420"/>
        <w:jc w:val="both"/>
      </w:pPr>
      <w:r>
        <w:rPr/>
        <w:t>本公司编制的财务报表符合企业会计准则的要求，真实、完整地反映了本公司</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日的财务状况及</w:t>
      </w:r>
      <w:r>
        <w:rPr>
          <w:rFonts w:ascii="宋体" w:hAnsi="宋体" w:cs="宋体" w:eastAsia="宋体" w:hint="default"/>
        </w:rPr>
        <w:t>2019</w:t>
      </w:r>
      <w:r>
        <w:rPr/>
        <w:t>年度 </w:t>
      </w:r>
      <w:r>
        <w:rPr>
          <w:spacing w:val="-5"/>
        </w:rPr>
        <w:t>的经营成果和现金流量等有关信息。此外，本公司的财务报表在所有重大方面符合中国证券监督管理委员会</w:t>
      </w:r>
      <w:r>
        <w:rPr>
          <w:rFonts w:ascii="宋体" w:hAnsi="宋体" w:cs="宋体" w:eastAsia="宋体" w:hint="default"/>
          <w:spacing w:val="-5"/>
        </w:rPr>
        <w:t>2014</w:t>
      </w:r>
      <w:r>
        <w:rPr>
          <w:spacing w:val="-5"/>
        </w:rPr>
        <w:t>年修订的《公</w:t>
      </w:r>
      <w:r>
        <w:rPr>
          <w:spacing w:val="-70"/>
        </w:rPr>
        <w:t> </w:t>
      </w:r>
      <w:r>
        <w:rPr>
          <w:spacing w:val="-70"/>
        </w:rPr>
      </w:r>
      <w:r>
        <w:rPr/>
        <w:t>开发行证券的公司信息披露编报规则第</w:t>
      </w:r>
      <w:r>
        <w:rPr>
          <w:rFonts w:ascii="宋体" w:hAnsi="宋体" w:cs="宋体" w:eastAsia="宋体" w:hint="default"/>
        </w:rPr>
        <w:t>15</w:t>
      </w:r>
      <w:r>
        <w:rPr/>
        <w:t>号－财务报告的一般规定》有关财务报表及其附注的披露要求。</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2、会计期间" w:id="183"/>
      <w:bookmarkEnd w:id="183"/>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8" w:firstLine="420"/>
        <w:jc w:val="both"/>
      </w:pPr>
      <w:r>
        <w:rPr/>
        <w:t>本公司会计期间分为年度和中期。中期包括半年度、季度和月度。年度、半年度、季度、月度起止日期按公历日期确 定。公司会计年度为每年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3、营业周期" w:id="184"/>
      <w:bookmarkEnd w:id="184"/>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3" w:right="1133"/>
        <w:jc w:val="left"/>
      </w:pPr>
      <w:r>
        <w:rPr/>
        <w:t>本公司以 </w:t>
      </w:r>
      <w:r>
        <w:rPr>
          <w:rFonts w:ascii="宋体" w:hAnsi="宋体" w:cs="宋体" w:eastAsia="宋体" w:hint="default"/>
        </w:rPr>
        <w:t>12</w:t>
      </w:r>
      <w:r>
        <w:rPr>
          <w:rFonts w:ascii="宋体" w:hAnsi="宋体" w:cs="宋体" w:eastAsia="宋体" w:hint="default"/>
          <w:spacing w:val="-1"/>
        </w:rPr>
        <w:t> </w:t>
      </w:r>
      <w:r>
        <w:rPr/>
        <w:t>个月作为一个营业周期，并以其作为资产和负债的流动性划分标准。</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bookmarkStart w:name="4、记账本位币" w:id="185"/>
      <w:bookmarkEnd w:id="185"/>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73" w:right="1133"/>
        <w:jc w:val="left"/>
      </w:pPr>
      <w:r>
        <w:rPr/>
        <w:t>本公司以人民币为记账本位币。</w:t>
      </w:r>
    </w:p>
    <w:p>
      <w:pPr>
        <w:spacing w:line="240" w:lineRule="auto" w:before="0"/>
        <w:rPr>
          <w:rFonts w:ascii="宋体" w:hAnsi="宋体" w:cs="宋体" w:eastAsia="宋体" w:hint="default"/>
          <w:sz w:val="18"/>
          <w:szCs w:val="18"/>
        </w:rPr>
      </w:pPr>
    </w:p>
    <w:p>
      <w:pPr>
        <w:pStyle w:val="Heading3"/>
        <w:spacing w:line="240" w:lineRule="auto" w:before="121"/>
        <w:ind w:right="0"/>
        <w:jc w:val="both"/>
        <w:rPr>
          <w:b w:val="0"/>
          <w:bCs w:val="0"/>
        </w:rPr>
      </w:pPr>
      <w:bookmarkStart w:name="5、同一控制下和非同一控制下企业合并的会计处理方法" w:id="186"/>
      <w:bookmarkEnd w:id="18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4" w:firstLine="420"/>
        <w:jc w:val="both"/>
      </w:pPr>
      <w:r>
        <w:rPr/>
        <w:t>企业合并，是指将两个或两个以上单独的企业合并形成一个报告主体的交易或事项。企业合并分为同一控制下企业合 并和非同一控制下企业合并。</w:t>
      </w:r>
    </w:p>
    <w:p>
      <w:pPr>
        <w:pStyle w:val="BodyText"/>
        <w:spacing w:line="379" w:lineRule="auto" w:before="79"/>
        <w:ind w:left="573" w:right="1133"/>
        <w:jc w:val="left"/>
      </w:pPr>
      <w:r>
        <w:rPr/>
        <w:t>（</w:t>
      </w:r>
      <w:r>
        <w:rPr>
          <w:rFonts w:ascii="宋体" w:hAnsi="宋体" w:cs="宋体" w:eastAsia="宋体" w:hint="default"/>
        </w:rPr>
        <w:t>1</w:t>
      </w:r>
      <w:r>
        <w:rPr/>
        <w:t>）同一控制下企业合并 参与合并的企业在合并前后均受同一方或相同的多方最终控制，且该控制并非暂时性的，为同一控制下的企业合并。</w:t>
      </w:r>
    </w:p>
    <w:p>
      <w:pPr>
        <w:pStyle w:val="BodyText"/>
        <w:spacing w:line="208" w:lineRule="exact"/>
        <w:ind w:right="0"/>
        <w:jc w:val="both"/>
      </w:pPr>
      <w:r>
        <w:rPr/>
        <w:t>同一控制下的企业合并，在合并日取得对其他参与合并企业控制权的一方为合并方，参与合并的其他企业为被合并方。合并</w:t>
      </w:r>
    </w:p>
    <w:p>
      <w:pPr>
        <w:pStyle w:val="BodyText"/>
        <w:spacing w:line="240" w:lineRule="auto" w:before="76"/>
        <w:ind w:right="0"/>
        <w:jc w:val="both"/>
      </w:pPr>
      <w:r>
        <w:rPr/>
        <w:t>日，是指合并方实际取得对被合并方控制权的日期。</w:t>
      </w:r>
    </w:p>
    <w:p>
      <w:pPr>
        <w:spacing w:after="0" w:line="24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43" w:firstLine="420"/>
        <w:jc w:val="both"/>
      </w:pPr>
      <w:r>
        <w:rPr/>
        <w:t>合并方取得的资产和负债均按合并日在被合并方的账面价值计量。合并方取得的净资产账面价值与支付的合并对价账 </w:t>
      </w:r>
      <w:r>
        <w:rPr>
          <w:spacing w:val="-4"/>
        </w:rPr>
        <w:t>面价值（或发行股份面值总额）的差额，调整资本公积（股本溢价）；资本公积（股本溢价）不足以冲减的，调整留存收益。</w:t>
      </w:r>
    </w:p>
    <w:p>
      <w:pPr>
        <w:pStyle w:val="BodyText"/>
        <w:spacing w:line="379" w:lineRule="auto" w:before="77"/>
        <w:ind w:left="573" w:right="1133"/>
        <w:jc w:val="left"/>
      </w:pPr>
      <w:r>
        <w:rPr/>
        <w:t>（</w:t>
      </w:r>
      <w:r>
        <w:rPr>
          <w:rFonts w:ascii="宋体" w:hAnsi="宋体" w:cs="宋体" w:eastAsia="宋体" w:hint="default"/>
        </w:rPr>
        <w:t>2</w:t>
      </w:r>
      <w:r>
        <w:rPr/>
        <w:t>）非同一控制下企业合并 参与合并的企业在合并前后不受同一方或相同的多方最终控制的，为非同一控制下的企业合并。非同一控制下的企业</w:t>
      </w:r>
    </w:p>
    <w:p>
      <w:pPr>
        <w:pStyle w:val="BodyText"/>
        <w:spacing w:line="208" w:lineRule="exact"/>
        <w:ind w:right="0"/>
        <w:jc w:val="left"/>
      </w:pPr>
      <w:r>
        <w:rPr/>
        <w:t>合并，在购买日取得对其他参与合并企业控制权的一方为购买方，参与合并的其他企业为被购买方。购买日，是指为购买方</w:t>
      </w:r>
    </w:p>
    <w:p>
      <w:pPr>
        <w:pStyle w:val="BodyText"/>
        <w:spacing w:line="379" w:lineRule="auto" w:before="76"/>
        <w:ind w:left="573" w:right="1133" w:hanging="421"/>
        <w:jc w:val="left"/>
      </w:pPr>
      <w:r>
        <w:rPr/>
        <w:t>实际取得对被购买方控制权的日期。 对于非同一控制下的企业合并，合并成本包含购买日购买方为取得对被购买方的控制权而付出的资产、发生或承担的</w:t>
      </w:r>
    </w:p>
    <w:p>
      <w:pPr>
        <w:pStyle w:val="BodyText"/>
        <w:spacing w:line="208" w:lineRule="exact"/>
        <w:ind w:right="0"/>
        <w:jc w:val="left"/>
      </w:pPr>
      <w:r>
        <w:rPr/>
        <w:t>负债以及发行的权益性证券的公允价值，为企业合并发生的审计、法律服务、评估咨询等中介费用以及其他管理费用于发生</w:t>
      </w:r>
    </w:p>
    <w:p>
      <w:pPr>
        <w:pStyle w:val="BodyText"/>
        <w:spacing w:line="319" w:lineRule="auto" w:before="76"/>
        <w:ind w:right="1131"/>
        <w:jc w:val="both"/>
      </w:pPr>
      <w:r>
        <w:rPr>
          <w:spacing w:val="-2"/>
        </w:rPr>
        <w:t>时计入当期损益。购买方作为合并对价发行的权益性证券或债务性证券的交易费用，计入权益性证券或债务性证券的初始确</w:t>
      </w:r>
      <w:r>
        <w:rPr>
          <w:spacing w:val="-64"/>
        </w:rPr>
        <w:t> </w:t>
      </w:r>
      <w:r>
        <w:rPr>
          <w:spacing w:val="-64"/>
        </w:rPr>
      </w:r>
      <w:r>
        <w:rPr>
          <w:spacing w:val="-2"/>
        </w:rPr>
        <w:t>认金额。所涉及的或有对价按其在购买日的公允价值计入合并成本，购买日后</w:t>
      </w:r>
      <w:r>
        <w:rPr>
          <w:rFonts w:ascii="宋体" w:hAnsi="宋体" w:cs="宋体" w:eastAsia="宋体" w:hint="default"/>
          <w:spacing w:val="-2"/>
        </w:rPr>
        <w:t>12</w:t>
      </w:r>
      <w:r>
        <w:rPr>
          <w:spacing w:val="-2"/>
        </w:rPr>
        <w:t>个月内出现对购买日已存在情况的新的或进</w:t>
      </w:r>
      <w:r>
        <w:rPr>
          <w:spacing w:val="-62"/>
        </w:rPr>
        <w:t> </w:t>
      </w:r>
      <w:r>
        <w:rPr>
          <w:spacing w:val="-62"/>
        </w:rPr>
      </w:r>
      <w:r>
        <w:rPr>
          <w:spacing w:val="-2"/>
        </w:rPr>
        <w:t>一步证据而需要调整或有对价的，相应调整合并商誉。购买方发生的合并成本及在合并中取得的可辨认净资产按购买日的公</w:t>
      </w:r>
      <w:r>
        <w:rPr>
          <w:spacing w:val="-64"/>
        </w:rPr>
        <w:t> </w:t>
      </w:r>
      <w:r>
        <w:rPr>
          <w:spacing w:val="-64"/>
        </w:rPr>
      </w:r>
      <w:r>
        <w:rPr>
          <w:spacing w:val="-2"/>
        </w:rPr>
        <w:t>允价值计量。合并成本大于合并中取得的被购买方于购买日可辨认净资产公允价值份额的差额，确认为商誉。合并成本小于</w:t>
      </w:r>
      <w:r>
        <w:rPr>
          <w:spacing w:val="-66"/>
        </w:rPr>
        <w:t> </w:t>
      </w:r>
      <w:r>
        <w:rPr>
          <w:spacing w:val="-66"/>
        </w:rPr>
      </w:r>
      <w:r>
        <w:rPr>
          <w:spacing w:val="-2"/>
        </w:rPr>
        <w:t>合并中取得的被购买方可辨认净资产公允价值份额的，首先对取得的被购买方各项可辨认资产、负债及或有负债的公允价值</w:t>
      </w:r>
      <w:r>
        <w:rPr>
          <w:spacing w:val="-63"/>
        </w:rPr>
        <w:t> </w:t>
      </w:r>
      <w:r>
        <w:rPr>
          <w:spacing w:val="-63"/>
        </w:rPr>
      </w:r>
      <w:r>
        <w:rPr>
          <w:spacing w:val="-2"/>
        </w:rPr>
        <w:t>以及合并成本的计量进行复核，复核后合并成本仍小于合并中取得的被购买方可辨认净资产公允价值份额的，其差额计入当</w:t>
      </w:r>
      <w:r>
        <w:rPr>
          <w:spacing w:val="-64"/>
        </w:rPr>
        <w:t> </w:t>
      </w:r>
      <w:r>
        <w:rPr>
          <w:spacing w:val="-64"/>
        </w:rPr>
      </w:r>
      <w:r>
        <w:rPr/>
        <w:t>期损益。</w:t>
      </w:r>
    </w:p>
    <w:p>
      <w:pPr>
        <w:pStyle w:val="BodyText"/>
        <w:spacing w:line="316" w:lineRule="auto" w:before="77"/>
        <w:ind w:right="1131" w:firstLine="420"/>
        <w:jc w:val="both"/>
      </w:pPr>
      <w:r>
        <w:rPr/>
        <w:t>购买方取得被购买方的可抵扣暂时性差异，在购买日因不符合递延所得税资产确认条件而未予确认的，在购买日后</w:t>
      </w:r>
      <w:r>
        <w:rPr>
          <w:rFonts w:ascii="宋体" w:hAnsi="宋体" w:cs="宋体" w:eastAsia="宋体" w:hint="default"/>
        </w:rPr>
        <w:t>12</w:t>
      </w:r>
      <w:r>
        <w:rPr>
          <w:rFonts w:ascii="宋体" w:hAnsi="宋体" w:cs="宋体" w:eastAsia="宋体" w:hint="default"/>
          <w:spacing w:val="1"/>
        </w:rPr>
        <w:t>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7"/>
        </w:rPr>
        <w:t> </w:t>
      </w:r>
      <w:r>
        <w:rPr>
          <w:spacing w:val="-67"/>
        </w:rPr>
      </w:r>
      <w:r>
        <w:rPr/>
        <w:t>以外，确认与企业合并相关的递延所得税资产的，计入当期损益。</w:t>
      </w:r>
    </w:p>
    <w:p>
      <w:pPr>
        <w:pStyle w:val="BodyText"/>
        <w:spacing w:line="316" w:lineRule="auto" w:before="79"/>
        <w:ind w:right="0" w:firstLine="420"/>
        <w:jc w:val="left"/>
      </w:pPr>
      <w:r>
        <w:rPr>
          <w:spacing w:val="-6"/>
        </w:rPr>
        <w:t>通过多次交易分步实现的非同一控制下企业合并，根据《财政部关于印发企业会计准则解释第</w:t>
      </w:r>
      <w:r>
        <w:rPr>
          <w:rFonts w:ascii="宋体" w:hAnsi="宋体" w:cs="宋体" w:eastAsia="宋体" w:hint="default"/>
          <w:spacing w:val="-6"/>
        </w:rPr>
        <w:t>5</w:t>
      </w:r>
      <w:r>
        <w:rPr>
          <w:spacing w:val="-6"/>
        </w:rPr>
        <w:t>号的通知》（财会〔</w:t>
      </w:r>
      <w:r>
        <w:rPr>
          <w:rFonts w:ascii="宋体" w:hAnsi="宋体" w:cs="宋体" w:eastAsia="宋体" w:hint="default"/>
          <w:spacing w:val="-6"/>
        </w:rPr>
        <w:t>2012</w:t>
      </w:r>
      <w:r>
        <w:rPr>
          <w:spacing w:val="-6"/>
        </w:rPr>
        <w:t>〕</w:t>
      </w:r>
      <w:r>
        <w:rPr/>
        <w:t> </w:t>
      </w:r>
      <w:r>
        <w:rPr>
          <w:rFonts w:ascii="宋体" w:hAnsi="宋体" w:cs="宋体" w:eastAsia="宋体" w:hint="default"/>
          <w:spacing w:val="-4"/>
        </w:rPr>
        <w:t>19</w:t>
      </w:r>
      <w:r>
        <w:rPr>
          <w:spacing w:val="-4"/>
        </w:rPr>
        <w:t>号）和《企业会计准则第</w:t>
      </w:r>
      <w:r>
        <w:rPr>
          <w:rFonts w:ascii="宋体" w:hAnsi="宋体" w:cs="宋体" w:eastAsia="宋体" w:hint="default"/>
          <w:spacing w:val="-4"/>
        </w:rPr>
        <w:t>33</w:t>
      </w:r>
      <w:r>
        <w:rPr>
          <w:spacing w:val="-4"/>
        </w:rPr>
        <w:t>号——合并财务报表》第五十一条关于“一揽子交易”的判断标准（参见本附注五、</w:t>
      </w:r>
      <w:r>
        <w:rPr>
          <w:rFonts w:ascii="宋体" w:hAnsi="宋体" w:cs="宋体" w:eastAsia="宋体" w:hint="default"/>
          <w:spacing w:val="-4"/>
        </w:rPr>
        <w:t>6</w:t>
      </w:r>
      <w:r>
        <w:rPr>
          <w:spacing w:val="-4"/>
        </w:rPr>
        <w:t>（</w:t>
      </w:r>
      <w:r>
        <w:rPr>
          <w:rFonts w:ascii="宋体" w:hAnsi="宋体" w:cs="宋体" w:eastAsia="宋体" w:hint="default"/>
          <w:spacing w:val="-4"/>
        </w:rPr>
        <w:t>2</w:t>
      </w:r>
      <w:r>
        <w:rPr>
          <w:spacing w:val="-4"/>
        </w:rPr>
        <w:t>）），</w:t>
      </w:r>
      <w:r>
        <w:rPr>
          <w:spacing w:val="-34"/>
        </w:rPr>
        <w:t> </w:t>
      </w:r>
      <w:r>
        <w:rPr>
          <w:spacing w:val="-34"/>
        </w:rPr>
      </w:r>
      <w:r>
        <w:rPr>
          <w:spacing w:val="-2"/>
        </w:rPr>
        <w:t>判断该多次交易是否属于“一揽子交易”。属于“一揽子交易”的，参考本部分前面各段描述及本附注五、</w:t>
      </w:r>
      <w:r>
        <w:rPr>
          <w:rFonts w:ascii="宋体" w:hAnsi="宋体" w:cs="宋体" w:eastAsia="宋体" w:hint="default"/>
          <w:spacing w:val="-2"/>
        </w:rPr>
        <w:t>17</w:t>
      </w:r>
      <w:r>
        <w:rPr>
          <w:spacing w:val="-2"/>
        </w:rPr>
        <w:t>“长期股权投</w:t>
      </w:r>
      <w:r>
        <w:rPr>
          <w:spacing w:val="-64"/>
        </w:rPr>
        <w:t> </w:t>
      </w:r>
      <w:r>
        <w:rPr>
          <w:spacing w:val="-64"/>
        </w:rPr>
      </w:r>
      <w:r>
        <w:rPr/>
        <w:t>资”进行会计处理；不属于“一揽子交易”的，区分个别财务报表和合并财务报表进行相关会计处理：</w:t>
      </w:r>
    </w:p>
    <w:p>
      <w:pPr>
        <w:pStyle w:val="BodyText"/>
        <w:spacing w:line="316" w:lineRule="auto" w:before="79"/>
        <w:ind w:right="1133" w:firstLine="420"/>
        <w:jc w:val="both"/>
      </w:pPr>
      <w:r>
        <w:rPr/>
        <w:t>在个别财务报表中，以购买日之前所持被购买方的股权投资的账面价值与购买日新增投资成本之和，作为该项投资的 </w:t>
      </w:r>
      <w:r>
        <w:rPr>
          <w:spacing w:val="-2"/>
        </w:rPr>
        <w:t>初始投资成本；购买日之前持有的被购买方的股权涉及其他综合收益的，在处置该项投资时将与其相关的其他综合收益采用</w:t>
      </w:r>
      <w:r>
        <w:rPr>
          <w:spacing w:val="-64"/>
        </w:rPr>
        <w:t> </w:t>
      </w:r>
      <w:r>
        <w:rPr>
          <w:spacing w:val="-64"/>
        </w:rPr>
      </w:r>
      <w:r>
        <w:rPr>
          <w:spacing w:val="-2"/>
        </w:rPr>
        <w:t>与被购买方直接处置相关资产或负债相同的基础进行会计处理（即，除了按照权益法核算的在被购买方重新计量设定受益计</w:t>
      </w:r>
      <w:r>
        <w:rPr>
          <w:spacing w:val="-64"/>
        </w:rPr>
        <w:t> </w:t>
      </w:r>
      <w:r>
        <w:rPr>
          <w:spacing w:val="-64"/>
        </w:rPr>
      </w:r>
      <w:r>
        <w:rPr/>
        <w:t>划净负债或净资产导致的变动中的相应份额以外，其余转入当期投资收益）。</w:t>
      </w:r>
    </w:p>
    <w:p>
      <w:pPr>
        <w:pStyle w:val="BodyText"/>
        <w:spacing w:line="316" w:lineRule="auto" w:before="79"/>
        <w:ind w:right="1131" w:firstLine="420"/>
        <w:jc w:val="both"/>
      </w:pPr>
      <w:r>
        <w:rPr/>
        <w:t>在合并财务报表中，对于购买日之前持有的被购买方的股权，按照该股权在购买日的公允价值进行重新计量，公允价 </w:t>
      </w:r>
      <w:r>
        <w:rPr>
          <w:spacing w:val="-2"/>
        </w:rPr>
        <w:t>值与其账面价值的差额计入当期投资收益；购买日之前持有的被购买方的股权涉及其他综合收益的，与其相关的其他综合收</w:t>
      </w:r>
      <w:r>
        <w:rPr>
          <w:spacing w:val="-62"/>
        </w:rPr>
        <w:t> </w:t>
      </w:r>
      <w:r>
        <w:rPr>
          <w:spacing w:val="-62"/>
        </w:rPr>
      </w:r>
      <w:r>
        <w:rPr>
          <w:spacing w:val="-2"/>
        </w:rPr>
        <w:t>益应当采用与被购买方直接处置相关资产或负债相同的基础进行会计处理（即，除了按照权益法核算的在被购买方重新计量</w:t>
      </w:r>
      <w:r>
        <w:rPr>
          <w:spacing w:val="-64"/>
        </w:rPr>
        <w:t> </w:t>
      </w:r>
      <w:r>
        <w:rPr>
          <w:spacing w:val="-64"/>
        </w:rPr>
      </w:r>
      <w:r>
        <w:rPr/>
        <w:t>设定受益计划净负债或净资产导致的变动中的相应份额以外，其余转为购买日所属当期投资收益）。</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6、合并财务报表的编制方法" w:id="187"/>
      <w:bookmarkEnd w:id="187"/>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5"/>
        <w:rPr>
          <w:rFonts w:ascii="宋体" w:hAnsi="宋体" w:cs="宋体" w:eastAsia="宋体" w:hint="default"/>
          <w:b/>
          <w:bCs/>
          <w:sz w:val="26"/>
          <w:szCs w:val="26"/>
        </w:rPr>
      </w:pPr>
    </w:p>
    <w:p>
      <w:pPr>
        <w:pStyle w:val="BodyText"/>
        <w:spacing w:line="379" w:lineRule="auto"/>
        <w:ind w:left="573" w:right="1133"/>
        <w:jc w:val="left"/>
      </w:pPr>
      <w:r>
        <w:rPr/>
        <w:t>（</w:t>
      </w:r>
      <w:r>
        <w:rPr>
          <w:rFonts w:ascii="宋体" w:hAnsi="宋体" w:cs="宋体" w:eastAsia="宋体" w:hint="default"/>
        </w:rPr>
        <w:t>1</w:t>
      </w:r>
      <w:r>
        <w:rPr/>
        <w:t>）合并财务报表范围的确定原则 合并财务报表的合并范围以控制为基础予以确定。控制是指本公司拥有对被投资方的权力，通过参与被投资方的相关</w:t>
      </w:r>
    </w:p>
    <w:p>
      <w:pPr>
        <w:pStyle w:val="BodyText"/>
        <w:spacing w:line="205" w:lineRule="exact"/>
        <w:ind w:right="0"/>
        <w:jc w:val="left"/>
      </w:pPr>
      <w:r>
        <w:rPr/>
        <w:t>活动而享有可变回报，并且有能力运用对被投资方的权力影响该回报金额。合并范围包括本公司及全部子公司。子公司，是</w:t>
      </w:r>
    </w:p>
    <w:p>
      <w:pPr>
        <w:pStyle w:val="BodyText"/>
        <w:spacing w:line="379" w:lineRule="auto" w:before="76"/>
        <w:ind w:left="573" w:right="2413" w:hanging="421"/>
        <w:jc w:val="left"/>
      </w:pPr>
      <w:r>
        <w:rPr/>
        <w:t>指被本公司控制的主体。 一旦相关事实和情况的变化导致上述控制定义涉及的相关要素发生了变化，本公司将进行重新评估。</w:t>
      </w:r>
    </w:p>
    <w:p>
      <w:pPr>
        <w:pStyle w:val="BodyText"/>
        <w:spacing w:line="379" w:lineRule="auto" w:before="32"/>
        <w:ind w:left="573" w:right="1133"/>
        <w:jc w:val="left"/>
      </w:pPr>
      <w:r>
        <w:rPr/>
        <w:t>（</w:t>
      </w:r>
      <w:r>
        <w:rPr>
          <w:rFonts w:ascii="宋体" w:hAnsi="宋体" w:cs="宋体" w:eastAsia="宋体" w:hint="default"/>
        </w:rPr>
        <w:t>2</w:t>
      </w:r>
      <w:r>
        <w:rPr/>
        <w:t>）合并财务报表编制的方法 从取得子公司的净资产和生产经营决策的实际控制权之日起，本公司开始将其纳入合并范围；从丧失实际控制权之日</w:t>
      </w:r>
    </w:p>
    <w:p>
      <w:pPr>
        <w:pStyle w:val="BodyText"/>
        <w:spacing w:line="208" w:lineRule="exact"/>
        <w:ind w:right="0"/>
        <w:jc w:val="left"/>
      </w:pPr>
      <w:r>
        <w:rPr/>
        <w:t>起停止纳入合并范围。对于处置的子公司，处置日前的经营成果和现金流量已经适当地包括在合并利润表和合并现金流量表</w:t>
      </w:r>
    </w:p>
    <w:p>
      <w:pPr>
        <w:spacing w:after="0" w:line="208" w:lineRule="exact"/>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1"/>
        <w:jc w:val="both"/>
      </w:pPr>
      <w:r>
        <w:rPr>
          <w:spacing w:val="-2"/>
        </w:rPr>
        <w:t>中；当期处置的子公司，不调整合并资产负债表的期初数。非同一控制下企业合并增加的子公司，其购买日后的经营成果及</w:t>
      </w:r>
      <w:r>
        <w:rPr>
          <w:spacing w:val="-64"/>
        </w:rPr>
        <w:t> </w:t>
      </w:r>
      <w:r>
        <w:rPr>
          <w:spacing w:val="-64"/>
        </w:rPr>
      </w:r>
      <w:r>
        <w:rPr>
          <w:spacing w:val="-2"/>
        </w:rPr>
        <w:t>现金流量已经适当地包括在合并利润表和合并现金流量表中，且不调整合并财务报表的期初数和对比数。同一控制下企业合</w:t>
      </w:r>
      <w:r>
        <w:rPr>
          <w:spacing w:val="-63"/>
        </w:rPr>
        <w:t> </w:t>
      </w:r>
      <w:r>
        <w:rPr>
          <w:spacing w:val="-63"/>
        </w:rPr>
      </w:r>
      <w:r>
        <w:rPr>
          <w:spacing w:val="-2"/>
        </w:rPr>
        <w:t>并增加的子公司，其自合并当期期初至合并日的经营成果和现金流量已经适当地包括在合并利润表和合并现金流量表中，并</w:t>
      </w:r>
      <w:r>
        <w:rPr>
          <w:spacing w:val="-64"/>
        </w:rPr>
        <w:t> </w:t>
      </w:r>
      <w:r>
        <w:rPr>
          <w:spacing w:val="-64"/>
        </w:rPr>
      </w:r>
      <w:r>
        <w:rPr/>
        <w:t>且同时调整合并财务报表的对比数。</w:t>
      </w:r>
    </w:p>
    <w:p>
      <w:pPr>
        <w:pStyle w:val="BodyText"/>
        <w:spacing w:line="316" w:lineRule="auto" w:before="77"/>
        <w:ind w:right="1133" w:firstLine="420"/>
        <w:jc w:val="both"/>
      </w:pPr>
      <w:r>
        <w:rPr/>
        <w:t>在编制合并财务报表时，子公司与本公司采用的会计政策或会计期间不一致的，按照本公司的会计政策和会计期间对 </w:t>
      </w:r>
      <w:r>
        <w:rPr>
          <w:spacing w:val="-2"/>
        </w:rPr>
        <w:t>子公司财务报表进行必要的调整。对于非同一控制下企业合并取得的子公司，以购买日可辨认净资产公允价值为基础对其财</w:t>
      </w:r>
      <w:r>
        <w:rPr>
          <w:spacing w:val="-64"/>
        </w:rPr>
        <w:t> </w:t>
      </w:r>
      <w:r>
        <w:rPr>
          <w:spacing w:val="-64"/>
        </w:rPr>
      </w:r>
      <w:r>
        <w:rPr/>
        <w:t>务报表进行调整。</w:t>
      </w:r>
    </w:p>
    <w:p>
      <w:pPr>
        <w:pStyle w:val="BodyText"/>
        <w:spacing w:line="379" w:lineRule="auto" w:before="79"/>
        <w:ind w:left="573" w:right="1133"/>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208" w:lineRule="exact"/>
        <w:ind w:right="0"/>
        <w:jc w:val="both"/>
      </w:pPr>
      <w:r>
        <w:rPr/>
        <w:t>中股东权益及净利润项下单独列示。子公司当期净损益中属于少数股东权益的份额，在合并利润表中净利润项目下以“少数</w:t>
      </w:r>
    </w:p>
    <w:p>
      <w:pPr>
        <w:pStyle w:val="BodyText"/>
        <w:spacing w:line="316" w:lineRule="auto" w:before="76"/>
        <w:ind w:right="1132"/>
        <w:jc w:val="both"/>
      </w:pPr>
      <w:r>
        <w:rPr>
          <w:spacing w:val="-2"/>
        </w:rPr>
        <w:t>股东损益”项目列示。少数股东分担的子公司的亏损超过了少数股东在该子公司期初股东权益中所享有的份额，仍冲减少数</w:t>
      </w:r>
      <w:r>
        <w:rPr>
          <w:spacing w:val="-66"/>
        </w:rPr>
        <w:t> </w:t>
      </w:r>
      <w:r>
        <w:rPr>
          <w:spacing w:val="-66"/>
        </w:rPr>
      </w:r>
      <w:r>
        <w:rPr/>
        <w:t>股东权益。</w:t>
      </w:r>
    </w:p>
    <w:p>
      <w:pPr>
        <w:pStyle w:val="BodyText"/>
        <w:spacing w:line="316" w:lineRule="auto" w:before="79"/>
        <w:ind w:right="1130" w:firstLine="420"/>
        <w:jc w:val="both"/>
      </w:pPr>
      <w:r>
        <w:rPr/>
        <w:t>当因处置部分股权投资或其他原因丧失了对原有子公司的控制权时，对于剩余股权，按照其在丧失控制权日的公允价 </w:t>
      </w:r>
      <w:r>
        <w:rPr>
          <w:spacing w:val="-2"/>
        </w:rPr>
        <w:t>值进行重新计量。处置股权取得的对价与剩余股权公允价值之和，减去按原持股比例计算应享有原有子公司自购买日开始持</w:t>
      </w:r>
      <w:r>
        <w:rPr>
          <w:spacing w:val="-64"/>
        </w:rPr>
        <w:t> </w:t>
      </w:r>
      <w:r>
        <w:rPr>
          <w:spacing w:val="-64"/>
        </w:rPr>
      </w:r>
      <w:r>
        <w:rPr>
          <w:spacing w:val="-2"/>
        </w:rPr>
        <w:t>续计算的净资产的份额之间的差额，计入丧失控制权当期的投资收益。与原有子公司股权投资相关的其他综合收益，在丧失</w:t>
      </w:r>
      <w:r>
        <w:rPr>
          <w:spacing w:val="-63"/>
        </w:rPr>
        <w:t> </w:t>
      </w:r>
      <w:r>
        <w:rPr>
          <w:spacing w:val="-63"/>
        </w:rPr>
      </w:r>
      <w:r>
        <w:rPr>
          <w:spacing w:val="-2"/>
        </w:rPr>
        <w:t>控制权时采用与被购买方直接处置相关资产或负债相同的基础进行会计处理（即，除了在该原有子公司重新计量设定受益计</w:t>
      </w:r>
      <w:r>
        <w:rPr>
          <w:spacing w:val="-64"/>
        </w:rPr>
        <w:t> </w:t>
      </w:r>
      <w:r>
        <w:rPr>
          <w:spacing w:val="-64"/>
        </w:rPr>
      </w:r>
      <w:r>
        <w:rPr>
          <w:spacing w:val="-4"/>
        </w:rPr>
        <w:t>划净负债或净资产导致的变动以外，其余一并转为当期投资收益）。其后，对该部分剩余股权按照《企业会计准则第</w:t>
      </w:r>
      <w:r>
        <w:rPr>
          <w:rFonts w:ascii="宋体" w:hAnsi="宋体" w:cs="宋体" w:eastAsia="宋体" w:hint="default"/>
          <w:spacing w:val="-4"/>
        </w:rPr>
        <w:t>2</w:t>
      </w:r>
      <w:r>
        <w:rPr>
          <w:spacing w:val="-4"/>
        </w:rPr>
        <w:t>号——</w:t>
      </w:r>
      <w:r>
        <w:rPr>
          <w:spacing w:val="-46"/>
        </w:rPr>
        <w:t> </w:t>
      </w:r>
      <w:r>
        <w:rPr>
          <w:spacing w:val="-46"/>
        </w:rPr>
      </w:r>
      <w:r>
        <w:rPr>
          <w:spacing w:val="-2"/>
        </w:rPr>
        <w:t>长期股权投资》或《企业会计准则第</w:t>
      </w:r>
      <w:r>
        <w:rPr>
          <w:rFonts w:ascii="宋体" w:hAnsi="宋体" w:cs="宋体" w:eastAsia="宋体" w:hint="default"/>
          <w:spacing w:val="-2"/>
        </w:rPr>
        <w:t>22</w:t>
      </w:r>
      <w:r>
        <w:rPr>
          <w:spacing w:val="-2"/>
        </w:rPr>
        <w:t>号——金融工具确认和计量》等相关规定进行后续计量，详见本附注五、</w:t>
      </w:r>
      <w:r>
        <w:rPr>
          <w:rFonts w:ascii="宋体" w:hAnsi="宋体" w:cs="宋体" w:eastAsia="宋体" w:hint="default"/>
          <w:spacing w:val="-2"/>
        </w:rPr>
        <w:t>17</w:t>
      </w:r>
      <w:r>
        <w:rPr>
          <w:spacing w:val="-2"/>
        </w:rPr>
        <w:t>“长期股</w:t>
      </w:r>
      <w:r>
        <w:rPr>
          <w:spacing w:val="-63"/>
        </w:rPr>
        <w:t> </w:t>
      </w:r>
      <w:r>
        <w:rPr/>
        <w:t>权投资”或本附注五、</w:t>
      </w:r>
      <w:r>
        <w:rPr>
          <w:rFonts w:ascii="宋体" w:hAnsi="宋体" w:cs="宋体" w:eastAsia="宋体" w:hint="default"/>
        </w:rPr>
        <w:t>10</w:t>
      </w:r>
      <w:r>
        <w:rPr/>
        <w:t>“金融工具”。</w:t>
      </w:r>
    </w:p>
    <w:p>
      <w:pPr>
        <w:pStyle w:val="BodyText"/>
        <w:spacing w:line="316" w:lineRule="auto" w:before="79"/>
        <w:ind w:right="1034" w:firstLine="420"/>
        <w:jc w:val="left"/>
      </w:pPr>
      <w:r>
        <w:rPr/>
        <w:t>本公司通过多次交易分步处置对子公司股权投资直至丧失控制权的，需区分处置对子公司股权投资直至丧失控制权的 </w:t>
      </w:r>
      <w:r>
        <w:rPr>
          <w:spacing w:val="-2"/>
        </w:rPr>
        <w:t>各项交易是否属于一揽子交易。处置对子公司股权投资的各项交易的条款、条件以及经济影响符合以下一种或多种情况，通</w:t>
      </w:r>
      <w:r>
        <w:rPr>
          <w:spacing w:val="-63"/>
        </w:rPr>
        <w:t> </w:t>
      </w:r>
      <w:r>
        <w:rPr>
          <w:spacing w:val="-63"/>
        </w:rPr>
      </w:r>
      <w:r>
        <w:rPr>
          <w:spacing w:val="-2"/>
        </w:rPr>
        <w:t>常表明应将多次交易事项作为一揽子交易进行会计处理：①这些交易是同时或者在考虑了彼此影响的情况下订立的；②这些</w:t>
      </w:r>
      <w:r>
        <w:rPr>
          <w:spacing w:val="-64"/>
        </w:rPr>
        <w:t> </w:t>
      </w:r>
      <w:r>
        <w:rPr>
          <w:spacing w:val="-64"/>
        </w:rPr>
      </w:r>
      <w:r>
        <w:rPr>
          <w:spacing w:val="-4"/>
        </w:rPr>
        <w:t>交易整体才能达成一项完整的商业结果；③一项交易的发生取决于其他至少一项交易的发生；④一项交易单独看是不经济的，</w:t>
      </w:r>
      <w:r>
        <w:rPr>
          <w:spacing w:val="-44"/>
        </w:rPr>
        <w:t> </w:t>
      </w:r>
      <w:r>
        <w:rPr>
          <w:spacing w:val="-44"/>
        </w:rPr>
      </w:r>
      <w:r>
        <w:rPr>
          <w:spacing w:val="-2"/>
        </w:rPr>
        <w:t>但是和其他交易一并考虑时是经济的。不属于一揽子交易的，对其中的每一项交易视情况分别按照“不丧失控制权的情况下</w:t>
      </w:r>
      <w:r>
        <w:rPr>
          <w:spacing w:val="-61"/>
        </w:rPr>
        <w:t> </w:t>
      </w:r>
      <w:r>
        <w:rPr>
          <w:spacing w:val="-61"/>
        </w:rPr>
      </w:r>
      <w:r>
        <w:rPr/>
        <w:t>部分处置对子公司的长期股权投资”（详见本附注五、</w:t>
      </w:r>
      <w:r>
        <w:rPr>
          <w:rFonts w:ascii="宋体" w:hAnsi="宋体" w:cs="宋体" w:eastAsia="宋体" w:hint="default"/>
        </w:rPr>
        <w:t>17</w:t>
      </w:r>
      <w:r>
        <w:rPr/>
        <w:t>、（</w:t>
      </w:r>
      <w:r>
        <w:rPr>
          <w:rFonts w:ascii="宋体" w:hAnsi="宋体" w:cs="宋体" w:eastAsia="宋体" w:hint="default"/>
        </w:rPr>
        <w:t>2</w:t>
      </w:r>
      <w:r>
        <w:rPr/>
        <w:t>）④）和“因处置部分股权投资或其他原因丧失了对原有子</w:t>
      </w:r>
      <w:r>
        <w:rPr>
          <w:spacing w:val="-84"/>
        </w:rPr>
        <w:t> </w:t>
      </w:r>
      <w:r>
        <w:rPr>
          <w:spacing w:val="-84"/>
        </w:rPr>
      </w:r>
      <w:r>
        <w:rPr>
          <w:spacing w:val="-2"/>
        </w:rPr>
        <w:t>公司的控制权”（详见前段）适用的原则进行会计处理。处置对子公司股权投资直至丧失控制权的各项交易属于一揽子交易</w:t>
      </w:r>
      <w:r>
        <w:rPr>
          <w:spacing w:val="-66"/>
        </w:rPr>
        <w:t> </w:t>
      </w:r>
      <w:r>
        <w:rPr>
          <w:spacing w:val="-66"/>
        </w:rPr>
      </w:r>
      <w:r>
        <w:rPr>
          <w:spacing w:val="-2"/>
        </w:rPr>
        <w:t>的，将各项交易作为一项处置子公司并丧失控制权的交易进行会计处理；但是，在丧失控制权之前每一次处置价款与处置投</w:t>
      </w:r>
      <w:r>
        <w:rPr>
          <w:spacing w:val="-66"/>
        </w:rPr>
        <w:t> </w:t>
      </w:r>
      <w:r>
        <w:rPr>
          <w:spacing w:val="-66"/>
        </w:rPr>
      </w:r>
      <w:r>
        <w:rPr>
          <w:spacing w:val="-2"/>
        </w:rPr>
        <w:t>资对应的享有该子公司净资产份额的差额，在合并财务报表中确认为其他综合收益，在丧失控制权时一并转入丧失控制权当</w:t>
      </w:r>
      <w:r>
        <w:rPr>
          <w:spacing w:val="-64"/>
        </w:rPr>
        <w:t> </w:t>
      </w:r>
      <w:r>
        <w:rPr>
          <w:spacing w:val="-64"/>
        </w:rPr>
      </w:r>
      <w:r>
        <w:rPr/>
        <w:t>期的损益。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7、合营安排分类及共同经营会计处理方法" w:id="188"/>
      <w:bookmarkEnd w:id="188"/>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0" w:firstLine="420"/>
        <w:jc w:val="left"/>
      </w:pPr>
      <w:r>
        <w:rPr>
          <w:spacing w:val="-2"/>
        </w:rPr>
        <w:t>合营安排，是指一项由两个或两个以上的参与方共同控制的安排。本公司根据在合营安排中享有的权利和承担的义务，</w:t>
      </w:r>
      <w:r>
        <w:rPr/>
        <w:t>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14" w:lineRule="auto" w:before="77"/>
        <w:ind w:right="1133" w:firstLine="420"/>
        <w:jc w:val="both"/>
      </w:pPr>
      <w:r>
        <w:rPr>
          <w:spacing w:val="-2"/>
        </w:rPr>
        <w:t>本公司对合营企业的投资采用权益法核算，按照本附注五、</w:t>
      </w:r>
      <w:r>
        <w:rPr>
          <w:rFonts w:ascii="宋体" w:hAnsi="宋体" w:cs="宋体" w:eastAsia="宋体" w:hint="default"/>
          <w:spacing w:val="-2"/>
        </w:rPr>
        <w:t>17</w:t>
      </w:r>
      <w:r>
        <w:rPr>
          <w:spacing w:val="-2"/>
        </w:rPr>
        <w:t>（</w:t>
      </w:r>
      <w:r>
        <w:rPr>
          <w:rFonts w:ascii="宋体" w:hAnsi="宋体" w:cs="宋体" w:eastAsia="宋体" w:hint="default"/>
          <w:spacing w:val="-2"/>
        </w:rPr>
        <w:t>2</w:t>
      </w:r>
      <w:r>
        <w:rPr>
          <w:spacing w:val="-2"/>
        </w:rPr>
        <w:t>）②“权益法核算的长期股权投资”中所述的会计政</w:t>
      </w:r>
      <w:r>
        <w:rPr/>
        <w:t> 策处理。</w:t>
      </w:r>
    </w:p>
    <w:p>
      <w:pPr>
        <w:pStyle w:val="BodyText"/>
        <w:spacing w:line="316" w:lineRule="auto" w:before="80"/>
        <w:ind w:right="1131" w:firstLine="420"/>
        <w:jc w:val="both"/>
      </w:pPr>
      <w:r>
        <w:rPr/>
        <w:t>本公司作为合营方对共同经营，确认本公司单独持有的资产、单独所承担的负债，以及按本公司份额确认共同持有的 </w:t>
      </w:r>
      <w:r>
        <w:rPr>
          <w:spacing w:val="-2"/>
        </w:rPr>
        <w:t>资产和共同承担的负债；确认出售本公司享有的共同经营产出份额所产生的收入；按本公司份额确认共同经营因出售产出所</w:t>
      </w:r>
      <w:r>
        <w:rPr>
          <w:spacing w:val="-63"/>
        </w:rPr>
        <w:t> </w:t>
      </w:r>
      <w:r>
        <w:rPr>
          <w:spacing w:val="-63"/>
        </w:rPr>
      </w:r>
      <w:r>
        <w:rPr/>
        <w:t>产生的收入；确认本公司单独所发生的费用，以及按本公司份额确认共同经营发生的费用。</w:t>
      </w:r>
    </w:p>
    <w:p>
      <w:pPr>
        <w:pStyle w:val="BodyText"/>
        <w:spacing w:line="316" w:lineRule="auto" w:before="79"/>
        <w:ind w:right="1133" w:firstLine="420"/>
        <w:jc w:val="both"/>
      </w:pPr>
      <w:r>
        <w:rPr/>
        <w:t>当本公司作为合营方向共同经营投出或出售资产（该资产不构成业务，下同）、或者自共同经营购买资产时，在该等 </w:t>
      </w:r>
      <w:r>
        <w:rPr>
          <w:spacing w:val="-2"/>
        </w:rPr>
        <w:t>资产出售给第三方之前，本公司仅确认因该交易产生的损益中归属于共同经营其他参与方的部分。该等资产发生符合《企业</w:t>
      </w:r>
      <w:r>
        <w:rPr>
          <w:spacing w:val="-66"/>
        </w:rPr>
        <w:t> </w:t>
      </w:r>
      <w:r>
        <w:rPr>
          <w:spacing w:val="-66"/>
        </w:rPr>
      </w:r>
      <w:r>
        <w:rPr/>
        <w:t>会计准则第</w:t>
      </w:r>
      <w:r>
        <w:rPr>
          <w:rFonts w:ascii="宋体" w:hAnsi="宋体" w:cs="宋体" w:eastAsia="宋体" w:hint="default"/>
        </w:rPr>
        <w:t>8</w:t>
      </w:r>
      <w:r>
        <w:rPr/>
        <w:t>号——资产减值》等规定的资产减值损失的，对于由本公司向共同经营投出或出售资产的情况，本公司全额确</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认该损失；对于本公司自共同经营购买资产的情况，本公司按承担的份额确认该损失。</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8、现金及现金等价物的确定标准" w:id="189"/>
      <w:bookmarkEnd w:id="189"/>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firstLine="420"/>
        <w:jc w:val="left"/>
      </w:pPr>
      <w:r>
        <w:rPr/>
        <w:t>本公司现金及现金等价物包括库存现金、可以随时用于支付的存款以及本公司持有的期限短（一般为从购买日起三个 月内到期）、流动性强、易于转换为已知金额现金、价值变动风险很小的投资。</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9、外币业务和外币报表折算" w:id="190"/>
      <w:bookmarkEnd w:id="190"/>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2"/>
        <w:rPr>
          <w:rFonts w:ascii="宋体" w:hAnsi="宋体" w:cs="宋体" w:eastAsia="宋体" w:hint="default"/>
          <w:b/>
          <w:bCs/>
          <w:sz w:val="26"/>
          <w:szCs w:val="26"/>
        </w:rPr>
      </w:pPr>
    </w:p>
    <w:p>
      <w:pPr>
        <w:pStyle w:val="BodyText"/>
        <w:spacing w:line="379" w:lineRule="auto"/>
        <w:ind w:left="573" w:right="1133"/>
        <w:jc w:val="left"/>
      </w:pPr>
      <w:r>
        <w:rPr/>
        <w:t>（</w:t>
      </w:r>
      <w:r>
        <w:rPr>
          <w:rFonts w:ascii="宋体" w:hAnsi="宋体" w:cs="宋体" w:eastAsia="宋体" w:hint="default"/>
        </w:rPr>
        <w:t>1</w:t>
      </w:r>
      <w:r>
        <w:rPr/>
        <w:t>）外币交易的折算方法 本公司发生的外币交易在初始确认时，按交易日的（通常指中国人民银行公布的当日外汇牌价的中间价，下同）折算</w:t>
      </w:r>
    </w:p>
    <w:p>
      <w:pPr>
        <w:pStyle w:val="BodyText"/>
        <w:spacing w:line="208" w:lineRule="exact"/>
        <w:ind w:right="0"/>
        <w:jc w:val="left"/>
      </w:pPr>
      <w:r>
        <w:rPr/>
        <w:t>为记账本位币金额，但公司发生的外币兑换业务或涉及外币兑换的交易事项，按照实际采用的汇率折算为记账本位币金额。</w:t>
      </w:r>
    </w:p>
    <w:p>
      <w:pPr>
        <w:pStyle w:val="BodyText"/>
        <w:spacing w:line="379" w:lineRule="auto" w:before="137"/>
        <w:ind w:left="573" w:right="1133"/>
        <w:jc w:val="left"/>
      </w:pPr>
      <w:r>
        <w:rPr/>
        <w:t>（</w:t>
      </w:r>
      <w:r>
        <w:rPr>
          <w:rFonts w:ascii="宋体" w:hAnsi="宋体" w:cs="宋体" w:eastAsia="宋体" w:hint="default"/>
        </w:rPr>
        <w:t>2</w:t>
      </w:r>
      <w:r>
        <w:rPr/>
        <w:t>）对于外币货币性项目和外币非货币性项目的折算方法 资产负债表日，对于外币货币性项目采用资产负债表日即期汇率折算，由此产生的汇兑差额，除：属于与购建符合资</w:t>
      </w:r>
    </w:p>
    <w:p>
      <w:pPr>
        <w:pStyle w:val="BodyText"/>
        <w:spacing w:line="208" w:lineRule="exact"/>
        <w:ind w:right="0"/>
        <w:jc w:val="left"/>
      </w:pPr>
      <w:r>
        <w:rPr/>
        <w:t>本化条件的资产相关的外币专门借款产生的汇兑差额按照借款费用资本化的原则处理</w:t>
      </w:r>
      <w:r>
        <w:rPr>
          <w:spacing w:val="-82"/>
        </w:rPr>
        <w:t>；</w:t>
      </w:r>
      <w:r>
        <w:rPr/>
        <w:t>以及可供出售的外币货币性项目除摊</w:t>
      </w:r>
    </w:p>
    <w:p>
      <w:pPr>
        <w:pStyle w:val="BodyText"/>
        <w:spacing w:line="379" w:lineRule="auto" w:before="76"/>
        <w:ind w:left="573" w:right="1133" w:hanging="421"/>
        <w:jc w:val="left"/>
      </w:pPr>
      <w:r>
        <w:rPr/>
        <w:t>余成本之外的其他账面余额变动产生的汇兑差额计入其他综合收益之外，均计入当期损益。 编制合并财务报表涉及境外经营的，如有实质上构成对境外经营净投资的外币货币性项目，因汇率变动而产生的汇兑</w:t>
      </w:r>
    </w:p>
    <w:p>
      <w:pPr>
        <w:pStyle w:val="BodyText"/>
        <w:spacing w:line="208" w:lineRule="exact"/>
        <w:ind w:right="1133"/>
        <w:jc w:val="left"/>
      </w:pPr>
      <w:r>
        <w:rPr/>
        <w:t>差额，计入其他综合收益；处置境外经营时，转入处置当期损益。</w:t>
      </w:r>
    </w:p>
    <w:p>
      <w:pPr>
        <w:pStyle w:val="BodyText"/>
        <w:spacing w:line="316" w:lineRule="auto" w:before="136"/>
        <w:ind w:right="1130" w:firstLine="420"/>
        <w:jc w:val="both"/>
      </w:pPr>
      <w:r>
        <w:rPr/>
        <w:t>以历史成本计量的外币非货币性项目，仍采用交易发生日的即期汇率折算的记账本位币金额计量。以公允价值计量的 </w:t>
      </w:r>
      <w:r>
        <w:rPr>
          <w:spacing w:val="-2"/>
        </w:rPr>
        <w:t>外币非货币性项目，采用公允价值确定日的即期汇率折算，折算后的记账本位币金额与原记账本位币金额的差额，作为公允</w:t>
      </w:r>
      <w:r>
        <w:rPr>
          <w:spacing w:val="-63"/>
        </w:rPr>
        <w:t> </w:t>
      </w:r>
      <w:r>
        <w:rPr>
          <w:spacing w:val="-63"/>
        </w:rPr>
      </w:r>
      <w:r>
        <w:rPr/>
        <w:t>价值变动（含汇率变动）处理，计入当期损益或确认为其他综合收益。</w:t>
      </w:r>
    </w:p>
    <w:p>
      <w:pPr>
        <w:pStyle w:val="BodyText"/>
        <w:spacing w:line="379" w:lineRule="auto" w:before="79"/>
        <w:ind w:left="573" w:right="1133"/>
        <w:jc w:val="left"/>
      </w:pPr>
      <w:r>
        <w:rPr/>
        <w:t>（</w:t>
      </w:r>
      <w:r>
        <w:rPr>
          <w:rFonts w:ascii="宋体" w:hAnsi="宋体" w:cs="宋体" w:eastAsia="宋体" w:hint="default"/>
        </w:rPr>
        <w:t>3</w:t>
      </w:r>
      <w:r>
        <w:rPr/>
        <w:t>）外币财务报表的折算方法 编制合并财务报表涉及境外经营的，如有实质上构成对境外经营净投资的外币货币性项目，因汇率变动而产生的汇兑</w:t>
      </w:r>
    </w:p>
    <w:p>
      <w:pPr>
        <w:pStyle w:val="BodyText"/>
        <w:spacing w:line="208" w:lineRule="exact"/>
        <w:ind w:right="1133"/>
        <w:jc w:val="left"/>
      </w:pPr>
      <w:r>
        <w:rPr/>
        <w:t>差额，作为“外币报表折算差额”确认为其他综合收益；处置境外经营时，计入处置当期损益。</w:t>
      </w:r>
    </w:p>
    <w:p>
      <w:pPr>
        <w:pStyle w:val="BodyText"/>
        <w:spacing w:line="316" w:lineRule="auto" w:before="136"/>
        <w:ind w:right="1034" w:firstLine="420"/>
        <w:jc w:val="left"/>
      </w:pPr>
      <w:r>
        <w:rPr/>
        <w:t>境外经营的外币财务报表按以下方法折算为人民币报表：资产负债表中的资产和负债项目，采用资产负债表日的即期 汇率折算；股东权益类项目除“未分配利润”项目外，其他项目采用发生时的即期汇率折算。利润表中的收入和费用项目， </w:t>
      </w:r>
      <w:r>
        <w:rPr>
          <w:spacing w:val="-2"/>
        </w:rPr>
        <w:t>采用交易发生日的即期汇率折算。年初未分配利润为上一年折算后的年末未分配利润；年末未分配利润按折算后的利润分配</w:t>
      </w:r>
      <w:r>
        <w:rPr>
          <w:spacing w:val="-64"/>
        </w:rPr>
        <w:t> </w:t>
      </w:r>
      <w:r>
        <w:rPr>
          <w:spacing w:val="-64"/>
        </w:rPr>
      </w:r>
      <w:r>
        <w:rPr>
          <w:spacing w:val="-2"/>
        </w:rPr>
        <w:t>各项目计算列示；折算后资产类项目与负债类项目和股东权益类项目合计数的差额，作为外币报表折算差额，确认为其他综</w:t>
      </w:r>
      <w:r>
        <w:rPr>
          <w:spacing w:val="-63"/>
        </w:rPr>
        <w:t> </w:t>
      </w:r>
      <w:r>
        <w:rPr>
          <w:spacing w:val="-63"/>
        </w:rPr>
      </w:r>
      <w:r>
        <w:rPr/>
        <w:t>合收益。处置境外经营并丧失控制权时，将资产负债表中股东权益项目下列示的、与该境外经营相关的外币报表折算差额， 全部或按处置该境外经营的比例转入处置当期损益。</w:t>
      </w:r>
    </w:p>
    <w:p>
      <w:pPr>
        <w:pStyle w:val="BodyText"/>
        <w:spacing w:line="240" w:lineRule="auto" w:before="79"/>
        <w:ind w:left="573" w:right="1133"/>
        <w:jc w:val="left"/>
      </w:pPr>
      <w:r>
        <w:rPr/>
        <w:t>外币现金流量采用现金流量发生日的即期汇率折算。汇率变动对现金的影响额作为调节项目，在现金流量表中单独列</w:t>
      </w:r>
    </w:p>
    <w:p>
      <w:pPr>
        <w:pStyle w:val="BodyText"/>
        <w:spacing w:line="240" w:lineRule="auto" w:before="76"/>
        <w:ind w:right="1133"/>
        <w:jc w:val="left"/>
      </w:pPr>
      <w:r>
        <w:rPr/>
        <w:t>报。</w:t>
      </w:r>
    </w:p>
    <w:p>
      <w:pPr>
        <w:pStyle w:val="BodyText"/>
        <w:spacing w:line="379" w:lineRule="auto" w:before="136"/>
        <w:ind w:left="573" w:right="1133"/>
        <w:jc w:val="left"/>
      </w:pPr>
      <w:r>
        <w:rPr/>
        <w:t>年初数和上年实际数按照上年财务报表折算后的数额列示。 在处置本公司在境外经营的全部所有者权益或因处置部分股权投资或其他原因丧失了对境外经营控制权时，将资产负</w:t>
      </w:r>
    </w:p>
    <w:p>
      <w:pPr>
        <w:pStyle w:val="BodyText"/>
        <w:spacing w:line="208" w:lineRule="exact"/>
        <w:ind w:right="0"/>
        <w:jc w:val="left"/>
      </w:pPr>
      <w:r>
        <w:rPr/>
        <w:t>债表中股东权益项目下列示的</w:t>
      </w:r>
      <w:r>
        <w:rPr>
          <w:spacing w:val="-87"/>
        </w:rPr>
        <w:t>、</w:t>
      </w:r>
      <w:r>
        <w:rPr/>
        <w:t>与该境外经营相关的归属于母公司所有者权益的外币报表折算差额</w:t>
      </w:r>
      <w:r>
        <w:rPr>
          <w:spacing w:val="-87"/>
        </w:rPr>
        <w:t>，</w:t>
      </w:r>
      <w:r>
        <w:rPr/>
        <w:t>全部转入处置当期损益。</w:t>
      </w:r>
    </w:p>
    <w:p>
      <w:pPr>
        <w:pStyle w:val="BodyText"/>
        <w:spacing w:line="316" w:lineRule="auto" w:before="136"/>
        <w:ind w:right="0" w:firstLine="420"/>
        <w:jc w:val="left"/>
      </w:pPr>
      <w:r>
        <w:rPr/>
        <w:t>在处置部分股权投资或其他原因导致持有境外经营权益比例降低但不丧失对境外经营控制权时，与该境外经营处置部 </w:t>
      </w:r>
      <w:r>
        <w:rPr>
          <w:spacing w:val="-4"/>
        </w:rPr>
        <w:t>分相关的外币报表折算差额将归属于少数股东权益，不转入当期损益。在处置境外经营为联营企业或合营企业的部分股权时，</w:t>
      </w:r>
      <w:r>
        <w:rPr>
          <w:spacing w:val="-44"/>
        </w:rPr>
        <w:t> </w:t>
      </w:r>
      <w:r>
        <w:rPr>
          <w:spacing w:val="-44"/>
        </w:rPr>
      </w:r>
      <w:r>
        <w:rPr/>
        <w:t>与该境外经营相关的外币报表折算差额，按处置该境外经营的比例转入处置当期损益。</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10、金融工具" w:id="191"/>
      <w:bookmarkEnd w:id="191"/>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3" w:right="1133"/>
        <w:jc w:val="left"/>
      </w:pPr>
      <w:r>
        <w:rPr/>
        <w:t>在本公司成为金融工具合同的一方时确认一项金融资产或金融负债。</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79" w:lineRule="auto" w:before="44"/>
        <w:ind w:left="573" w:right="1133"/>
        <w:jc w:val="left"/>
      </w:pPr>
      <w:r>
        <w:rPr/>
        <w:t>（</w:t>
      </w:r>
      <w:r>
        <w:rPr>
          <w:rFonts w:ascii="宋体" w:hAnsi="宋体" w:cs="宋体" w:eastAsia="宋体" w:hint="default"/>
        </w:rPr>
        <w:t>1</w:t>
      </w:r>
      <w:r>
        <w:rPr/>
        <w:t>）金融资产的分类、确认和计量 本公司根据管理金融资产的业务模式和金融资产的合同现金流量特征，将金融资产划分为：以摊余成本计量的金融资</w:t>
      </w:r>
    </w:p>
    <w:p>
      <w:pPr>
        <w:pStyle w:val="BodyText"/>
        <w:spacing w:line="208" w:lineRule="exact"/>
        <w:ind w:right="1133"/>
        <w:jc w:val="left"/>
      </w:pPr>
      <w:r>
        <w:rPr/>
        <w:t>产；以公允价值计量且其变动计入其他综合收益的金融资产；以公允价值计量且其变动计入当期损益的金融资产。</w:t>
      </w:r>
    </w:p>
    <w:p>
      <w:pPr>
        <w:pStyle w:val="BodyText"/>
        <w:spacing w:line="316" w:lineRule="auto" w:before="136"/>
        <w:ind w:right="1131" w:firstLine="420"/>
        <w:jc w:val="both"/>
      </w:pPr>
      <w:r>
        <w:rPr/>
        <w:t>金融资产在初始确认时以公允价值计量。对于以公允价值计量且其变动计入当期损益的金融资产，相关交易费用直接 </w:t>
      </w:r>
      <w:r>
        <w:rPr>
          <w:spacing w:val="-2"/>
        </w:rPr>
        <w:t>计入当期损益；对于其他类别的金融资产，相关交易费用计入初始确认金额。因销售产品或提供劳务而产生的、未包含或不</w:t>
      </w:r>
      <w:r>
        <w:rPr>
          <w:spacing w:val="-65"/>
        </w:rPr>
        <w:t> </w:t>
      </w:r>
      <w:r>
        <w:rPr>
          <w:spacing w:val="-65"/>
        </w:rPr>
      </w:r>
      <w:r>
        <w:rPr/>
        <w:t>考虑重大融资成分的应收账款或应收票据，本公司按照预期有权收取的对价金额作为初始确认金额。</w:t>
      </w:r>
    </w:p>
    <w:p>
      <w:pPr>
        <w:pStyle w:val="BodyText"/>
        <w:spacing w:line="379" w:lineRule="auto" w:before="79"/>
        <w:ind w:left="573" w:right="1133"/>
        <w:jc w:val="left"/>
      </w:pPr>
      <w:r>
        <w:rPr/>
        <w:t>①以摊余成本计量的金融资产 本公司管理以摊余成本计量的金融资产的业务模式为以收取合同现金流量为目标，且此类金融资产的合同现金流量特</w:t>
      </w:r>
    </w:p>
    <w:p>
      <w:pPr>
        <w:pStyle w:val="BodyText"/>
        <w:spacing w:line="208" w:lineRule="exact"/>
        <w:ind w:right="0"/>
        <w:jc w:val="left"/>
      </w:pPr>
      <w:r>
        <w:rPr/>
        <w:t>征与基本借贷安排相一致，即在特定日期产生的现金流量，仅为对本金和以未偿付本金金额为基础的利息的支付。本公司对</w:t>
      </w:r>
    </w:p>
    <w:p>
      <w:pPr>
        <w:pStyle w:val="BodyText"/>
        <w:spacing w:line="240" w:lineRule="auto" w:before="76"/>
        <w:ind w:right="1133"/>
        <w:jc w:val="left"/>
      </w:pPr>
      <w:r>
        <w:rPr/>
        <w:t>于此类金融资产，采用实际利率法，按照摊余成本进行后续计量，其摊销或减值产生的利得或损失，计入当期损益。</w:t>
      </w:r>
    </w:p>
    <w:p>
      <w:pPr>
        <w:pStyle w:val="BodyText"/>
        <w:spacing w:line="379" w:lineRule="auto" w:before="136"/>
        <w:ind w:left="573" w:right="1133"/>
        <w:jc w:val="left"/>
      </w:pPr>
      <w:r>
        <w:rPr/>
        <w:t>②以公允价值计量且其变动计入其他综合收益的金融资产 本公司管理此类金融资产的业务模式为既以收取合同现金流量为目标又以出售为目标，且此类金融资产的合同现金流</w:t>
      </w:r>
    </w:p>
    <w:p>
      <w:pPr>
        <w:pStyle w:val="BodyText"/>
        <w:spacing w:line="208" w:lineRule="exact"/>
        <w:ind w:right="0"/>
        <w:jc w:val="left"/>
      </w:pPr>
      <w:r>
        <w:rPr/>
        <w:t>量特征与基本借贷安排相一致。本公司对此类金融资产按照公允价值计量且其变动计入其他综合收益，但减值损失或利得、</w:t>
      </w:r>
    </w:p>
    <w:p>
      <w:pPr>
        <w:pStyle w:val="BodyText"/>
        <w:spacing w:line="379" w:lineRule="auto" w:before="76"/>
        <w:ind w:left="573" w:right="1133" w:hanging="421"/>
        <w:jc w:val="left"/>
      </w:pPr>
      <w:r>
        <w:rPr/>
        <w:t>汇兑损益和按照实际利率法计算的利息收入计入当期损益。 此外，本公司将部分非交易性权益工具投资指定为以公允价值计量且其变动计入其他综合收益的金融资产。本公司将</w:t>
      </w:r>
    </w:p>
    <w:p>
      <w:pPr>
        <w:pStyle w:val="BodyText"/>
        <w:spacing w:line="208" w:lineRule="exact"/>
        <w:ind w:right="0"/>
        <w:jc w:val="left"/>
      </w:pPr>
      <w:r>
        <w:rPr/>
        <w:t>该类金融资产的相关股利收入计入当期损益，公允价值变动计入其他综合收益。当该金融资产终止确认时，之前计入其他综</w:t>
      </w:r>
    </w:p>
    <w:p>
      <w:pPr>
        <w:pStyle w:val="BodyText"/>
        <w:spacing w:line="240" w:lineRule="auto" w:before="76"/>
        <w:ind w:right="1133"/>
        <w:jc w:val="left"/>
      </w:pPr>
      <w:r>
        <w:rPr/>
        <w:t>合收益的累计利得或损失将从其他综合收益转入留存收益，不计入当期损益。</w:t>
      </w:r>
    </w:p>
    <w:p>
      <w:pPr>
        <w:pStyle w:val="BodyText"/>
        <w:spacing w:line="379" w:lineRule="auto" w:before="136"/>
        <w:ind w:left="573" w:right="1133"/>
        <w:jc w:val="left"/>
      </w:pPr>
      <w:r>
        <w:rPr/>
        <w:t>③以公允价值计量且其变动计入当期损益的金融资产 本公司将上述以摊余成本计量的金融资产和以公允价值计量且其变动计入其他综合收益的金融资产之外的金融资产，</w:t>
      </w:r>
    </w:p>
    <w:p>
      <w:pPr>
        <w:pStyle w:val="BodyText"/>
        <w:spacing w:line="208" w:lineRule="exact"/>
        <w:ind w:right="0"/>
        <w:jc w:val="left"/>
      </w:pPr>
      <w:r>
        <w:rPr/>
        <w:t>分类为以公允价值计量且其变动计入当期损益的金融资产。此外，在初始确认时，本公司为了消除或显著减少会计错配，将</w:t>
      </w:r>
    </w:p>
    <w:p>
      <w:pPr>
        <w:pStyle w:val="BodyText"/>
        <w:spacing w:line="316" w:lineRule="auto" w:before="76"/>
        <w:ind w:right="1129"/>
        <w:jc w:val="left"/>
      </w:pPr>
      <w:r>
        <w:rPr>
          <w:spacing w:val="-2"/>
        </w:rPr>
        <w:t>部分金融资产指定为以公允价值计量且其变动计入当期损益的金融资产。对于此类金融资产，本公司采用公允价值进行后续</w:t>
      </w:r>
      <w:r>
        <w:rPr>
          <w:spacing w:val="-63"/>
        </w:rPr>
        <w:t> </w:t>
      </w:r>
      <w:r>
        <w:rPr>
          <w:spacing w:val="-63"/>
        </w:rPr>
      </w:r>
      <w:r>
        <w:rPr/>
        <w:t>计量，公允价值变动计入当期损益。</w:t>
      </w:r>
    </w:p>
    <w:p>
      <w:pPr>
        <w:pStyle w:val="BodyText"/>
        <w:spacing w:line="379" w:lineRule="auto" w:before="79"/>
        <w:ind w:left="573" w:right="1133"/>
        <w:jc w:val="left"/>
      </w:pPr>
      <w:r>
        <w:rPr/>
        <w:t>（</w:t>
      </w:r>
      <w:r>
        <w:rPr>
          <w:rFonts w:ascii="宋体" w:hAnsi="宋体" w:cs="宋体" w:eastAsia="宋体" w:hint="default"/>
        </w:rPr>
        <w:t>2</w:t>
      </w:r>
      <w:r>
        <w:rPr/>
        <w:t>）金融负债的分类、确认和计量 金融负债于初始确认时分类为以公允价值计量且其变动计入当期损益的金融负债和其他金融负债。对于以公允价值计</w:t>
      </w:r>
    </w:p>
    <w:p>
      <w:pPr>
        <w:pStyle w:val="BodyText"/>
        <w:spacing w:line="208" w:lineRule="exact"/>
        <w:ind w:right="0"/>
        <w:jc w:val="left"/>
      </w:pPr>
      <w:r>
        <w:rPr/>
        <w:t>量且其变动计入当期损益的金融负债</w:t>
      </w:r>
      <w:r>
        <w:rPr>
          <w:spacing w:val="-87"/>
        </w:rPr>
        <w:t>，</w:t>
      </w:r>
      <w:r>
        <w:rPr/>
        <w:t>相关交易费用直接计入当期损益</w:t>
      </w:r>
      <w:r>
        <w:rPr>
          <w:spacing w:val="-87"/>
        </w:rPr>
        <w:t>，</w:t>
      </w:r>
      <w:r>
        <w:rPr/>
        <w:t>其他金融负债的相关交易费用计入其初始确认金额。</w:t>
      </w:r>
    </w:p>
    <w:p>
      <w:pPr>
        <w:pStyle w:val="BodyText"/>
        <w:spacing w:line="379" w:lineRule="auto" w:before="136"/>
        <w:ind w:left="573" w:right="1133"/>
        <w:jc w:val="left"/>
      </w:pPr>
      <w:r>
        <w:rPr/>
        <w:t>①以公允价值计量且其变动计入当期损益的金融负债 以公允价值计量且其变动计入当期损益的金融负债，包括交易性金融负债（含属于金融负债的衍生工具）和初始确认</w:t>
      </w:r>
    </w:p>
    <w:p>
      <w:pPr>
        <w:pStyle w:val="BodyText"/>
        <w:spacing w:line="208" w:lineRule="exact"/>
        <w:ind w:right="1133"/>
        <w:jc w:val="left"/>
      </w:pPr>
      <w:r>
        <w:rPr/>
        <w:t>时指定为以公允价值计量且其变动计入当期损益的金融负债。</w:t>
      </w:r>
    </w:p>
    <w:p>
      <w:pPr>
        <w:pStyle w:val="BodyText"/>
        <w:spacing w:line="316" w:lineRule="auto" w:before="136"/>
        <w:ind w:right="1138" w:firstLine="420"/>
        <w:jc w:val="both"/>
      </w:pPr>
      <w:r>
        <w:rPr/>
        <w:t>交易性金融负债（含属于金融负债的衍生工具），按照公允价值进行后续计量，除与套期会计有关外，公允价值变动 计入当期损益。</w:t>
      </w:r>
    </w:p>
    <w:p>
      <w:pPr>
        <w:pStyle w:val="BodyText"/>
        <w:spacing w:line="319" w:lineRule="auto" w:before="79"/>
        <w:ind w:right="1133" w:firstLine="420"/>
        <w:jc w:val="both"/>
      </w:pPr>
      <w:r>
        <w:rPr/>
        <w:t>被指定为以公允价值计量且其变动计入当期损益的金融负债，该负债由本公司自身信用风险变动引起的公允价值变动 </w:t>
      </w:r>
      <w:r>
        <w:rPr>
          <w:spacing w:val="-2"/>
        </w:rPr>
        <w:t>计入其他综合收益，且终止确认该负债时，计入其他综合收益的自身信用风险变动引起的其公允价值累计变动额转入留存收</w:t>
      </w:r>
      <w:r>
        <w:rPr>
          <w:spacing w:val="-64"/>
        </w:rPr>
        <w:t> </w:t>
      </w:r>
      <w:r>
        <w:rPr>
          <w:spacing w:val="-64"/>
        </w:rPr>
      </w:r>
      <w:r>
        <w:rPr>
          <w:spacing w:val="-2"/>
        </w:rPr>
        <w:t>益。其余公允价值变动计入当期损益。若按上述方式对该等金融负债的自身信用风险变动的影响进行处理会造成或扩大损益</w:t>
      </w:r>
      <w:r>
        <w:rPr>
          <w:spacing w:val="-64"/>
        </w:rPr>
        <w:t> </w:t>
      </w:r>
      <w:r>
        <w:rPr>
          <w:spacing w:val="-64"/>
        </w:rPr>
      </w:r>
      <w:r>
        <w:rPr/>
        <w:t>中的会计错配的，本公司将该金融负债的全部利得或损失（包括企业自身信用风险变动的影响金额）计入当期损益。</w:t>
      </w:r>
    </w:p>
    <w:p>
      <w:pPr>
        <w:pStyle w:val="BodyText"/>
        <w:spacing w:line="379" w:lineRule="auto" w:before="77"/>
        <w:ind w:left="573" w:right="1133"/>
        <w:jc w:val="left"/>
      </w:pPr>
      <w:r>
        <w:rPr/>
        <w:t>②其他金融负债 除金融资产转移不符合终止确认条件或继续涉入被转移金融资产所形成的金融负债、财务担保合同外的其他金融负债</w:t>
      </w:r>
    </w:p>
    <w:p>
      <w:pPr>
        <w:pStyle w:val="BodyText"/>
        <w:spacing w:line="208" w:lineRule="exact"/>
        <w:ind w:right="1133"/>
        <w:jc w:val="left"/>
      </w:pPr>
      <w:r>
        <w:rPr/>
        <w:t>分类为以摊余成本计量的金融负债，按摊余成本进行后续计量，终止确认或摊销产生的利得或损失计入当期损益。</w:t>
      </w:r>
    </w:p>
    <w:p>
      <w:pPr>
        <w:pStyle w:val="BodyText"/>
        <w:spacing w:line="379" w:lineRule="auto" w:before="136"/>
        <w:ind w:left="573" w:right="1133"/>
        <w:jc w:val="left"/>
      </w:pPr>
      <w:r>
        <w:rPr/>
        <w:t>（</w:t>
      </w:r>
      <w:r>
        <w:rPr>
          <w:rFonts w:ascii="宋体" w:hAnsi="宋体" w:cs="宋体" w:eastAsia="宋体" w:hint="default"/>
        </w:rPr>
        <w:t>3</w:t>
      </w:r>
      <w:r>
        <w:rPr/>
        <w:t>）金融资产转移的确认依据和计量方法 满足下列条件之一的金融资产，予以终止确认：①收取该金融资产现金流量的合同权利终止；②该金融资产已转移，</w:t>
      </w:r>
    </w:p>
    <w:p>
      <w:pPr>
        <w:pStyle w:val="BodyText"/>
        <w:spacing w:line="208" w:lineRule="exact"/>
        <w:ind w:right="0"/>
        <w:jc w:val="left"/>
      </w:pPr>
      <w:r>
        <w:rPr/>
        <w:t>且将金融资产所有权上几乎所有的风险和报酬转移给转入方；③该金融资产已转移，虽然企业既没有转移也没有保留金融资</w:t>
      </w:r>
    </w:p>
    <w:p>
      <w:pPr>
        <w:pStyle w:val="BodyText"/>
        <w:spacing w:line="240" w:lineRule="auto" w:before="76"/>
        <w:ind w:right="1133"/>
        <w:jc w:val="left"/>
      </w:pPr>
      <w:r>
        <w:rPr/>
        <w:t>产所有权上几乎所有的风险和报酬，但是放弃了对该金融资产的控制。</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0" w:firstLine="420"/>
        <w:jc w:val="both"/>
      </w:pPr>
      <w:r>
        <w:rPr/>
        <w:t>若企业既没有转移也没有保留金融资产所有权上几乎所有的风险和报酬，且未放弃对该金融资产的控制的，则按照继 </w:t>
      </w:r>
      <w:r>
        <w:rPr>
          <w:spacing w:val="-2"/>
        </w:rPr>
        <w:t>续涉入所转移金融资产的程度确认有关金融资产，并相应确认有关负债。继续涉入所转移金融资产的程度，是指该金融资产</w:t>
      </w:r>
      <w:r>
        <w:rPr>
          <w:spacing w:val="-63"/>
        </w:rPr>
        <w:t> </w:t>
      </w:r>
      <w:r>
        <w:rPr>
          <w:spacing w:val="-63"/>
        </w:rPr>
      </w:r>
      <w:r>
        <w:rPr/>
        <w:t>价值变动使企业面临的风险水平。</w:t>
      </w:r>
    </w:p>
    <w:p>
      <w:pPr>
        <w:pStyle w:val="BodyText"/>
        <w:spacing w:line="316" w:lineRule="auto" w:before="77"/>
        <w:ind w:right="1138" w:firstLine="420"/>
        <w:jc w:val="both"/>
      </w:pPr>
      <w:r>
        <w:rPr/>
        <w:t>金融资产整体转移满足终止确认条件的，将所转移金融资产的账面价值及因转移而收到的对价与原计入其他综合收益 的公允价值变动累计额之和的差额计入当期损益。</w:t>
      </w:r>
    </w:p>
    <w:p>
      <w:pPr>
        <w:pStyle w:val="BodyText"/>
        <w:spacing w:line="316" w:lineRule="auto" w:before="79"/>
        <w:ind w:right="1133" w:firstLine="420"/>
        <w:jc w:val="both"/>
      </w:pPr>
      <w:r>
        <w:rPr/>
        <w:t>金融资产部分转移满足终止确认条件的，将所转移金融资产的账面价值在终止确认及未终止确认部分之间按其相对的 </w:t>
      </w:r>
      <w:r>
        <w:rPr>
          <w:spacing w:val="-2"/>
        </w:rPr>
        <w:t>公允价值进行分摊，并将因转移而收到的对价与应分摊至终止确认部分的原计入其他综合收益的公允价值变动累计额之和与</w:t>
      </w:r>
      <w:r>
        <w:rPr>
          <w:spacing w:val="-64"/>
        </w:rPr>
        <w:t> </w:t>
      </w:r>
      <w:r>
        <w:rPr>
          <w:spacing w:val="-64"/>
        </w:rPr>
      </w:r>
      <w:r>
        <w:rPr/>
        <w:t>分摊的前述账面金额之差额计入当期损益。</w:t>
      </w:r>
    </w:p>
    <w:p>
      <w:pPr>
        <w:pStyle w:val="BodyText"/>
        <w:spacing w:line="316" w:lineRule="auto" w:before="79"/>
        <w:ind w:right="1133" w:firstLine="420"/>
        <w:jc w:val="both"/>
      </w:pPr>
      <w:r>
        <w:rPr/>
        <w:t>本公司对采用附追索权方式出售的金融资产，或将持有的金融资产背书转让，需确定该金融资产所有权上几乎所有的 </w:t>
      </w:r>
      <w:r>
        <w:rPr>
          <w:spacing w:val="-2"/>
        </w:rPr>
        <w:t>风险和报酬是否已经转移。已将该金融资产所有权上几乎所有的风险和报酬转移给转入方的，终止确认该金融资产；保留了</w:t>
      </w:r>
      <w:r>
        <w:rPr>
          <w:spacing w:val="-66"/>
        </w:rPr>
        <w:t> </w:t>
      </w:r>
      <w:r>
        <w:rPr>
          <w:spacing w:val="-66"/>
        </w:rPr>
      </w:r>
      <w:r>
        <w:rPr>
          <w:spacing w:val="-2"/>
        </w:rPr>
        <w:t>金融资产所有权上几乎所有的风险和报酬的，不终止确认该金融资产；既没有转移也没有保留金融资产所有权上几乎所有的</w:t>
      </w:r>
      <w:r>
        <w:rPr>
          <w:spacing w:val="-64"/>
        </w:rPr>
        <w:t> </w:t>
      </w:r>
      <w:r>
        <w:rPr>
          <w:spacing w:val="-64"/>
        </w:rPr>
      </w:r>
      <w:r>
        <w:rPr/>
        <w:t>风险和报酬的，则继续判断企业是否对该资产保留了控制，并根据前面各段所述的原则进行会计处理。</w:t>
      </w:r>
    </w:p>
    <w:p>
      <w:pPr>
        <w:pStyle w:val="BodyText"/>
        <w:spacing w:line="379" w:lineRule="auto" w:before="79"/>
        <w:ind w:left="573" w:right="1133"/>
        <w:jc w:val="left"/>
      </w:pPr>
      <w:r>
        <w:rPr/>
        <w:t>（</w:t>
      </w:r>
      <w:r>
        <w:rPr>
          <w:rFonts w:ascii="宋体" w:hAnsi="宋体" w:cs="宋体" w:eastAsia="宋体" w:hint="default"/>
        </w:rPr>
        <w:t>4</w:t>
      </w:r>
      <w:r>
        <w:rPr/>
        <w:t>）金融负债的终止确认 金融负债（或其一部分）的现时义务已经解除的，本公司终止确认该金融负债（或该部分金融负债）。本公司（借入</w:t>
      </w:r>
    </w:p>
    <w:p>
      <w:pPr>
        <w:pStyle w:val="BodyText"/>
        <w:spacing w:line="208" w:lineRule="exact"/>
        <w:ind w:right="0"/>
        <w:jc w:val="left"/>
      </w:pPr>
      <w:r>
        <w:rPr/>
        <w:t>方）与借出方签订协议，以承担新金融负债的方式替换原金融负债，且新金融负债与原金融负债的合同条款实质上不同的，</w:t>
      </w:r>
    </w:p>
    <w:p>
      <w:pPr>
        <w:pStyle w:val="BodyText"/>
        <w:spacing w:line="316" w:lineRule="auto" w:before="76"/>
        <w:ind w:right="1133"/>
        <w:jc w:val="left"/>
      </w:pPr>
      <w:r>
        <w:rPr>
          <w:spacing w:val="-2"/>
        </w:rPr>
        <w:t>终止确认原金融负债，同时确认一项新金融负债。本公司对原金融负债（或其一部分）的合同条款作出实质性修改的，终止</w:t>
      </w:r>
      <w:r>
        <w:rPr>
          <w:spacing w:val="-67"/>
        </w:rPr>
        <w:t> </w:t>
      </w:r>
      <w:r>
        <w:rPr>
          <w:spacing w:val="-67"/>
        </w:rPr>
      </w:r>
      <w:r>
        <w:rPr/>
        <w:t>确认原金融负债，同时按照修改后的条款确认一项新金融负债。</w:t>
      </w:r>
    </w:p>
    <w:p>
      <w:pPr>
        <w:pStyle w:val="BodyText"/>
        <w:spacing w:line="316" w:lineRule="auto" w:before="79"/>
        <w:ind w:right="1138" w:firstLine="420"/>
        <w:jc w:val="both"/>
      </w:pPr>
      <w:r>
        <w:rPr/>
        <w:t>金融负债（或其一部分）终止确认的，本公司将其账面价值与支付的对价（包括转出的非现金资产或承担的负债）之 间的差额，计入当期损益。</w:t>
      </w:r>
    </w:p>
    <w:p>
      <w:pPr>
        <w:pStyle w:val="BodyText"/>
        <w:spacing w:line="379" w:lineRule="auto" w:before="79"/>
        <w:ind w:left="573" w:right="1133"/>
        <w:jc w:val="left"/>
      </w:pPr>
      <w:r>
        <w:rPr/>
        <w:t>（</w:t>
      </w:r>
      <w:r>
        <w:rPr>
          <w:rFonts w:ascii="宋体" w:hAnsi="宋体" w:cs="宋体" w:eastAsia="宋体" w:hint="default"/>
        </w:rPr>
        <w:t>5</w:t>
      </w:r>
      <w:r>
        <w:rPr/>
        <w:t>）金融资产和金融负债的抵销 当本公司具有抵销已确认金额的金融资产和金融负债的法定权利，且该种法定权利是当前可执行的，同时本公司计划</w:t>
      </w:r>
    </w:p>
    <w:p>
      <w:pPr>
        <w:pStyle w:val="BodyText"/>
        <w:spacing w:line="208" w:lineRule="exact"/>
        <w:ind w:right="0"/>
        <w:jc w:val="left"/>
      </w:pPr>
      <w:r>
        <w:rPr/>
        <w:t>以净额结算或同时变现该金融资产和清偿该金融负债时，金融资产和金融负债以相互抵销后的净额在资产负债表内列示。除</w:t>
      </w:r>
    </w:p>
    <w:p>
      <w:pPr>
        <w:pStyle w:val="BodyText"/>
        <w:spacing w:line="240" w:lineRule="auto" w:before="77"/>
        <w:ind w:right="1133"/>
        <w:jc w:val="left"/>
      </w:pPr>
      <w:r>
        <w:rPr/>
        <w:t>此以外，金融资产和金融负债在资产负债表内分别列示，不予相互抵销。</w:t>
      </w:r>
    </w:p>
    <w:p>
      <w:pPr>
        <w:pStyle w:val="BodyText"/>
        <w:spacing w:line="379" w:lineRule="auto" w:before="136"/>
        <w:ind w:left="573" w:right="1133"/>
        <w:jc w:val="left"/>
      </w:pPr>
      <w:r>
        <w:rPr/>
        <w:t>（</w:t>
      </w:r>
      <w:r>
        <w:rPr>
          <w:rFonts w:ascii="宋体" w:hAnsi="宋体" w:cs="宋体" w:eastAsia="宋体" w:hint="default"/>
        </w:rPr>
        <w:t>6</w:t>
      </w:r>
      <w:r>
        <w:rPr/>
        <w:t>）金融资产和金融负债的公允价值确定方法 公允价值，是指市场参与者在计量日发生的有序交易中，出售一项资产所能收到或者转移一项负债所需支付的价格。</w:t>
      </w:r>
    </w:p>
    <w:p>
      <w:pPr>
        <w:pStyle w:val="BodyText"/>
        <w:spacing w:line="208" w:lineRule="exact"/>
        <w:ind w:right="0"/>
        <w:jc w:val="left"/>
      </w:pPr>
      <w:r>
        <w:rPr/>
        <w:t>金融工具存在活跃市场的，本公司采用活跃市场中的报价确定其公允价值。活跃市场中的报价是指易于定期从交易所、经纪</w:t>
      </w:r>
    </w:p>
    <w:p>
      <w:pPr>
        <w:pStyle w:val="BodyText"/>
        <w:spacing w:line="316" w:lineRule="auto" w:before="76"/>
        <w:ind w:right="0"/>
        <w:jc w:val="left"/>
      </w:pPr>
      <w:r>
        <w:rPr>
          <w:spacing w:val="-2"/>
        </w:rPr>
        <w:t>商、行业协会、定价服务机构等获得的价格，且代表了在公平交易中实际发生的市场交易的价格。金融工具不存在活跃市场</w:t>
      </w:r>
      <w:r>
        <w:rPr>
          <w:spacing w:val="-64"/>
        </w:rPr>
        <w:t> </w:t>
      </w:r>
      <w:r>
        <w:rPr>
          <w:spacing w:val="-64"/>
        </w:rPr>
      </w:r>
      <w:r>
        <w:rPr>
          <w:spacing w:val="-4"/>
        </w:rPr>
        <w:t>的，本公司采用估值技术确定其公允价值。估值技术包括参考熟悉情况并自愿交易的各方最近进行的市场交易中使用的价格、</w:t>
      </w:r>
      <w:r>
        <w:rPr>
          <w:spacing w:val="-44"/>
        </w:rPr>
        <w:t> </w:t>
      </w:r>
      <w:r>
        <w:rPr>
          <w:spacing w:val="-44"/>
        </w:rPr>
      </w:r>
      <w:r>
        <w:rPr>
          <w:spacing w:val="-2"/>
        </w:rPr>
        <w:t>参照实质上相同的其他金融工具当前的公允价值、现金流量折现法和期权定价模型等。在估值时，本公司采用在当前情况下</w:t>
      </w:r>
      <w:r>
        <w:rPr>
          <w:spacing w:val="-63"/>
        </w:rPr>
        <w:t> </w:t>
      </w:r>
      <w:r>
        <w:rPr>
          <w:spacing w:val="-63"/>
        </w:rPr>
      </w:r>
      <w:r>
        <w:rPr>
          <w:spacing w:val="-2"/>
        </w:rPr>
        <w:t>适用并且有足够可利用数据和其他信息支持的估值技术，选择与市场参与者在相关资产或负债的交易中所考虑的资产或负债</w:t>
      </w:r>
      <w:r>
        <w:rPr>
          <w:spacing w:val="-63"/>
        </w:rPr>
        <w:t> </w:t>
      </w:r>
      <w:r>
        <w:rPr>
          <w:spacing w:val="-63"/>
        </w:rPr>
      </w:r>
      <w:r>
        <w:rPr>
          <w:spacing w:val="-2"/>
        </w:rPr>
        <w:t>特征相一致的输入值，并尽可能优先使用相关可观察输入值。在相关可观察输入值无法取得或取得不切实可行的情况下，使</w:t>
      </w:r>
      <w:r>
        <w:rPr>
          <w:spacing w:val="-63"/>
        </w:rPr>
        <w:t> </w:t>
      </w:r>
      <w:r>
        <w:rPr>
          <w:spacing w:val="-63"/>
        </w:rPr>
      </w:r>
      <w:r>
        <w:rPr/>
        <w:t>用不可输入值。</w:t>
      </w:r>
    </w:p>
    <w:p>
      <w:pPr>
        <w:pStyle w:val="BodyText"/>
        <w:spacing w:line="379" w:lineRule="auto" w:before="79"/>
        <w:ind w:left="573" w:right="1133"/>
        <w:jc w:val="left"/>
      </w:pPr>
      <w:r>
        <w:rPr/>
        <w:t>（</w:t>
      </w:r>
      <w:r>
        <w:rPr>
          <w:rFonts w:ascii="宋体" w:hAnsi="宋体" w:cs="宋体" w:eastAsia="宋体" w:hint="default"/>
        </w:rPr>
        <w:t>7</w:t>
      </w:r>
      <w:r>
        <w:rPr/>
        <w:t>）权益工具 权益工具是指能证明拥有本公司在扣除所有负债后的资产中的剩余权益的合同。本公司发行（含再融资）、回购、出</w:t>
      </w:r>
    </w:p>
    <w:p>
      <w:pPr>
        <w:pStyle w:val="BodyText"/>
        <w:spacing w:line="208" w:lineRule="exact"/>
        <w:ind w:right="0"/>
        <w:jc w:val="left"/>
      </w:pPr>
      <w:r>
        <w:rPr/>
        <w:t>售或注销权益工具作为权益的变动处理，与权益性交易相关的交易费用从权益中扣减。本公司不确认权益工具的公允价值变</w:t>
      </w:r>
    </w:p>
    <w:p>
      <w:pPr>
        <w:pStyle w:val="BodyText"/>
        <w:spacing w:line="240" w:lineRule="auto" w:before="76"/>
        <w:ind w:right="1133"/>
        <w:jc w:val="left"/>
      </w:pPr>
      <w:r>
        <w:rPr/>
        <w:t>动。</w:t>
      </w:r>
    </w:p>
    <w:p>
      <w:pPr>
        <w:pStyle w:val="BodyText"/>
        <w:spacing w:line="240" w:lineRule="auto" w:before="136"/>
        <w:ind w:left="573" w:right="1133"/>
        <w:jc w:val="left"/>
      </w:pPr>
      <w:r>
        <w:rPr/>
        <w:t>本公司权益工具在存续期间分派股利（含分类为权益工具的工具所产生的“利息”）的，作为利润分配处理。</w:t>
      </w:r>
    </w:p>
    <w:p>
      <w:pPr>
        <w:pStyle w:val="BodyText"/>
        <w:spacing w:line="379" w:lineRule="auto" w:before="136"/>
        <w:ind w:left="573" w:right="1133"/>
        <w:jc w:val="left"/>
      </w:pPr>
      <w:r>
        <w:rPr/>
        <w:t>（</w:t>
      </w:r>
      <w:r>
        <w:rPr>
          <w:rFonts w:ascii="宋体" w:hAnsi="宋体" w:cs="宋体" w:eastAsia="宋体" w:hint="default"/>
        </w:rPr>
        <w:t>8</w:t>
      </w:r>
      <w:r>
        <w:rPr/>
        <w:t>）金融资产减值 本公司需确认减值损失的金融资产系以摊余成本计量的金融资产、以公允价值计量且其变动计入其他综合收益的债务</w:t>
      </w:r>
    </w:p>
    <w:p>
      <w:pPr>
        <w:pStyle w:val="BodyText"/>
        <w:spacing w:line="208" w:lineRule="exact"/>
        <w:ind w:right="0"/>
        <w:jc w:val="left"/>
      </w:pPr>
      <w:r>
        <w:rPr/>
        <w:t>工具投资、租赁应收款，主要包括应收票据、应收账款、其他应收款、债权投资、其他债权投资、长期应收款等。此外，对</w:t>
      </w:r>
    </w:p>
    <w:p>
      <w:pPr>
        <w:pStyle w:val="BodyText"/>
        <w:spacing w:line="240" w:lineRule="auto" w:before="76"/>
        <w:ind w:right="1133"/>
        <w:jc w:val="left"/>
      </w:pPr>
      <w:r>
        <w:rPr/>
        <w:t>部分财务担保合同，也按照本部分所述会计政策计提减值准备和确认信用减值损失。</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79" w:lineRule="auto" w:before="44"/>
        <w:ind w:left="573" w:right="1025"/>
        <w:jc w:val="left"/>
      </w:pPr>
      <w:r>
        <w:rPr>
          <w:rFonts w:ascii="宋体" w:hAnsi="宋体" w:cs="宋体" w:eastAsia="宋体" w:hint="default"/>
        </w:rPr>
        <w:t>1</w:t>
      </w:r>
      <w:r>
        <w:rPr/>
        <w:t>）减值准备的确认方法 </w:t>
      </w:r>
      <w:r>
        <w:rPr>
          <w:spacing w:val="-1"/>
        </w:rPr>
        <w:t>本公司以预期信用损失为基础，对上述各项目按照其适用的预期信用损失计量方法计提减值准备并确认信用减值损失。</w:t>
      </w:r>
      <w:r>
        <w:rPr/>
        <w:t> 信用损失，是指本公司按照原实际利率折现的、根据合同应收的所有合同现金流量与预期收取的所有现金流量之间的</w:t>
      </w:r>
    </w:p>
    <w:p>
      <w:pPr>
        <w:pStyle w:val="BodyText"/>
        <w:spacing w:line="208" w:lineRule="exact"/>
        <w:ind w:right="0"/>
        <w:jc w:val="left"/>
      </w:pPr>
      <w:r>
        <w:rPr/>
        <w:t>差额，即全部现金短缺的现值。其中，对于购买或源生的已发生信用减值的金融资产，本公司按照该金融资产经信用调整的</w:t>
      </w:r>
    </w:p>
    <w:p>
      <w:pPr>
        <w:pStyle w:val="BodyText"/>
        <w:spacing w:line="240" w:lineRule="auto" w:before="76"/>
        <w:ind w:right="1133"/>
        <w:jc w:val="left"/>
      </w:pPr>
      <w:r>
        <w:rPr/>
        <w:t>实际利率折现。</w:t>
      </w:r>
    </w:p>
    <w:p>
      <w:pPr>
        <w:pStyle w:val="BodyText"/>
        <w:spacing w:line="316" w:lineRule="auto" w:before="136"/>
        <w:ind w:right="1130" w:firstLine="420"/>
        <w:jc w:val="both"/>
      </w:pPr>
      <w:r>
        <w:rPr/>
        <w:t>预期信用损失计量的一般方法是指，本公司在每个资产负债表日评估金融资产的信用风险自初始确认后是否已经显著 </w:t>
      </w:r>
      <w:r>
        <w:rPr>
          <w:spacing w:val="-2"/>
        </w:rPr>
        <w:t>增加，如果信用风险自初始确认后已显著增加，本公司按照相当于整个存续期内预期信用损失的金额计量损失准备；如果信</w:t>
      </w:r>
      <w:r>
        <w:rPr>
          <w:spacing w:val="-63"/>
        </w:rPr>
        <w:t> </w:t>
      </w:r>
      <w:r>
        <w:rPr>
          <w:spacing w:val="-63"/>
        </w:rPr>
      </w:r>
      <w:r>
        <w:rPr>
          <w:spacing w:val="-2"/>
        </w:rPr>
        <w:t>用风险自初始确认后未显著增加，本公司按照相当于未来</w:t>
      </w:r>
      <w:r>
        <w:rPr>
          <w:rFonts w:ascii="宋体" w:hAnsi="宋体" w:cs="宋体" w:eastAsia="宋体" w:hint="default"/>
          <w:spacing w:val="-2"/>
        </w:rPr>
        <w:t>12</w:t>
      </w:r>
      <w:r>
        <w:rPr>
          <w:spacing w:val="-2"/>
        </w:rPr>
        <w:t>个月内预期信用损失的金额计量损失准备。本公司在评估预期信</w:t>
      </w:r>
      <w:r>
        <w:rPr>
          <w:spacing w:val="-62"/>
        </w:rPr>
        <w:t> </w:t>
      </w:r>
      <w:r>
        <w:rPr>
          <w:spacing w:val="-62"/>
        </w:rPr>
      </w:r>
      <w:r>
        <w:rPr/>
        <w:t>用损失时，考虑所有合理且有依据的信息，包括前瞻性信息。</w:t>
      </w:r>
    </w:p>
    <w:p>
      <w:pPr>
        <w:pStyle w:val="BodyText"/>
        <w:spacing w:line="316" w:lineRule="auto" w:before="79"/>
        <w:ind w:right="1138" w:firstLine="420"/>
        <w:jc w:val="both"/>
      </w:pPr>
      <w:r>
        <w:rPr/>
        <w:t>对于在资产负债表日具有较低信用风险的金融工具，本公司假设其信用风险自初始确认后并未显著增加，选择按照未 来 </w:t>
      </w:r>
      <w:r>
        <w:rPr>
          <w:rFonts w:ascii="宋体" w:hAnsi="宋体" w:cs="宋体" w:eastAsia="宋体" w:hint="default"/>
        </w:rPr>
        <w:t>12</w:t>
      </w:r>
      <w:r>
        <w:rPr>
          <w:rFonts w:ascii="宋体" w:hAnsi="宋体" w:cs="宋体" w:eastAsia="宋体" w:hint="default"/>
          <w:spacing w:val="-1"/>
        </w:rPr>
        <w:t> </w:t>
      </w:r>
      <w:r>
        <w:rPr/>
        <w:t>个月内的预期信用损失计量损失准备。</w:t>
      </w:r>
    </w:p>
    <w:p>
      <w:pPr>
        <w:pStyle w:val="BodyText"/>
        <w:spacing w:line="379" w:lineRule="auto" w:before="79"/>
        <w:ind w:left="573" w:right="1133"/>
        <w:jc w:val="left"/>
      </w:pPr>
      <w:r>
        <w:rPr>
          <w:rFonts w:ascii="宋体" w:hAnsi="宋体" w:cs="宋体" w:eastAsia="宋体" w:hint="default"/>
        </w:rPr>
        <w:t>2</w:t>
      </w:r>
      <w:r>
        <w:rPr/>
        <w:t>）信用风险自初始确认后是否显著增加的判断标准 如果某项金融资产在资产负债表日确定的预计存续期内的违约概率显著高于在初始确认时确定的预计存续期内的违约</w:t>
      </w:r>
    </w:p>
    <w:p>
      <w:pPr>
        <w:pStyle w:val="BodyText"/>
        <w:spacing w:line="208" w:lineRule="exact"/>
        <w:ind w:right="0"/>
        <w:jc w:val="left"/>
      </w:pPr>
      <w:r>
        <w:rPr/>
        <w:t>概率，则表明该项金融资产的信用风险显著增加。除特殊情况外，本公司采用未来</w:t>
      </w:r>
      <w:r>
        <w:rPr>
          <w:rFonts w:ascii="宋体" w:hAnsi="宋体" w:cs="宋体" w:eastAsia="宋体" w:hint="default"/>
        </w:rPr>
        <w:t>12</w:t>
      </w:r>
      <w:r>
        <w:rPr/>
        <w:t>个月内发生的违约风险的变化作为整个</w:t>
      </w:r>
    </w:p>
    <w:p>
      <w:pPr>
        <w:pStyle w:val="BodyText"/>
        <w:spacing w:line="379" w:lineRule="auto" w:before="76"/>
        <w:ind w:left="573" w:right="1133" w:hanging="421"/>
        <w:jc w:val="left"/>
      </w:pPr>
      <w:r>
        <w:rPr/>
        <w:t>存续期内发生违约风险变化的合理估计，来确定自初始确认后信用风险是否显著增加。 </w:t>
      </w:r>
      <w:r>
        <w:rPr>
          <w:rFonts w:ascii="宋体" w:hAnsi="宋体" w:cs="宋体" w:eastAsia="宋体" w:hint="default"/>
        </w:rPr>
        <w:t>3</w:t>
      </w:r>
      <w:r>
        <w:rPr/>
        <w:t>）以组合为基础评估预期信用风险的组合方法 本公司对信用风险显著不同的金融资产单项评价信用风险，如：应收关联方款项；与对方存在争议或涉及诉讼、仲裁</w:t>
      </w:r>
    </w:p>
    <w:p>
      <w:pPr>
        <w:pStyle w:val="BodyText"/>
        <w:spacing w:line="208" w:lineRule="exact"/>
        <w:ind w:right="1133"/>
        <w:jc w:val="left"/>
      </w:pPr>
      <w:r>
        <w:rPr/>
        <w:t>的应收款项；已有明显迹象表明债务人很可能无法履行还款义务的应收款项等。</w:t>
      </w:r>
    </w:p>
    <w:p>
      <w:pPr>
        <w:pStyle w:val="BodyText"/>
        <w:spacing w:line="316" w:lineRule="auto" w:before="136"/>
        <w:ind w:right="1138" w:firstLine="420"/>
        <w:jc w:val="both"/>
      </w:pPr>
      <w:r>
        <w:rPr/>
        <w:t>除了单项评估信用风险的金融资产外，本公司基于共同风险特征将金融资产划分为不同的组别，在组合的基础上评估 信用风险。</w:t>
      </w:r>
    </w:p>
    <w:p>
      <w:pPr>
        <w:pStyle w:val="BodyText"/>
        <w:spacing w:line="379" w:lineRule="auto" w:before="79"/>
        <w:ind w:left="573" w:right="1133"/>
        <w:jc w:val="left"/>
      </w:pPr>
      <w:r>
        <w:rPr>
          <w:rFonts w:ascii="宋体" w:hAnsi="宋体" w:cs="宋体" w:eastAsia="宋体" w:hint="default"/>
        </w:rPr>
        <w:t>4</w:t>
      </w:r>
      <w:r>
        <w:rPr/>
        <w:t>）金融资产减值的会计处理方法 期末，本公司计算各类金融资产的预计信用损失，如果该预计信用损失大于其当前减值准备的账面金额，将其差额确</w:t>
      </w:r>
    </w:p>
    <w:p>
      <w:pPr>
        <w:pStyle w:val="BodyText"/>
        <w:spacing w:line="208" w:lineRule="exact"/>
        <w:ind w:right="1133"/>
        <w:jc w:val="left"/>
      </w:pPr>
      <w:r>
        <w:rPr/>
        <w:t>认为减值损失；如果小于当前减值准备的账面金额，则将差额确认为减值利得。</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11、应收票据" w:id="192"/>
      <w:bookmarkEnd w:id="192"/>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8" w:firstLine="420"/>
        <w:jc w:val="both"/>
      </w:pPr>
      <w:r>
        <w:rPr/>
        <w:t>本公司对于应收票据按照相当于整个存续期内的预期信用损失金额计量损失准备。基于应收票据的信用风险特征，将 其划分为不同组合：</w:t>
      </w:r>
    </w:p>
    <w:tbl>
      <w:tblPr>
        <w:tblW w:w="0" w:type="auto"/>
        <w:jc w:val="left"/>
        <w:tblInd w:w="683" w:type="dxa"/>
        <w:tblLayout w:type="fixed"/>
        <w:tblCellMar>
          <w:top w:w="0" w:type="dxa"/>
          <w:left w:w="0" w:type="dxa"/>
          <w:bottom w:w="0" w:type="dxa"/>
          <w:right w:w="0" w:type="dxa"/>
        </w:tblCellMar>
        <w:tblLook w:val="01E0"/>
      </w:tblPr>
      <w:tblGrid>
        <w:gridCol w:w="2895"/>
        <w:gridCol w:w="5670"/>
      </w:tblGrid>
      <w:tr>
        <w:trPr>
          <w:trHeight w:val="336" w:hRule="exact"/>
        </w:trPr>
        <w:tc>
          <w:tcPr>
            <w:tcW w:w="2895" w:type="dxa"/>
            <w:tcBorders>
              <w:top w:val="single" w:sz="6" w:space="0" w:color="000000"/>
              <w:left w:val="nil" w:sz="6" w:space="0" w:color="auto"/>
              <w:bottom w:val="nil" w:sz="6" w:space="0" w:color="auto"/>
              <w:right w:val="single" w:sz="6" w:space="0" w:color="000000"/>
            </w:tcBorders>
          </w:tcPr>
          <w:p>
            <w:pPr>
              <w:pStyle w:val="TableParagraph"/>
              <w:spacing w:line="240" w:lineRule="auto" w:before="1"/>
              <w:ind w:left="20"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670" w:type="dxa"/>
            <w:tcBorders>
              <w:top w:val="single" w:sz="6" w:space="0" w:color="000000"/>
              <w:left w:val="single" w:sz="6" w:space="0" w:color="000000"/>
              <w:bottom w:val="nil" w:sz="6" w:space="0" w:color="auto"/>
              <w:right w:val="nil" w:sz="6" w:space="0" w:color="auto"/>
            </w:tcBorders>
          </w:tcPr>
          <w:p>
            <w:pPr>
              <w:pStyle w:val="TableParagraph"/>
              <w:spacing w:line="240" w:lineRule="auto" w:before="1"/>
              <w:ind w:left="394" w:right="0"/>
              <w:jc w:val="center"/>
              <w:rPr>
                <w:rFonts w:ascii="宋体" w:hAnsi="宋体" w:cs="宋体" w:eastAsia="宋体" w:hint="default"/>
                <w:sz w:val="20"/>
                <w:szCs w:val="20"/>
              </w:rPr>
            </w:pPr>
            <w:r>
              <w:rPr>
                <w:rFonts w:ascii="宋体" w:hAnsi="宋体" w:cs="宋体" w:eastAsia="宋体" w:hint="default"/>
                <w:b/>
                <w:bCs/>
                <w:sz w:val="20"/>
                <w:szCs w:val="20"/>
              </w:rPr>
              <w:t>确定组合的依据</w:t>
            </w:r>
            <w:r>
              <w:rPr>
                <w:rFonts w:ascii="宋体" w:hAnsi="宋体" w:cs="宋体" w:eastAsia="宋体" w:hint="default"/>
                <w:sz w:val="20"/>
                <w:szCs w:val="20"/>
              </w:rPr>
            </w:r>
          </w:p>
        </w:tc>
      </w:tr>
      <w:tr>
        <w:trPr>
          <w:trHeight w:val="332" w:hRule="exact"/>
        </w:trPr>
        <w:tc>
          <w:tcPr>
            <w:tcW w:w="2895" w:type="dxa"/>
            <w:tcBorders>
              <w:top w:val="nil" w:sz="6" w:space="0" w:color="auto"/>
              <w:left w:val="nil" w:sz="6" w:space="0" w:color="auto"/>
              <w:bottom w:val="nil" w:sz="6" w:space="0" w:color="auto"/>
              <w:right w:val="single" w:sz="6" w:space="0" w:color="000000"/>
            </w:tcBorders>
          </w:tcPr>
          <w:p>
            <w:pPr>
              <w:pStyle w:val="TableParagraph"/>
              <w:spacing w:line="240" w:lineRule="auto" w:before="3"/>
              <w:ind w:left="24" w:right="0"/>
              <w:jc w:val="left"/>
              <w:rPr>
                <w:rFonts w:ascii="宋体" w:hAnsi="宋体" w:cs="宋体" w:eastAsia="宋体" w:hint="default"/>
                <w:sz w:val="20"/>
                <w:szCs w:val="20"/>
              </w:rPr>
            </w:pPr>
            <w:r>
              <w:rPr>
                <w:rFonts w:ascii="宋体" w:hAnsi="宋体" w:cs="宋体" w:eastAsia="宋体" w:hint="default"/>
                <w:sz w:val="20"/>
                <w:szCs w:val="20"/>
              </w:rPr>
              <w:t>银行承兑汇票</w:t>
            </w:r>
          </w:p>
        </w:tc>
        <w:tc>
          <w:tcPr>
            <w:tcW w:w="5670" w:type="dxa"/>
            <w:tcBorders>
              <w:top w:val="nil" w:sz="6" w:space="0" w:color="auto"/>
              <w:left w:val="single" w:sz="6" w:space="0" w:color="000000"/>
              <w:bottom w:val="nil" w:sz="6" w:space="0" w:color="auto"/>
              <w:right w:val="nil" w:sz="6" w:space="0" w:color="auto"/>
            </w:tcBorders>
          </w:tcPr>
          <w:p>
            <w:pPr>
              <w:pStyle w:val="TableParagraph"/>
              <w:spacing w:line="240" w:lineRule="auto" w:before="3"/>
              <w:ind w:left="4" w:right="0"/>
              <w:jc w:val="left"/>
              <w:rPr>
                <w:rFonts w:ascii="宋体" w:hAnsi="宋体" w:cs="宋体" w:eastAsia="宋体" w:hint="default"/>
                <w:sz w:val="20"/>
                <w:szCs w:val="20"/>
              </w:rPr>
            </w:pPr>
            <w:r>
              <w:rPr>
                <w:rFonts w:ascii="宋体" w:hAnsi="宋体" w:cs="宋体" w:eastAsia="宋体" w:hint="default"/>
                <w:sz w:val="20"/>
                <w:szCs w:val="20"/>
              </w:rPr>
              <w:t>承兑人为信用风险较小的银行</w:t>
            </w:r>
          </w:p>
        </w:tc>
      </w:tr>
      <w:tr>
        <w:trPr>
          <w:trHeight w:val="342" w:hRule="exact"/>
        </w:trPr>
        <w:tc>
          <w:tcPr>
            <w:tcW w:w="2895" w:type="dxa"/>
            <w:tcBorders>
              <w:top w:val="nil" w:sz="6" w:space="0" w:color="auto"/>
              <w:left w:val="nil" w:sz="6" w:space="0" w:color="auto"/>
              <w:bottom w:val="single" w:sz="6" w:space="0" w:color="000000"/>
              <w:right w:val="single" w:sz="6" w:space="0" w:color="000000"/>
            </w:tcBorders>
          </w:tcPr>
          <w:p>
            <w:pPr>
              <w:pStyle w:val="TableParagraph"/>
              <w:spacing w:line="240" w:lineRule="auto" w:before="4"/>
              <w:ind w:left="24" w:right="0"/>
              <w:jc w:val="left"/>
              <w:rPr>
                <w:rFonts w:ascii="宋体" w:hAnsi="宋体" w:cs="宋体" w:eastAsia="宋体" w:hint="default"/>
                <w:sz w:val="20"/>
                <w:szCs w:val="20"/>
              </w:rPr>
            </w:pPr>
            <w:r>
              <w:rPr>
                <w:rFonts w:ascii="宋体" w:hAnsi="宋体" w:cs="宋体" w:eastAsia="宋体" w:hint="default"/>
                <w:sz w:val="20"/>
                <w:szCs w:val="20"/>
              </w:rPr>
              <w:t>商业承兑汇票</w:t>
            </w:r>
          </w:p>
        </w:tc>
        <w:tc>
          <w:tcPr>
            <w:tcW w:w="5670" w:type="dxa"/>
            <w:tcBorders>
              <w:top w:val="nil" w:sz="6" w:space="0" w:color="auto"/>
              <w:left w:val="single" w:sz="6" w:space="0" w:color="000000"/>
              <w:bottom w:val="single" w:sz="6" w:space="0" w:color="000000"/>
              <w:right w:val="nil" w:sz="6" w:space="0" w:color="auto"/>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根据承兑人的信用风险划分，与</w:t>
            </w:r>
            <w:r>
              <w:rPr>
                <w:rFonts w:ascii="Times New Roman" w:hAnsi="Times New Roman" w:cs="Times New Roman" w:eastAsia="Times New Roman" w:hint="default"/>
                <w:sz w:val="20"/>
                <w:szCs w:val="20"/>
              </w:rPr>
              <w:t>“</w:t>
            </w:r>
            <w:r>
              <w:rPr>
                <w:rFonts w:ascii="宋体" w:hAnsi="宋体" w:cs="宋体" w:eastAsia="宋体" w:hint="default"/>
                <w:sz w:val="20"/>
                <w:szCs w:val="20"/>
              </w:rPr>
              <w:t>应收账款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组合划分相同</w:t>
            </w:r>
          </w:p>
        </w:tc>
      </w:tr>
    </w:tbl>
    <w:p>
      <w:pPr>
        <w:pStyle w:val="BodyText"/>
        <w:spacing w:line="316" w:lineRule="auto" w:before="79"/>
        <w:ind w:right="1133" w:firstLine="420"/>
        <w:jc w:val="left"/>
      </w:pPr>
      <w:r>
        <w:rPr/>
        <w:t>对于银行承兑汇票，信用风险较小，组合的预期信用损失率为</w:t>
      </w:r>
      <w:r>
        <w:rPr>
          <w:rFonts w:ascii="宋体" w:hAnsi="宋体" w:cs="宋体" w:eastAsia="宋体" w:hint="default"/>
        </w:rPr>
        <w:t>0%</w:t>
      </w:r>
      <w:r>
        <w:rPr/>
        <w:t>；对于商业承兑汇票，参照“应收账款”计算预期信 用损失。</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bookmarkStart w:name="12、应收账款" w:id="193"/>
      <w:bookmarkEnd w:id="193"/>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26" w:firstLine="420"/>
        <w:jc w:val="left"/>
      </w:pPr>
      <w:r>
        <w:rPr>
          <w:spacing w:val="-1"/>
        </w:rPr>
        <w:t>对于应收账款，无论是否含有重大融资成分，本公司始终按照相当于整个存续期内的预期信用损失金额计量损失准备，</w:t>
      </w:r>
      <w:r>
        <w:rPr/>
        <w:t> 由此形成的损失准备的增加或转回金额，作为减值损失或利得计入当期损益。</w:t>
      </w:r>
    </w:p>
    <w:p>
      <w:pPr>
        <w:pStyle w:val="BodyText"/>
        <w:spacing w:line="379" w:lineRule="auto" w:before="79"/>
        <w:ind w:left="573" w:right="1115"/>
        <w:jc w:val="left"/>
      </w:pPr>
      <w:r>
        <w:rPr/>
        <w:t>计提方法如下： </w:t>
      </w:r>
      <w:r>
        <w:rPr>
          <w:rFonts w:ascii="宋体" w:hAnsi="宋体" w:cs="宋体" w:eastAsia="宋体" w:hint="default"/>
          <w:spacing w:val="-1"/>
        </w:rPr>
        <w:t>A</w:t>
      </w:r>
      <w:r>
        <w:rPr>
          <w:spacing w:val="-1"/>
        </w:rPr>
        <w:t>如果有客观证据表明某项应收账款已经发生信用减值，无论其金额是否重大，本公司对该应收账款单项计提坏账准备</w:t>
      </w:r>
    </w:p>
    <w:p>
      <w:pPr>
        <w:pStyle w:val="BodyText"/>
        <w:spacing w:line="208" w:lineRule="exact"/>
        <w:ind w:right="1133"/>
        <w:jc w:val="left"/>
      </w:pPr>
      <w:r>
        <w:rPr/>
        <w:t>并确认预期信用损失。</w:t>
      </w:r>
    </w:p>
    <w:p>
      <w:pPr>
        <w:spacing w:after="0" w:line="208" w:lineRule="exact"/>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73" w:right="1133"/>
        <w:jc w:val="left"/>
      </w:pPr>
      <w:r>
        <w:rPr>
          <w:rFonts w:ascii="宋体" w:hAnsi="宋体" w:cs="宋体" w:eastAsia="宋体" w:hint="default"/>
        </w:rPr>
        <w:t>B</w:t>
      </w:r>
      <w:r>
        <w:rPr/>
        <w:t>除了单项评估信用风险的应收账款外，基于其信用风险特征，将其划分为不同组合：</w:t>
      </w:r>
    </w:p>
    <w:p>
      <w:pPr>
        <w:spacing w:line="240" w:lineRule="auto" w:before="3"/>
        <w:rPr>
          <w:rFonts w:ascii="宋体" w:hAnsi="宋体" w:cs="宋体" w:eastAsia="宋体" w:hint="default"/>
          <w:sz w:val="5"/>
          <w:szCs w:val="5"/>
        </w:rPr>
      </w:pPr>
    </w:p>
    <w:tbl>
      <w:tblPr>
        <w:tblW w:w="0" w:type="auto"/>
        <w:jc w:val="left"/>
        <w:tblInd w:w="911" w:type="dxa"/>
        <w:tblLayout w:type="fixed"/>
        <w:tblCellMar>
          <w:top w:w="0" w:type="dxa"/>
          <w:left w:w="0" w:type="dxa"/>
          <w:bottom w:w="0" w:type="dxa"/>
          <w:right w:w="0" w:type="dxa"/>
        </w:tblCellMar>
        <w:tblLook w:val="01E0"/>
      </w:tblPr>
      <w:tblGrid>
        <w:gridCol w:w="2108"/>
        <w:gridCol w:w="5987"/>
      </w:tblGrid>
      <w:tr>
        <w:trPr>
          <w:trHeight w:val="348" w:hRule="exact"/>
        </w:trPr>
        <w:tc>
          <w:tcPr>
            <w:tcW w:w="21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8"/>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59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8"/>
              <w:ind w:left="392" w:right="0"/>
              <w:jc w:val="center"/>
              <w:rPr>
                <w:rFonts w:ascii="宋体" w:hAnsi="宋体" w:cs="宋体" w:eastAsia="宋体" w:hint="default"/>
                <w:sz w:val="18"/>
                <w:szCs w:val="18"/>
              </w:rPr>
            </w:pPr>
            <w:r>
              <w:rPr>
                <w:rFonts w:ascii="宋体" w:hAnsi="宋体" w:cs="宋体" w:eastAsia="宋体" w:hint="default"/>
                <w:b/>
                <w:bCs/>
                <w:sz w:val="18"/>
                <w:szCs w:val="18"/>
              </w:rPr>
              <w:t>确定组合的依据</w:t>
            </w:r>
            <w:r>
              <w:rPr>
                <w:rFonts w:ascii="宋体" w:hAnsi="宋体" w:cs="宋体" w:eastAsia="宋体" w:hint="default"/>
                <w:sz w:val="18"/>
                <w:szCs w:val="18"/>
              </w:rPr>
            </w:r>
          </w:p>
        </w:tc>
      </w:tr>
      <w:tr>
        <w:trPr>
          <w:trHeight w:val="346" w:hRule="exact"/>
        </w:trPr>
        <w:tc>
          <w:tcPr>
            <w:tcW w:w="21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59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以纳入合并范围内的关联方为信用风险特征划分组合</w:t>
            </w:r>
          </w:p>
        </w:tc>
      </w:tr>
      <w:tr>
        <w:trPr>
          <w:trHeight w:val="348" w:hRule="exact"/>
        </w:trPr>
        <w:tc>
          <w:tcPr>
            <w:tcW w:w="21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59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以应收款项的账龄为信用风险特征划分组合</w:t>
            </w:r>
          </w:p>
        </w:tc>
      </w:tr>
    </w:tbl>
    <w:p>
      <w:pPr>
        <w:pStyle w:val="BodyText"/>
        <w:spacing w:line="379" w:lineRule="auto" w:before="68"/>
        <w:ind w:left="573" w:right="1133"/>
        <w:jc w:val="left"/>
      </w:pPr>
      <w:r>
        <w:rPr/>
        <w:t>对于划分为关联方组合的应收款项，具有较低信用风险，不计提坏账准备。 对于划分为账龄组合的应收款项，本公司参考历史信用损失经验，结合当前状况以及对未来经济状况的预测，编制应</w:t>
      </w:r>
    </w:p>
    <w:p>
      <w:pPr>
        <w:pStyle w:val="BodyText"/>
        <w:spacing w:line="208" w:lineRule="exact"/>
        <w:ind w:right="0"/>
        <w:jc w:val="left"/>
      </w:pPr>
      <w:r>
        <w:rPr/>
        <w:t>收款项账龄与整个存续期预期信用损失率对照表，计算预期信用损失。按账龄组合计提预期信用损失的应收账款逾期信用损</w:t>
      </w:r>
    </w:p>
    <w:p>
      <w:pPr>
        <w:pStyle w:val="BodyText"/>
        <w:spacing w:line="240" w:lineRule="auto" w:before="76"/>
        <w:ind w:right="1133"/>
        <w:jc w:val="left"/>
      </w:pPr>
      <w:r>
        <w:rPr/>
        <w:t>失率对照表：</w:t>
      </w:r>
    </w:p>
    <w:p>
      <w:pPr>
        <w:spacing w:line="240" w:lineRule="auto" w:before="3"/>
        <w:rPr>
          <w:rFonts w:ascii="宋体" w:hAnsi="宋体" w:cs="宋体" w:eastAsia="宋体" w:hint="default"/>
          <w:sz w:val="5"/>
          <w:szCs w:val="5"/>
        </w:rPr>
      </w:pPr>
    </w:p>
    <w:tbl>
      <w:tblPr>
        <w:tblW w:w="0" w:type="auto"/>
        <w:jc w:val="left"/>
        <w:tblInd w:w="760" w:type="dxa"/>
        <w:tblLayout w:type="fixed"/>
        <w:tblCellMar>
          <w:top w:w="0" w:type="dxa"/>
          <w:left w:w="0" w:type="dxa"/>
          <w:bottom w:w="0" w:type="dxa"/>
          <w:right w:w="0" w:type="dxa"/>
        </w:tblCellMar>
        <w:tblLook w:val="01E0"/>
      </w:tblPr>
      <w:tblGrid>
        <w:gridCol w:w="3164"/>
        <w:gridCol w:w="2758"/>
        <w:gridCol w:w="2487"/>
      </w:tblGrid>
      <w:tr>
        <w:trPr>
          <w:trHeight w:val="341" w:hRule="exact"/>
        </w:trPr>
        <w:tc>
          <w:tcPr>
            <w:tcW w:w="3164" w:type="dxa"/>
            <w:tcBorders>
              <w:top w:val="single" w:sz="4" w:space="0" w:color="000000"/>
              <w:left w:val="nil" w:sz="6" w:space="0" w:color="auto"/>
              <w:bottom w:val="single" w:sz="4" w:space="0" w:color="000000"/>
              <w:right w:val="single" w:sz="6" w:space="0" w:color="000000"/>
            </w:tcBorders>
          </w:tcPr>
          <w:p>
            <w:pPr>
              <w:pStyle w:val="TableParagraph"/>
              <w:tabs>
                <w:tab w:pos="421" w:val="left" w:leader="none"/>
              </w:tabs>
              <w:spacing w:line="240" w:lineRule="auto" w:before="17"/>
              <w:ind w:left="25" w:right="0"/>
              <w:jc w:val="center"/>
              <w:rPr>
                <w:rFonts w:ascii="宋体" w:hAnsi="宋体" w:cs="宋体" w:eastAsia="宋体" w:hint="default"/>
                <w:sz w:val="18"/>
                <w:szCs w:val="18"/>
              </w:rPr>
            </w:pPr>
            <w:r>
              <w:rPr>
                <w:rFonts w:ascii="宋体" w:hAnsi="宋体" w:cs="宋体" w:eastAsia="宋体" w:hint="default"/>
                <w:sz w:val="18"/>
                <w:szCs w:val="18"/>
              </w:rPr>
              <w:t>账</w:t>
              <w:tab/>
              <w:t>龄</w:t>
            </w:r>
          </w:p>
        </w:tc>
        <w:tc>
          <w:tcPr>
            <w:tcW w:w="2758"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应收账款预期信用损失比例</w:t>
            </w:r>
          </w:p>
        </w:tc>
        <w:tc>
          <w:tcPr>
            <w:tcW w:w="2487"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17"/>
              <w:ind w:right="9"/>
              <w:jc w:val="center"/>
              <w:rPr>
                <w:rFonts w:ascii="宋体" w:hAnsi="宋体" w:cs="宋体" w:eastAsia="宋体" w:hint="default"/>
                <w:sz w:val="18"/>
                <w:szCs w:val="18"/>
              </w:rPr>
            </w:pPr>
            <w:r>
              <w:rPr>
                <w:rFonts w:ascii="宋体" w:hAnsi="宋体" w:cs="宋体" w:eastAsia="宋体" w:hint="default"/>
                <w:sz w:val="18"/>
                <w:szCs w:val="18"/>
              </w:rPr>
              <w:t>其他应收款预期信用损失比例</w:t>
            </w:r>
          </w:p>
        </w:tc>
      </w:tr>
      <w:tr>
        <w:trPr>
          <w:trHeight w:val="341" w:hRule="exact"/>
        </w:trPr>
        <w:tc>
          <w:tcPr>
            <w:tcW w:w="3164" w:type="dxa"/>
            <w:tcBorders>
              <w:top w:val="single" w:sz="4" w:space="0" w:color="000000"/>
              <w:left w:val="nil" w:sz="6" w:space="0" w:color="auto"/>
              <w:bottom w:val="nil" w:sz="6" w:space="0" w:color="auto"/>
              <w:right w:val="single" w:sz="6"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758"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5%</w:t>
            </w:r>
          </w:p>
        </w:tc>
        <w:tc>
          <w:tcPr>
            <w:tcW w:w="2487" w:type="dxa"/>
            <w:tcBorders>
              <w:top w:val="single" w:sz="4" w:space="0" w:color="000000"/>
              <w:left w:val="single" w:sz="6" w:space="0" w:color="000000"/>
              <w:bottom w:val="nil" w:sz="6" w:space="0" w:color="auto"/>
              <w:right w:val="nil" w:sz="6" w:space="0" w:color="auto"/>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5%</w:t>
            </w:r>
          </w:p>
        </w:tc>
      </w:tr>
      <w:tr>
        <w:trPr>
          <w:trHeight w:val="332" w:hRule="exact"/>
        </w:trPr>
        <w:tc>
          <w:tcPr>
            <w:tcW w:w="3164"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758"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left="4" w:right="0"/>
              <w:jc w:val="center"/>
              <w:rPr>
                <w:rFonts w:ascii="Times New Roman" w:hAnsi="Times New Roman" w:cs="Times New Roman" w:eastAsia="Times New Roman" w:hint="default"/>
                <w:sz w:val="18"/>
                <w:szCs w:val="18"/>
              </w:rPr>
            </w:pPr>
            <w:r>
              <w:rPr>
                <w:rFonts w:ascii="Times New Roman"/>
                <w:sz w:val="18"/>
              </w:rPr>
              <w:t>10%</w:t>
            </w:r>
          </w:p>
        </w:tc>
        <w:tc>
          <w:tcPr>
            <w:tcW w:w="2487" w:type="dxa"/>
            <w:tcBorders>
              <w:top w:val="nil" w:sz="6" w:space="0" w:color="auto"/>
              <w:left w:val="single" w:sz="6" w:space="0" w:color="000000"/>
              <w:bottom w:val="nil" w:sz="6" w:space="0" w:color="auto"/>
              <w:right w:val="nil" w:sz="6" w:space="0" w:color="auto"/>
            </w:tcBorders>
          </w:tcPr>
          <w:p>
            <w:pPr>
              <w:pStyle w:val="TableParagraph"/>
              <w:spacing w:line="240" w:lineRule="auto" w:before="57"/>
              <w:ind w:right="3"/>
              <w:jc w:val="center"/>
              <w:rPr>
                <w:rFonts w:ascii="Times New Roman" w:hAnsi="Times New Roman" w:cs="Times New Roman" w:eastAsia="Times New Roman" w:hint="default"/>
                <w:sz w:val="18"/>
                <w:szCs w:val="18"/>
              </w:rPr>
            </w:pPr>
            <w:r>
              <w:rPr>
                <w:rFonts w:ascii="Times New Roman"/>
                <w:sz w:val="18"/>
              </w:rPr>
              <w:t>10%</w:t>
            </w:r>
          </w:p>
        </w:tc>
      </w:tr>
      <w:tr>
        <w:trPr>
          <w:trHeight w:val="333" w:hRule="exact"/>
        </w:trPr>
        <w:tc>
          <w:tcPr>
            <w:tcW w:w="3164"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758"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left="4" w:right="0"/>
              <w:jc w:val="center"/>
              <w:rPr>
                <w:rFonts w:ascii="Times New Roman" w:hAnsi="Times New Roman" w:cs="Times New Roman" w:eastAsia="Times New Roman" w:hint="default"/>
                <w:sz w:val="18"/>
                <w:szCs w:val="18"/>
              </w:rPr>
            </w:pPr>
            <w:r>
              <w:rPr>
                <w:rFonts w:ascii="Times New Roman"/>
                <w:sz w:val="18"/>
              </w:rPr>
              <w:t>30%</w:t>
            </w:r>
          </w:p>
        </w:tc>
        <w:tc>
          <w:tcPr>
            <w:tcW w:w="2487" w:type="dxa"/>
            <w:tcBorders>
              <w:top w:val="nil" w:sz="6" w:space="0" w:color="auto"/>
              <w:left w:val="single" w:sz="6" w:space="0" w:color="000000"/>
              <w:bottom w:val="nil" w:sz="6" w:space="0" w:color="auto"/>
              <w:right w:val="nil" w:sz="6" w:space="0" w:color="auto"/>
            </w:tcBorders>
          </w:tcPr>
          <w:p>
            <w:pPr>
              <w:pStyle w:val="TableParagraph"/>
              <w:spacing w:line="240" w:lineRule="auto" w:before="57"/>
              <w:ind w:right="3"/>
              <w:jc w:val="center"/>
              <w:rPr>
                <w:rFonts w:ascii="Times New Roman" w:hAnsi="Times New Roman" w:cs="Times New Roman" w:eastAsia="Times New Roman" w:hint="default"/>
                <w:sz w:val="18"/>
                <w:szCs w:val="18"/>
              </w:rPr>
            </w:pPr>
            <w:r>
              <w:rPr>
                <w:rFonts w:ascii="Times New Roman"/>
                <w:sz w:val="18"/>
              </w:rPr>
              <w:t>30%</w:t>
            </w:r>
          </w:p>
        </w:tc>
      </w:tr>
      <w:tr>
        <w:trPr>
          <w:trHeight w:val="335" w:hRule="exact"/>
        </w:trPr>
        <w:tc>
          <w:tcPr>
            <w:tcW w:w="3164" w:type="dxa"/>
            <w:tcBorders>
              <w:top w:val="nil" w:sz="6" w:space="0" w:color="auto"/>
              <w:left w:val="nil" w:sz="6" w:space="0" w:color="auto"/>
              <w:bottom w:val="single" w:sz="4" w:space="0" w:color="000000"/>
              <w:right w:val="single" w:sz="6" w:space="0" w:color="000000"/>
            </w:tcBorders>
          </w:tcPr>
          <w:p>
            <w:pPr>
              <w:pStyle w:val="TableParagraph"/>
              <w:spacing w:line="240" w:lineRule="auto" w:before="16"/>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758"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58"/>
              <w:ind w:left="4" w:right="0"/>
              <w:jc w:val="center"/>
              <w:rPr>
                <w:rFonts w:ascii="Times New Roman" w:hAnsi="Times New Roman" w:cs="Times New Roman" w:eastAsia="Times New Roman" w:hint="default"/>
                <w:sz w:val="18"/>
                <w:szCs w:val="18"/>
              </w:rPr>
            </w:pPr>
            <w:r>
              <w:rPr>
                <w:rFonts w:ascii="Times New Roman"/>
                <w:sz w:val="18"/>
              </w:rPr>
              <w:t>100%</w:t>
            </w:r>
          </w:p>
        </w:tc>
        <w:tc>
          <w:tcPr>
            <w:tcW w:w="2487" w:type="dxa"/>
            <w:tcBorders>
              <w:top w:val="nil" w:sz="6" w:space="0" w:color="auto"/>
              <w:left w:val="single" w:sz="6" w:space="0" w:color="000000"/>
              <w:bottom w:val="single" w:sz="4" w:space="0" w:color="000000"/>
              <w:right w:val="nil" w:sz="6" w:space="0" w:color="auto"/>
            </w:tcBorders>
          </w:tcPr>
          <w:p>
            <w:pPr>
              <w:pStyle w:val="TableParagraph"/>
              <w:spacing w:line="240" w:lineRule="auto" w:before="58"/>
              <w:ind w:right="3"/>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3、应收款项融资" w:id="194"/>
      <w:bookmarkEnd w:id="194"/>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40" w:firstLine="420"/>
        <w:jc w:val="both"/>
      </w:pPr>
      <w:r>
        <w:rPr>
          <w:spacing w:val="-1"/>
        </w:rPr>
        <w:t>分类为以公允价值计量且其变动计入其他综合收益的应收票据和应收账款，自取得起期限在一年内（含一年）的部分，</w:t>
      </w:r>
      <w:r>
        <w:rPr/>
        <w:t> </w:t>
      </w:r>
      <w:r>
        <w:rPr>
          <w:spacing w:val="-4"/>
        </w:rPr>
        <w:t>列示为应收款项融资；自取得起期限在一年以上的，列示为其他债权投资。其相关会计政策参见本附注五、</w:t>
      </w:r>
      <w:r>
        <w:rPr>
          <w:rFonts w:ascii="宋体" w:hAnsi="宋体" w:cs="宋体" w:eastAsia="宋体" w:hint="default"/>
          <w:spacing w:val="-4"/>
        </w:rPr>
        <w:t>10</w:t>
      </w:r>
      <w:r>
        <w:rPr>
          <w:spacing w:val="-4"/>
        </w:rPr>
        <w:t>“金融工具”、</w:t>
      </w:r>
      <w:r>
        <w:rPr>
          <w:spacing w:val="-40"/>
        </w:rPr>
        <w:t> </w:t>
      </w:r>
      <w:r>
        <w:rPr>
          <w:spacing w:val="-40"/>
        </w:rPr>
      </w:r>
      <w:r>
        <w:rPr/>
        <w:t>本附注五</w:t>
      </w:r>
      <w:r>
        <w:rPr>
          <w:rFonts w:ascii="宋体" w:hAnsi="宋体" w:cs="宋体" w:eastAsia="宋体" w:hint="default"/>
        </w:rPr>
        <w:t>12</w:t>
      </w:r>
      <w:r>
        <w:rPr/>
        <w:t>、“应收账款”。</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14、其他应收款" w:id="195"/>
      <w:bookmarkEnd w:id="195"/>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2"/>
        <w:rPr>
          <w:rFonts w:ascii="宋体" w:hAnsi="宋体" w:cs="宋体" w:eastAsia="宋体" w:hint="default"/>
          <w:b/>
          <w:bCs/>
          <w:sz w:val="26"/>
          <w:szCs w:val="26"/>
        </w:rPr>
      </w:pPr>
    </w:p>
    <w:p>
      <w:pPr>
        <w:pStyle w:val="BodyText"/>
        <w:spacing w:line="381" w:lineRule="auto"/>
        <w:ind w:left="573" w:right="4213" w:hanging="421"/>
        <w:jc w:val="left"/>
      </w:pPr>
      <w:r>
        <w:rPr/>
        <w:t>其他应收款的预期信用损失的确定方法及会计处理方法 对于其他应收款的预期信用损失的计量，参照前述应收账款的计量方法处理。</w:t>
      </w:r>
    </w:p>
    <w:p>
      <w:pPr>
        <w:spacing w:line="240" w:lineRule="auto" w:before="12"/>
        <w:rPr>
          <w:rFonts w:ascii="宋体" w:hAnsi="宋体" w:cs="宋体" w:eastAsia="宋体" w:hint="default"/>
          <w:sz w:val="18"/>
          <w:szCs w:val="18"/>
        </w:rPr>
      </w:pPr>
    </w:p>
    <w:p>
      <w:pPr>
        <w:pStyle w:val="Heading3"/>
        <w:spacing w:line="240" w:lineRule="auto"/>
        <w:ind w:right="1133"/>
        <w:jc w:val="left"/>
        <w:rPr>
          <w:b w:val="0"/>
          <w:bCs w:val="0"/>
        </w:rPr>
      </w:pPr>
      <w:bookmarkStart w:name="15、存货" w:id="196"/>
      <w:bookmarkEnd w:id="196"/>
      <w:r>
        <w:rPr>
          <w:b w:val="0"/>
          <w:bCs w:val="0"/>
        </w:rPr>
      </w:r>
      <w:r>
        <w:rPr>
          <w:rFonts w:ascii="Times New Roman" w:hAnsi="Times New Roman" w:cs="Times New Roman" w:eastAsia="Times New Roman" w:hint="default"/>
        </w:rPr>
        <w:t>15</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79" w:lineRule="auto"/>
        <w:ind w:left="573" w:right="2233"/>
        <w:jc w:val="left"/>
      </w:pPr>
      <w:r>
        <w:rPr/>
        <w:t>（</w:t>
      </w:r>
      <w:r>
        <w:rPr>
          <w:rFonts w:ascii="宋体" w:hAnsi="宋体" w:cs="宋体" w:eastAsia="宋体" w:hint="default"/>
        </w:rPr>
        <w:t>1</w:t>
      </w:r>
      <w:r>
        <w:rPr/>
        <w:t>）存货的分类 本公司存货主要包括在途物资、原材料、低值易耗品、在产品、自制半成品、库存商品、工程施工等。</w:t>
      </w:r>
    </w:p>
    <w:p>
      <w:pPr>
        <w:pStyle w:val="BodyText"/>
        <w:spacing w:line="379" w:lineRule="auto" w:before="32"/>
        <w:ind w:left="573" w:right="1333"/>
        <w:jc w:val="left"/>
      </w:pPr>
      <w:r>
        <w:rPr/>
        <w:t>（</w:t>
      </w:r>
      <w:r>
        <w:rPr>
          <w:rFonts w:ascii="宋体" w:hAnsi="宋体" w:cs="宋体" w:eastAsia="宋体" w:hint="default"/>
        </w:rPr>
        <w:t>2</w:t>
      </w:r>
      <w:r>
        <w:rPr/>
        <w:t>）存货取得和发出的计价方法 存货在取得时按实际成本计价，存货成本包括采购成本、加工成本和其他成本。领用和发出时按加权平均法计价。</w:t>
      </w:r>
    </w:p>
    <w:p>
      <w:pPr>
        <w:pStyle w:val="BodyText"/>
        <w:spacing w:line="379" w:lineRule="auto" w:before="32"/>
        <w:ind w:left="573" w:right="1133"/>
        <w:jc w:val="left"/>
      </w:pPr>
      <w:r>
        <w:rPr/>
        <w:t>（</w:t>
      </w:r>
      <w:r>
        <w:rPr>
          <w:rFonts w:ascii="宋体" w:hAnsi="宋体" w:cs="宋体" w:eastAsia="宋体" w:hint="default"/>
        </w:rPr>
        <w:t>3</w:t>
      </w:r>
      <w:r>
        <w:rPr/>
        <w:t>）存货可变现净值的确认和跌价准备的计提方法 可变现净值是指在日常活动中，存货的估计售价减去至完工时估计将要发生的成本、估计的销售费用以及相关税费后</w:t>
      </w:r>
    </w:p>
    <w:p>
      <w:pPr>
        <w:pStyle w:val="BodyText"/>
        <w:spacing w:line="208" w:lineRule="exact"/>
        <w:ind w:right="0"/>
        <w:jc w:val="left"/>
      </w:pPr>
      <w:r>
        <w:rPr>
          <w:spacing w:val="-4"/>
        </w:rPr>
        <w:t>的金额。在确定存货的可变现净值时，以取得的确凿证据为基础，同时考虑持有存货的目的以及资产负债表日后事项的影响。</w:t>
      </w:r>
    </w:p>
    <w:p>
      <w:pPr>
        <w:pStyle w:val="BodyText"/>
        <w:spacing w:line="316" w:lineRule="auto" w:before="136"/>
        <w:ind w:right="0" w:firstLine="420"/>
        <w:jc w:val="left"/>
      </w:pPr>
      <w:r>
        <w:rPr/>
        <w:t>在资产负债表日，存货按照成本与可变现净值孰低计量。当其可变现净值低于成本时，提取存货跌价准备。存货跌价 </w:t>
      </w:r>
      <w:r>
        <w:rPr>
          <w:spacing w:val="-4"/>
        </w:rPr>
        <w:t>准备按单个存货项目的成本高于其可变现净值的差额提取。对于数量繁多、单价较低的存货，按存货类别计提存货跌价准备；</w:t>
      </w:r>
      <w:r>
        <w:rPr>
          <w:spacing w:val="-43"/>
        </w:rPr>
        <w:t> </w:t>
      </w:r>
      <w:r>
        <w:rPr>
          <w:spacing w:val="-43"/>
        </w:rPr>
      </w:r>
      <w:r>
        <w:rPr>
          <w:spacing w:val="-2"/>
        </w:rPr>
        <w:t>对在同一地区生产和销售的产品系列相关、具有相同或类似最终用途或目的，且难以与其他项目分开计量的存货，可合并计</w:t>
      </w:r>
      <w:r>
        <w:rPr>
          <w:spacing w:val="-63"/>
        </w:rPr>
        <w:t> </w:t>
      </w:r>
      <w:r>
        <w:rPr>
          <w:spacing w:val="-63"/>
        </w:rPr>
      </w:r>
      <w:r>
        <w:rPr/>
        <w:t>提存货跌价准备。</w:t>
      </w:r>
    </w:p>
    <w:p>
      <w:pPr>
        <w:pStyle w:val="BodyText"/>
        <w:spacing w:line="316" w:lineRule="auto" w:before="79"/>
        <w:ind w:right="1133" w:firstLine="420"/>
        <w:jc w:val="left"/>
      </w:pPr>
      <w:r>
        <w:rPr/>
        <w:t>计提存货跌价准备后，如果以前减记存货价值的影响因素已经消失，导致存货的可变现净值高于其账面价值的，在原 已计提的存货跌价准备金额内予以转回，转回的金额计入当期损益。</w:t>
      </w:r>
    </w:p>
    <w:p>
      <w:pPr>
        <w:pStyle w:val="BodyText"/>
        <w:spacing w:line="240" w:lineRule="auto" w:before="78"/>
        <w:ind w:left="573" w:right="1133"/>
        <w:jc w:val="left"/>
      </w:pPr>
      <w:r>
        <w:rPr/>
        <w:t>（</w:t>
      </w:r>
      <w:r>
        <w:rPr>
          <w:rFonts w:ascii="宋体" w:hAnsi="宋体" w:cs="宋体" w:eastAsia="宋体" w:hint="default"/>
        </w:rPr>
        <w:t>4</w:t>
      </w:r>
      <w:r>
        <w:rPr/>
        <w:t>）存货的盘存制度为永续盘存制。</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73" w:right="1133"/>
        <w:jc w:val="left"/>
      </w:pPr>
      <w:r>
        <w:rPr/>
        <w:t>（</w:t>
      </w:r>
      <w:r>
        <w:rPr>
          <w:rFonts w:ascii="宋体" w:hAnsi="宋体" w:cs="宋体" w:eastAsia="宋体" w:hint="default"/>
        </w:rPr>
        <w:t>5</w:t>
      </w:r>
      <w:r>
        <w:rPr/>
        <w:t>）低值易耗品和包装物的摊销方法：低值易耗品于领用时按一次摊销法摊销。</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bookmarkStart w:name="16、持有待售资产" w:id="197"/>
      <w:bookmarkEnd w:id="197"/>
      <w:r>
        <w:rPr>
          <w:b w:val="0"/>
          <w:bCs w:val="0"/>
        </w:rPr>
      </w:r>
      <w:r>
        <w:rPr>
          <w:rFonts w:ascii="Times New Roman" w:hAnsi="Times New Roman" w:cs="Times New Roman" w:eastAsia="Times New Roman" w:hint="default"/>
        </w:rPr>
        <w:t>16</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420"/>
        <w:jc w:val="both"/>
      </w:pPr>
      <w:r>
        <w:rPr/>
        <w:t>本公司若主要通过出售（包括具有商业实质的非货币性资产交换，下同）而非持续使用一项非流动资产或处置组收回 </w:t>
      </w:r>
      <w:r>
        <w:rPr>
          <w:spacing w:val="-2"/>
        </w:rPr>
        <w:t>其账面价值的，则将其划分为持有待售类别。具体标准为同时满足以下条件：某项非流动资产或处置组根据类似交易中出售</w:t>
      </w:r>
      <w:r>
        <w:rPr>
          <w:spacing w:val="-63"/>
        </w:rPr>
        <w:t> </w:t>
      </w:r>
      <w:r>
        <w:rPr>
          <w:spacing w:val="-63"/>
        </w:rPr>
      </w:r>
      <w:r>
        <w:rPr>
          <w:spacing w:val="-2"/>
        </w:rPr>
        <w:t>此类资产或处置组的惯例，在当前状况下即可立即出售；本公司已经就出售计划作出决议且获得确定的购买承诺；预计出售</w:t>
      </w:r>
      <w:r>
        <w:rPr>
          <w:spacing w:val="-63"/>
        </w:rPr>
        <w:t> </w:t>
      </w:r>
      <w:r>
        <w:rPr>
          <w:spacing w:val="-63"/>
        </w:rPr>
      </w:r>
      <w:r>
        <w:rPr>
          <w:spacing w:val="-2"/>
        </w:rPr>
        <w:t>将在一年内完成。其中，处置组是指在一项交易中作为整体通过出售或其他方式一并处置的一组资产，以及在该交易中转让</w:t>
      </w:r>
      <w:r>
        <w:rPr>
          <w:spacing w:val="-66"/>
        </w:rPr>
        <w:t> </w:t>
      </w:r>
      <w:r>
        <w:rPr>
          <w:spacing w:val="-66"/>
        </w:rPr>
      </w:r>
      <w:r>
        <w:rPr/>
        <w:t>的与这些资产直接相关的负债。处置组所属的资产组或资产组组合按照《企业会计准则第 </w:t>
      </w:r>
      <w:r>
        <w:rPr>
          <w:rFonts w:ascii="宋体" w:hAnsi="宋体" w:cs="宋体" w:eastAsia="宋体" w:hint="default"/>
        </w:rPr>
        <w:t>8</w:t>
      </w:r>
      <w:r>
        <w:rPr>
          <w:rFonts w:ascii="宋体" w:hAnsi="宋体" w:cs="宋体" w:eastAsia="宋体" w:hint="default"/>
          <w:spacing w:val="8"/>
        </w:rPr>
        <w:t> </w:t>
      </w:r>
      <w:r>
        <w:rPr/>
        <w:t>号——资产减值》分摊了企业 合并中取得的商誉的，该处置组应当包含分摊至处置组的商誉。</w:t>
      </w:r>
    </w:p>
    <w:p>
      <w:pPr>
        <w:pStyle w:val="BodyText"/>
        <w:spacing w:line="316" w:lineRule="auto" w:before="79"/>
        <w:ind w:right="0" w:firstLine="420"/>
        <w:jc w:val="left"/>
      </w:pPr>
      <w:r>
        <w:rPr/>
        <w:t>本公司初始计量或在资产负债表日重新计量划分为持有待售的非流动资产和处置组时，其账面价值高于公允价值减去 </w:t>
      </w:r>
      <w:r>
        <w:rPr>
          <w:spacing w:val="-4"/>
        </w:rPr>
        <w:t>出售费用后的净额的，将账面价值减记至公允价值减去出售费用后的净额，减记的金额确认为资产减值损失，计入当期损益，</w:t>
      </w:r>
      <w:r>
        <w:rPr>
          <w:spacing w:val="-44"/>
        </w:rPr>
        <w:t> </w:t>
      </w:r>
      <w:r>
        <w:rPr>
          <w:spacing w:val="-44"/>
        </w:rPr>
      </w:r>
      <w:r>
        <w:rPr>
          <w:spacing w:val="-2"/>
        </w:rPr>
        <w:t>同时计提持有待售资产减值准备。对于处置组，所确认的资产减值损失先抵减处置组中商誉的账面价值，再按比例抵减该处</w:t>
      </w:r>
      <w:r>
        <w:rPr>
          <w:spacing w:val="-66"/>
        </w:rPr>
        <w:t> </w:t>
      </w:r>
      <w:r>
        <w:rPr>
          <w:spacing w:val="-66"/>
        </w:rPr>
      </w:r>
      <w:r>
        <w:rPr>
          <w:spacing w:val="-2"/>
        </w:rPr>
        <w:t>置组内适用《企业会计准则第</w:t>
      </w:r>
      <w:r>
        <w:rPr>
          <w:rFonts w:ascii="宋体" w:hAnsi="宋体" w:cs="宋体" w:eastAsia="宋体" w:hint="default"/>
          <w:spacing w:val="-2"/>
        </w:rPr>
        <w:t>42</w:t>
      </w:r>
      <w:r>
        <w:rPr>
          <w:spacing w:val="-2"/>
        </w:rPr>
        <w:t>号——持有待售的非流动资产、处置组和终止经营》（以下简称“持有待售准则”）的计量</w:t>
      </w:r>
      <w:r>
        <w:rPr>
          <w:spacing w:val="-65"/>
        </w:rPr>
        <w:t> </w:t>
      </w:r>
      <w:r>
        <w:rPr>
          <w:spacing w:val="-65"/>
        </w:rPr>
      </w:r>
      <w:r>
        <w:rPr>
          <w:spacing w:val="-2"/>
        </w:rPr>
        <w:t>规定的各项非流动资产的账面价值。后续资产负债表日持有待售的处置组公允价值减去出售费用后的净额增加的，以前减记</w:t>
      </w:r>
      <w:r>
        <w:rPr>
          <w:spacing w:val="-63"/>
        </w:rPr>
        <w:t> </w:t>
      </w:r>
      <w:r>
        <w:rPr>
          <w:spacing w:val="-63"/>
        </w:rPr>
      </w:r>
      <w:r>
        <w:rPr/>
        <w:t>的金额应当予以恢复，并在划分为持有待售类别后适用持有待售准则计量规定的非流动资产确认的资产减值损失金额内转</w:t>
      </w:r>
      <w:r>
        <w:rPr>
          <w:spacing w:val="-11"/>
        </w:rPr>
        <w:t> </w:t>
      </w:r>
      <w:r>
        <w:rPr>
          <w:spacing w:val="-11"/>
        </w:rPr>
      </w:r>
      <w:r>
        <w:rPr>
          <w:spacing w:val="-2"/>
        </w:rPr>
        <w:t>回，转回金额计入当期损益，并根据处置组中除商誉外适用持有待售准则计量规定的各项非流动资产账面价值所占比重按比</w:t>
      </w:r>
      <w:r>
        <w:rPr>
          <w:spacing w:val="-64"/>
        </w:rPr>
        <w:t> </w:t>
      </w:r>
      <w:r>
        <w:rPr>
          <w:spacing w:val="-64"/>
        </w:rPr>
      </w:r>
      <w:r>
        <w:rPr>
          <w:spacing w:val="-2"/>
        </w:rPr>
        <w:t>例增加其账面价值；已抵减的商誉账面价值，以及适用持有待售准则计量规定的非流动资产在划分为持有待售类别前确认的</w:t>
      </w:r>
      <w:r>
        <w:rPr>
          <w:spacing w:val="-64"/>
        </w:rPr>
        <w:t> </w:t>
      </w:r>
      <w:r>
        <w:rPr>
          <w:spacing w:val="-64"/>
        </w:rPr>
      </w:r>
      <w:r>
        <w:rPr/>
        <w:t>资产减值损失不得转回。</w:t>
      </w:r>
    </w:p>
    <w:p>
      <w:pPr>
        <w:pStyle w:val="BodyText"/>
        <w:spacing w:line="316" w:lineRule="auto" w:before="79"/>
        <w:ind w:right="1138" w:firstLine="420"/>
        <w:jc w:val="both"/>
      </w:pPr>
      <w:r>
        <w:rPr/>
        <w:t>持有待售的非流动资产或处置组中的非流动资产不计提折旧或摊销，持有待售的处置组中负债的利息和其他费用继续 予以确认。</w:t>
      </w:r>
    </w:p>
    <w:p>
      <w:pPr>
        <w:pStyle w:val="BodyText"/>
        <w:spacing w:line="319" w:lineRule="auto" w:before="79"/>
        <w:ind w:right="1132" w:firstLine="420"/>
        <w:jc w:val="both"/>
      </w:pPr>
      <w:r>
        <w:rPr/>
        <w:t>非流动资产或处置组不再满足持有待售类别的划分条件时，本公司不再将其继续划分为持有待售类别或将非流动资产 从持有待售的处置组中移除，并按照以下两者孰低计量：（</w:t>
      </w:r>
      <w:r>
        <w:rPr>
          <w:rFonts w:ascii="宋体" w:hAnsi="宋体" w:cs="宋体" w:eastAsia="宋体" w:hint="default"/>
        </w:rPr>
        <w:t>1</w:t>
      </w:r>
      <w:r>
        <w:rPr/>
        <w:t>）划分为持有待售类别前的账面价值，按照假定不划分为持有</w:t>
      </w:r>
      <w:r>
        <w:rPr>
          <w:spacing w:val="-83"/>
        </w:rPr>
        <w:t> </w:t>
      </w:r>
      <w:r>
        <w:rPr>
          <w:spacing w:val="-83"/>
        </w:rPr>
      </w:r>
      <w:r>
        <w:rPr/>
        <w:t>待售类别情况下本应确认的折旧、摊销或减值等进行调整后的金额；（</w:t>
      </w:r>
      <w:r>
        <w:rPr>
          <w:rFonts w:ascii="宋体" w:hAnsi="宋体" w:cs="宋体" w:eastAsia="宋体" w:hint="default"/>
        </w:rPr>
        <w:t>2</w:t>
      </w:r>
      <w:r>
        <w:rPr/>
        <w:t>）可收回金额。</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bookmarkStart w:name="17、长期股权投资" w:id="198"/>
      <w:bookmarkEnd w:id="198"/>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1" w:firstLine="420"/>
        <w:jc w:val="both"/>
      </w:pPr>
      <w:r>
        <w:rPr/>
        <w:t>本部分所指的长期股权投资是指本公司对被投资单位具有控制、共同控制或重大影响的长期股权投资。本公司对被投 </w:t>
      </w:r>
      <w:r>
        <w:rPr>
          <w:spacing w:val="-2"/>
        </w:rPr>
        <w:t>资单位不具有控制、共同控制或重大影响的长期股权投资，作为可供出售金融资产或以公允价值计量且其变动计入当期损益</w:t>
      </w:r>
      <w:r>
        <w:rPr>
          <w:spacing w:val="-62"/>
        </w:rPr>
        <w:t> </w:t>
      </w:r>
      <w:r>
        <w:rPr>
          <w:spacing w:val="-62"/>
        </w:rPr>
      </w:r>
      <w:r>
        <w:rPr/>
        <w:t>的金融资产核算，其会计政策详见附注五、</w:t>
      </w:r>
      <w:r>
        <w:rPr>
          <w:rFonts w:ascii="宋体" w:hAnsi="宋体" w:cs="宋体" w:eastAsia="宋体" w:hint="default"/>
        </w:rPr>
        <w:t>10</w:t>
      </w:r>
      <w:r>
        <w:rPr/>
        <w:t>“金融工具”。</w:t>
      </w:r>
    </w:p>
    <w:p>
      <w:pPr>
        <w:pStyle w:val="BodyText"/>
        <w:spacing w:line="316" w:lineRule="auto" w:before="79"/>
        <w:ind w:right="1130" w:firstLine="420"/>
        <w:jc w:val="both"/>
      </w:pPr>
      <w:r>
        <w:rPr/>
        <w:t>共同控制，是指本公司按照相关约定对某项安排所共有的控制，并且该安排的相关活动必须经过分享控制权的参与方 </w:t>
      </w:r>
      <w:r>
        <w:rPr>
          <w:spacing w:val="-2"/>
        </w:rPr>
        <w:t>一致同意后才能决策。重大影响，是指本公司对被投资单位的财务和经营政策有参与决策的权力，但并不能够控制或者与其</w:t>
      </w:r>
      <w:r>
        <w:rPr>
          <w:spacing w:val="-63"/>
        </w:rPr>
        <w:t> </w:t>
      </w:r>
      <w:r>
        <w:rPr>
          <w:spacing w:val="-63"/>
        </w:rPr>
      </w:r>
      <w:r>
        <w:rPr/>
        <w:t>他方一起共同控制这些政策的制定。</w:t>
      </w:r>
    </w:p>
    <w:p>
      <w:pPr>
        <w:pStyle w:val="BodyText"/>
        <w:spacing w:line="379" w:lineRule="auto" w:before="79"/>
        <w:ind w:left="573" w:right="1133"/>
        <w:jc w:val="left"/>
      </w:pPr>
      <w:r>
        <w:rPr/>
        <w:t>（</w:t>
      </w:r>
      <w:r>
        <w:rPr>
          <w:rFonts w:ascii="宋体" w:hAnsi="宋体" w:cs="宋体" w:eastAsia="宋体" w:hint="default"/>
        </w:rPr>
        <w:t>1</w:t>
      </w:r>
      <w:r>
        <w:rPr/>
        <w:t>）投资成本的确定 对于同一控制下的企业合并取得的长期股权投资，在合并日按照被合并方股东权益在最终控制方合并财务报表中的账</w:t>
      </w:r>
    </w:p>
    <w:p>
      <w:pPr>
        <w:pStyle w:val="BodyText"/>
        <w:spacing w:line="208" w:lineRule="exact"/>
        <w:ind w:right="0"/>
        <w:jc w:val="both"/>
      </w:pPr>
      <w:r>
        <w:rPr/>
        <w:t>面价值的份额作为长期股权投资的初始投资成本。长期股权投资初始投资成本与支付的现金、转让的非现金资产以及所承担</w:t>
      </w:r>
    </w:p>
    <w:p>
      <w:pPr>
        <w:pStyle w:val="BodyText"/>
        <w:spacing w:line="316" w:lineRule="auto" w:before="76"/>
        <w:ind w:right="1130"/>
        <w:jc w:val="both"/>
      </w:pPr>
      <w:r>
        <w:rPr>
          <w:spacing w:val="-2"/>
        </w:rPr>
        <w:t>债务账面价值之间的差额，调整资本公积；资本公积不足冲减的，调整留存收益。以发行权益性证券作为合并对价的，在合</w:t>
      </w:r>
      <w:r>
        <w:rPr>
          <w:spacing w:val="-67"/>
        </w:rPr>
        <w:t> </w:t>
      </w:r>
      <w:r>
        <w:rPr>
          <w:spacing w:val="-67"/>
        </w:rPr>
      </w:r>
      <w:r>
        <w:rPr>
          <w:spacing w:val="-2"/>
        </w:rPr>
        <w:t>并日按照被合并方股东权益在最终控制方合并财务报表中的账面价值的份额作为长期股权投资的初始投资成本，按照发行股</w:t>
      </w:r>
      <w:r>
        <w:rPr>
          <w:spacing w:val="-64"/>
        </w:rPr>
        <w:t> </w:t>
      </w:r>
      <w:r>
        <w:rPr>
          <w:spacing w:val="-64"/>
        </w:rPr>
      </w:r>
      <w:r>
        <w:rPr>
          <w:spacing w:val="-2"/>
        </w:rPr>
        <w:t>份的面值总额作为股本，长期股权投资初始投资成本与所发行股份面值总额之间的差额，调整资本公积；资本公积不足冲减</w:t>
      </w:r>
      <w:r>
        <w:rPr>
          <w:spacing w:val="-63"/>
        </w:rPr>
        <w:t> </w:t>
      </w:r>
      <w:r>
        <w:rPr>
          <w:spacing w:val="-63"/>
        </w:rPr>
      </w:r>
      <w:r>
        <w:rPr>
          <w:spacing w:val="-2"/>
        </w:rPr>
        <w:t>的，调整留存收益。通过多次交易分步取得同一控制下被合并方的股权，最终形成同一控制下企业合并的，应分别是否属于</w:t>
      </w:r>
      <w:r>
        <w:rPr>
          <w:spacing w:val="-64"/>
        </w:rPr>
        <w:t> </w:t>
      </w:r>
      <w:r>
        <w:rPr>
          <w:spacing w:val="-64"/>
        </w:rPr>
      </w:r>
      <w:r>
        <w:rPr>
          <w:spacing w:val="-2"/>
        </w:rPr>
        <w:t>“一揽子交易”进行处理：属于“一揽子交易”的，将各项交易作为一项取得控制权的交易进行会计处理。不属于“一揽子</w:t>
      </w:r>
      <w:r>
        <w:rPr>
          <w:spacing w:val="-69"/>
        </w:rPr>
        <w:t> </w:t>
      </w:r>
      <w:r>
        <w:rPr>
          <w:spacing w:val="-69"/>
        </w:rPr>
      </w:r>
      <w:r>
        <w:rPr>
          <w:spacing w:val="-2"/>
        </w:rPr>
        <w:t>交易”的，在合并日按照应享有被合并方股东权益在最终控制方合并财务报表中的账面价值的份额作为长期股权投资的初始</w:t>
      </w:r>
      <w:r>
        <w:rPr>
          <w:spacing w:val="-64"/>
        </w:rPr>
        <w:t> </w:t>
      </w:r>
      <w:r>
        <w:rPr>
          <w:spacing w:val="-64"/>
        </w:rPr>
      </w:r>
      <w:r>
        <w:rPr>
          <w:spacing w:val="-2"/>
        </w:rPr>
        <w:t>投资成本，长期股权投资初始投资成本与达到合并前的长期股权投资账面价值加上合并日进一步取得股份新支付对价的账面</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jc w:val="left"/>
      </w:pPr>
      <w:r>
        <w:rPr>
          <w:spacing w:val="-2"/>
        </w:rPr>
        <w:t>价值之和的差额，调整资本公积；资本公积不足冲减的，调整留存收益。合并日之前持有的股权投资因采用权益法核算或为</w:t>
      </w:r>
      <w:r>
        <w:rPr>
          <w:spacing w:val="-64"/>
        </w:rPr>
        <w:t> </w:t>
      </w:r>
      <w:r>
        <w:rPr>
          <w:spacing w:val="-64"/>
        </w:rPr>
      </w:r>
      <w:r>
        <w:rPr/>
        <w:t>可供出售金融资产而确认的其他综合收益，暂不进行会计处理。</w:t>
      </w:r>
    </w:p>
    <w:p>
      <w:pPr>
        <w:pStyle w:val="BodyText"/>
        <w:spacing w:line="316" w:lineRule="auto" w:before="77"/>
        <w:ind w:right="1129" w:firstLine="420"/>
        <w:jc w:val="both"/>
      </w:pPr>
      <w:r>
        <w:rPr/>
        <w:t>对于非同一控制下的企业合并取得的长期股权投资，在购买日按照合并成本作为长期股权投资的初始投资成本，合并 </w:t>
      </w:r>
      <w:r>
        <w:rPr>
          <w:spacing w:val="-2"/>
        </w:rPr>
        <w:t>成本包括购买方付出的资产、发生或承担的负债、发行的权益性证券的公允价值之和。通过多次交易分步取得被购买方的股</w:t>
      </w:r>
      <w:r>
        <w:rPr>
          <w:spacing w:val="-63"/>
        </w:rPr>
        <w:t> </w:t>
      </w:r>
      <w:r>
        <w:rPr>
          <w:spacing w:val="-63"/>
        </w:rPr>
      </w:r>
      <w:r>
        <w:rPr>
          <w:spacing w:val="-2"/>
        </w:rPr>
        <w:t>权，最终形成非同一控制下的企业合并的，应分别是否属于“一揽子交易”进行处理：属于“一揽子交易”的，将各项交易</w:t>
      </w:r>
      <w:r>
        <w:rPr>
          <w:spacing w:val="-67"/>
        </w:rPr>
        <w:t> </w:t>
      </w:r>
      <w:r>
        <w:rPr>
          <w:spacing w:val="-67"/>
        </w:rPr>
      </w:r>
      <w:r>
        <w:rPr>
          <w:spacing w:val="-2"/>
        </w:rPr>
        <w:t>作为一项取得控制权的交易进行会计处理。不属于“一揽子交易”的，按照原持有被购买方的股权投资账面价值加上新增投</w:t>
      </w:r>
      <w:r>
        <w:rPr>
          <w:spacing w:val="-65"/>
        </w:rPr>
        <w:t> </w:t>
      </w:r>
      <w:r>
        <w:rPr>
          <w:spacing w:val="-65"/>
        </w:rPr>
      </w:r>
      <w:r>
        <w:rPr>
          <w:spacing w:val="-2"/>
        </w:rPr>
        <w:t>资成本之和，作为改按成本法核算的长期股权投资的初始投资成本。原持有的股权采用权益法核算的，相关其他综合收益暂</w:t>
      </w:r>
      <w:r>
        <w:rPr>
          <w:spacing w:val="-63"/>
        </w:rPr>
        <w:t> </w:t>
      </w:r>
      <w:r>
        <w:rPr>
          <w:spacing w:val="-63"/>
        </w:rPr>
      </w:r>
      <w:r>
        <w:rPr>
          <w:spacing w:val="-2"/>
        </w:rPr>
        <w:t>不进行会计处理。原持有股权投资为可供出售金融资产的，其公允价值与账面价值之间的差额，以及原计入其他综合收益的</w:t>
      </w:r>
      <w:r>
        <w:rPr>
          <w:spacing w:val="-62"/>
        </w:rPr>
        <w:t> </w:t>
      </w:r>
      <w:r>
        <w:rPr>
          <w:spacing w:val="-62"/>
        </w:rPr>
      </w:r>
      <w:r>
        <w:rPr/>
        <w:t>累计公允价值变动转入当期损益。</w:t>
      </w:r>
    </w:p>
    <w:p>
      <w:pPr>
        <w:pStyle w:val="BodyText"/>
        <w:spacing w:line="316" w:lineRule="auto" w:before="79"/>
        <w:ind w:right="1138" w:firstLine="420"/>
        <w:jc w:val="both"/>
      </w:pPr>
      <w:r>
        <w:rPr/>
        <w:t>合并方或购买方为企业合并发生的审计、法律服务、评估咨询等中介费用以及其他相关管理费用，于发生时计入当期 损益。</w:t>
      </w:r>
    </w:p>
    <w:p>
      <w:pPr>
        <w:pStyle w:val="BodyText"/>
        <w:spacing w:line="319" w:lineRule="auto" w:before="79"/>
        <w:ind w:right="1129" w:firstLine="420"/>
        <w:jc w:val="both"/>
      </w:pPr>
      <w:r>
        <w:rPr/>
        <w:t>除企业合并形成的长期股权投资外的其他股权投资，按成本进行初始计量，该成本视长期股权投资取得方式的不同， </w:t>
      </w:r>
      <w:r>
        <w:rPr>
          <w:spacing w:val="-2"/>
        </w:rPr>
        <w:t>分别按照本公司实际支付的现金购买价款、本公司发行的权益性证券的公允价值、投资合同或协议约定的价值、非货币性资</w:t>
      </w:r>
      <w:r>
        <w:rPr>
          <w:spacing w:val="-63"/>
        </w:rPr>
        <w:t> </w:t>
      </w:r>
      <w:r>
        <w:rPr>
          <w:spacing w:val="-63"/>
        </w:rPr>
      </w:r>
      <w:r>
        <w:rPr>
          <w:spacing w:val="-2"/>
        </w:rPr>
        <w:t>产交换交易中换出资产的公允价值或原账面价值、该项长期股权投资自身的公允价值等方式确定。与取得长期股权投资直接</w:t>
      </w:r>
      <w:r>
        <w:rPr>
          <w:spacing w:val="-62"/>
        </w:rPr>
        <w:t> </w:t>
      </w:r>
      <w:r>
        <w:rPr>
          <w:spacing w:val="-62"/>
        </w:rPr>
      </w:r>
      <w:r>
        <w:rPr>
          <w:spacing w:val="-2"/>
        </w:rPr>
        <w:t>相关的费用、税金及其他必要支出也计入投资成本。对于因追加投资能够对被投资单位实施重大影响或实施共同控制但不构</w:t>
      </w:r>
      <w:r>
        <w:rPr>
          <w:spacing w:val="-64"/>
        </w:rPr>
        <w:t> </w:t>
      </w:r>
      <w:r>
        <w:rPr>
          <w:spacing w:val="-64"/>
        </w:rPr>
      </w:r>
      <w:r>
        <w:rPr>
          <w:spacing w:val="-2"/>
        </w:rPr>
        <w:t>成控制的，长期股权投资成本为按照《企业会计准则第</w:t>
      </w:r>
      <w:r>
        <w:rPr>
          <w:rFonts w:ascii="宋体" w:hAnsi="宋体" w:cs="宋体" w:eastAsia="宋体" w:hint="default"/>
          <w:spacing w:val="-2"/>
        </w:rPr>
        <w:t>22</w:t>
      </w:r>
      <w:r>
        <w:rPr>
          <w:spacing w:val="-2"/>
        </w:rPr>
        <w:t>号——金融工具确认和计量》确定的原持有股权投资的公允价值加</w:t>
      </w:r>
      <w:r>
        <w:rPr>
          <w:spacing w:val="-61"/>
        </w:rPr>
        <w:t> </w:t>
      </w:r>
      <w:r>
        <w:rPr>
          <w:spacing w:val="-61"/>
        </w:rPr>
      </w:r>
      <w:r>
        <w:rPr/>
        <w:t>上新增投资成本之和。</w:t>
      </w:r>
    </w:p>
    <w:p>
      <w:pPr>
        <w:pStyle w:val="BodyText"/>
        <w:spacing w:line="379" w:lineRule="auto" w:before="77"/>
        <w:ind w:left="573" w:right="1133"/>
        <w:jc w:val="left"/>
      </w:pPr>
      <w:r>
        <w:rPr/>
        <w:t>（</w:t>
      </w:r>
      <w:r>
        <w:rPr>
          <w:rFonts w:ascii="宋体" w:hAnsi="宋体" w:cs="宋体" w:eastAsia="宋体" w:hint="default"/>
        </w:rPr>
        <w:t>2</w:t>
      </w:r>
      <w:r>
        <w:rPr/>
        <w:t>）后续计量及损益确认方法 对被投资单位具有共同控制（构成共同经营者除外）或重大影响的长期股权投资，采用权益法核算。此外，公司财务</w:t>
      </w:r>
    </w:p>
    <w:p>
      <w:pPr>
        <w:pStyle w:val="BodyText"/>
        <w:spacing w:line="208" w:lineRule="exact"/>
        <w:ind w:right="1133"/>
        <w:jc w:val="left"/>
      </w:pPr>
      <w:r>
        <w:rPr/>
        <w:t>报表采用成本法核算能够对被投资单位实施控制的长期股权投资。</w:t>
      </w:r>
    </w:p>
    <w:p>
      <w:pPr>
        <w:pStyle w:val="BodyText"/>
        <w:spacing w:line="379" w:lineRule="auto" w:before="136"/>
        <w:ind w:left="573" w:right="1133"/>
        <w:jc w:val="left"/>
      </w:pPr>
      <w:r>
        <w:rPr/>
        <w:t>①成本法核算的长期股权投资 采用成本法核算时，长期股权投资按初始投资成本计价，追加或收回投资调整长期股权投资的成本。除取得投资时实</w:t>
      </w:r>
    </w:p>
    <w:p>
      <w:pPr>
        <w:pStyle w:val="BodyText"/>
        <w:spacing w:line="208" w:lineRule="exact"/>
        <w:ind w:right="0"/>
        <w:jc w:val="left"/>
      </w:pPr>
      <w:r>
        <w:rPr/>
        <w:t>际支付的价款或者对价中包含的已宣告但尚未发放的现金股利或者利润外</w:t>
      </w:r>
      <w:r>
        <w:rPr>
          <w:spacing w:val="-82"/>
        </w:rPr>
        <w:t>，</w:t>
      </w:r>
      <w:r>
        <w:rPr/>
        <w:t>当期投资收益按照享有被投资单位宣告发放的现</w:t>
      </w:r>
    </w:p>
    <w:p>
      <w:pPr>
        <w:pStyle w:val="BodyText"/>
        <w:spacing w:line="240" w:lineRule="auto" w:before="76"/>
        <w:ind w:right="1133"/>
        <w:jc w:val="left"/>
      </w:pPr>
      <w:r>
        <w:rPr/>
        <w:t>金股利或利润确认。</w:t>
      </w:r>
    </w:p>
    <w:p>
      <w:pPr>
        <w:pStyle w:val="BodyText"/>
        <w:spacing w:line="379" w:lineRule="auto" w:before="136"/>
        <w:ind w:left="573" w:right="1133"/>
        <w:jc w:val="left"/>
      </w:pPr>
      <w:r>
        <w:rPr/>
        <w:t>②权益法核算的长期股权投资 采用权益法核算时，长期股权投资的初始投资成本大于投资时应享有被投资单位可辨认净资产公允价值份额的，不调</w:t>
      </w:r>
    </w:p>
    <w:p>
      <w:pPr>
        <w:pStyle w:val="BodyText"/>
        <w:spacing w:line="208" w:lineRule="exact"/>
        <w:ind w:right="0"/>
        <w:jc w:val="left"/>
      </w:pPr>
      <w:r>
        <w:rPr/>
        <w:t>整长期股权投资的初始投资成本；初始投资成本小于投资时应享有被投资单位可辨认净资产公允价值份额的，其差额计入当</w:t>
      </w:r>
    </w:p>
    <w:p>
      <w:pPr>
        <w:pStyle w:val="BodyText"/>
        <w:spacing w:line="379" w:lineRule="auto" w:before="76"/>
        <w:ind w:left="573" w:right="1133" w:hanging="421"/>
        <w:jc w:val="left"/>
      </w:pPr>
      <w:r>
        <w:rPr/>
        <w:t>期损益，同时调整长期股权投资的成本。 采用权益法核算时，按照应享有或应分担的被投资单位实现的净损益和其他综合收益的份额，分别确认投资收益和其</w:t>
      </w:r>
    </w:p>
    <w:p>
      <w:pPr>
        <w:pStyle w:val="BodyText"/>
        <w:spacing w:line="208" w:lineRule="exact"/>
        <w:ind w:right="0"/>
        <w:jc w:val="left"/>
      </w:pPr>
      <w:r>
        <w:rPr/>
        <w:t>他综合收益，同时调整长期股权投资的账面价值；按照被投资单位宣告分派的利润或现金股利计算应享有的部分，相应减少</w:t>
      </w:r>
    </w:p>
    <w:p>
      <w:pPr>
        <w:pStyle w:val="BodyText"/>
        <w:spacing w:line="316" w:lineRule="auto" w:before="76"/>
        <w:ind w:right="1034"/>
        <w:jc w:val="left"/>
      </w:pPr>
      <w:r>
        <w:rPr>
          <w:spacing w:val="-2"/>
        </w:rPr>
        <w:t>长期股权投资的账面价值；对于被投资单位除净损益、其他综合收益和利润分配以外所有者权益的其他变动，调整长期股权</w:t>
      </w:r>
      <w:r>
        <w:rPr>
          <w:spacing w:val="-63"/>
        </w:rPr>
        <w:t> </w:t>
      </w:r>
      <w:r>
        <w:rPr>
          <w:spacing w:val="-63"/>
        </w:rPr>
      </w:r>
      <w:r>
        <w:rPr>
          <w:spacing w:val="-2"/>
        </w:rPr>
        <w:t>投资的账面价值并计入资本公积。在确认应享有被投资单位净损益的份额时，以取得投资时被投资单位各项可辨认资产等的</w:t>
      </w:r>
      <w:r>
        <w:rPr>
          <w:spacing w:val="-64"/>
        </w:rPr>
        <w:t> </w:t>
      </w:r>
      <w:r>
        <w:rPr>
          <w:spacing w:val="-64"/>
        </w:rPr>
      </w:r>
      <w:r>
        <w:rPr>
          <w:spacing w:val="-2"/>
        </w:rPr>
        <w:t>公允价值为基础，对被投资单位的净利润进行调整后确认。被投资单位采用的会计政策及会计期间与本公司不一致的，按照</w:t>
      </w:r>
      <w:r>
        <w:rPr>
          <w:spacing w:val="-63"/>
        </w:rPr>
        <w:t> </w:t>
      </w:r>
      <w:r>
        <w:rPr>
          <w:spacing w:val="-63"/>
        </w:rPr>
      </w:r>
      <w:r>
        <w:rPr>
          <w:spacing w:val="-2"/>
        </w:rPr>
        <w:t>本公司的会计政策及会计期间对被投资单位的财务报表进行调整，并据以确认投资收益和其他综合收益。对于本公司与联营</w:t>
      </w:r>
      <w:r>
        <w:rPr>
          <w:spacing w:val="-64"/>
        </w:rPr>
        <w:t> </w:t>
      </w:r>
      <w:r>
        <w:rPr>
          <w:spacing w:val="-64"/>
        </w:rPr>
      </w:r>
      <w:r>
        <w:rPr>
          <w:spacing w:val="-2"/>
        </w:rPr>
        <w:t>企业及合营企业之间发生的交易，投出或出售的资产不构成业务的，未实现内部交易损益按照享有的比例计算归属于本公司</w:t>
      </w:r>
      <w:r>
        <w:rPr>
          <w:spacing w:val="-64"/>
        </w:rPr>
        <w:t> </w:t>
      </w:r>
      <w:r>
        <w:rPr>
          <w:spacing w:val="-64"/>
        </w:rPr>
      </w:r>
      <w:r>
        <w:rPr>
          <w:spacing w:val="-2"/>
        </w:rPr>
        <w:t>的部分予以抵销，在此基础上确认投资损益。但本公司与被投资单位发生的未实现内部交易损失，属于所转让资产减值损失</w:t>
      </w:r>
      <w:r>
        <w:rPr>
          <w:spacing w:val="-63"/>
        </w:rPr>
        <w:t> </w:t>
      </w:r>
      <w:r>
        <w:rPr>
          <w:spacing w:val="-63"/>
        </w:rPr>
      </w:r>
      <w:r>
        <w:rPr/>
        <w:t>的，不予以抵销。本公司向合营企业或联营企业投出的资产构成业务的，投资方因此取得长期股权投资但未取得控制权的， </w:t>
      </w:r>
      <w:r>
        <w:rPr>
          <w:spacing w:val="-2"/>
        </w:rPr>
        <w:t>以投出业务的公允价值作为新增长期股权投资的初始投资成本，初始投资成本与投出业务的账面价值之差，全额计入当期损</w:t>
      </w:r>
      <w:r>
        <w:rPr>
          <w:spacing w:val="-62"/>
        </w:rPr>
        <w:t> </w:t>
      </w:r>
      <w:r>
        <w:rPr>
          <w:spacing w:val="-62"/>
        </w:rPr>
      </w:r>
      <w:r>
        <w:rPr>
          <w:spacing w:val="-2"/>
        </w:rPr>
        <w:t>益。本公司向合营企业或联营企业出售的资产构成业务的，取得的对价与业务的账面价值之差，全额计入当期损益。本公司</w:t>
      </w:r>
      <w:r>
        <w:rPr>
          <w:spacing w:val="-64"/>
        </w:rPr>
        <w:t> </w:t>
      </w:r>
      <w:r>
        <w:rPr>
          <w:spacing w:val="-64"/>
        </w:rPr>
      </w:r>
      <w:r>
        <w:rPr>
          <w:spacing w:val="-2"/>
        </w:rPr>
        <w:t>自联营企业及合营企业购入的资产构成业务的，按《企业会计准则第</w:t>
      </w:r>
      <w:r>
        <w:rPr>
          <w:rFonts w:ascii="宋体" w:hAnsi="宋体" w:cs="宋体" w:eastAsia="宋体" w:hint="default"/>
          <w:spacing w:val="-2"/>
        </w:rPr>
        <w:t>20</w:t>
      </w:r>
      <w:r>
        <w:rPr>
          <w:spacing w:val="-2"/>
        </w:rPr>
        <w:t>号——企业合并》的规定进行会计处理，全额确认与</w:t>
      </w:r>
      <w:r>
        <w:rPr>
          <w:spacing w:val="-61"/>
        </w:rPr>
        <w:t> </w:t>
      </w:r>
      <w:r>
        <w:rPr>
          <w:spacing w:val="-61"/>
        </w:rPr>
      </w:r>
      <w:r>
        <w:rPr/>
        <w:t>交易相关的利得或损失。</w:t>
      </w:r>
    </w:p>
    <w:p>
      <w:pPr>
        <w:pStyle w:val="BodyText"/>
        <w:spacing w:line="240" w:lineRule="auto" w:before="78"/>
        <w:ind w:left="573" w:right="1133"/>
        <w:jc w:val="left"/>
      </w:pPr>
      <w:r>
        <w:rPr/>
        <w:t>在确认应分担被投资单位发生的净亏损时，以长期股权投资的账面价值和其他实质上构成对被投资单位净投资的长期</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jc w:val="left"/>
      </w:pPr>
      <w:r>
        <w:rPr>
          <w:spacing w:val="-2"/>
        </w:rPr>
        <w:t>权益减记至零为限。此外，如本公司对被投资单位负有承担额外损失的义务，则按预计承担的义务确认预计负债，计入当期</w:t>
      </w:r>
      <w:r>
        <w:rPr>
          <w:spacing w:val="-64"/>
        </w:rPr>
        <w:t> </w:t>
      </w:r>
      <w:r>
        <w:rPr>
          <w:spacing w:val="-64"/>
        </w:rPr>
      </w:r>
      <w:r>
        <w:rPr/>
        <w:t>投资损失。被投资单位以后期间实现净利润的，本公司在收益分享额弥补未确认的亏损分担额后，恢复确认收益分享额。</w:t>
      </w:r>
    </w:p>
    <w:p>
      <w:pPr>
        <w:pStyle w:val="BodyText"/>
        <w:spacing w:line="316" w:lineRule="auto" w:before="77"/>
        <w:ind w:right="1138" w:firstLine="420"/>
        <w:jc w:val="both"/>
      </w:pPr>
      <w:r>
        <w:rPr/>
        <w:t>对于本公司首次执行新会计准则之前已经持有的对联营企业和合营企业的长期股权投资，如存在与该投资相关的股权 投资借方差额，按原剩余期限直线摊销的金额计入当期损益。</w:t>
      </w:r>
    </w:p>
    <w:p>
      <w:pPr>
        <w:pStyle w:val="BodyText"/>
        <w:spacing w:line="379" w:lineRule="auto" w:before="79"/>
        <w:ind w:left="573" w:right="1133"/>
        <w:jc w:val="left"/>
      </w:pPr>
      <w:r>
        <w:rPr/>
        <w:t>③收购少数股权 在编制合并财务报表时，因购买少数股权新增的长期股权投资与按照新增持股比例计算应享有子公司自购买日（或合</w:t>
      </w:r>
    </w:p>
    <w:p>
      <w:pPr>
        <w:pStyle w:val="BodyText"/>
        <w:spacing w:line="208" w:lineRule="exact"/>
        <w:ind w:right="1133"/>
        <w:jc w:val="left"/>
      </w:pPr>
      <w:r>
        <w:rPr/>
        <w:t>并日）开始持续计算的净资产份额之间的差额，调整资本公积，资本公积不足冲减的，调整留存收益。</w:t>
      </w:r>
    </w:p>
    <w:p>
      <w:pPr>
        <w:pStyle w:val="BodyText"/>
        <w:spacing w:line="379" w:lineRule="auto" w:before="136"/>
        <w:ind w:left="573" w:right="1133"/>
        <w:jc w:val="left"/>
      </w:pPr>
      <w:r>
        <w:rPr/>
        <w:t>④处置长期股权投资 在合并财务报表中，母公司在不丧失控制权的情况下部分处置对子公司的长期股权投资，处置价款与处置长期股权投</w:t>
      </w:r>
    </w:p>
    <w:p>
      <w:pPr>
        <w:pStyle w:val="BodyText"/>
        <w:spacing w:line="208" w:lineRule="exact"/>
        <w:ind w:right="0"/>
        <w:jc w:val="left"/>
      </w:pPr>
      <w:r>
        <w:rPr/>
        <w:t>资相对应享有子公司净资产的差额计入股东权益；母公司部分处置对子公司的长期股权投资导致丧失对子公司控制权的，按</w:t>
      </w:r>
    </w:p>
    <w:p>
      <w:pPr>
        <w:pStyle w:val="BodyText"/>
        <w:spacing w:line="379" w:lineRule="auto" w:before="76"/>
        <w:ind w:left="573" w:right="1133" w:hanging="421"/>
        <w:jc w:val="left"/>
      </w:pPr>
      <w:r>
        <w:rPr/>
        <w:t>本附注五、</w:t>
      </w:r>
      <w:r>
        <w:rPr>
          <w:rFonts w:ascii="宋体" w:hAnsi="宋体" w:cs="宋体" w:eastAsia="宋体" w:hint="default"/>
        </w:rPr>
        <w:t>6</w:t>
      </w:r>
      <w:r>
        <w:rPr/>
        <w:t>、（</w:t>
      </w:r>
      <w:r>
        <w:rPr>
          <w:rFonts w:ascii="宋体" w:hAnsi="宋体" w:cs="宋体" w:eastAsia="宋体" w:hint="default"/>
        </w:rPr>
        <w:t>2</w:t>
      </w:r>
      <w:r>
        <w:rPr/>
        <w:t>）“合并财务报表编制的方法”中所述的相关会计政策处理。 其他情形下的长期股权投资处置，对于处置的股权，其账面价值与实际取得价款的差额，计入当期损益。 采用权益法核算的长期股权投资，处置后的剩余股权仍采用权益法核算的，在处置时将原计入股东权益的其他综合收</w:t>
      </w:r>
    </w:p>
    <w:p>
      <w:pPr>
        <w:pStyle w:val="BodyText"/>
        <w:spacing w:line="208" w:lineRule="exact"/>
        <w:ind w:right="0"/>
        <w:jc w:val="left"/>
      </w:pPr>
      <w:r>
        <w:rPr/>
        <w:t>益部分按相应的比例采用与被投资单位直接处置相关资产或负债相同的基础进行会计处理。因被投资方除净损益、其他综合</w:t>
      </w:r>
    </w:p>
    <w:p>
      <w:pPr>
        <w:pStyle w:val="BodyText"/>
        <w:spacing w:line="379" w:lineRule="auto" w:before="76"/>
        <w:ind w:left="573" w:right="1133" w:hanging="421"/>
        <w:jc w:val="left"/>
      </w:pPr>
      <w:r>
        <w:rPr/>
        <w:t>收益和利润分配以外的其他所有者权益变动而确认的所有者权益，按比例结转入当期损益。 采用成本法核算的长期股权投资，处置后剩余股权仍采用成本法核算的，其在取得对被投资单位的控制之前因采用权</w:t>
      </w:r>
    </w:p>
    <w:p>
      <w:pPr>
        <w:pStyle w:val="BodyText"/>
        <w:spacing w:line="208" w:lineRule="exact"/>
        <w:ind w:right="0"/>
        <w:jc w:val="left"/>
      </w:pPr>
      <w:r>
        <w:rPr/>
        <w:t>益法核算或金融工具确认和计量准则核算而确认的其他综合收益</w:t>
      </w:r>
      <w:r>
        <w:rPr>
          <w:spacing w:val="-82"/>
        </w:rPr>
        <w:t>，</w:t>
      </w:r>
      <w:r>
        <w:rPr/>
        <w:t>采用与被投资单位直接处置相关资产或负债相同的基础进</w:t>
      </w:r>
    </w:p>
    <w:p>
      <w:pPr>
        <w:pStyle w:val="BodyText"/>
        <w:spacing w:line="316" w:lineRule="auto" w:before="76"/>
        <w:ind w:right="1129"/>
        <w:jc w:val="left"/>
      </w:pPr>
      <w:r>
        <w:rPr>
          <w:spacing w:val="-2"/>
        </w:rPr>
        <w:t>行会计处理，并按比例结转当期损益；因采用权益法核算而确认的被投资单位净资产中除净损益、其他综合收益和利润分配</w:t>
      </w:r>
      <w:r>
        <w:rPr>
          <w:spacing w:val="-63"/>
        </w:rPr>
        <w:t> </w:t>
      </w:r>
      <w:r>
        <w:rPr>
          <w:spacing w:val="-63"/>
        </w:rPr>
      </w:r>
      <w:r>
        <w:rPr/>
        <w:t>以外的其他所有者权益变动按比例结转当期损益。</w:t>
      </w:r>
    </w:p>
    <w:p>
      <w:pPr>
        <w:pStyle w:val="BodyText"/>
        <w:spacing w:line="316" w:lineRule="auto" w:before="79"/>
        <w:ind w:right="1132" w:firstLine="420"/>
        <w:jc w:val="both"/>
      </w:pPr>
      <w:r>
        <w:rPr/>
        <w:t>本公司因处置部分股权投资丧失了对被投资单位的控制的，在编制个别财务报表时，处置后的剩余股权能够对被投资 </w:t>
      </w:r>
      <w:r>
        <w:rPr>
          <w:spacing w:val="-2"/>
        </w:rPr>
        <w:t>单位实施共同控制或施加重大影响的，改按权益法核算，并对该剩余股权视同自取得时即采用权益法核算进行调整；处置后</w:t>
      </w:r>
      <w:r>
        <w:rPr>
          <w:spacing w:val="-66"/>
        </w:rPr>
        <w:t> </w:t>
      </w:r>
      <w:r>
        <w:rPr>
          <w:spacing w:val="-66"/>
        </w:rPr>
      </w:r>
      <w:r>
        <w:rPr>
          <w:spacing w:val="-2"/>
        </w:rPr>
        <w:t>的剩余股权不能对被投资单位实施共同控制或施加重大影响的，改按金融工具确认和计量准则的有关规定进行会计处理，其</w:t>
      </w:r>
      <w:r>
        <w:rPr>
          <w:spacing w:val="-64"/>
        </w:rPr>
        <w:t> </w:t>
      </w:r>
      <w:r>
        <w:rPr>
          <w:spacing w:val="-64"/>
        </w:rPr>
      </w:r>
      <w:r>
        <w:rPr>
          <w:spacing w:val="-2"/>
        </w:rPr>
        <w:t>在丧失控制之日的公允价值与账面价值之间的差额计入当期损益。对于本公司取得对被投资单位的控制之前，因采用权益法</w:t>
      </w:r>
      <w:r>
        <w:rPr>
          <w:spacing w:val="-64"/>
        </w:rPr>
        <w:t> </w:t>
      </w:r>
      <w:r>
        <w:rPr>
          <w:spacing w:val="-64"/>
        </w:rPr>
      </w:r>
      <w:r>
        <w:rPr>
          <w:spacing w:val="-2"/>
        </w:rPr>
        <w:t>核算或金融工具确认和计量准则核算而确认的其他综合收益，在丧失对被投资单位控制时采用与被投资单位直接处置相关资</w:t>
      </w:r>
      <w:r>
        <w:rPr>
          <w:spacing w:val="-64"/>
        </w:rPr>
        <w:t> </w:t>
      </w:r>
      <w:r>
        <w:rPr>
          <w:spacing w:val="-64"/>
        </w:rPr>
      </w:r>
      <w:r>
        <w:rPr>
          <w:spacing w:val="-2"/>
        </w:rPr>
        <w:t>产或负债相同的基础进行会计处理，因采用权益法核算而确认的被投资单位净资产中除净损益、其他综合收益和利润分配以</w:t>
      </w:r>
      <w:r>
        <w:rPr>
          <w:spacing w:val="-63"/>
        </w:rPr>
        <w:t> </w:t>
      </w:r>
      <w:r>
        <w:rPr>
          <w:spacing w:val="-63"/>
        </w:rPr>
      </w:r>
      <w:r>
        <w:rPr>
          <w:spacing w:val="-2"/>
        </w:rPr>
        <w:t>外的其他所有者权益变动在丧失对被投资单位控制时结转入当期损益。其中，处置后的剩余股权采用权益法核算的，其他综</w:t>
      </w:r>
      <w:r>
        <w:rPr>
          <w:spacing w:val="-66"/>
        </w:rPr>
        <w:t> </w:t>
      </w:r>
      <w:r>
        <w:rPr>
          <w:spacing w:val="-66"/>
        </w:rPr>
      </w:r>
      <w:r>
        <w:rPr>
          <w:spacing w:val="-2"/>
        </w:rPr>
        <w:t>合收益和其他所有者权益按比例结转；处置后的剩余股权改按金融工具确认和计量准则进行会计处理的，其他综合收益和其</w:t>
      </w:r>
      <w:r>
        <w:rPr>
          <w:spacing w:val="-64"/>
        </w:rPr>
        <w:t> </w:t>
      </w:r>
      <w:r>
        <w:rPr>
          <w:spacing w:val="-64"/>
        </w:rPr>
      </w:r>
      <w:r>
        <w:rPr/>
        <w:t>他所有者权益全部结转。</w:t>
      </w:r>
    </w:p>
    <w:p>
      <w:pPr>
        <w:pStyle w:val="BodyText"/>
        <w:spacing w:line="316" w:lineRule="auto" w:before="79"/>
        <w:ind w:right="1131" w:firstLine="420"/>
        <w:jc w:val="both"/>
      </w:pPr>
      <w:r>
        <w:rPr/>
        <w:t>本公司因处置部分股权投资丧失了对被投资单位的共同控制或重大影响的，处置后的剩余股权改按金融工具确认和计 </w:t>
      </w:r>
      <w:r>
        <w:rPr>
          <w:spacing w:val="-2"/>
        </w:rPr>
        <w:t>量准则核算，其在丧失共同控制或重大影响之日的公允价值与账面价值之间的差额计入当期损益。原股权投资因采用权益法</w:t>
      </w:r>
      <w:r>
        <w:rPr>
          <w:spacing w:val="-62"/>
        </w:rPr>
        <w:t> </w:t>
      </w:r>
      <w:r>
        <w:rPr>
          <w:spacing w:val="-62"/>
        </w:rPr>
      </w:r>
      <w:r>
        <w:rPr/>
        <w:t>核算而确认的其他综合收益，在终止采用权益法核算时采用与被投资单位直接处置相关资产或负债相同的基础进行会计处</w:t>
      </w:r>
      <w:r>
        <w:rPr>
          <w:spacing w:val="-11"/>
        </w:rPr>
        <w:t> </w:t>
      </w:r>
      <w:r>
        <w:rPr>
          <w:spacing w:val="-11"/>
        </w:rPr>
      </w:r>
      <w:r>
        <w:rPr>
          <w:spacing w:val="-2"/>
        </w:rPr>
        <w:t>理，因被投资方除净损益、其他综合收益和利润分配以外的其他所有者权益变动而确认的所有者权益，在终止采用权益法时</w:t>
      </w:r>
      <w:r>
        <w:rPr>
          <w:spacing w:val="-66"/>
        </w:rPr>
        <w:t> </w:t>
      </w:r>
      <w:r>
        <w:rPr>
          <w:spacing w:val="-66"/>
        </w:rPr>
      </w:r>
      <w:r>
        <w:rPr/>
        <w:t>全部转入当期投资收益。</w:t>
      </w:r>
    </w:p>
    <w:p>
      <w:pPr>
        <w:pStyle w:val="BodyText"/>
        <w:spacing w:line="316" w:lineRule="auto" w:before="79"/>
        <w:ind w:right="1133" w:firstLine="420"/>
        <w:jc w:val="both"/>
      </w:pPr>
      <w:r>
        <w:rPr/>
        <w:t>本公司通过多次交易分步处置对子公司股权投资直至丧失控制权，如果上述交易属于一揽子交易的，将各项交易作为 </w:t>
      </w:r>
      <w:r>
        <w:rPr>
          <w:spacing w:val="-2"/>
        </w:rPr>
        <w:t>一项处置子公司股权投资并丧失控制权的交易进行会计处理，在丧失控制权之前每一次处置价款与所处置的股权对应的长期</w:t>
      </w:r>
      <w:r>
        <w:rPr>
          <w:spacing w:val="-64"/>
        </w:rPr>
        <w:t> </w:t>
      </w:r>
      <w:r>
        <w:rPr>
          <w:spacing w:val="-64"/>
        </w:rPr>
      </w:r>
      <w:r>
        <w:rPr/>
        <w:t>股权投资账面价值之间的差额，先确认为其他综合收益，到丧失控制权时再一并转入丧失控制权的当期损益。</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18、固定资产" w:id="199"/>
      <w:bookmarkEnd w:id="199"/>
      <w:r>
        <w:rPr>
          <w:b w:val="0"/>
          <w:bCs w:val="0"/>
        </w:rPr>
      </w:r>
      <w:r>
        <w:rPr>
          <w:rFonts w:ascii="Times New Roman" w:hAnsi="Times New Roman" w:cs="Times New Roman" w:eastAsia="Times New Roman" w:hint="default"/>
        </w:rPr>
        <w:t>18</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确认条件" w:id="200"/>
      <w:bookmarkEnd w:id="200"/>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3" w:right="1133"/>
        <w:jc w:val="left"/>
      </w:pPr>
      <w:r>
        <w:rPr/>
        <w:t>固定资产是指为生产商品、提供劳务、出租或经营管理而持有的，使用寿命超过一个会计年度的有形资产。固定资产</w:t>
      </w:r>
    </w:p>
    <w:p>
      <w:pPr>
        <w:spacing w:after="0" w:line="240" w:lineRule="auto"/>
        <w:jc w:val="left"/>
        <w:sectPr>
          <w:footerReference w:type="default" r:id="rId13"/>
          <w:pgSz w:w="11910" w:h="16840"/>
          <w:pgMar w:footer="980" w:header="745"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jc w:val="left"/>
      </w:pPr>
      <w:r>
        <w:rPr>
          <w:spacing w:val="-2"/>
        </w:rPr>
        <w:t>仅在与其有关的经济利益很可能流入本公司，且其成本能够可靠地计量时才予以确认。固定资产按成本并考虑预计弃置费用</w:t>
      </w:r>
      <w:r>
        <w:rPr>
          <w:spacing w:val="-64"/>
        </w:rPr>
        <w:t> </w:t>
      </w:r>
      <w:r>
        <w:rPr>
          <w:spacing w:val="-64"/>
        </w:rPr>
      </w:r>
      <w:r>
        <w:rPr/>
        <w:t>因素的影响进行初始计量。</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bookmarkStart w:name="（2）折旧方法" w:id="201"/>
      <w:bookmarkEnd w:id="201"/>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2.45%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4.75%-9.50%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3）融资租入固定资产的认定依据、计价和折旧方法" w:id="202"/>
      <w:bookmarkEnd w:id="202"/>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0" w:firstLine="420"/>
        <w:jc w:val="both"/>
      </w:pPr>
      <w:r>
        <w:rPr/>
        <w:t>融资租赁为实质上转移了与资产所有权有关的全部风险和报酬的租赁，其所有权最终可能转移，也可能不转移。以融 </w:t>
      </w:r>
      <w:r>
        <w:rPr>
          <w:spacing w:val="-2"/>
        </w:rPr>
        <w:t>资租赁方式租入的固定资产采用与自有固定资产一致的政策计提租赁资产折旧。能够合理确定租赁期届满时取得租赁资产所</w:t>
      </w:r>
      <w:r>
        <w:rPr>
          <w:spacing w:val="-64"/>
        </w:rPr>
        <w:t> </w:t>
      </w:r>
      <w:r>
        <w:rPr>
          <w:spacing w:val="-64"/>
        </w:rPr>
      </w:r>
      <w:r>
        <w:rPr>
          <w:spacing w:val="-2"/>
        </w:rPr>
        <w:t>有权的，在租赁资产使用寿命内计提折旧；无法合理确定租赁期届满能够取得租赁资产所有权的，在租赁期与租赁资产使用</w:t>
      </w:r>
      <w:r>
        <w:rPr>
          <w:spacing w:val="-63"/>
        </w:rPr>
        <w:t> </w:t>
      </w:r>
      <w:r>
        <w:rPr>
          <w:spacing w:val="-63"/>
        </w:rPr>
      </w:r>
      <w:r>
        <w:rPr/>
        <w:t>寿命两者中较短的期间内计提折旧。</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19、在建工程" w:id="203"/>
      <w:bookmarkEnd w:id="203"/>
      <w:r>
        <w:rPr>
          <w:b w:val="0"/>
          <w:bCs w:val="0"/>
        </w:rPr>
      </w:r>
      <w:r>
        <w:rPr>
          <w:rFonts w:ascii="Times New Roman" w:hAnsi="Times New Roman" w:cs="Times New Roman" w:eastAsia="Times New Roman" w:hint="default"/>
        </w:rPr>
        <w:t>19</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8" w:firstLine="420"/>
        <w:jc w:val="both"/>
      </w:pPr>
      <w:r>
        <w:rPr/>
        <w:t>在建工程成本按实际工程支出确定，包括在建期间发生的各项工程支出、工程达到预定可使用状态前的资本化的借款 费用以及其他相关费用等。在建工程在达到预定可使用状态后结转为固定资产。</w:t>
      </w:r>
    </w:p>
    <w:p>
      <w:pPr>
        <w:pStyle w:val="BodyText"/>
        <w:spacing w:line="240" w:lineRule="auto" w:before="77"/>
        <w:ind w:left="573" w:right="1133"/>
        <w:jc w:val="left"/>
      </w:pPr>
      <w:r>
        <w:rPr/>
        <w:t>在建工程的减值测试方法和减值准备计提方法详见附注五、</w:t>
      </w:r>
      <w:r>
        <w:rPr>
          <w:rFonts w:ascii="宋体" w:hAnsi="宋体" w:cs="宋体" w:eastAsia="宋体" w:hint="default"/>
        </w:rPr>
        <w:t>22</w:t>
      </w:r>
      <w:r>
        <w:rPr/>
        <w:t>“长期资产减值”。</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0、借款费用" w:id="204"/>
      <w:bookmarkEnd w:id="204"/>
      <w:r>
        <w:rPr>
          <w:b w:val="0"/>
          <w:bCs w:val="0"/>
        </w:rPr>
      </w:r>
      <w:r>
        <w:rPr>
          <w:rFonts w:ascii="Times New Roman" w:hAnsi="Times New Roman" w:cs="Times New Roman" w:eastAsia="Times New Roman" w:hint="default"/>
        </w:rPr>
        <w:t>20</w:t>
      </w:r>
      <w:r>
        <w:rPr/>
        <w:t>、借款费用</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2" w:firstLine="420"/>
        <w:jc w:val="both"/>
      </w:pPr>
      <w:r>
        <w:rPr/>
        <w:t>借款费用包括借款利息、折价或溢价的摊销、辅助费用以及因外币借款而发生的汇兑差额等。可直接归属于符合资本 </w:t>
      </w:r>
      <w:r>
        <w:rPr>
          <w:spacing w:val="-2"/>
        </w:rPr>
        <w:t>化条件的资产的购建或者生产的借款费用，在资产支出已经发生、借款费用已经发生、为使资产达到预定可使用或可销售状</w:t>
      </w:r>
      <w:r>
        <w:rPr>
          <w:spacing w:val="-66"/>
        </w:rPr>
        <w:t> </w:t>
      </w:r>
      <w:r>
        <w:rPr>
          <w:spacing w:val="-66"/>
        </w:rPr>
      </w:r>
      <w:r>
        <w:rPr>
          <w:spacing w:val="-2"/>
        </w:rPr>
        <w:t>态所必要的购建或生产活动已经开始时，开始资本化；构建或者生产的符合资本化条件的资产达到预定可使用状态或者可销</w:t>
      </w:r>
      <w:r>
        <w:rPr>
          <w:spacing w:val="-63"/>
        </w:rPr>
        <w:t> </w:t>
      </w:r>
      <w:r>
        <w:rPr>
          <w:spacing w:val="-63"/>
        </w:rPr>
      </w:r>
      <w:r>
        <w:rPr/>
        <w:t>售状态时，停止资本化。其余借款费用在发生当期确认为费用。</w:t>
      </w:r>
    </w:p>
    <w:p>
      <w:pPr>
        <w:pStyle w:val="BodyText"/>
        <w:spacing w:line="319" w:lineRule="auto" w:before="79"/>
        <w:ind w:right="1133" w:firstLine="420"/>
        <w:jc w:val="both"/>
      </w:pPr>
      <w:r>
        <w:rPr/>
        <w:t>专门借款当期实际发生的利息费用，减去尚未动用的借款资金存入银行取得的利息收入或进行暂时性投资取得的投资 </w:t>
      </w:r>
      <w:r>
        <w:rPr>
          <w:spacing w:val="-2"/>
        </w:rPr>
        <w:t>收益后的金额予以资本化；一般借款根据累计资产支出超过专门借款部分的资产支出加权平均数乘以所占用一般借款的资本</w:t>
      </w:r>
      <w:r>
        <w:rPr>
          <w:spacing w:val="-64"/>
        </w:rPr>
        <w:t> </w:t>
      </w:r>
      <w:r>
        <w:rPr>
          <w:spacing w:val="-64"/>
        </w:rPr>
      </w:r>
      <w:r>
        <w:rPr/>
        <w:t>化率，确定资本化金额。资本化率根据一般借款的加权平均利率计算确定。</w:t>
      </w:r>
    </w:p>
    <w:p>
      <w:pPr>
        <w:pStyle w:val="BodyText"/>
        <w:spacing w:line="379" w:lineRule="auto" w:before="77"/>
        <w:ind w:left="573" w:right="1133"/>
        <w:jc w:val="left"/>
      </w:pPr>
      <w:r>
        <w:rPr/>
        <w:t>资本化期间内，外币专门借款的汇兑差额全部予以资本化；外币一般借款的汇兑差额计入当期损益。 符合资本化条件的资产指需要经过相当长时间的购建或者生产活动才能达到预定可使用或可销售状态的固定资产、投</w:t>
      </w:r>
    </w:p>
    <w:p>
      <w:pPr>
        <w:pStyle w:val="BodyText"/>
        <w:spacing w:line="208" w:lineRule="exact"/>
        <w:ind w:right="1133"/>
        <w:jc w:val="left"/>
      </w:pPr>
      <w:r>
        <w:rPr/>
        <w:t>资性房地产和存货等资产。</w:t>
      </w:r>
    </w:p>
    <w:p>
      <w:pPr>
        <w:pStyle w:val="BodyText"/>
        <w:spacing w:line="316" w:lineRule="auto" w:before="136"/>
        <w:ind w:right="1131" w:firstLine="420"/>
        <w:jc w:val="both"/>
      </w:pPr>
      <w:r>
        <w:rPr>
          <w:spacing w:val="-1"/>
        </w:rPr>
        <w:t>如果符合资本化条件的资产在购建或生产过程中发生非正常中断、并且中断时间连续超过</w:t>
      </w:r>
      <w:r>
        <w:rPr>
          <w:rFonts w:ascii="宋体" w:hAnsi="宋体" w:cs="宋体" w:eastAsia="宋体" w:hint="default"/>
          <w:spacing w:val="-1"/>
        </w:rPr>
        <w:t>3</w:t>
      </w:r>
      <w:r>
        <w:rPr>
          <w:spacing w:val="-1"/>
        </w:rPr>
        <w:t>个月的，暂停借款费用的资</w:t>
      </w:r>
      <w:r>
        <w:rPr/>
        <w:t> 本化，直至资产的购建或生产活动重新开始。</w:t>
      </w:r>
    </w:p>
    <w:p>
      <w:pPr>
        <w:spacing w:after="0" w:line="316" w:lineRule="auto"/>
        <w:jc w:val="both"/>
        <w:sectPr>
          <w:footerReference w:type="default" r:id="rId14"/>
          <w:pgSz w:w="11910" w:h="16840"/>
          <w:pgMar w:footer="980" w:header="745" w:top="1060" w:bottom="1160" w:left="980" w:right="0"/>
          <w:pgNumType w:start="101"/>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1、无形资产" w:id="205"/>
      <w:bookmarkEnd w:id="205"/>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计价方法、使用寿命、减值测试" w:id="206"/>
      <w:bookmarkEnd w:id="206"/>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79" w:lineRule="auto"/>
        <w:ind w:left="573" w:right="1133"/>
        <w:jc w:val="left"/>
      </w:pPr>
      <w:r>
        <w:rPr/>
        <w:t>无形资产是指本公司拥有或者控制的没有实物形态的可辨认非货币性资产。 无形资产按成本进行初始计量。与无形资产有关的支出，如果相关的经济利益很可能流入本公司且其成本能可靠地计</w:t>
      </w:r>
    </w:p>
    <w:p>
      <w:pPr>
        <w:pStyle w:val="BodyText"/>
        <w:spacing w:line="208" w:lineRule="exact"/>
        <w:ind w:right="1133"/>
        <w:jc w:val="left"/>
      </w:pPr>
      <w:r>
        <w:rPr/>
        <w:t>量，则计入无形资产成本。除此以外的其他项目的支出，在发生时计入当期损益。</w:t>
      </w:r>
    </w:p>
    <w:p>
      <w:pPr>
        <w:pStyle w:val="BodyText"/>
        <w:spacing w:line="316" w:lineRule="auto" w:before="136"/>
        <w:ind w:right="1130" w:firstLine="420"/>
        <w:jc w:val="both"/>
      </w:pPr>
      <w:r>
        <w:rPr/>
        <w:t>取得的土地使用权通常作为无形资产核算。自行开发建造厂房等建筑物，相关的土地使用权支出和建筑物建造成本则 </w:t>
      </w:r>
      <w:r>
        <w:rPr>
          <w:spacing w:val="-2"/>
        </w:rPr>
        <w:t>分别作为无形资产和固定资产核算。如为外购的房屋及建筑物，则将有关价款在土地使用权和建筑物之间进行分配，难以合</w:t>
      </w:r>
      <w:r>
        <w:rPr>
          <w:spacing w:val="-63"/>
        </w:rPr>
        <w:t> </w:t>
      </w:r>
      <w:r>
        <w:rPr>
          <w:spacing w:val="-63"/>
        </w:rPr>
      </w:r>
      <w:r>
        <w:rPr/>
        <w:t>理分配的，全部作为固定资产处理。</w:t>
      </w:r>
    </w:p>
    <w:p>
      <w:pPr>
        <w:pStyle w:val="BodyText"/>
        <w:spacing w:line="316" w:lineRule="auto" w:before="79"/>
        <w:ind w:right="1138" w:firstLine="420"/>
        <w:jc w:val="both"/>
      </w:pPr>
      <w:r>
        <w:rPr/>
        <w:t>使用寿命有限的无形资产自可供使用时起，对其原值减去预计净残值和已计提的减值准备累计金额在其预计使用寿命 内采用直线法分期平均摊销。使用寿命不确定的无形资产不予摊销。</w:t>
      </w:r>
    </w:p>
    <w:p>
      <w:pPr>
        <w:pStyle w:val="BodyText"/>
        <w:spacing w:line="316" w:lineRule="auto" w:before="79"/>
        <w:ind w:right="1133" w:firstLine="420"/>
        <w:jc w:val="both"/>
      </w:pPr>
      <w:r>
        <w:rPr/>
        <w:t>期末，对使用寿命有限的无形资产的使用寿命和摊销方法进行复核，如发生变更则作为会计估计变更处理。此外，还 </w:t>
      </w:r>
      <w:r>
        <w:rPr>
          <w:spacing w:val="-2"/>
        </w:rPr>
        <w:t>对使用寿命不确定的无形资产的使用寿命进行复核，如果有证据表明该无形资产为企业带来经济利益的期限是可预见的，则</w:t>
      </w:r>
      <w:r>
        <w:rPr>
          <w:spacing w:val="-64"/>
        </w:rPr>
        <w:t> </w:t>
      </w:r>
      <w:r>
        <w:rPr>
          <w:spacing w:val="-64"/>
        </w:rPr>
      </w:r>
      <w:r>
        <w:rPr/>
        <w:t>估计其使用寿命并按照使用寿命有限的无形资产的摊销政策进行摊销。</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2）内部研究开发支出会计政策" w:id="207"/>
      <w:bookmarkEnd w:id="207"/>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79" w:lineRule="auto"/>
        <w:ind w:left="573" w:right="1693"/>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32"/>
        <w:ind w:left="573" w:right="1133"/>
        <w:jc w:val="left"/>
      </w:pPr>
      <w:r>
        <w:rPr/>
        <w:t>①完成该无形资产以使其能够使用或出售在技术上具有可行性；</w:t>
      </w:r>
    </w:p>
    <w:p>
      <w:pPr>
        <w:pStyle w:val="BodyText"/>
        <w:spacing w:line="240" w:lineRule="auto" w:before="137"/>
        <w:ind w:left="573" w:right="1133"/>
        <w:jc w:val="left"/>
      </w:pPr>
      <w:r>
        <w:rPr/>
        <w:t>②具有完成该无形资产并使用或出售的意图；</w:t>
      </w:r>
    </w:p>
    <w:p>
      <w:pPr>
        <w:pStyle w:val="BodyText"/>
        <w:spacing w:line="316" w:lineRule="auto" w:before="136"/>
        <w:ind w:right="1138" w:firstLine="420"/>
        <w:jc w:val="both"/>
      </w:pPr>
      <w:r>
        <w:rPr/>
        <w:t>③无形资产产生经济利益的方式，包括能够证明运用该无形资产生产的产品存在市场或无形资产自身存在市场，无形 资产将在内部使用的，能够证明其有用性；</w:t>
      </w:r>
    </w:p>
    <w:p>
      <w:pPr>
        <w:pStyle w:val="BodyText"/>
        <w:spacing w:line="240" w:lineRule="auto" w:before="79"/>
        <w:ind w:left="573" w:right="1133"/>
        <w:jc w:val="left"/>
      </w:pPr>
      <w:r>
        <w:rPr/>
        <w:t>④有足够的技术、财务资源和其他资源支持，以完成该无形资产的开发，并有能力使用或出售该无形资产；</w:t>
      </w:r>
    </w:p>
    <w:p>
      <w:pPr>
        <w:pStyle w:val="BodyText"/>
        <w:spacing w:line="379" w:lineRule="auto" w:before="136"/>
        <w:ind w:left="573" w:right="3853"/>
        <w:jc w:val="left"/>
      </w:pPr>
      <w:r>
        <w:rPr/>
        <w:t>⑤归属于该无形资产开发阶段的支出能够可靠地计量。 无法区分研究阶段支出和开发阶段支出的，将发生的研发支出全部计入当期损益。</w:t>
      </w:r>
    </w:p>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bookmarkStart w:name="22、长期资产减值" w:id="208"/>
      <w:bookmarkEnd w:id="208"/>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034" w:firstLine="420"/>
        <w:jc w:val="left"/>
      </w:pPr>
      <w:r>
        <w:rPr/>
        <w:t>对于固定资产、在建工程、使用寿命有限的无形资产、以成本模式计量的投资性房地产及对子公司、合营企业、联营 </w:t>
      </w:r>
      <w:r>
        <w:rPr>
          <w:spacing w:val="-2"/>
        </w:rPr>
        <w:t>企业的长期股权投资等非流动非金融资产，本公司于资产负债表日判断是否存在减值迹象。如存在减值迹象的，则估计其可</w:t>
      </w:r>
      <w:r>
        <w:rPr>
          <w:spacing w:val="-66"/>
        </w:rPr>
        <w:t> </w:t>
      </w:r>
      <w:r>
        <w:rPr>
          <w:spacing w:val="-66"/>
        </w:rPr>
      </w:r>
      <w:r>
        <w:rPr/>
        <w:t>收回金额，进行减值测试。商誉、使用寿命不确定的无形资产和尚未达到可使用状态的无形资产，无论是否存在减值迹象， 每年均进行减值测试。</w:t>
      </w:r>
    </w:p>
    <w:p>
      <w:pPr>
        <w:pStyle w:val="BodyText"/>
        <w:spacing w:line="316" w:lineRule="auto" w:before="77"/>
        <w:ind w:right="1129" w:firstLine="420"/>
        <w:jc w:val="both"/>
      </w:pPr>
      <w:r>
        <w:rPr/>
        <w:t>减值测试结果表明资产的可收回金额低于其账面价值的，按其差额计提减值准备并计入减值损失。可收回金额为资产 </w:t>
      </w:r>
      <w:r>
        <w:rPr>
          <w:spacing w:val="-2"/>
        </w:rPr>
        <w:t>的公允价值减去处置费用后的净额与资产预计未来现金流量的现值两者之间的较高者。资产的公允价值根据公平交易中销售</w:t>
      </w:r>
      <w:r>
        <w:rPr>
          <w:spacing w:val="-64"/>
        </w:rPr>
        <w:t> </w:t>
      </w:r>
      <w:r>
        <w:rPr>
          <w:spacing w:val="-64"/>
        </w:rPr>
      </w:r>
      <w:r>
        <w:rPr>
          <w:spacing w:val="-2"/>
        </w:rPr>
        <w:t>协议价格确定；不存在销售协议但存在资产活跃市场的，公允价值按照该资产的买方出价确定；不存在销售协议和资产活跃</w:t>
      </w:r>
      <w:r>
        <w:rPr>
          <w:spacing w:val="-62"/>
        </w:rPr>
        <w:t> </w:t>
      </w:r>
      <w:r>
        <w:rPr>
          <w:spacing w:val="-62"/>
        </w:rPr>
      </w:r>
      <w:r>
        <w:rPr>
          <w:spacing w:val="-2"/>
        </w:rPr>
        <w:t>市场的，则以可获取的最佳信息为基础估计资产的公允价值。处置费用包括与资产处置有关的法律费用、相关税费、搬运费</w:t>
      </w:r>
      <w:r>
        <w:rPr>
          <w:spacing w:val="-64"/>
        </w:rPr>
        <w:t> </w:t>
      </w:r>
      <w:r>
        <w:rPr>
          <w:spacing w:val="-64"/>
        </w:rPr>
      </w:r>
      <w:r>
        <w:rPr>
          <w:spacing w:val="-2"/>
        </w:rPr>
        <w:t>以及为使资产达到可销售状态所发生的直接费用。资产预计未来现金流量的现值，按照资产在持续使用过程中和最终处置时</w:t>
      </w:r>
      <w:r>
        <w:rPr>
          <w:spacing w:val="-64"/>
        </w:rPr>
        <w:t> </w:t>
      </w:r>
      <w:r>
        <w:rPr>
          <w:spacing w:val="-64"/>
        </w:rPr>
      </w:r>
      <w:r>
        <w:rPr>
          <w:spacing w:val="-2"/>
        </w:rPr>
        <w:t>所产生的预计未来现金流量，选择恰当的折现率对其进行折现后的金额加以确定。资产减值准备按单项资产为基础计算并确</w:t>
      </w:r>
      <w:r>
        <w:rPr>
          <w:spacing w:val="-64"/>
        </w:rPr>
        <w:t> </w:t>
      </w:r>
      <w:r>
        <w:rPr>
          <w:spacing w:val="-64"/>
        </w:rPr>
      </w:r>
      <w:r>
        <w:rPr>
          <w:spacing w:val="-2"/>
        </w:rPr>
        <w:t>认，如果难以对单项资产的可收回金额进行估计的，以该资产所属的资产组确定资产组的可收回金额。资产组是能够独立产</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79" w:lineRule="auto" w:before="44"/>
        <w:ind w:left="573" w:right="1133" w:hanging="421"/>
        <w:jc w:val="left"/>
      </w:pPr>
      <w:r>
        <w:rPr/>
        <w:t>生现金流入的最小资产组合。 在财务报表中单独列示的商誉，在进行减值测试时，将商誉的账面价值分摊至预期从企业合并的协同效应中受益的资</w:t>
      </w:r>
    </w:p>
    <w:p>
      <w:pPr>
        <w:pStyle w:val="BodyText"/>
        <w:spacing w:line="208" w:lineRule="exact"/>
        <w:ind w:right="0"/>
        <w:jc w:val="left"/>
      </w:pPr>
      <w:r>
        <w:rPr/>
        <w:t>产组或资产组组合。测试结果表明包含分摊的商誉的资产组或资产组组合的可收回金额低于其账面价值的，确认相应的减值</w:t>
      </w:r>
    </w:p>
    <w:p>
      <w:pPr>
        <w:pStyle w:val="BodyText"/>
        <w:spacing w:line="316" w:lineRule="auto" w:before="76"/>
        <w:ind w:right="1129"/>
        <w:jc w:val="left"/>
      </w:pPr>
      <w:r>
        <w:rPr>
          <w:spacing w:val="-2"/>
        </w:rPr>
        <w:t>损失。减值损失金额先抵减分摊至该资产组或资产组组合的商誉的账面价值，再根据资产组或资产组组合中除商誉以外的其</w:t>
      </w:r>
      <w:r>
        <w:rPr>
          <w:spacing w:val="-64"/>
        </w:rPr>
        <w:t> </w:t>
      </w:r>
      <w:r>
        <w:rPr>
          <w:spacing w:val="-64"/>
        </w:rPr>
      </w:r>
      <w:r>
        <w:rPr/>
        <w:t>他各项资产的账面价值所占比重，按比例抵减其他各项资产的账面价值。</w:t>
      </w:r>
    </w:p>
    <w:p>
      <w:pPr>
        <w:pStyle w:val="BodyText"/>
        <w:spacing w:line="240" w:lineRule="auto" w:before="79"/>
        <w:ind w:left="573" w:right="1133"/>
        <w:jc w:val="left"/>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3、长期待摊费用" w:id="209"/>
      <w:bookmarkEnd w:id="209"/>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firstLine="420"/>
        <w:jc w:val="both"/>
      </w:pPr>
      <w:r>
        <w:rPr>
          <w:spacing w:val="-1"/>
        </w:rPr>
        <w:t>长期待摊费用是指已经发生但应由本年和以后各期负担的分摊期限在</w:t>
      </w:r>
      <w:r>
        <w:rPr>
          <w:rFonts w:ascii="宋体" w:hAnsi="宋体" w:cs="宋体" w:eastAsia="宋体" w:hint="default"/>
          <w:spacing w:val="-1"/>
        </w:rPr>
        <w:t>1</w:t>
      </w:r>
      <w:r>
        <w:rPr>
          <w:spacing w:val="-1"/>
        </w:rPr>
        <w:t>年以上的各项费用。长期待摊费用按实际支出入</w:t>
      </w:r>
      <w:r>
        <w:rPr/>
        <w:t> 账，在项目受益期内平均摊销。</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bookmarkStart w:name="24、职工薪酬" w:id="210"/>
      <w:bookmarkEnd w:id="210"/>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短期薪酬的会计处理方法" w:id="211"/>
      <w:bookmarkEnd w:id="211"/>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firstLine="420"/>
        <w:jc w:val="both"/>
      </w:pPr>
      <w:r>
        <w:rPr/>
        <w:t>短期薪酬主要包括工资、奖金、津贴和补贴、职工福利费、医疗保险费、生育保险费、工伤保险费、住房公积金、工 </w:t>
      </w:r>
      <w:r>
        <w:rPr>
          <w:spacing w:val="-2"/>
        </w:rPr>
        <w:t>会经费和职工教育经费、非货币性福利等。本公司在职工为本公司提供服务的会计期间将实际发生的短期职工薪酬确认为负</w:t>
      </w:r>
      <w:r>
        <w:rPr>
          <w:spacing w:val="-64"/>
        </w:rPr>
        <w:t> </w:t>
      </w:r>
      <w:r>
        <w:rPr>
          <w:spacing w:val="-64"/>
        </w:rPr>
      </w:r>
      <w:r>
        <w:rPr/>
        <w:t>债，并计入当期损益或相关资产成本。其中非货币性福利按公允价值计量。</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2）离职后福利的会计处理方法" w:id="212"/>
      <w:bookmarkEnd w:id="212"/>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5" w:firstLine="420"/>
        <w:jc w:val="both"/>
      </w:pPr>
      <w:r>
        <w:rPr/>
        <w:t>离职后福利主要包括基本养老保险、失业保险。离职后福利计划包括设定提存计划。采用设定提存计划的，相应的应 缴存金额于发生时计入相关资产成本或当期损益。</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bookmarkStart w:name="（3）辞退福利的会计处理方法" w:id="213"/>
      <w:bookmarkEnd w:id="213"/>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420"/>
        <w:jc w:val="both"/>
      </w:pPr>
      <w:r>
        <w:rPr/>
        <w:t>在职工劳动合同到期之前解除与职工的劳动关系，或为鼓励职工自愿接受裁减而提出给予补偿的建议，在本公司不能 </w:t>
      </w:r>
      <w:r>
        <w:rPr>
          <w:spacing w:val="-2"/>
        </w:rPr>
        <w:t>单方面撤回因解除劳动关系计划或裁减建议所提供的辞退福利时，和本公司确认与涉及支付辞退福利的重组相关的成本两者</w:t>
      </w:r>
      <w:r>
        <w:rPr>
          <w:spacing w:val="-64"/>
        </w:rPr>
        <w:t> </w:t>
      </w:r>
      <w:r>
        <w:rPr>
          <w:spacing w:val="-64"/>
        </w:rPr>
      </w:r>
      <w:r>
        <w:rPr>
          <w:spacing w:val="-2"/>
        </w:rPr>
        <w:t>孰早日，确认辞退福利产生的职工薪酬负债，并计入当期损益。但辞退福利预期在年度报告期结束后十二个月不能完全支付</w:t>
      </w:r>
      <w:r>
        <w:rPr>
          <w:spacing w:val="-63"/>
        </w:rPr>
        <w:t> </w:t>
      </w:r>
      <w:r>
        <w:rPr>
          <w:spacing w:val="-63"/>
        </w:rPr>
      </w:r>
      <w:r>
        <w:rPr/>
        <w:t>的，按照其他长期职工薪酬处理。</w:t>
      </w:r>
    </w:p>
    <w:p>
      <w:pPr>
        <w:pStyle w:val="BodyText"/>
        <w:spacing w:line="316" w:lineRule="auto" w:before="79"/>
        <w:ind w:right="1136" w:firstLine="420"/>
        <w:jc w:val="both"/>
      </w:pPr>
      <w:r>
        <w:rPr/>
        <w:t>职工内部退休计划采用与上述辞退福利相同的原则处理。本公司将自职工停止提供服务日至正常退休日的期间拟支付 的内退人员工资和缴纳的社会保险费等，在符合预计负债确认条件时，计入当期损益（辞退福利）。</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4）其他长期职工福利的会计处理方法" w:id="214"/>
      <w:bookmarkEnd w:id="214"/>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8" w:firstLine="420"/>
        <w:jc w:val="both"/>
      </w:pPr>
      <w:r>
        <w:rPr/>
        <w:t>本公司向职工提供的其他长期职工福利，符合设定提存计划的，按照设定提存计划进行会计处理，除此之外按照设定 受益计划进行会计处理。</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25、预计负债" w:id="215"/>
      <w:bookmarkEnd w:id="215"/>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firstLine="420"/>
        <w:jc w:val="both"/>
      </w:pPr>
      <w:r>
        <w:rPr/>
        <w:t>当与或有事项相关的义务同时符合以下条件，确认为预计负债：（</w:t>
      </w:r>
      <w:r>
        <w:rPr>
          <w:rFonts w:ascii="宋体" w:hAnsi="宋体" w:cs="宋体" w:eastAsia="宋体" w:hint="default"/>
        </w:rPr>
        <w:t>1</w:t>
      </w:r>
      <w:r>
        <w:rPr/>
        <w:t>）该义务是本公司承担的现时义务；（</w:t>
      </w:r>
      <w:r>
        <w:rPr>
          <w:rFonts w:ascii="宋体" w:hAnsi="宋体" w:cs="宋体" w:eastAsia="宋体" w:hint="default"/>
        </w:rPr>
        <w:t>2</w:t>
      </w:r>
      <w:r>
        <w:rPr/>
        <w:t>）履行该 义务很可能导致经济利益流出；（</w:t>
      </w:r>
      <w:r>
        <w:rPr>
          <w:rFonts w:ascii="宋体" w:hAnsi="宋体" w:cs="宋体" w:eastAsia="宋体" w:hint="default"/>
        </w:rPr>
        <w:t>3</w:t>
      </w:r>
      <w:r>
        <w:rPr/>
        <w:t>）该义务的金额能够可靠地计量。</w:t>
      </w:r>
    </w:p>
    <w:p>
      <w:pPr>
        <w:pStyle w:val="BodyText"/>
        <w:spacing w:line="240" w:lineRule="auto" w:before="78"/>
        <w:ind w:left="573" w:right="1133"/>
        <w:jc w:val="left"/>
      </w:pPr>
      <w:r>
        <w:rPr/>
        <w:t>在资产负债表日，考虑与或有事项有关的风险、不确定性和货币时间价值等因素，按照履行相关现时义务所需支出的</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79" w:lineRule="auto" w:before="44"/>
        <w:ind w:left="573" w:right="1133" w:hanging="421"/>
        <w:jc w:val="left"/>
      </w:pPr>
      <w:r>
        <w:rPr/>
        <w:t>最佳估计数对预计负债进行计量。 如果清偿预计负债所需支出全部或部分预期由第三方补偿的，补偿金额在基本确定能够收到时，作为资产单独确认，</w:t>
      </w:r>
    </w:p>
    <w:p>
      <w:pPr>
        <w:pStyle w:val="BodyText"/>
        <w:spacing w:line="208" w:lineRule="exact"/>
        <w:ind w:right="1133"/>
        <w:jc w:val="left"/>
      </w:pPr>
      <w:r>
        <w:rPr/>
        <w:t>且确认的补偿金额不超过预计负债的账面价值。</w:t>
      </w:r>
    </w:p>
    <w:p>
      <w:pPr>
        <w:pStyle w:val="BodyText"/>
        <w:spacing w:line="379" w:lineRule="auto" w:before="136"/>
        <w:ind w:left="573" w:right="1133"/>
        <w:jc w:val="left"/>
      </w:pPr>
      <w:r>
        <w:rPr/>
        <w:t>（</w:t>
      </w:r>
      <w:r>
        <w:rPr>
          <w:rFonts w:ascii="宋体" w:hAnsi="宋体" w:cs="宋体" w:eastAsia="宋体" w:hint="default"/>
        </w:rPr>
        <w:t>1</w:t>
      </w:r>
      <w:r>
        <w:rPr/>
        <w:t>）亏损合同 亏损合同是履行合同义务不可避免会发生的成本超过预期经济利益的合同。待执行合同变成亏损合同，且该亏损合同</w:t>
      </w:r>
    </w:p>
    <w:p>
      <w:pPr>
        <w:pStyle w:val="BodyText"/>
        <w:spacing w:line="208" w:lineRule="exact"/>
        <w:ind w:right="0"/>
        <w:jc w:val="left"/>
      </w:pPr>
      <w:r>
        <w:rPr/>
        <w:t>产生的义务满足上述预计负债的确认条件的，将合同预计损失超过合同标的资产已确认的减值损失（如有）的部分，确认为</w:t>
      </w:r>
    </w:p>
    <w:p>
      <w:pPr>
        <w:pStyle w:val="BodyText"/>
        <w:spacing w:line="240" w:lineRule="auto" w:before="76"/>
        <w:ind w:right="1133"/>
        <w:jc w:val="left"/>
      </w:pPr>
      <w:r>
        <w:rPr/>
        <w:t>预计负债。</w:t>
      </w:r>
    </w:p>
    <w:p>
      <w:pPr>
        <w:pStyle w:val="BodyText"/>
        <w:spacing w:line="379" w:lineRule="auto" w:before="136"/>
        <w:ind w:left="573" w:right="1133"/>
        <w:jc w:val="left"/>
      </w:pPr>
      <w:r>
        <w:rPr/>
        <w:t>（</w:t>
      </w:r>
      <w:r>
        <w:rPr>
          <w:rFonts w:ascii="宋体" w:hAnsi="宋体" w:cs="宋体" w:eastAsia="宋体" w:hint="default"/>
        </w:rPr>
        <w:t>2</w:t>
      </w:r>
      <w:r>
        <w:rPr/>
        <w:t>）重组义务 对于有详细、正式并且已经对外公告的重组计划，在满足前述预计负债的确认条件的情况下，按照与重组有关的直接</w:t>
      </w:r>
    </w:p>
    <w:p>
      <w:pPr>
        <w:pStyle w:val="BodyText"/>
        <w:spacing w:line="208" w:lineRule="exact"/>
        <w:ind w:right="1133"/>
        <w:jc w:val="left"/>
      </w:pPr>
      <w:r>
        <w:rPr/>
        <w:t>支出确定预计负债金额。</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bookmarkStart w:name="26、股份支付" w:id="216"/>
      <w:bookmarkEnd w:id="216"/>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79" w:lineRule="auto"/>
        <w:ind w:left="573" w:right="1133"/>
        <w:jc w:val="left"/>
      </w:pPr>
      <w:r>
        <w:rPr/>
        <w:t>（</w:t>
      </w:r>
      <w:r>
        <w:rPr>
          <w:rFonts w:ascii="宋体" w:hAnsi="宋体" w:cs="宋体" w:eastAsia="宋体" w:hint="default"/>
        </w:rPr>
        <w:t>1</w:t>
      </w:r>
      <w:r>
        <w:rPr/>
        <w:t>）股份支付的会计处理方法 股份支付是为了获取职工或其他方提供服务而授予权益工具或者承担以权益工具为基础确定的负债的交易。股份支付</w:t>
      </w:r>
    </w:p>
    <w:p>
      <w:pPr>
        <w:pStyle w:val="BodyText"/>
        <w:spacing w:line="208" w:lineRule="exact"/>
        <w:ind w:right="1133"/>
        <w:jc w:val="left"/>
      </w:pPr>
      <w:r>
        <w:rPr/>
        <w:t>分为以权益结算的股份支付和以现金结算的股份支付。</w:t>
      </w:r>
    </w:p>
    <w:p>
      <w:pPr>
        <w:pStyle w:val="BodyText"/>
        <w:spacing w:line="379" w:lineRule="auto" w:before="136"/>
        <w:ind w:left="573" w:right="1133"/>
        <w:jc w:val="left"/>
      </w:pPr>
      <w:r>
        <w:rPr/>
        <w:t>①以权益结算的股份支付 用以换取职工提供的服务的权益结算的股份支付，以授予职工权益工具在授予日的公允价值计量。该公允价值的金额</w:t>
      </w:r>
    </w:p>
    <w:p>
      <w:pPr>
        <w:pStyle w:val="BodyText"/>
        <w:spacing w:line="208" w:lineRule="exact"/>
        <w:ind w:right="0"/>
        <w:jc w:val="left"/>
      </w:pPr>
      <w:r>
        <w:rPr/>
        <w:t>在完成等待期内的服务或达到规定业绩条件才可行权的情况下，在等待期内以对可行权权益工具数量的最佳估计为基础，按</w:t>
      </w:r>
    </w:p>
    <w:p>
      <w:pPr>
        <w:pStyle w:val="BodyText"/>
        <w:spacing w:line="379" w:lineRule="auto" w:before="76"/>
        <w:ind w:left="573" w:right="1133" w:hanging="421"/>
        <w:jc w:val="left"/>
      </w:pPr>
      <w:r>
        <w:rPr/>
        <w:t>直线法计算计入相关成本或费用</w:t>
      </w:r>
      <w:r>
        <w:rPr>
          <w:rFonts w:ascii="宋体" w:hAnsi="宋体" w:cs="宋体" w:eastAsia="宋体" w:hint="default"/>
        </w:rPr>
        <w:t>/</w:t>
      </w:r>
      <w:r>
        <w:rPr/>
        <w:t>在授予后立即可行权时，在授予日计入相关成本或费用，相应增加资本公积。 在等待期内每个资产负债表日，本公司根据最新取得的可行权职工人数变动等后续信息做出最佳估计，修正预计可行</w:t>
      </w:r>
    </w:p>
    <w:p>
      <w:pPr>
        <w:pStyle w:val="BodyText"/>
        <w:spacing w:line="208" w:lineRule="exact"/>
        <w:ind w:right="1133"/>
        <w:jc w:val="left"/>
      </w:pPr>
      <w:r>
        <w:rPr/>
        <w:t>权的权益工具数量。上述估计的影响计入当期相关成本或费用，并相应调整资本公积。</w:t>
      </w:r>
    </w:p>
    <w:p>
      <w:pPr>
        <w:pStyle w:val="BodyText"/>
        <w:spacing w:line="316" w:lineRule="auto" w:before="137"/>
        <w:ind w:right="1129" w:firstLine="420"/>
        <w:jc w:val="both"/>
      </w:pPr>
      <w:r>
        <w:rPr/>
        <w:t>用以换取其他方服务的权益结算的股份支付，如果其他方服务的公允价值能够可靠计量，按照其他方服务在取得日的 </w:t>
      </w:r>
      <w:r>
        <w:rPr>
          <w:spacing w:val="-2"/>
        </w:rPr>
        <w:t>公允价值计量，如果其他方服务的公允价值不能可靠计量，但权益工具的公允价值能够可靠计量的，按照权益工具在服务取</w:t>
      </w:r>
      <w:r>
        <w:rPr>
          <w:spacing w:val="-62"/>
        </w:rPr>
        <w:t> </w:t>
      </w:r>
      <w:r>
        <w:rPr>
          <w:spacing w:val="-62"/>
        </w:rPr>
      </w:r>
      <w:r>
        <w:rPr/>
        <w:t>得日的公允价值计量，计入相关成本或费用，相应增加股东权益。</w:t>
      </w:r>
    </w:p>
    <w:p>
      <w:pPr>
        <w:pStyle w:val="BodyText"/>
        <w:spacing w:line="379" w:lineRule="auto" w:before="79"/>
        <w:ind w:left="573" w:right="1133"/>
        <w:jc w:val="left"/>
      </w:pPr>
      <w:r>
        <w:rPr/>
        <w:t>②以现金结算的股份支付 以现金结算的股份支付，按照本公司承担的以股份或其他权益工具为基础确定的负债的公允价值计量。如授予后立即</w:t>
      </w:r>
    </w:p>
    <w:p>
      <w:pPr>
        <w:pStyle w:val="BodyText"/>
        <w:spacing w:line="208" w:lineRule="exact"/>
        <w:ind w:right="0"/>
        <w:jc w:val="left"/>
      </w:pPr>
      <w:r>
        <w:rPr/>
        <w:t>可行权，在授予日计入相关成本或费用，相应增加负债；如须完成等待期内的服务或达到规定业绩条件以后才可行权，在等</w:t>
      </w:r>
    </w:p>
    <w:p>
      <w:pPr>
        <w:pStyle w:val="BodyText"/>
        <w:spacing w:line="316" w:lineRule="auto" w:before="76"/>
        <w:ind w:right="1129"/>
        <w:jc w:val="left"/>
      </w:pPr>
      <w:r>
        <w:rPr>
          <w:spacing w:val="-2"/>
        </w:rPr>
        <w:t>待期的每个资产负债表日，以对可行权情况的最佳估计为基础，按照本公司承担负债的公允价值金额，将当期取得的服务计</w:t>
      </w:r>
      <w:r>
        <w:rPr>
          <w:spacing w:val="-63"/>
        </w:rPr>
        <w:t> </w:t>
      </w:r>
      <w:r>
        <w:rPr>
          <w:spacing w:val="-63"/>
        </w:rPr>
      </w:r>
      <w:r>
        <w:rPr/>
        <w:t>入成本或费用，相应增加负债。</w:t>
      </w:r>
    </w:p>
    <w:p>
      <w:pPr>
        <w:pStyle w:val="BodyText"/>
        <w:spacing w:line="240" w:lineRule="auto" w:before="79"/>
        <w:ind w:left="573" w:right="1133"/>
        <w:jc w:val="left"/>
      </w:pPr>
      <w:r>
        <w:rPr/>
        <w:t>在相关负债结算前的每个资产负债表日以及结算日，对负债的公允价值重新计量，其变动计入当期损益。</w:t>
      </w:r>
    </w:p>
    <w:p>
      <w:pPr>
        <w:pStyle w:val="BodyText"/>
        <w:spacing w:line="379" w:lineRule="auto" w:before="136"/>
        <w:ind w:left="573" w:right="1133"/>
        <w:jc w:val="left"/>
      </w:pPr>
      <w:r>
        <w:rPr/>
        <w:t>（</w:t>
      </w:r>
      <w:r>
        <w:rPr>
          <w:rFonts w:ascii="宋体" w:hAnsi="宋体" w:cs="宋体" w:eastAsia="宋体" w:hint="default"/>
        </w:rPr>
        <w:t>2</w:t>
      </w:r>
      <w:r>
        <w:rPr/>
        <w:t>）修改、终止股份支付计划的相关会计处理 本公司对股份支付计划进行修改时，若修改增加了所授予权益工具的公允价值，按照权益工具公允价值的增加相应确</w:t>
      </w:r>
    </w:p>
    <w:p>
      <w:pPr>
        <w:pStyle w:val="BodyText"/>
        <w:spacing w:line="208" w:lineRule="exact"/>
        <w:ind w:right="0"/>
        <w:jc w:val="left"/>
      </w:pPr>
      <w:r>
        <w:rPr/>
        <w:t>认取得服务的增加。权益工具公允价值的增加是指修改前后的权益工具在修改日的公允价值之间的差额。若修改减少了股份</w:t>
      </w:r>
    </w:p>
    <w:p>
      <w:pPr>
        <w:pStyle w:val="BodyText"/>
        <w:spacing w:line="316" w:lineRule="auto" w:before="76"/>
        <w:ind w:right="1129"/>
        <w:jc w:val="left"/>
      </w:pPr>
      <w:r>
        <w:rPr>
          <w:spacing w:val="-2"/>
        </w:rPr>
        <w:t>支付公允价值总额或采用了其他不利于职工的方式，则仍继续对取得的服务进行会计处理，视同该变更从未发生，除非本公</w:t>
      </w:r>
      <w:r>
        <w:rPr>
          <w:spacing w:val="-66"/>
        </w:rPr>
        <w:t> </w:t>
      </w:r>
      <w:r>
        <w:rPr>
          <w:spacing w:val="-66"/>
        </w:rPr>
      </w:r>
      <w:r>
        <w:rPr/>
        <w:t>司取消了部分或全部已授予的权益工具。</w:t>
      </w:r>
    </w:p>
    <w:p>
      <w:pPr>
        <w:pStyle w:val="BodyText"/>
        <w:spacing w:line="316" w:lineRule="auto" w:before="76"/>
        <w:ind w:right="1133" w:firstLine="420"/>
        <w:jc w:val="both"/>
      </w:pPr>
      <w:r>
        <w:rPr/>
        <w:t>在等待期内，如果取消了授予的权益工具，本公司对取消所授予的权益性工具作为加速行权处理，将剩余等待期内应 </w:t>
      </w:r>
      <w:r>
        <w:rPr>
          <w:spacing w:val="-2"/>
        </w:rPr>
        <w:t>确认的金额立即计入当期损益，同时确认资本公积。职工或其他方能够选择满足非可行权条件但在等待期内未满足的，本公</w:t>
      </w:r>
      <w:r>
        <w:rPr>
          <w:spacing w:val="-66"/>
        </w:rPr>
        <w:t> </w:t>
      </w:r>
      <w:r>
        <w:rPr>
          <w:spacing w:val="-66"/>
        </w:rPr>
      </w:r>
      <w:r>
        <w:rPr/>
        <w:t>司将其作为授予权益工具的取消处理。</w:t>
      </w:r>
    </w:p>
    <w:p>
      <w:pPr>
        <w:pStyle w:val="BodyText"/>
        <w:spacing w:line="379" w:lineRule="auto" w:before="79"/>
        <w:ind w:left="573" w:right="1133"/>
        <w:jc w:val="left"/>
      </w:pPr>
      <w:r>
        <w:rPr/>
        <w:t>（</w:t>
      </w:r>
      <w:r>
        <w:rPr>
          <w:rFonts w:ascii="宋体" w:hAnsi="宋体" w:cs="宋体" w:eastAsia="宋体" w:hint="default"/>
        </w:rPr>
        <w:t>3</w:t>
      </w:r>
      <w:r>
        <w:rPr/>
        <w:t>）涉及本公司与本公司股东或实际控制人的股份支付交易的会计处理 涉及本公司与本公司股东或实际控制人的股份支付交易，结算企业与接受服务企业中其一在本公司内，另一在本公司</w:t>
      </w:r>
    </w:p>
    <w:p>
      <w:pPr>
        <w:spacing w:after="0" w:line="379"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外的，在本公司合并财务报表中按照以下规定进行会计处理：</w:t>
      </w:r>
    </w:p>
    <w:p>
      <w:pPr>
        <w:pStyle w:val="BodyText"/>
        <w:spacing w:line="316" w:lineRule="auto" w:before="137"/>
        <w:ind w:right="1138" w:firstLine="420"/>
        <w:jc w:val="both"/>
      </w:pPr>
      <w:r>
        <w:rPr/>
        <w:t>①结算企业以其本身权益工具结算的，将该股份支付交易作为权益结算的股份支付处理；除此之外，作为现金结算的 股份支付处理。</w:t>
      </w:r>
    </w:p>
    <w:p>
      <w:pPr>
        <w:pStyle w:val="BodyText"/>
        <w:spacing w:line="316" w:lineRule="auto" w:before="79"/>
        <w:ind w:right="1138" w:firstLine="420"/>
        <w:jc w:val="both"/>
      </w:pPr>
      <w:r>
        <w:rPr/>
        <w:t>结算企业是接受服务企业的投资者的，按照授予日权益工具的公允价值或应承担负债的公允价值确认为对接受服务企 业的长期股权投资，同时确认资本公积（其他资本公积）或负债。</w:t>
      </w:r>
    </w:p>
    <w:p>
      <w:pPr>
        <w:pStyle w:val="BodyText"/>
        <w:spacing w:line="316" w:lineRule="auto" w:before="79"/>
        <w:ind w:right="1133" w:firstLine="420"/>
        <w:jc w:val="both"/>
      </w:pPr>
      <w:r>
        <w:rPr/>
        <w:t>②接受服务企业没有结算义务或授予本企业职工的是其本身权益工具的，将该股份支付交易作为权益结算的股份支付 </w:t>
      </w:r>
      <w:r>
        <w:rPr>
          <w:spacing w:val="-2"/>
        </w:rPr>
        <w:t>处理；接受服务企业具有结算义务且授予本企业职工的并非其本身权益工具的，将该股份支付交易作为现金结算的股份支付</w:t>
      </w:r>
      <w:r>
        <w:rPr>
          <w:spacing w:val="-64"/>
        </w:rPr>
        <w:t> </w:t>
      </w:r>
      <w:r>
        <w:rPr>
          <w:spacing w:val="-64"/>
        </w:rPr>
      </w:r>
      <w:r>
        <w:rPr/>
        <w:t>处理。</w:t>
      </w:r>
    </w:p>
    <w:p>
      <w:pPr>
        <w:pStyle w:val="BodyText"/>
        <w:spacing w:line="316" w:lineRule="auto" w:before="79"/>
        <w:ind w:right="1138" w:firstLine="420"/>
        <w:jc w:val="both"/>
      </w:pPr>
      <w:r>
        <w:rPr/>
        <w:t>本公司内各企业之间发生的股份支付交易，接受服务企业和结算企业不是同一企业的，在接受服务企业和结算企业各 自的个别财务报表中对该股份支付交易的确认和计量，比照上述原则处理。</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27、收入" w:id="217"/>
      <w:bookmarkEnd w:id="217"/>
      <w:r>
        <w:rPr>
          <w:b w:val="0"/>
          <w:bCs w:val="0"/>
        </w:rPr>
      </w:r>
      <w:r>
        <w:rPr>
          <w:rFonts w:ascii="Times New Roman" w:hAnsi="Times New Roman" w:cs="Times New Roman" w:eastAsia="Times New Roman" w:hint="default"/>
        </w:rPr>
        <w:t>27</w:t>
      </w:r>
      <w:r>
        <w:rPr/>
        <w:t>、收入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376" w:lineRule="auto" w:before="125"/>
        <w:ind w:left="573" w:right="1133"/>
        <w:jc w:val="left"/>
      </w:pPr>
      <w:r>
        <w:rPr/>
        <w:t>（</w:t>
      </w:r>
      <w:r>
        <w:rPr>
          <w:rFonts w:ascii="宋体" w:hAnsi="宋体" w:cs="宋体" w:eastAsia="宋体" w:hint="default"/>
        </w:rPr>
        <w:t>1</w:t>
      </w:r>
      <w:r>
        <w:rPr/>
        <w:t>）商品销售收入 在已将商品所有权上的主要风险和报酬转移给买方，既没有保留通常与所有权相联系的继续管理权，也没有对已售商</w:t>
      </w:r>
    </w:p>
    <w:p>
      <w:pPr>
        <w:pStyle w:val="BodyText"/>
        <w:spacing w:line="209" w:lineRule="exact"/>
        <w:ind w:right="0"/>
        <w:jc w:val="left"/>
      </w:pPr>
      <w:r>
        <w:rPr/>
        <w:t>品实施有效控制，收入的金额能够可靠地计量，相关的经济利益很可能流入企业，相关的已发生或将发生的成本能够可靠地</w:t>
      </w:r>
    </w:p>
    <w:p>
      <w:pPr>
        <w:pStyle w:val="BodyText"/>
        <w:spacing w:line="379" w:lineRule="auto" w:before="76"/>
        <w:ind w:left="573" w:right="7874" w:hanging="421"/>
        <w:jc w:val="left"/>
      </w:pPr>
      <w:r>
        <w:rPr/>
        <w:t>计量时，确认商品销售收入的实现。 本公司具体收入确认原则为：</w:t>
      </w:r>
    </w:p>
    <w:p>
      <w:pPr>
        <w:pStyle w:val="BodyText"/>
        <w:spacing w:line="316" w:lineRule="auto" w:before="32"/>
        <w:ind w:right="1138" w:firstLine="420"/>
        <w:jc w:val="both"/>
      </w:pPr>
      <w:r>
        <w:rPr/>
        <w:t>公司销售商品收入具体判断标准：对于需安装调试且需要客户验收，在符合上述条件情况下，于客户验收合格后确认 收入的实现。对不需要安装的仪器、备件的销售在满足上述条件下，于商品发出后确认收入的实现。</w:t>
      </w:r>
    </w:p>
    <w:p>
      <w:pPr>
        <w:pStyle w:val="BodyText"/>
        <w:spacing w:line="240" w:lineRule="auto" w:before="79"/>
        <w:ind w:left="573" w:right="1133"/>
        <w:jc w:val="left"/>
      </w:pPr>
      <w:r>
        <w:rPr/>
        <w:t>运营维护服务具有长期和重复性的特点，在运营维护期内分期确认收入。</w:t>
      </w:r>
    </w:p>
    <w:p>
      <w:pPr>
        <w:pStyle w:val="BodyText"/>
        <w:spacing w:line="379" w:lineRule="auto" w:before="136"/>
        <w:ind w:left="573" w:right="1133"/>
        <w:jc w:val="left"/>
      </w:pPr>
      <w:r>
        <w:rPr/>
        <w:t>（</w:t>
      </w:r>
      <w:r>
        <w:rPr>
          <w:rFonts w:ascii="宋体" w:hAnsi="宋体" w:cs="宋体" w:eastAsia="宋体" w:hint="default"/>
        </w:rPr>
        <w:t>2</w:t>
      </w:r>
      <w:r>
        <w:rPr/>
        <w:t>）提供劳务收入 在提供劳务交易的结果能够可靠估计的情况下，于资产负债表日按照完工百分比法确认提供的劳务收入。劳务交易的</w:t>
      </w:r>
    </w:p>
    <w:p>
      <w:pPr>
        <w:pStyle w:val="BodyText"/>
        <w:spacing w:line="208" w:lineRule="exact"/>
        <w:ind w:right="1133"/>
        <w:jc w:val="left"/>
      </w:pPr>
      <w:r>
        <w:rPr/>
        <w:t>完工进度按劳务交易的完工进度按已经提供的劳务占应提供劳务总量的比例确定。</w:t>
      </w:r>
    </w:p>
    <w:p>
      <w:pPr>
        <w:pStyle w:val="BodyText"/>
        <w:spacing w:line="240" w:lineRule="auto" w:before="136"/>
        <w:ind w:left="573" w:right="0"/>
        <w:jc w:val="left"/>
      </w:pPr>
      <w:r>
        <w:rPr/>
        <w:t>提供劳务交易的结果能够可靠估计是指同时满足：①收入的金额能够可靠地计量；②相关的经济利益很可能流入企业；</w:t>
      </w:r>
    </w:p>
    <w:p>
      <w:pPr>
        <w:pStyle w:val="BodyText"/>
        <w:spacing w:line="379" w:lineRule="auto" w:before="76"/>
        <w:ind w:left="573" w:right="1133" w:hanging="421"/>
        <w:jc w:val="left"/>
      </w:pPr>
      <w:r>
        <w:rPr/>
        <w:t>③交易的完工程度能够可靠地确定；④交易中已发生和将发生的成本能够可靠地计量。 如果提供劳务交易的结果不能够可靠估计，则按已经发生并预计能够得到补偿的劳务成本金额确认提供的劳务收入，</w:t>
      </w:r>
    </w:p>
    <w:p>
      <w:pPr>
        <w:pStyle w:val="BodyText"/>
        <w:spacing w:line="208" w:lineRule="exact"/>
        <w:ind w:right="1133"/>
        <w:jc w:val="left"/>
      </w:pPr>
      <w:r>
        <w:rPr/>
        <w:t>并将已发生的劳务成本作为当期费用。已经发生的劳务成本如预计不能得到补偿的，则不确认收入。</w:t>
      </w:r>
    </w:p>
    <w:p>
      <w:pPr>
        <w:pStyle w:val="BodyText"/>
        <w:spacing w:line="319" w:lineRule="auto" w:before="136"/>
        <w:ind w:right="1130" w:firstLine="420"/>
        <w:jc w:val="both"/>
      </w:pPr>
      <w:r>
        <w:rPr/>
        <w:t>本公司与其他企业签订的合同或协议包括销售商品和提供劳务时，如销售商品部分和提供劳务部分能够区分并单独计 </w:t>
      </w:r>
      <w:r>
        <w:rPr>
          <w:spacing w:val="-2"/>
        </w:rPr>
        <w:t>量的，将销售商品部分和提供劳务部分分别处理；如销售商品部分和提供劳务部分不能够区分，或虽能区分但不能够单独计</w:t>
      </w:r>
      <w:r>
        <w:rPr>
          <w:spacing w:val="-63"/>
        </w:rPr>
        <w:t> </w:t>
      </w:r>
      <w:r>
        <w:rPr>
          <w:spacing w:val="-63"/>
        </w:rPr>
      </w:r>
      <w:r>
        <w:rPr/>
        <w:t>量的，将该合同全部作为销售商品处理。</w:t>
      </w:r>
    </w:p>
    <w:p>
      <w:pPr>
        <w:pStyle w:val="BodyText"/>
        <w:spacing w:line="379" w:lineRule="auto" w:before="77"/>
        <w:ind w:left="573" w:right="1133"/>
        <w:jc w:val="left"/>
      </w:pPr>
      <w:r>
        <w:rPr/>
        <w:t>（</w:t>
      </w:r>
      <w:r>
        <w:rPr>
          <w:rFonts w:ascii="宋体" w:hAnsi="宋体" w:cs="宋体" w:eastAsia="宋体" w:hint="default"/>
        </w:rPr>
        <w:t>3</w:t>
      </w:r>
      <w:r>
        <w:rPr/>
        <w:t>）建造合同收入 在建造合同的结果能够可靠估计的情况下，于资产负债表日按照完工百分比法确认合同收入和合同费用。合同完工进</w:t>
      </w:r>
    </w:p>
    <w:p>
      <w:pPr>
        <w:pStyle w:val="BodyText"/>
        <w:spacing w:line="208" w:lineRule="exact"/>
        <w:ind w:right="1133"/>
        <w:jc w:val="left"/>
      </w:pPr>
      <w:r>
        <w:rPr/>
        <w:t>度按已经完成的合同工作量占合同预计总工作量的比例的完工进度确定。</w:t>
      </w:r>
    </w:p>
    <w:p>
      <w:pPr>
        <w:pStyle w:val="BodyText"/>
        <w:spacing w:line="316" w:lineRule="auto" w:before="136"/>
        <w:ind w:right="1051" w:firstLine="420"/>
        <w:jc w:val="both"/>
      </w:pPr>
      <w:r>
        <w:rPr/>
        <w:t>建造合同的结果能够可靠估计是指同时满足：①合同总收入能够可靠地计量；②与合同相关的经济利益很可能流入企 业；③实际发生的合同成本能够清楚地区分和可靠地计量；④合同完工进度和为完成合同尚需发生的成本能够可靠地确定。</w:t>
      </w:r>
    </w:p>
    <w:p>
      <w:pPr>
        <w:pStyle w:val="BodyText"/>
        <w:spacing w:line="316" w:lineRule="auto" w:before="79"/>
        <w:ind w:right="1129" w:firstLine="420"/>
        <w:jc w:val="both"/>
      </w:pPr>
      <w:r>
        <w:rPr/>
        <w:t>如建造合同的结果不能可靠地估计，但合同成本能够收回的，合同收入根据能够收回的实际合同成本予以确认，合同 </w:t>
      </w:r>
      <w:r>
        <w:rPr>
          <w:spacing w:val="-2"/>
        </w:rPr>
        <w:t>成本在其发生的当期确认为合同费用；合同成本不可能收回的，在发生时立即确认为合同费用，不确认合同收入。使建造合</w:t>
      </w:r>
      <w:r>
        <w:rPr>
          <w:spacing w:val="-63"/>
        </w:rPr>
        <w:t> </w:t>
      </w:r>
      <w:r>
        <w:rPr>
          <w:spacing w:val="-63"/>
        </w:rPr>
      </w:r>
      <w:r>
        <w:rPr/>
        <w:t>同的结果不能可靠估计的不确定因素不复存在的，按照完工百分比法确定与建造合同有关的收入和费用。</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79" w:lineRule="auto" w:before="44"/>
        <w:ind w:left="573" w:right="1133"/>
        <w:jc w:val="left"/>
      </w:pPr>
      <w:r>
        <w:rPr/>
        <w:t>合同预计总成本超过合同总收入的，将预计损失确认为当期费用。 在建合同累计已发生的成本和累计已确认的毛利</w:t>
      </w:r>
      <w:r>
        <w:rPr>
          <w:rFonts w:ascii="宋体" w:hAnsi="宋体" w:cs="宋体" w:eastAsia="宋体" w:hint="default"/>
        </w:rPr>
        <w:t>(</w:t>
      </w:r>
      <w:r>
        <w:rPr/>
        <w:t>亏损</w:t>
      </w:r>
      <w:r>
        <w:rPr>
          <w:rFonts w:ascii="宋体" w:hAnsi="宋体" w:cs="宋体" w:eastAsia="宋体" w:hint="default"/>
        </w:rPr>
        <w:t>)</w:t>
      </w:r>
      <w:r>
        <w:rPr/>
        <w:t>与已结算的价款在资产负债表中以抵销后的净额列示。在建合</w:t>
      </w:r>
    </w:p>
    <w:p>
      <w:pPr>
        <w:pStyle w:val="BodyText"/>
        <w:spacing w:line="208" w:lineRule="exact"/>
        <w:ind w:right="0"/>
        <w:jc w:val="left"/>
      </w:pPr>
      <w:r>
        <w:rPr/>
        <w:t>同累计已发生的成本和累计已确认的毛</w:t>
      </w:r>
      <w:r>
        <w:rPr>
          <w:spacing w:val="1"/>
        </w:rPr>
        <w:t>利</w:t>
      </w:r>
      <w:r>
        <w:rPr>
          <w:rFonts w:ascii="宋体" w:hAnsi="宋体" w:cs="宋体" w:eastAsia="宋体" w:hint="default"/>
          <w:spacing w:val="1"/>
        </w:rPr>
        <w:t>(</w:t>
      </w:r>
      <w:r>
        <w:rPr/>
        <w:t>亏损</w:t>
      </w:r>
      <w:r>
        <w:rPr>
          <w:rFonts w:ascii="宋体" w:hAnsi="宋体" w:cs="宋体" w:eastAsia="宋体" w:hint="default"/>
          <w:spacing w:val="1"/>
        </w:rPr>
        <w:t>)</w:t>
      </w:r>
      <w:r>
        <w:rPr/>
        <w:t>之和超过</w:t>
      </w:r>
      <w:r>
        <w:rPr>
          <w:spacing w:val="-3"/>
        </w:rPr>
        <w:t>已</w:t>
      </w:r>
      <w:r>
        <w:rPr/>
        <w:t>结算价款的部分作为存货列示</w:t>
      </w:r>
      <w:r>
        <w:rPr>
          <w:spacing w:val="-82"/>
        </w:rPr>
        <w:t>；</w:t>
      </w:r>
      <w:r>
        <w:rPr/>
        <w:t>在建合同已结算的价款超过累计</w:t>
      </w:r>
    </w:p>
    <w:p>
      <w:pPr>
        <w:pStyle w:val="BodyText"/>
        <w:spacing w:line="240" w:lineRule="auto" w:before="76"/>
        <w:ind w:right="1133"/>
        <w:jc w:val="left"/>
      </w:pPr>
      <w:r>
        <w:rPr/>
        <w:t>已发生的成本与累计已确认的毛利</w:t>
      </w:r>
      <w:r>
        <w:rPr>
          <w:rFonts w:ascii="宋体" w:hAnsi="宋体" w:cs="宋体" w:eastAsia="宋体" w:hint="default"/>
        </w:rPr>
        <w:t>(</w:t>
      </w:r>
      <w:r>
        <w:rPr/>
        <w:t>亏损</w:t>
      </w:r>
      <w:r>
        <w:rPr>
          <w:rFonts w:ascii="宋体" w:hAnsi="宋体" w:cs="宋体" w:eastAsia="宋体" w:hint="default"/>
        </w:rPr>
        <w:t>)</w:t>
      </w:r>
      <w:r>
        <w:rPr/>
        <w:t>之和的部分作为预收款项列示。</w:t>
      </w:r>
    </w:p>
    <w:p>
      <w:pPr>
        <w:pStyle w:val="BodyText"/>
        <w:spacing w:line="379" w:lineRule="auto" w:before="136"/>
        <w:ind w:left="573" w:right="6553"/>
        <w:jc w:val="left"/>
      </w:pPr>
      <w:r>
        <w:rPr/>
        <w:t>（</w:t>
      </w:r>
      <w:r>
        <w:rPr>
          <w:rFonts w:ascii="宋体" w:hAnsi="宋体" w:cs="宋体" w:eastAsia="宋体" w:hint="default"/>
        </w:rPr>
        <w:t>4</w:t>
      </w:r>
      <w:r>
        <w:rPr/>
        <w:t>）使用费收入 根据有关合同或协议，按权责发生制确认收入。</w:t>
      </w:r>
    </w:p>
    <w:p>
      <w:pPr>
        <w:pStyle w:val="BodyText"/>
        <w:spacing w:line="379" w:lineRule="auto" w:before="32"/>
        <w:ind w:left="573" w:right="5653"/>
        <w:jc w:val="left"/>
      </w:pPr>
      <w:r>
        <w:rPr/>
        <w:t>（</w:t>
      </w:r>
      <w:r>
        <w:rPr>
          <w:rFonts w:ascii="宋体" w:hAnsi="宋体" w:cs="宋体" w:eastAsia="宋体" w:hint="default"/>
        </w:rPr>
        <w:t>5</w:t>
      </w:r>
      <w:r>
        <w:rPr/>
        <w:t>）利息收入 按照他人使用本公司货币资金的时间和实际利率计算确定。</w:t>
      </w:r>
    </w:p>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bookmarkStart w:name="28、政府补助" w:id="218"/>
      <w:bookmarkEnd w:id="218"/>
      <w:r>
        <w:rPr>
          <w:b w:val="0"/>
          <w:bCs w:val="0"/>
        </w:rPr>
      </w:r>
      <w:r>
        <w:rPr>
          <w:rFonts w:ascii="Times New Roman" w:hAnsi="Times New Roman" w:cs="Times New Roman" w:eastAsia="Times New Roman" w:hint="default"/>
        </w:rPr>
        <w:t>28</w:t>
      </w:r>
      <w:r>
        <w:rPr/>
        <w:t>、政府补助</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1" w:firstLine="420"/>
        <w:jc w:val="both"/>
      </w:pPr>
      <w:r>
        <w:rPr/>
        <w:t>政府补助是指本公司从政府无偿取得货币性资产和非货币性资产，不包括政府以投资者身份并享有相应所有者权益而 </w:t>
      </w:r>
      <w:r>
        <w:rPr>
          <w:spacing w:val="-2"/>
        </w:rPr>
        <w:t>投入的资本。政府补助分为与资产相关的政府补助和与收益相关的政府补助。本公司将所取得的用于购建或以其他方式形成</w:t>
      </w:r>
      <w:r>
        <w:rPr>
          <w:spacing w:val="-64"/>
        </w:rPr>
        <w:t> </w:t>
      </w:r>
      <w:r>
        <w:rPr>
          <w:spacing w:val="-64"/>
        </w:rPr>
      </w:r>
      <w:r>
        <w:rPr>
          <w:spacing w:val="-2"/>
        </w:rPr>
        <w:t>长期资产的政府补助界定为与资产相关的政府补助；其余政府补助界定为与收益相关的政府补助。若政府文件未明确规定补</w:t>
      </w:r>
      <w:r>
        <w:rPr>
          <w:spacing w:val="-64"/>
        </w:rPr>
        <w:t> </w:t>
      </w:r>
      <w:r>
        <w:rPr>
          <w:spacing w:val="-64"/>
        </w:rPr>
      </w:r>
      <w:r>
        <w:rPr/>
        <w:t>助对象，则采用以下方式将补助款划分为与收益相关的政府补助和与资产相关的政府补助：（</w:t>
      </w:r>
      <w:r>
        <w:rPr>
          <w:rFonts w:ascii="宋体" w:hAnsi="宋体" w:cs="宋体" w:eastAsia="宋体" w:hint="default"/>
        </w:rPr>
        <w:t>1</w:t>
      </w:r>
      <w:r>
        <w:rPr/>
        <w:t>）政府文件明确了补助所针</w:t>
      </w:r>
      <w:r>
        <w:rPr>
          <w:spacing w:val="-82"/>
        </w:rPr>
        <w:t> </w:t>
      </w:r>
      <w:r>
        <w:rPr>
          <w:spacing w:val="-2"/>
        </w:rPr>
        <w:t>对的特定项目的，根据该特定项目的预算中将形成资产的支出金额和计入费用的支出金额的相对比例进行划分，对该划分比</w:t>
      </w:r>
      <w:r>
        <w:rPr>
          <w:spacing w:val="-64"/>
        </w:rPr>
        <w:t> </w:t>
      </w:r>
      <w:r>
        <w:rPr>
          <w:spacing w:val="-64"/>
        </w:rPr>
      </w:r>
      <w:r>
        <w:rPr/>
        <w:t>例需在每个资产负债表日进行复核，必要时进行变更；（</w:t>
      </w:r>
      <w:r>
        <w:rPr>
          <w:rFonts w:ascii="宋体" w:hAnsi="宋体" w:cs="宋体" w:eastAsia="宋体" w:hint="default"/>
        </w:rPr>
        <w:t>2</w:t>
      </w:r>
      <w:r>
        <w:rPr/>
        <w:t>）政府文件中对用途仅作一般性表述，没有指明特定项目的，作</w:t>
      </w:r>
      <w:r>
        <w:rPr>
          <w:spacing w:val="-83"/>
        </w:rPr>
        <w:t> </w:t>
      </w:r>
      <w:r>
        <w:rPr>
          <w:spacing w:val="-83"/>
        </w:rPr>
      </w:r>
      <w:r>
        <w:rPr>
          <w:spacing w:val="-2"/>
        </w:rPr>
        <w:t>为与收益相关的政府补助。政府补助为货币性资产的，按照收到或应收的金额计量。政府补助为非货币性资产的，按照公允</w:t>
      </w:r>
      <w:r>
        <w:rPr>
          <w:spacing w:val="-65"/>
        </w:rPr>
        <w:t> </w:t>
      </w:r>
      <w:r>
        <w:rPr>
          <w:spacing w:val="-65"/>
        </w:rPr>
      </w:r>
      <w:r>
        <w:rPr/>
        <w:t>价值计量；公允价值不能够可靠取得的，按照名义金额计量。按照名义金额计量的政府补助，直接计入当期损益。</w:t>
      </w:r>
    </w:p>
    <w:p>
      <w:pPr>
        <w:pStyle w:val="BodyText"/>
        <w:spacing w:line="316" w:lineRule="auto" w:before="79"/>
        <w:ind w:right="1034" w:firstLine="420"/>
        <w:jc w:val="left"/>
      </w:pPr>
      <w:r>
        <w:rPr/>
        <w:t>本公司对于政府补助通常在实际收到时，按照实收金额予以确认和计量。但对于期末有确凿证据表明能够符合财政扶 </w:t>
      </w:r>
      <w:r>
        <w:rPr>
          <w:spacing w:val="-2"/>
        </w:rPr>
        <w:t>持政策规定的相关条件预计能够收到财政扶持资金，按照应收的金额计量。按照应收金额计量的政府补助应同时符合以下条</w:t>
      </w:r>
      <w:r>
        <w:rPr>
          <w:spacing w:val="-64"/>
        </w:rPr>
        <w:t> </w:t>
      </w:r>
      <w:r>
        <w:rPr>
          <w:spacing w:val="-64"/>
        </w:rPr>
      </w:r>
      <w:r>
        <w:rPr/>
        <w:t>件：（</w:t>
      </w:r>
      <w:r>
        <w:rPr>
          <w:rFonts w:ascii="宋体" w:hAnsi="宋体" w:cs="宋体" w:eastAsia="宋体" w:hint="default"/>
        </w:rPr>
        <w:t>1</w:t>
      </w:r>
      <w:r>
        <w:rPr/>
        <w:t>）应收补助款的金额已经过有权政府部门发文确认，或者可根据正式发布的财政资金管理办法的有关规定自行合理</w:t>
      </w:r>
      <w:r>
        <w:rPr>
          <w:spacing w:val="-84"/>
        </w:rPr>
        <w:t> </w:t>
      </w:r>
      <w:r>
        <w:rPr>
          <w:spacing w:val="-84"/>
        </w:rPr>
      </w:r>
      <w:r>
        <w:rPr/>
        <w:t>测算，且预计其金额不存在重大不确定性；（</w:t>
      </w:r>
      <w:r>
        <w:rPr>
          <w:rFonts w:ascii="宋体" w:hAnsi="宋体" w:cs="宋体" w:eastAsia="宋体" w:hint="default"/>
        </w:rPr>
        <w:t>2</w:t>
      </w:r>
      <w:r>
        <w:rPr/>
        <w:t>）所依据的是当地财政部门正式发布并按照《政府信息公开条例》的规定予</w:t>
      </w:r>
      <w:r>
        <w:rPr>
          <w:spacing w:val="-83"/>
        </w:rPr>
        <w:t> </w:t>
      </w:r>
      <w:r>
        <w:rPr>
          <w:spacing w:val="-83"/>
        </w:rPr>
      </w:r>
      <w:r>
        <w:rPr/>
        <w:t>以主动公开的财政扶持项目及其财政资金管理办法，且该管理办法应当是普惠性的（任何符合规定条件的企业均可申请）， 而不是专门针对特定企业制定的；（</w:t>
      </w:r>
      <w:r>
        <w:rPr>
          <w:rFonts w:ascii="宋体" w:hAnsi="宋体" w:cs="宋体" w:eastAsia="宋体" w:hint="default"/>
        </w:rPr>
        <w:t>3</w:t>
      </w:r>
      <w:r>
        <w:rPr/>
        <w:t>）相关的补助款批文中已明确承诺了拨付期限，且该款项的拨付是有相应财政预算作</w:t>
      </w:r>
      <w:r>
        <w:rPr>
          <w:spacing w:val="-83"/>
        </w:rPr>
        <w:t> </w:t>
      </w:r>
      <w:r>
        <w:rPr>
          <w:spacing w:val="-83"/>
        </w:rPr>
      </w:r>
      <w:r>
        <w:rPr/>
        <w:t>为保障的，因而可以合理保证其可在规定期限内收到。</w:t>
      </w:r>
    </w:p>
    <w:p>
      <w:pPr>
        <w:pStyle w:val="BodyText"/>
        <w:spacing w:line="316" w:lineRule="auto" w:before="79"/>
        <w:ind w:right="1133" w:firstLine="420"/>
        <w:jc w:val="both"/>
      </w:pPr>
      <w:r>
        <w:rPr/>
        <w:t>与资产相关的政府补助，确认为递延收益，并在相关资产的使用寿命内按照合理、系统的方法分期计入当期损益。与 </w:t>
      </w:r>
      <w:r>
        <w:rPr>
          <w:spacing w:val="-2"/>
        </w:rPr>
        <w:t>收益相关的政府补助，用于补偿以后期间的相关成本费用或损失的，确认为递延收益，并在确认相关成本费用或损失的期间</w:t>
      </w:r>
      <w:r>
        <w:rPr>
          <w:spacing w:val="-66"/>
        </w:rPr>
        <w:t> </w:t>
      </w:r>
      <w:r>
        <w:rPr>
          <w:spacing w:val="-66"/>
        </w:rPr>
      </w:r>
      <w:r>
        <w:rPr/>
        <w:t>计入当期损益；用于补偿已经发生的相关成本费用或损失的，直接计入当期损益。</w:t>
      </w:r>
    </w:p>
    <w:p>
      <w:pPr>
        <w:pStyle w:val="BodyText"/>
        <w:spacing w:line="316" w:lineRule="auto" w:before="79"/>
        <w:ind w:right="1138" w:firstLine="420"/>
        <w:jc w:val="both"/>
      </w:pPr>
      <w:r>
        <w:rPr/>
        <w:t>同时包含与资产相关部分和与收益相关部分的政府补助，区分不同部分分别进行会计处理；难以区分的，将其整体归 类为与收益相关的政府补助。</w:t>
      </w:r>
    </w:p>
    <w:p>
      <w:pPr>
        <w:pStyle w:val="BodyText"/>
        <w:spacing w:line="316" w:lineRule="auto" w:before="79"/>
        <w:ind w:right="1138" w:firstLine="420"/>
        <w:jc w:val="both"/>
      </w:pPr>
      <w:r>
        <w:rPr/>
        <w:t>与本公司日常活动相关的政府补助，按照经济业务的实质，计入其他收益或冲减相关成本费用；与日常活动无关的政 府补助，计入营业外收支。</w:t>
      </w:r>
    </w:p>
    <w:p>
      <w:pPr>
        <w:pStyle w:val="BodyText"/>
        <w:spacing w:line="316" w:lineRule="auto" w:before="79"/>
        <w:ind w:right="1138" w:firstLine="420"/>
        <w:jc w:val="both"/>
      </w:pPr>
      <w:r>
        <w:rPr/>
        <w:t>已确认的政府补助需要退回时，存在相关递延收益余额的，冲减相关递延收益账面余额，超出部分计入当期损益；属 于其他情况的，直接计入当期损益。</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29、递延所得税资产/递延所得税负债" w:id="219"/>
      <w:bookmarkEnd w:id="219"/>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79" w:lineRule="auto"/>
        <w:ind w:left="573" w:right="1025"/>
        <w:jc w:val="left"/>
      </w:pPr>
      <w:r>
        <w:rPr/>
        <w:t>（</w:t>
      </w:r>
      <w:r>
        <w:rPr>
          <w:rFonts w:ascii="宋体" w:hAnsi="宋体" w:cs="宋体" w:eastAsia="宋体" w:hint="default"/>
        </w:rPr>
        <w:t>1</w:t>
      </w:r>
      <w:r>
        <w:rPr/>
        <w:t>）当期所得税 </w:t>
      </w:r>
      <w:r>
        <w:rPr>
          <w:spacing w:val="-1"/>
        </w:rPr>
        <w:t>资产负债表日，对于当期和以前期间形成的当期所得税负债（或资产），以按照税法规定计算的预期应交纳（或返还）</w:t>
      </w:r>
    </w:p>
    <w:p>
      <w:pPr>
        <w:pStyle w:val="BodyText"/>
        <w:spacing w:line="208" w:lineRule="exact"/>
        <w:ind w:right="0"/>
        <w:jc w:val="left"/>
      </w:pPr>
      <w:r>
        <w:rPr/>
        <w:t>的所得税金额计量</w:t>
      </w:r>
      <w:r>
        <w:rPr>
          <w:spacing w:val="-82"/>
        </w:rPr>
        <w:t>。</w:t>
      </w:r>
      <w:r>
        <w:rPr/>
        <w:t>计算当期所得税费用所依据的应纳税所得额系根据有关税法规定对</w:t>
      </w:r>
      <w:r>
        <w:rPr>
          <w:spacing w:val="1"/>
        </w:rPr>
        <w:t>本</w:t>
      </w:r>
      <w:r>
        <w:rPr/>
        <w:t>报告期税前会计利润作相应调整后</w:t>
      </w:r>
    </w:p>
    <w:p>
      <w:pPr>
        <w:pStyle w:val="BodyText"/>
        <w:spacing w:line="240" w:lineRule="auto" w:before="76"/>
        <w:ind w:right="1133"/>
        <w:jc w:val="left"/>
      </w:pPr>
      <w:r>
        <w:rPr/>
        <w:t>计算得出。</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79" w:lineRule="auto" w:before="44"/>
        <w:ind w:left="573" w:right="1133"/>
        <w:jc w:val="left"/>
      </w:pPr>
      <w:r>
        <w:rPr/>
        <w:t>（</w:t>
      </w:r>
      <w:r>
        <w:rPr>
          <w:rFonts w:ascii="宋体" w:hAnsi="宋体" w:cs="宋体" w:eastAsia="宋体" w:hint="default"/>
        </w:rPr>
        <w:t>2</w:t>
      </w:r>
      <w:r>
        <w:rPr/>
        <w:t>）递延所得税资产及递延所得税负债 某些资产、负债项目的账面价值与其计税基础之间的差额，以及未作为资产和负债确认但按照税法规定可以确定其计</w:t>
      </w:r>
    </w:p>
    <w:p>
      <w:pPr>
        <w:pStyle w:val="BodyText"/>
        <w:spacing w:line="208" w:lineRule="exact"/>
        <w:ind w:right="0"/>
        <w:jc w:val="left"/>
      </w:pPr>
      <w:r>
        <w:rPr/>
        <w:t>税基础的项目的账面价值与计税基础之间的差额产生的暂时性差异</w:t>
      </w:r>
      <w:r>
        <w:rPr>
          <w:spacing w:val="-82"/>
        </w:rPr>
        <w:t>，</w:t>
      </w:r>
      <w:r>
        <w:rPr/>
        <w:t>采用资产负债表债务法确认递延所得税资产及递延所得</w:t>
      </w:r>
    </w:p>
    <w:p>
      <w:pPr>
        <w:pStyle w:val="BodyText"/>
        <w:spacing w:line="240" w:lineRule="auto" w:before="76"/>
        <w:ind w:right="1133"/>
        <w:jc w:val="left"/>
      </w:pPr>
      <w:r>
        <w:rPr/>
        <w:t>税负债。</w:t>
      </w:r>
    </w:p>
    <w:p>
      <w:pPr>
        <w:pStyle w:val="BodyText"/>
        <w:spacing w:line="316" w:lineRule="auto" w:before="136"/>
        <w:ind w:right="1130" w:firstLine="420"/>
        <w:jc w:val="both"/>
      </w:pPr>
      <w:r>
        <w:rPr/>
        <w:t>与商誉的初始确认有关，以及与既不是企业合并、发生时也不影响会计利润和应纳税所得额（或可抵扣亏损）的交易 </w:t>
      </w:r>
      <w:r>
        <w:rPr>
          <w:spacing w:val="-2"/>
        </w:rPr>
        <w:t>中产生的资产或负债的初始确认有关的应纳税暂时性差异，不予确认有关的递延所得税负债。此外，对与子公司、联营企业</w:t>
      </w:r>
      <w:r>
        <w:rPr>
          <w:spacing w:val="-66"/>
        </w:rPr>
        <w:t> </w:t>
      </w:r>
      <w:r>
        <w:rPr>
          <w:spacing w:val="-66"/>
        </w:rPr>
      </w:r>
      <w:r>
        <w:rPr>
          <w:spacing w:val="-2"/>
        </w:rPr>
        <w:t>及合营企业投资相关的应纳税暂时性差异，如果本公司能够控制暂时性差异转回的时间，而且该暂时性差异在可预见的未来</w:t>
      </w:r>
      <w:r>
        <w:rPr>
          <w:spacing w:val="-64"/>
        </w:rPr>
        <w:t> </w:t>
      </w:r>
      <w:r>
        <w:rPr>
          <w:spacing w:val="-64"/>
        </w:rPr>
      </w:r>
      <w:r>
        <w:rPr>
          <w:spacing w:val="-2"/>
        </w:rPr>
        <w:t>很可能不会转回，也不予确认有关的递延所得税负债。除上述例外情况，本公司确认其他所有应纳税暂时性差异产生的递延</w:t>
      </w:r>
      <w:r>
        <w:rPr>
          <w:spacing w:val="-63"/>
        </w:rPr>
        <w:t> </w:t>
      </w:r>
      <w:r>
        <w:rPr>
          <w:spacing w:val="-63"/>
        </w:rPr>
      </w:r>
      <w:r>
        <w:rPr/>
        <w:t>所得税负债。</w:t>
      </w:r>
    </w:p>
    <w:p>
      <w:pPr>
        <w:pStyle w:val="BodyText"/>
        <w:spacing w:line="319" w:lineRule="auto" w:before="79"/>
        <w:ind w:right="1130" w:firstLine="420"/>
        <w:jc w:val="both"/>
      </w:pPr>
      <w:r>
        <w:rPr/>
        <w:t>与既不是企业合并、发生时也不影响会计利润和应纳税所得额（或可抵扣亏损）的交易中产生的资产或负债的初始确 </w:t>
      </w:r>
      <w:r>
        <w:rPr>
          <w:spacing w:val="-2"/>
        </w:rPr>
        <w:t>认有关的可抵扣暂时性差异，不予确认有关的递延所得税资产。此外，对与子公司、联营企业及合营企业投资相关的可抵扣</w:t>
      </w:r>
      <w:r>
        <w:rPr>
          <w:spacing w:val="-66"/>
        </w:rPr>
        <w:t> </w:t>
      </w:r>
      <w:r>
        <w:rPr>
          <w:spacing w:val="-66"/>
        </w:rPr>
      </w:r>
      <w:r>
        <w:rPr>
          <w:spacing w:val="-2"/>
        </w:rPr>
        <w:t>暂时性差异，如果暂时性差异在可预见的未来不是很可能转回，或者未来不是很可能获得用来抵扣可抵扣暂时性差异的应纳</w:t>
      </w:r>
      <w:r>
        <w:rPr>
          <w:spacing w:val="-63"/>
        </w:rPr>
        <w:t> </w:t>
      </w:r>
      <w:r>
        <w:rPr>
          <w:spacing w:val="-63"/>
        </w:rPr>
      </w:r>
      <w:r>
        <w:rPr>
          <w:spacing w:val="-2"/>
        </w:rPr>
        <w:t>税所得额，不予确认有关的递延所得税资产。除上述例外情况，本公司以很可能取得用来抵扣可抵扣暂时性差异的应纳税所</w:t>
      </w:r>
      <w:r>
        <w:rPr>
          <w:spacing w:val="-63"/>
        </w:rPr>
        <w:t> </w:t>
      </w:r>
      <w:r>
        <w:rPr>
          <w:spacing w:val="-63"/>
        </w:rPr>
      </w:r>
      <w:r>
        <w:rPr/>
        <w:t>得额为限，确认其他可抵扣暂时性差异产生的递延所得税资产。</w:t>
      </w:r>
    </w:p>
    <w:p>
      <w:pPr>
        <w:pStyle w:val="BodyText"/>
        <w:spacing w:line="316" w:lineRule="auto" w:before="77"/>
        <w:ind w:right="1138" w:firstLine="420"/>
        <w:jc w:val="both"/>
      </w:pPr>
      <w:r>
        <w:rPr/>
        <w:t>对于能够结转以后年度的可抵扣亏损和税款抵减，以很可能获得用来抵扣可抵扣亏损和税款抵减的未来应纳税所得额 为限，确认相应的递延所得税资产。</w:t>
      </w:r>
    </w:p>
    <w:p>
      <w:pPr>
        <w:pStyle w:val="BodyText"/>
        <w:spacing w:line="316" w:lineRule="auto" w:before="79"/>
        <w:ind w:right="1138" w:firstLine="420"/>
        <w:jc w:val="both"/>
      </w:pPr>
      <w:r>
        <w:rPr/>
        <w:t>资产负债表日，对于递延所得税资产和递延所得税负债，根据税法规定，按照预期收回相关资产或清偿相关负债期间 的适用税率计量。</w:t>
      </w:r>
    </w:p>
    <w:p>
      <w:pPr>
        <w:pStyle w:val="BodyText"/>
        <w:spacing w:line="316" w:lineRule="auto" w:before="79"/>
        <w:ind w:right="1135" w:firstLine="420"/>
        <w:jc w:val="both"/>
      </w:pPr>
      <w:r>
        <w:rPr/>
        <w:t>于资产负债表日，对递延所得税资产的账面价值进行复核，如果未来很可能无法获得足够的应纳税所得额用以抵扣递 延所得税资产的利益，则减记递延所得税资产的账面价值。在很可能获得足够的应纳税所得额时，减记的金额予以转回。</w:t>
      </w:r>
    </w:p>
    <w:p>
      <w:pPr>
        <w:pStyle w:val="BodyText"/>
        <w:spacing w:line="379" w:lineRule="auto" w:before="79"/>
        <w:ind w:left="573" w:right="6913"/>
        <w:jc w:val="left"/>
      </w:pPr>
      <w:r>
        <w:rPr/>
        <w:t>（</w:t>
      </w:r>
      <w:r>
        <w:rPr>
          <w:rFonts w:ascii="宋体" w:hAnsi="宋体" w:cs="宋体" w:eastAsia="宋体" w:hint="default"/>
        </w:rPr>
        <w:t>3</w:t>
      </w:r>
      <w:r>
        <w:rPr/>
        <w:t>）所得税费用 所得税费用包括当期所得税和递延所得税。</w:t>
      </w:r>
    </w:p>
    <w:p>
      <w:pPr>
        <w:pStyle w:val="BodyText"/>
        <w:spacing w:line="316" w:lineRule="auto" w:before="32"/>
        <w:ind w:right="1138" w:firstLine="420"/>
        <w:jc w:val="both"/>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379" w:lineRule="auto" w:before="79"/>
        <w:ind w:left="573" w:right="1133"/>
        <w:jc w:val="left"/>
      </w:pPr>
      <w:r>
        <w:rPr/>
        <w:t>（</w:t>
      </w:r>
      <w:r>
        <w:rPr>
          <w:rFonts w:ascii="宋体" w:hAnsi="宋体" w:cs="宋体" w:eastAsia="宋体" w:hint="default"/>
        </w:rPr>
        <w:t>4</w:t>
      </w:r>
      <w:r>
        <w:rPr/>
        <w:t>）所得税的抵销 当拥有以净额结算的法定权利，且意图以净额结算或取得资产、清偿负债同时进行时，本公司当期所得税资产及当期</w:t>
      </w:r>
    </w:p>
    <w:p>
      <w:pPr>
        <w:pStyle w:val="BodyText"/>
        <w:spacing w:line="208" w:lineRule="exact"/>
        <w:ind w:right="1133"/>
        <w:jc w:val="left"/>
      </w:pPr>
      <w:r>
        <w:rPr/>
        <w:t>所得税负债以抵销后的净额列报。</w:t>
      </w:r>
    </w:p>
    <w:p>
      <w:pPr>
        <w:pStyle w:val="BodyText"/>
        <w:spacing w:line="316" w:lineRule="auto" w:before="136"/>
        <w:ind w:right="1133" w:firstLine="420"/>
        <w:jc w:val="both"/>
      </w:pPr>
      <w:r>
        <w:rPr/>
        <w:t>当拥有以净额结算当期所得税资产及当期所得税负债的法定权利，且递延所得税资产及递延所得税负债是与同一税收 </w:t>
      </w:r>
      <w:r>
        <w:rPr>
          <w:spacing w:val="-2"/>
        </w:rPr>
        <w:t>征管部门对同一纳税主体征收的所得税相关或者是对不同的纳税主体相关，但在未来每一具有重要性的递延所得税资产及负</w:t>
      </w:r>
      <w:r>
        <w:rPr>
          <w:spacing w:val="-64"/>
        </w:rPr>
        <w:t> </w:t>
      </w:r>
      <w:r>
        <w:rPr>
          <w:spacing w:val="-64"/>
        </w:rPr>
      </w:r>
      <w:r>
        <w:rPr>
          <w:spacing w:val="-2"/>
        </w:rPr>
        <w:t>债转回的期间内，涉及的纳税主体意图以净额结算当期所得税资产和负债或是同时取得资产、清偿负债时，本公司递延所得</w:t>
      </w:r>
      <w:r>
        <w:rPr>
          <w:spacing w:val="-66"/>
        </w:rPr>
        <w:t> </w:t>
      </w:r>
      <w:r>
        <w:rPr>
          <w:spacing w:val="-66"/>
        </w:rPr>
      </w:r>
      <w:r>
        <w:rPr/>
        <w:t>税资产及递延所得税负债以抵销后的净额列报。</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30、租赁" w:id="220"/>
      <w:bookmarkEnd w:id="220"/>
      <w:r>
        <w:rPr>
          <w:b w:val="0"/>
          <w:bCs w:val="0"/>
        </w:rPr>
      </w:r>
      <w:r>
        <w:rPr>
          <w:rFonts w:ascii="Times New Roman" w:hAnsi="Times New Roman" w:cs="Times New Roman" w:eastAsia="Times New Roman" w:hint="default"/>
        </w:rPr>
        <w:t>30</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经营租赁的会计处理方法" w:id="221"/>
      <w:bookmarkEnd w:id="221"/>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79" w:lineRule="auto"/>
        <w:ind w:left="573" w:right="1133"/>
        <w:jc w:val="left"/>
      </w:pPr>
      <w:r>
        <w:rPr/>
        <w:t>①本公司作为承租人记录经营租赁业务 经营租赁的租金支出在租赁期内的各个期间按直线法计入相关资产成本或当期损益。初始直接费用计入当期损益。或</w:t>
      </w:r>
    </w:p>
    <w:p>
      <w:pPr>
        <w:pStyle w:val="BodyText"/>
        <w:spacing w:line="208" w:lineRule="exact"/>
        <w:ind w:right="1133"/>
        <w:jc w:val="left"/>
      </w:pPr>
      <w:r>
        <w:rPr/>
        <w:t>有租金于实际发生时计入当期损益。</w:t>
      </w:r>
    </w:p>
    <w:p>
      <w:pPr>
        <w:pStyle w:val="BodyText"/>
        <w:spacing w:line="379" w:lineRule="auto" w:before="136"/>
        <w:ind w:left="573" w:right="1133"/>
        <w:jc w:val="left"/>
      </w:pPr>
      <w:r>
        <w:rPr/>
        <w:t>②本公司作为出租人记录经营租赁业务 经营租赁的租金收入在租赁期内的各个期间按直线法确认为当期损益。对金额较大的初始直接费用于发生时予以资本</w:t>
      </w:r>
    </w:p>
    <w:p>
      <w:pPr>
        <w:pStyle w:val="BodyText"/>
        <w:spacing w:line="208" w:lineRule="exact"/>
        <w:ind w:right="0"/>
        <w:jc w:val="left"/>
      </w:pPr>
      <w:r>
        <w:rPr/>
        <w:t>化，在整个租赁期间内按照与确认租金收入相同的基础分期计入当期损益；其他金额较小的初始直接费用于发生时计入当期</w:t>
      </w:r>
    </w:p>
    <w:p>
      <w:pPr>
        <w:spacing w:after="0" w:line="208" w:lineRule="exact"/>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损益。或有租金于实际发生时计入当期损益。</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bookmarkStart w:name="（2）融资租赁的会计处理方法" w:id="222"/>
      <w:bookmarkEnd w:id="222"/>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79" w:lineRule="auto"/>
        <w:ind w:left="573" w:right="1133"/>
        <w:jc w:val="left"/>
      </w:pPr>
      <w:r>
        <w:rPr/>
        <w:t>①本公司作为承租人记录融资租赁业务 于租赁期开始日，将租赁开始日租赁资产的公允价值与最低租赁付款额现值两者中较低者作为租入资产的入账价值，</w:t>
      </w:r>
    </w:p>
    <w:p>
      <w:pPr>
        <w:pStyle w:val="BodyText"/>
        <w:spacing w:line="208" w:lineRule="exact"/>
        <w:ind w:right="0"/>
        <w:jc w:val="both"/>
      </w:pPr>
      <w:r>
        <w:rPr/>
        <w:t>将最低租赁付款额作为长期应付款的入账价值，其差额作为未确认融资费用。此外，在租赁谈判和签订租赁合同过程中发生</w:t>
      </w:r>
    </w:p>
    <w:p>
      <w:pPr>
        <w:pStyle w:val="BodyText"/>
        <w:spacing w:line="316" w:lineRule="auto" w:before="76"/>
        <w:ind w:right="1129"/>
        <w:jc w:val="left"/>
      </w:pPr>
      <w:r>
        <w:rPr>
          <w:spacing w:val="-2"/>
        </w:rPr>
        <w:t>的，可归属于租赁项目的初始直接费用也计入租入资产价值。最低租赁付款额扣除未确认融资费用后的余额分别长期负债和</w:t>
      </w:r>
      <w:r>
        <w:rPr>
          <w:spacing w:val="-64"/>
        </w:rPr>
        <w:t> </w:t>
      </w:r>
      <w:r>
        <w:rPr>
          <w:spacing w:val="-64"/>
        </w:rPr>
      </w:r>
      <w:r>
        <w:rPr/>
        <w:t>一年内到期的长期负债列示。</w:t>
      </w:r>
    </w:p>
    <w:p>
      <w:pPr>
        <w:pStyle w:val="BodyText"/>
        <w:spacing w:line="240" w:lineRule="auto" w:before="79"/>
        <w:ind w:left="573" w:right="1133"/>
        <w:jc w:val="left"/>
      </w:pPr>
      <w:r>
        <w:rPr/>
        <w:t>未确认融资费用在租赁期内采用实际利率法计算确认当期的融资费用。或有租金于实际发生时计入当期损益。</w:t>
      </w:r>
    </w:p>
    <w:p>
      <w:pPr>
        <w:pStyle w:val="BodyText"/>
        <w:spacing w:line="379" w:lineRule="auto" w:before="136"/>
        <w:ind w:left="573" w:right="1133"/>
        <w:jc w:val="left"/>
      </w:pPr>
      <w:r>
        <w:rPr/>
        <w:t>②本公司作为出租人记录融资租赁业务 于租赁期开始日，将租赁开始日最低租赁收款额与初始直接费用之和作为应收融资租赁款的入账价值，同时记录未担</w:t>
      </w:r>
    </w:p>
    <w:p>
      <w:pPr>
        <w:pStyle w:val="BodyText"/>
        <w:spacing w:line="208" w:lineRule="exact"/>
        <w:ind w:right="0"/>
        <w:jc w:val="both"/>
      </w:pPr>
      <w:r>
        <w:rPr/>
        <w:t>保余值；将最低租赁收款额、初始直接费用及未担保余值之和与其现值之和的差额确认为未实现融资收益。应收融资租赁款</w:t>
      </w:r>
    </w:p>
    <w:p>
      <w:pPr>
        <w:pStyle w:val="BodyText"/>
        <w:spacing w:line="379" w:lineRule="auto" w:before="76"/>
        <w:ind w:left="573" w:right="1693" w:hanging="421"/>
        <w:jc w:val="left"/>
      </w:pPr>
      <w:r>
        <w:rPr/>
        <w:t>扣除未实现融资收益后的余额分别长期债权和一年内到期的长期债权列示。 未实现融资收益在租赁期内采用实际利率法计算确认当期的融资收入。或有租金于实际发生时计入当期损益。</w:t>
      </w: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bookmarkStart w:name="31、其他重要的会计政策和会计估计" w:id="223"/>
      <w:bookmarkEnd w:id="223"/>
      <w:r>
        <w:rPr>
          <w:b w:val="0"/>
          <w:bCs w:val="0"/>
        </w:rPr>
      </w:r>
      <w:r>
        <w:rPr>
          <w:rFonts w:ascii="Times New Roman" w:hAnsi="Times New Roman" w:cs="Times New Roman" w:eastAsia="Times New Roman" w:hint="default"/>
        </w:rPr>
        <w:t>31</w:t>
      </w:r>
      <w:r>
        <w:rPr/>
        <w:t>、其他重要的会计政策和会计估计</w:t>
      </w:r>
      <w:r>
        <w:rPr>
          <w:b w:val="0"/>
          <w:bCs w:val="0"/>
        </w:rPr>
      </w:r>
    </w:p>
    <w:p>
      <w:pPr>
        <w:spacing w:line="240" w:lineRule="auto" w:before="2"/>
        <w:rPr>
          <w:rFonts w:ascii="宋体" w:hAnsi="宋体" w:cs="宋体" w:eastAsia="宋体" w:hint="default"/>
          <w:b/>
          <w:bCs/>
          <w:sz w:val="26"/>
          <w:szCs w:val="26"/>
        </w:rPr>
      </w:pPr>
    </w:p>
    <w:p>
      <w:pPr>
        <w:pStyle w:val="BodyText"/>
        <w:spacing w:line="379" w:lineRule="auto"/>
        <w:ind w:left="573" w:right="2053"/>
        <w:jc w:val="left"/>
      </w:pPr>
      <w:r>
        <w:rPr/>
        <w:t>回购股份 股份回购中支付的对价和交易费用减少股东权益，回购、转让或注销本公司股份时，不确认利得或损失。</w:t>
      </w:r>
    </w:p>
    <w:p>
      <w:pPr>
        <w:pStyle w:val="BodyText"/>
        <w:spacing w:line="316" w:lineRule="auto" w:before="32"/>
        <w:ind w:right="1135" w:firstLine="420"/>
        <w:jc w:val="both"/>
      </w:pPr>
      <w:r>
        <w:rPr/>
        <w:t>转让库存股，按实际收到的金额与库存股账面金额的差额，计入资本公积，资本公积不足冲减的，冲减盈余公积和未 </w:t>
      </w:r>
      <w:r>
        <w:rPr>
          <w:spacing w:val="-2"/>
        </w:rPr>
        <w:t>分配利润。注销库存股，按股票面值和注销股数减少股本，按注销库存股的账面余额与面值的差额，冲减资本公积，资本公</w:t>
      </w:r>
      <w:r>
        <w:rPr>
          <w:spacing w:val="-67"/>
        </w:rPr>
        <w:t> </w:t>
      </w:r>
      <w:r>
        <w:rPr>
          <w:spacing w:val="-67"/>
        </w:rPr>
      </w:r>
      <w:r>
        <w:rPr/>
        <w:t>积不足冲减的，冲减盈余公积和未分配利润。</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bookmarkStart w:name="32、重要会计政策和会计估计变更" w:id="224"/>
      <w:bookmarkEnd w:id="224"/>
      <w:r>
        <w:rPr>
          <w:b w:val="0"/>
          <w:bCs w:val="0"/>
        </w:rPr>
      </w:r>
      <w:r>
        <w:rPr>
          <w:rFonts w:ascii="Times New Roman" w:hAnsi="Times New Roman" w:cs="Times New Roman" w:eastAsia="Times New Roman" w:hint="default"/>
        </w:rPr>
        <w:t>32</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重要会计政策变更" w:id="225"/>
      <w:bookmarkEnd w:id="225"/>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76" w:lineRule="auto" w:before="125"/>
        <w:ind w:left="573" w:right="1063"/>
        <w:jc w:val="left"/>
      </w:pPr>
      <w:r>
        <w:rPr/>
        <w:t>①执行新金融工具准则导致的会计政策变更 财政部于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31</w:t>
      </w:r>
      <w:r>
        <w:rPr/>
        <w:t>日分别发布了《企业会计准则第</w:t>
      </w:r>
      <w:r>
        <w:rPr>
          <w:rFonts w:ascii="宋体" w:hAnsi="宋体" w:cs="宋体" w:eastAsia="宋体" w:hint="default"/>
        </w:rPr>
        <w:t>22</w:t>
      </w:r>
      <w:r>
        <w:rPr/>
        <w:t>号——金融工具确认和计量（</w:t>
      </w:r>
      <w:r>
        <w:rPr>
          <w:rFonts w:ascii="宋体" w:hAnsi="宋体" w:cs="宋体" w:eastAsia="宋体" w:hint="default"/>
        </w:rPr>
        <w:t>2017</w:t>
      </w:r>
      <w:r>
        <w:rPr/>
        <w:t>年修订）》（财会〔</w:t>
      </w:r>
      <w:r>
        <w:rPr>
          <w:rFonts w:ascii="宋体" w:hAnsi="宋体" w:cs="宋体" w:eastAsia="宋体" w:hint="default"/>
        </w:rPr>
        <w:t>2017</w:t>
      </w:r>
      <w:r>
        <w:rPr/>
        <w:t>〕</w:t>
      </w:r>
    </w:p>
    <w:p>
      <w:pPr>
        <w:pStyle w:val="BodyText"/>
        <w:spacing w:line="209" w:lineRule="exact"/>
        <w:ind w:right="0"/>
        <w:jc w:val="both"/>
      </w:pPr>
      <w:r>
        <w:rPr>
          <w:rFonts w:ascii="宋体" w:hAnsi="宋体" w:cs="宋体" w:eastAsia="宋体" w:hint="default"/>
        </w:rPr>
        <w:t>7</w:t>
      </w:r>
      <w:r>
        <w:rPr/>
        <w:t>号）、《企业会计准则第</w:t>
      </w:r>
      <w:r>
        <w:rPr>
          <w:rFonts w:ascii="宋体" w:hAnsi="宋体" w:cs="宋体" w:eastAsia="宋体" w:hint="default"/>
        </w:rPr>
        <w:t>23</w:t>
      </w:r>
      <w:r>
        <w:rPr/>
        <w:t>号——金融资产转移（</w:t>
      </w:r>
      <w:r>
        <w:rPr>
          <w:rFonts w:ascii="宋体" w:hAnsi="宋体" w:cs="宋体" w:eastAsia="宋体" w:hint="default"/>
        </w:rPr>
        <w:t>2017</w:t>
      </w:r>
      <w:r>
        <w:rPr/>
        <w:t>年修订）》（财会〔</w:t>
      </w:r>
      <w:r>
        <w:rPr>
          <w:rFonts w:ascii="宋体" w:hAnsi="宋体" w:cs="宋体" w:eastAsia="宋体" w:hint="default"/>
        </w:rPr>
        <w:t>2017</w:t>
      </w:r>
      <w:r>
        <w:rPr/>
        <w:t>〕</w:t>
      </w:r>
      <w:r>
        <w:rPr>
          <w:rFonts w:ascii="宋体" w:hAnsi="宋体" w:cs="宋体" w:eastAsia="宋体" w:hint="default"/>
        </w:rPr>
        <w:t>8</w:t>
      </w:r>
      <w:r>
        <w:rPr/>
        <w:t>号）、《企业会计准则第</w:t>
      </w:r>
      <w:r>
        <w:rPr>
          <w:rFonts w:ascii="宋体" w:hAnsi="宋体" w:cs="宋体" w:eastAsia="宋体" w:hint="default"/>
        </w:rPr>
        <w:t>24</w:t>
      </w:r>
      <w:r>
        <w:rPr/>
        <w:t>号——套期</w:t>
      </w:r>
    </w:p>
    <w:p>
      <w:pPr>
        <w:pStyle w:val="BodyText"/>
        <w:spacing w:line="319" w:lineRule="auto" w:before="76"/>
        <w:ind w:right="1131"/>
        <w:jc w:val="both"/>
      </w:pPr>
      <w:r>
        <w:rPr/>
        <w:t>会计（</w:t>
      </w:r>
      <w:r>
        <w:rPr>
          <w:rFonts w:ascii="宋体" w:hAnsi="宋体" w:cs="宋体" w:eastAsia="宋体" w:hint="default"/>
        </w:rPr>
        <w:t>2017</w:t>
      </w:r>
      <w:r>
        <w:rPr/>
        <w:t>年修订）》（财会〔</w:t>
      </w:r>
      <w:r>
        <w:rPr>
          <w:rFonts w:ascii="宋体" w:hAnsi="宋体" w:cs="宋体" w:eastAsia="宋体" w:hint="default"/>
        </w:rPr>
        <w:t>2017</w:t>
      </w:r>
      <w:r>
        <w:rPr/>
        <w:t>〕</w:t>
      </w:r>
      <w:r>
        <w:rPr>
          <w:rFonts w:ascii="宋体" w:hAnsi="宋体" w:cs="宋体" w:eastAsia="宋体" w:hint="default"/>
        </w:rPr>
        <w:t>9</w:t>
      </w:r>
      <w:r>
        <w:rPr/>
        <w:t>号），于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w:t>
      </w:r>
      <w:r>
        <w:rPr/>
        <w:t>日发布了《企业会计准则第</w:t>
      </w:r>
      <w:r>
        <w:rPr>
          <w:rFonts w:ascii="宋体" w:hAnsi="宋体" w:cs="宋体" w:eastAsia="宋体" w:hint="default"/>
        </w:rPr>
        <w:t>37</w:t>
      </w:r>
      <w:r>
        <w:rPr/>
        <w:t>号——金融工具列报（</w:t>
      </w:r>
      <w:r>
        <w:rPr>
          <w:rFonts w:ascii="宋体" w:hAnsi="宋体" w:cs="宋体" w:eastAsia="宋体" w:hint="default"/>
        </w:rPr>
        <w:t>2017</w:t>
      </w:r>
      <w:r>
        <w:rPr/>
        <w:t>年修</w:t>
      </w:r>
      <w:r>
        <w:rPr>
          <w:spacing w:val="-3"/>
        </w:rPr>
        <w:t> </w:t>
      </w:r>
      <w:r>
        <w:rPr>
          <w:spacing w:val="-2"/>
        </w:rPr>
        <w:t>订）》（财会〔</w:t>
      </w:r>
      <w:r>
        <w:rPr>
          <w:rFonts w:ascii="宋体" w:hAnsi="宋体" w:cs="宋体" w:eastAsia="宋体" w:hint="default"/>
          <w:spacing w:val="-2"/>
        </w:rPr>
        <w:t>2017</w:t>
      </w:r>
      <w:r>
        <w:rPr>
          <w:spacing w:val="-2"/>
        </w:rPr>
        <w:t>〕</w:t>
      </w:r>
      <w:r>
        <w:rPr>
          <w:rFonts w:ascii="宋体" w:hAnsi="宋体" w:cs="宋体" w:eastAsia="宋体" w:hint="default"/>
          <w:spacing w:val="-2"/>
        </w:rPr>
        <w:t>14</w:t>
      </w:r>
      <w:r>
        <w:rPr>
          <w:spacing w:val="-2"/>
        </w:rPr>
        <w:t>号）（上述准则统称“新金融工具准则”），要求境内上市企业自</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日起执行新金融工具</w:t>
      </w:r>
      <w:r>
        <w:rPr>
          <w:spacing w:val="-62"/>
        </w:rPr>
        <w:t> </w:t>
      </w:r>
      <w:r>
        <w:rPr>
          <w:spacing w:val="-62"/>
        </w:rPr>
      </w:r>
      <w:r>
        <w:rPr/>
        <w:t>准则。</w:t>
      </w:r>
    </w:p>
    <w:p>
      <w:pPr>
        <w:pStyle w:val="BodyText"/>
        <w:spacing w:line="240" w:lineRule="auto" w:before="77"/>
        <w:ind w:left="573" w:right="0"/>
        <w:jc w:val="left"/>
      </w:pPr>
      <w:r>
        <w:rPr/>
        <w:t>经本公司第三届董事会第十四次会议于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24</w:t>
      </w:r>
      <w:r>
        <w:rPr/>
        <w:t>日决议通过，本公司于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日起开始执行前述新金融工具准</w:t>
      </w:r>
    </w:p>
    <w:p>
      <w:pPr>
        <w:pStyle w:val="BodyText"/>
        <w:spacing w:line="240" w:lineRule="auto" w:before="76"/>
        <w:ind w:right="1133"/>
        <w:jc w:val="left"/>
      </w:pPr>
      <w:r>
        <w:rPr/>
        <w:t>则。</w:t>
      </w:r>
    </w:p>
    <w:p>
      <w:pPr>
        <w:pStyle w:val="BodyText"/>
        <w:spacing w:line="316" w:lineRule="auto" w:before="136"/>
        <w:ind w:right="1130" w:firstLine="420"/>
        <w:jc w:val="both"/>
      </w:pPr>
      <w:r>
        <w:rPr/>
        <w:t>在新金融工具准则下所有已确认金融资产，其后续均按摊余成本或公允价值计量。在新金融工具准则施行日，以本公 </w:t>
      </w:r>
      <w:r>
        <w:rPr>
          <w:spacing w:val="-2"/>
        </w:rPr>
        <w:t>司该日既有事实和情况为基础评估管理金融资产的业务模式、以金融资产初始确认时的事实和情况为基础评估该金融资产上</w:t>
      </w:r>
      <w:r>
        <w:rPr>
          <w:spacing w:val="-64"/>
        </w:rPr>
        <w:t> </w:t>
      </w:r>
      <w:r>
        <w:rPr>
          <w:spacing w:val="-64"/>
        </w:rPr>
      </w:r>
      <w:r>
        <w:rPr>
          <w:spacing w:val="-2"/>
        </w:rPr>
        <w:t>的合同现金流量特征，将金融资产分为三类：按摊余成本计量、按公允价值计量且其变动计入其他综合收益及按公允价值计</w:t>
      </w:r>
      <w:r>
        <w:rPr>
          <w:spacing w:val="-63"/>
        </w:rPr>
        <w:t> </w:t>
      </w:r>
      <w:r>
        <w:rPr>
          <w:spacing w:val="-63"/>
        </w:rPr>
      </w:r>
      <w:r>
        <w:rPr>
          <w:spacing w:val="-2"/>
        </w:rPr>
        <w:t>量且其变动计入当期损益。其中，对于按公允价值计量且其变动计入其他综合收益的权益工具投资，当该金融资产终止确认</w:t>
      </w:r>
      <w:r>
        <w:rPr>
          <w:spacing w:val="-63"/>
        </w:rPr>
        <w:t> </w:t>
      </w:r>
      <w:r>
        <w:rPr>
          <w:spacing w:val="-63"/>
        </w:rPr>
      </w:r>
      <w:r>
        <w:rPr/>
        <w:t>时，之前计入其他综合收益的累计利得或损失将从其他综合收益转入留存收益，不计入当期损益。</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4" w:firstLine="420"/>
        <w:jc w:val="both"/>
      </w:pPr>
      <w:r>
        <w:rPr/>
        <w:t>在新金融工具准则下，本公司以预期信用损失为基础，对以摊余成本计量的金融资产、以公允价值计量且其变动计入 其他综合收益的债务工具投资、租赁应收款、合同资产及财务担保合同计提减值准备并确认信用减值损失。</w:t>
      </w:r>
    </w:p>
    <w:p>
      <w:pPr>
        <w:pStyle w:val="BodyText"/>
        <w:spacing w:line="316" w:lineRule="auto" w:before="77"/>
        <w:ind w:right="1129" w:firstLine="420"/>
        <w:jc w:val="both"/>
      </w:pPr>
      <w:r>
        <w:rPr/>
        <w:t>本公司追溯应用新金融工具准则，但对于分类和计量（含减值）涉及前期比较财务报表数据与新金融工具准则不一致 </w:t>
      </w:r>
      <w:r>
        <w:rPr>
          <w:spacing w:val="-2"/>
        </w:rPr>
        <w:t>的，本公司选择不进行重述。本公司将于</w:t>
      </w:r>
      <w:r>
        <w:rPr>
          <w:rFonts w:ascii="宋体" w:hAnsi="宋体" w:cs="宋体" w:eastAsia="宋体" w:hint="default"/>
          <w:spacing w:val="-2"/>
        </w:rPr>
        <w:t>2019</w:t>
      </w:r>
      <w:r>
        <w:rPr>
          <w:spacing w:val="-2"/>
        </w:rPr>
        <w:t>年起按新准则要求进行会计报表披露，不重述</w:t>
      </w:r>
      <w:r>
        <w:rPr>
          <w:rFonts w:ascii="宋体" w:hAnsi="宋体" w:cs="宋体" w:eastAsia="宋体" w:hint="default"/>
          <w:spacing w:val="-2"/>
        </w:rPr>
        <w:t>2018</w:t>
      </w:r>
      <w:r>
        <w:rPr>
          <w:spacing w:val="-2"/>
        </w:rPr>
        <w:t>年可比数，本次会计政策变</w:t>
      </w:r>
      <w:r>
        <w:rPr>
          <w:spacing w:val="-58"/>
        </w:rPr>
        <w:t> </w:t>
      </w:r>
      <w:r>
        <w:rPr>
          <w:spacing w:val="-58"/>
        </w:rPr>
      </w:r>
      <w:r>
        <w:rPr/>
        <w:t>更不影响公司</w:t>
      </w:r>
      <w:r>
        <w:rPr>
          <w:rFonts w:ascii="宋体" w:hAnsi="宋体" w:cs="宋体" w:eastAsia="宋体" w:hint="default"/>
        </w:rPr>
        <w:t>2018</w:t>
      </w:r>
      <w:r>
        <w:rPr/>
        <w:t>年度相关财务指标。</w:t>
      </w:r>
    </w:p>
    <w:p>
      <w:pPr>
        <w:pStyle w:val="BodyText"/>
        <w:spacing w:line="379" w:lineRule="auto" w:before="79"/>
        <w:ind w:left="573" w:right="1133"/>
        <w:jc w:val="left"/>
      </w:pPr>
      <w:r>
        <w:rPr/>
        <w:t>②财务报表格式修订 </w:t>
      </w:r>
      <w:r>
        <w:rPr>
          <w:spacing w:val="-2"/>
        </w:rPr>
        <w:t>根据财政部《关于修订印发</w:t>
      </w:r>
      <w:r>
        <w:rPr>
          <w:rFonts w:ascii="宋体" w:hAnsi="宋体" w:cs="宋体" w:eastAsia="宋体" w:hint="default"/>
          <w:spacing w:val="-2"/>
        </w:rPr>
        <w:t>2019</w:t>
      </w:r>
      <w:r>
        <w:rPr>
          <w:spacing w:val="-2"/>
        </w:rPr>
        <w:t>年度一般企业财务报表格式的通知》（财会</w:t>
      </w:r>
      <w:r>
        <w:rPr>
          <w:rFonts w:ascii="宋体" w:hAnsi="宋体" w:cs="宋体" w:eastAsia="宋体" w:hint="default"/>
          <w:spacing w:val="-2"/>
        </w:rPr>
        <w:t>[2019]6</w:t>
      </w:r>
      <w:r>
        <w:rPr>
          <w:spacing w:val="-2"/>
        </w:rPr>
        <w:t>号）和《关于修订印发合并财务报</w:t>
      </w:r>
    </w:p>
    <w:p>
      <w:pPr>
        <w:pStyle w:val="BodyText"/>
        <w:spacing w:line="208" w:lineRule="exact"/>
        <w:ind w:right="0"/>
        <w:jc w:val="left"/>
      </w:pPr>
      <w:r>
        <w:rPr/>
        <w:t>表格式（</w:t>
      </w:r>
      <w:r>
        <w:rPr>
          <w:rFonts w:ascii="宋体" w:hAnsi="宋体" w:cs="宋体" w:eastAsia="宋体" w:hint="default"/>
        </w:rPr>
        <w:t>2019</w:t>
      </w:r>
      <w:r>
        <w:rPr/>
        <w:t>版）的通知》（财会</w:t>
      </w:r>
      <w:r>
        <w:rPr>
          <w:rFonts w:ascii="宋体" w:hAnsi="宋体" w:cs="宋体" w:eastAsia="宋体" w:hint="default"/>
        </w:rPr>
        <w:t>[2019]16</w:t>
      </w:r>
      <w:r>
        <w:rPr/>
        <w:t>号）的规定，对一般企业财务报表格式进行了修订。本公司按照财政部规定的新</w:t>
      </w:r>
    </w:p>
    <w:p>
      <w:pPr>
        <w:pStyle w:val="BodyText"/>
        <w:spacing w:line="316" w:lineRule="auto" w:before="76"/>
        <w:ind w:right="1129"/>
        <w:jc w:val="left"/>
      </w:pPr>
      <w:r>
        <w:rPr>
          <w:spacing w:val="-2"/>
        </w:rPr>
        <w:t>的报表格式编制了报告期内的财务报表。财务报表格式的修订对本公司的资产总额、负债总额、净利润、其他综合收益等无</w:t>
      </w:r>
      <w:r>
        <w:rPr>
          <w:spacing w:val="-64"/>
        </w:rPr>
        <w:t> </w:t>
      </w:r>
      <w:r>
        <w:rPr>
          <w:spacing w:val="-64"/>
        </w:rPr>
      </w:r>
      <w:r>
        <w:rPr/>
        <w:t>影响。</w:t>
      </w:r>
    </w:p>
    <w:p>
      <w:pPr>
        <w:pStyle w:val="BodyText"/>
        <w:spacing w:line="240" w:lineRule="auto" w:before="79"/>
        <w:ind w:left="573" w:right="1133"/>
        <w:jc w:val="left"/>
      </w:pPr>
      <w:r>
        <w:rPr/>
        <w:t>③非货币性资产交换</w:t>
      </w:r>
    </w:p>
    <w:p>
      <w:pPr>
        <w:pStyle w:val="BodyText"/>
        <w:spacing w:line="316" w:lineRule="auto" w:before="137"/>
        <w:ind w:right="1128" w:firstLine="420"/>
        <w:jc w:val="both"/>
      </w:pPr>
      <w:r>
        <w:rPr>
          <w:rFonts w:ascii="宋体" w:hAnsi="宋体" w:cs="宋体" w:eastAsia="宋体" w:hint="default"/>
        </w:rPr>
        <w:t>2019 </w:t>
      </w:r>
      <w:r>
        <w:rPr/>
        <w:t>年 </w:t>
      </w:r>
      <w:r>
        <w:rPr>
          <w:rFonts w:ascii="宋体" w:hAnsi="宋体" w:cs="宋体" w:eastAsia="宋体" w:hint="default"/>
        </w:rPr>
        <w:t>5 </w:t>
      </w:r>
      <w:r>
        <w:rPr/>
        <w:t>月</w:t>
      </w:r>
      <w:r>
        <w:rPr>
          <w:rFonts w:ascii="宋体" w:hAnsi="宋体" w:cs="宋体" w:eastAsia="宋体" w:hint="default"/>
        </w:rPr>
        <w:t>9</w:t>
      </w:r>
      <w:r>
        <w:rPr/>
        <w:t>日，财政部发布修订后的《企业会计准则第 </w:t>
      </w:r>
      <w:r>
        <w:rPr>
          <w:rFonts w:ascii="宋体" w:hAnsi="宋体" w:cs="宋体" w:eastAsia="宋体" w:hint="default"/>
        </w:rPr>
        <w:t>7</w:t>
      </w:r>
      <w:r>
        <w:rPr>
          <w:rFonts w:ascii="宋体" w:hAnsi="宋体" w:cs="宋体" w:eastAsia="宋体" w:hint="default"/>
          <w:spacing w:val="-56"/>
        </w:rPr>
        <w:t> </w:t>
      </w:r>
      <w:r>
        <w:rPr/>
        <w:t>号——非货币性资产交换》（财会</w:t>
      </w:r>
      <w:r>
        <w:rPr>
          <w:rFonts w:ascii="宋体" w:hAnsi="宋体" w:cs="宋体" w:eastAsia="宋体" w:hint="default"/>
        </w:rPr>
        <w:t>[2019]8</w:t>
      </w:r>
      <w:r>
        <w:rPr/>
        <w:t>号），修订后 的准则自</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10</w:t>
      </w:r>
      <w:r>
        <w:rPr/>
        <w:t>日起施行，对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日至本准则施行日之间发生的非货币性资产交换，应根据本准则进行调整， </w:t>
      </w:r>
      <w:r>
        <w:rPr>
          <w:spacing w:val="-2"/>
        </w:rPr>
        <w:t>对</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日之前发生的非货币性资产交换，不需要按照本准则的规定进行追溯调整。本公司未发生非货币性资产交换事</w:t>
      </w:r>
      <w:r>
        <w:rPr>
          <w:spacing w:val="-61"/>
        </w:rPr>
        <w:t> </w:t>
      </w:r>
      <w:r>
        <w:rPr>
          <w:spacing w:val="-61"/>
        </w:rPr>
      </w:r>
      <w:r>
        <w:rPr/>
        <w:t>项，该准则变更不会对公司的财务状况和经营成果产生影响。</w:t>
      </w:r>
    </w:p>
    <w:p>
      <w:pPr>
        <w:pStyle w:val="BodyText"/>
        <w:spacing w:line="240" w:lineRule="auto" w:before="79"/>
        <w:ind w:left="573" w:right="1133"/>
        <w:jc w:val="left"/>
      </w:pPr>
      <w:r>
        <w:rPr/>
        <w:t>④债务重组</w:t>
      </w:r>
    </w:p>
    <w:p>
      <w:pPr>
        <w:pStyle w:val="BodyText"/>
        <w:spacing w:line="316" w:lineRule="auto" w:before="136"/>
        <w:ind w:right="1128" w:firstLine="420"/>
        <w:jc w:val="both"/>
      </w:pPr>
      <w:r>
        <w:rPr>
          <w:rFonts w:ascii="宋体" w:hAnsi="宋体" w:cs="宋体" w:eastAsia="宋体" w:hint="default"/>
        </w:rPr>
        <w:t>2019 </w:t>
      </w:r>
      <w:r>
        <w:rPr/>
        <w:t>年 </w:t>
      </w:r>
      <w:r>
        <w:rPr>
          <w:rFonts w:ascii="宋体" w:hAnsi="宋体" w:cs="宋体" w:eastAsia="宋体" w:hint="default"/>
        </w:rPr>
        <w:t>5 </w:t>
      </w:r>
      <w:r>
        <w:rPr/>
        <w:t>月</w:t>
      </w:r>
      <w:r>
        <w:rPr>
          <w:rFonts w:ascii="宋体" w:hAnsi="宋体" w:cs="宋体" w:eastAsia="宋体" w:hint="default"/>
        </w:rPr>
        <w:t>16</w:t>
      </w:r>
      <w:r>
        <w:rPr/>
        <w:t>日，财政部发布修订后的《企业会计准则第 </w:t>
      </w:r>
      <w:r>
        <w:rPr>
          <w:rFonts w:ascii="宋体" w:hAnsi="宋体" w:cs="宋体" w:eastAsia="宋体" w:hint="default"/>
        </w:rPr>
        <w:t>12</w:t>
      </w:r>
      <w:r>
        <w:rPr>
          <w:rFonts w:ascii="宋体" w:hAnsi="宋体" w:cs="宋体" w:eastAsia="宋体" w:hint="default"/>
          <w:spacing w:val="-58"/>
        </w:rPr>
        <w:t> </w:t>
      </w:r>
      <w:r>
        <w:rPr/>
        <w:t>号——债务重组》（财会</w:t>
      </w:r>
      <w:r>
        <w:rPr>
          <w:rFonts w:ascii="宋体" w:hAnsi="宋体" w:cs="宋体" w:eastAsia="宋体" w:hint="default"/>
        </w:rPr>
        <w:t>[2019]9</w:t>
      </w:r>
      <w:r>
        <w:rPr/>
        <w:t>号），修订后的准则 自</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17</w:t>
      </w:r>
      <w:r>
        <w:rPr/>
        <w:t>日起施行，对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日至本准则施行日之间发生的债务重组，应根据本准则进行调整，对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 </w:t>
      </w:r>
      <w:r>
        <w:rPr>
          <w:spacing w:val="-2"/>
        </w:rPr>
        <w:t>之前发生的债务重组，不需要按照本准则的规定进行追溯调整。本公司未发生债务重组事项，该准则变更不会对公司的财务</w:t>
      </w:r>
      <w:r>
        <w:rPr>
          <w:spacing w:val="-61"/>
        </w:rPr>
        <w:t> </w:t>
      </w:r>
      <w:r>
        <w:rPr>
          <w:spacing w:val="-61"/>
        </w:rPr>
      </w:r>
      <w:r>
        <w:rPr/>
        <w:t>状况和经营成果产生影响。</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2）重要会计估计变更" w:id="226"/>
      <w:bookmarkEnd w:id="226"/>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2019年起执行新金融工具准则、新收入准则或新租赁准则调整执行当年年初财务" w:id="227"/>
      <w:bookmarkEnd w:id="227"/>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34" w:space="7387"/>
            <w:col w:w="200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300" w:right="0"/>
              <w:jc w:val="left"/>
              <w:rPr>
                <w:rFonts w:ascii="Times New Roman" w:hAnsi="Times New Roman" w:cs="Times New Roman" w:eastAsia="Times New Roman" w:hint="default"/>
                <w:sz w:val="18"/>
                <w:szCs w:val="18"/>
              </w:rPr>
            </w:pPr>
            <w:r>
              <w:rPr>
                <w:rFonts w:ascii="Times New Roman"/>
                <w:sz w:val="18"/>
              </w:rPr>
              <w:t>572,708,285.99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6" w:right="0"/>
              <w:jc w:val="left"/>
              <w:rPr>
                <w:rFonts w:ascii="Times New Roman" w:hAnsi="Times New Roman" w:cs="Times New Roman" w:eastAsia="Times New Roman" w:hint="default"/>
                <w:sz w:val="18"/>
                <w:szCs w:val="18"/>
              </w:rPr>
            </w:pPr>
            <w:r>
              <w:rPr>
                <w:rFonts w:ascii="Times New Roman"/>
                <w:sz w:val="18"/>
              </w:rPr>
              <w:t>572,708,285.99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917,300.00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917,300.00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599,886,629.33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599,886,629.33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103,052,392.47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103,052,392.47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98,802,386.60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98,802,386.60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473,444,069.39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473,444,069.39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2,917,860.11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2,917,860.11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1,851,728,923.89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1,851,728,923.89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246,675,191.87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246,675,191.87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5,266,632.90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5,266,632.90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80" w:header="745" w:top="1060" w:bottom="1160" w:left="980" w:right="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25,253,048.77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25,253,048.77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310,650,771.51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310,650,771.51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3,144,924.98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3,144,924.98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27,852,383.95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27,852,383.95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618,842,953.98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618,842,953.98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2,470,571,877.87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2,470,571,877.87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24,186,941.00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24,186,941.00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171,137,912.69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171,137,912.69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131,253,789.10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131,253,789.10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13,053,569.63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13,053,569.63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96,267,029.83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96,267,029.83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23,675,151.69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23,675,151.69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9,124,564.80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9,124,564.80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602,698,958.74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602,698,958.74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6,388,941.78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6,388,941.78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79,678.36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79,678.36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6,468,620.14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6,468,620.14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609,167,578.88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609,167,578.88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551,032,550.00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551,032,550.00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471,132,852.81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471,132,852.81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36,901,998.60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36,901,998.60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1,656,668.40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1,656,668.40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93,330,489.89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93,330,489.89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727,987,313.88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727,987,313.88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79"/>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1,808,237,876.38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1,808,237,876.38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53,166,422.61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53,166,422.61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1,861,404,298.99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1,861,404,298.99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2,470,571,877.87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2,470,571,877.87</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调整情况说明</w:t>
      </w:r>
    </w:p>
    <w:p>
      <w:pPr>
        <w:spacing w:after="0" w:line="240" w:lineRule="auto"/>
        <w:jc w:val="left"/>
        <w:sectPr>
          <w:footerReference w:type="default" r:id="rId16"/>
          <w:pgSz w:w="11910" w:h="16840"/>
          <w:pgMar w:footer="980" w:header="745" w:top="1060" w:bottom="1160" w:left="980" w:right="0"/>
          <w:pgNumType w:start="112"/>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母公司资产负债表</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420,584,176.26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420,584,176.26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504,134,384.18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504,134,384.18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88,469,472.07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88,469,472.07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193,527,072.46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193,527,072.46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344,774,895.14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344,774,895.14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1,551,490,000.11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1,551,490,000.11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512,276,948.90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512,276,948.90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174,632,075.28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174,632,075.28</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72,413.79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72,413.79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11,893,807.10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11,893,807.10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355,980.00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355,980.00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21,443,593.11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21,443,593.11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720,674,818.18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720,674,818.18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2,272,164,818.29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2,272,164,818.29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24,186,941.00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24,186,941.00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143,428,527.44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143,428,527.44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52,859,651.72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52,859,651.72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6,313,527.75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6,313,527.75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63,945,611.16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63,945,611.16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8,181,525.68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8,181,525.68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9,124,564.80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9,124,564.80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442,040,349.55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442,040,349.55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3,731,441.78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3,731,441.78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3,731,441.78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3,731,441.78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445,771,791.33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445,771,791.33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551,032,550.00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551,032,550.00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471,132,852.81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471,132,852.81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36,901,998.60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36,901,998.60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93,330,489.89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93,330,489.89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747,799,132.86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747,799,132.86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1,826,393,026.96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1,826,393,026.96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2,272,164,818.29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2,272,164,818.29</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调整情况说明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2019年起执行新金融工具准则或新租赁准则追溯调整前期比较数据说明" w:id="228"/>
      <w:bookmarkEnd w:id="228"/>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33、其他" w:id="229"/>
      <w:bookmarkEnd w:id="229"/>
      <w:r>
        <w:rPr>
          <w:b w:val="0"/>
          <w:bCs w:val="0"/>
        </w:rPr>
      </w:r>
      <w:r>
        <w:rPr>
          <w:rFonts w:ascii="Times New Roman" w:hAnsi="Times New Roman" w:cs="Times New Roman" w:eastAsia="Times New Roman" w:hint="default"/>
        </w:rPr>
        <w:t>33</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420"/>
        <w:jc w:val="left"/>
      </w:pPr>
      <w:r>
        <w:rPr/>
        <w:t>本公司在运用会计政策过程中，由于经营活动内在的不确定性，本公司需要对无法准确计量的报表项目的账面价值进 </w:t>
      </w:r>
      <w:r>
        <w:rPr>
          <w:spacing w:val="-4"/>
        </w:rPr>
        <w:t>行判断、估计和假设。这些判断、估计和假设是基于本公司管理层过去的历史经验，并在考虑其他相关因素的基础上做出的。</w:t>
      </w:r>
      <w:r>
        <w:rPr>
          <w:spacing w:val="-46"/>
        </w:rPr>
        <w:t> </w:t>
      </w:r>
      <w:r>
        <w:rPr>
          <w:spacing w:val="-46"/>
        </w:rPr>
      </w:r>
      <w:r>
        <w:rPr>
          <w:spacing w:val="-2"/>
        </w:rPr>
        <w:t>这些判断、估计和假设会影响收入、费用、资产和负债的报告金额以及资产负债表日或有负债的披露。然而，这些估计的不</w:t>
      </w:r>
      <w:r>
        <w:rPr>
          <w:spacing w:val="-67"/>
        </w:rPr>
        <w:t> </w:t>
      </w:r>
      <w:r>
        <w:rPr>
          <w:spacing w:val="-67"/>
        </w:rPr>
      </w:r>
      <w:r>
        <w:rPr>
          <w:spacing w:val="-2"/>
        </w:rPr>
        <w:t>确定性所导致的实际结果可能与本公司管理层当前的估计存在差异，进而造成对未来受影响的资产或负债的账面金额进行重</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大调整。</w:t>
      </w:r>
    </w:p>
    <w:p>
      <w:pPr>
        <w:pStyle w:val="BodyText"/>
        <w:spacing w:line="316" w:lineRule="auto" w:before="137"/>
        <w:ind w:right="1133" w:firstLine="420"/>
        <w:jc w:val="left"/>
      </w:pPr>
      <w:r>
        <w:rPr/>
        <w:t>本公司对前述判断、估计和假设在持续经营的基础上进行定期复核，会计估计的变更仅影响变更当期的，其影响数在 变更当期予以确认；既影响变更当期又影响未来期间的，其影响数在变更当期和未来期间予以确认。</w:t>
      </w:r>
    </w:p>
    <w:p>
      <w:pPr>
        <w:pStyle w:val="BodyText"/>
        <w:spacing w:line="240" w:lineRule="auto" w:before="79"/>
        <w:ind w:left="573" w:right="1133"/>
        <w:jc w:val="left"/>
      </w:pPr>
      <w:r>
        <w:rPr/>
        <w:t>于资产负债表日，本公司需对财务报表项目金额进行判断、估计和假设的重要领域如下：</w:t>
      </w:r>
    </w:p>
    <w:p>
      <w:pPr>
        <w:pStyle w:val="BodyText"/>
        <w:spacing w:line="379" w:lineRule="auto" w:before="136"/>
        <w:ind w:left="573" w:right="1133"/>
        <w:jc w:val="left"/>
      </w:pPr>
      <w:r>
        <w:rPr/>
        <w:t>（</w:t>
      </w:r>
      <w:r>
        <w:rPr>
          <w:rFonts w:ascii="宋体" w:hAnsi="宋体" w:cs="宋体" w:eastAsia="宋体" w:hint="default"/>
        </w:rPr>
        <w:t>1</w:t>
      </w:r>
      <w:r>
        <w:rPr/>
        <w:t>）金融资产减值 本公司采用预期信用损失模型对金融工具的减值进行评估，应用预期信用损失模型需要做出重大判断和估计，需考虑</w:t>
      </w:r>
    </w:p>
    <w:p>
      <w:pPr>
        <w:pStyle w:val="BodyText"/>
        <w:spacing w:line="208" w:lineRule="exact"/>
        <w:ind w:right="0"/>
        <w:jc w:val="left"/>
      </w:pPr>
      <w:r>
        <w:rPr>
          <w:spacing w:val="-4"/>
        </w:rPr>
        <w:t>所有合理且有依据的信息，包括前瞻性信息。在做出该等判断和估计时，本公司根据历史数据结合经济政策、宏观经济指标、</w:t>
      </w:r>
    </w:p>
    <w:p>
      <w:pPr>
        <w:pStyle w:val="BodyText"/>
        <w:spacing w:line="240" w:lineRule="auto" w:before="76"/>
        <w:ind w:right="1133"/>
        <w:jc w:val="left"/>
      </w:pPr>
      <w:r>
        <w:rPr/>
        <w:t>行业风险、外部市场环境、技术环境、客户情况的变化等因素推断债务人信用风险的预期变动。</w:t>
      </w:r>
    </w:p>
    <w:p>
      <w:pPr>
        <w:pStyle w:val="BodyText"/>
        <w:spacing w:line="379" w:lineRule="auto" w:before="136"/>
        <w:ind w:left="573" w:right="1133"/>
        <w:jc w:val="left"/>
      </w:pPr>
      <w:r>
        <w:rPr/>
        <w:t>（</w:t>
      </w:r>
      <w:r>
        <w:rPr>
          <w:rFonts w:ascii="宋体" w:hAnsi="宋体" w:cs="宋体" w:eastAsia="宋体" w:hint="default"/>
        </w:rPr>
        <w:t>2</w:t>
      </w:r>
      <w:r>
        <w:rPr/>
        <w:t>）折旧和摊销 本公司对投资性房地产、固定资产和无形资产在考虑其残值后，在使用寿命内按直线法计提折旧和摊销。本公司定期</w:t>
      </w:r>
    </w:p>
    <w:p>
      <w:pPr>
        <w:pStyle w:val="BodyText"/>
        <w:spacing w:line="208" w:lineRule="exact"/>
        <w:ind w:right="0"/>
        <w:jc w:val="left"/>
      </w:pPr>
      <w:r>
        <w:rPr/>
        <w:t>复核使用寿命，以决定将计入每个报告期的折旧和摊销费用数额。使用寿命是本公司根据对同类资产的以往经验并结合预期</w:t>
      </w:r>
    </w:p>
    <w:p>
      <w:pPr>
        <w:pStyle w:val="BodyText"/>
        <w:spacing w:line="240" w:lineRule="auto" w:before="77"/>
        <w:ind w:right="1133"/>
        <w:jc w:val="left"/>
      </w:pPr>
      <w:r>
        <w:rPr/>
        <w:t>的技术更新而确定的。如果以前的估计发生重大变化，则会在未来期间对折旧和摊销费用进行调整。</w:t>
      </w:r>
    </w:p>
    <w:p>
      <w:pPr>
        <w:pStyle w:val="BodyText"/>
        <w:spacing w:line="379" w:lineRule="auto" w:before="136"/>
        <w:ind w:left="573" w:right="1133"/>
        <w:jc w:val="left"/>
      </w:pPr>
      <w:r>
        <w:rPr/>
        <w:t>（</w:t>
      </w:r>
      <w:r>
        <w:rPr>
          <w:rFonts w:ascii="宋体" w:hAnsi="宋体" w:cs="宋体" w:eastAsia="宋体" w:hint="default"/>
        </w:rPr>
        <w:t>3</w:t>
      </w:r>
      <w:r>
        <w:rPr/>
        <w:t>）递延所得税资产 在很有可能有足够的应纳税利润来抵扣亏损的限度内，本公司就所有未利用的税务亏损确认递延所得税资产。这需要</w:t>
      </w:r>
    </w:p>
    <w:p>
      <w:pPr>
        <w:pStyle w:val="BodyText"/>
        <w:spacing w:line="208" w:lineRule="exact"/>
        <w:ind w:right="0"/>
        <w:jc w:val="left"/>
      </w:pPr>
      <w:r>
        <w:rPr/>
        <w:t>本公司管理层运用大量的判断来估计未来应纳税利润发生的时间和金额，结合纳税筹划策略，以决定应确认的递延所得税资</w:t>
      </w:r>
    </w:p>
    <w:p>
      <w:pPr>
        <w:pStyle w:val="BodyText"/>
        <w:spacing w:line="240" w:lineRule="auto" w:before="76"/>
        <w:ind w:right="1133"/>
        <w:jc w:val="left"/>
      </w:pPr>
      <w:r>
        <w:rPr/>
        <w:t>产的金额。</w:t>
      </w:r>
    </w:p>
    <w:p>
      <w:pPr>
        <w:pStyle w:val="BodyText"/>
        <w:spacing w:line="379" w:lineRule="auto" w:before="136"/>
        <w:ind w:left="573" w:right="1133"/>
        <w:jc w:val="left"/>
      </w:pPr>
      <w:r>
        <w:rPr/>
        <w:t>（</w:t>
      </w:r>
      <w:r>
        <w:rPr>
          <w:rFonts w:ascii="宋体" w:hAnsi="宋体" w:cs="宋体" w:eastAsia="宋体" w:hint="default"/>
        </w:rPr>
        <w:t>4</w:t>
      </w:r>
      <w:r>
        <w:rPr/>
        <w:t>）所得税 本公司在正常的经营活动中，有部分交易其最终的税务处理和计算存在一定的不确定性。部分项目是否能够在税前列</w:t>
      </w:r>
    </w:p>
    <w:p>
      <w:pPr>
        <w:pStyle w:val="BodyText"/>
        <w:spacing w:line="208" w:lineRule="exact"/>
        <w:ind w:right="0"/>
        <w:jc w:val="left"/>
      </w:pPr>
      <w:r>
        <w:rPr/>
        <w:t>支需要税收主管机关的审批。如果这些税务事项的最终认定结果同最初估计的金额存在差异，则该差异将对其最终认定期间</w:t>
      </w:r>
    </w:p>
    <w:p>
      <w:pPr>
        <w:pStyle w:val="BodyText"/>
        <w:spacing w:line="240" w:lineRule="auto" w:before="76"/>
        <w:ind w:right="1133"/>
        <w:jc w:val="left"/>
      </w:pPr>
      <w:r>
        <w:rPr/>
        <w:t>的当期所得税和递延所得税产生影响。</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bookmarkStart w:name="六、税项" w:id="230"/>
      <w:bookmarkEnd w:id="230"/>
      <w:r>
        <w:rPr>
          <w:b w:val="0"/>
          <w:bCs w:val="0"/>
        </w:rPr>
      </w: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主要税种及税率" w:id="231"/>
      <w:bookmarkEnd w:id="231"/>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销售货物、提供应税劳务或服务收入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宋体" w:hAnsi="宋体" w:cs="宋体" w:eastAsia="宋体" w:hint="default"/>
                <w:sz w:val="20"/>
                <w:szCs w:val="20"/>
              </w:rPr>
              <w:t>注</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1</w:t>
            </w:r>
            <w:r>
              <w:rPr>
                <w:rFonts w:ascii="宋体" w:hAnsi="宋体" w:cs="宋体" w:eastAsia="宋体" w:hint="default"/>
                <w:sz w:val="18"/>
                <w:szCs w:val="18"/>
              </w:rPr>
              <w:t>）</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应缴纳流转税额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68"/>
        <w:ind w:left="573" w:right="1133"/>
        <w:jc w:val="left"/>
      </w:pPr>
      <w:r>
        <w:rPr/>
        <w:t>注</w:t>
      </w:r>
      <w:r>
        <w:rPr>
          <w:rFonts w:ascii="宋体" w:hAnsi="宋体" w:cs="宋体" w:eastAsia="宋体" w:hint="default"/>
        </w:rPr>
        <w:t>1</w:t>
      </w:r>
      <w:r>
        <w:rPr/>
        <w:t>：（</w:t>
      </w:r>
      <w:r>
        <w:rPr>
          <w:rFonts w:ascii="宋体" w:hAnsi="宋体" w:cs="宋体" w:eastAsia="宋体" w:hint="default"/>
        </w:rPr>
        <w:t>1</w:t>
      </w:r>
      <w:r>
        <w:rPr/>
        <w:t>）本公司取得的运营收入和建筑服务收入，增值税税率分别为</w:t>
      </w:r>
      <w:r>
        <w:rPr>
          <w:rFonts w:ascii="宋体" w:hAnsi="宋体" w:cs="宋体" w:eastAsia="宋体" w:hint="default"/>
        </w:rPr>
        <w:t>6%</w:t>
      </w:r>
      <w:r>
        <w:rPr/>
        <w:t>、</w:t>
      </w:r>
      <w:r>
        <w:rPr>
          <w:rFonts w:ascii="宋体" w:hAnsi="宋体" w:cs="宋体" w:eastAsia="宋体" w:hint="default"/>
        </w:rPr>
        <w:t>10%</w:t>
      </w:r>
      <w:r>
        <w:rPr/>
        <w:t>。</w:t>
      </w:r>
    </w:p>
    <w:p>
      <w:pPr>
        <w:pStyle w:val="BodyText"/>
        <w:spacing w:line="316" w:lineRule="auto" w:before="137"/>
        <w:ind w:right="1078" w:firstLine="420"/>
        <w:jc w:val="both"/>
      </w:pPr>
      <w:r>
        <w:rPr/>
        <w:t>（</w:t>
      </w:r>
      <w:r>
        <w:rPr>
          <w:rFonts w:ascii="宋体" w:hAnsi="宋体" w:cs="宋体" w:eastAsia="宋体" w:hint="default"/>
        </w:rPr>
        <w:t>2</w:t>
      </w:r>
      <w:r>
        <w:rPr/>
        <w:t>）本公司发生增值税应税销售行为，于</w:t>
      </w:r>
      <w:r>
        <w:rPr>
          <w:rFonts w:ascii="宋体" w:hAnsi="宋体" w:cs="宋体" w:eastAsia="宋体" w:hint="default"/>
        </w:rPr>
        <w:t>2019</w:t>
      </w:r>
      <w:r>
        <w:rPr/>
        <w:t>年</w:t>
      </w:r>
      <w:r>
        <w:rPr>
          <w:rFonts w:ascii="宋体" w:hAnsi="宋体" w:cs="宋体" w:eastAsia="宋体" w:hint="default"/>
        </w:rPr>
        <w:t>1</w:t>
      </w:r>
      <w:r>
        <w:rPr/>
        <w:t>～</w:t>
      </w:r>
      <w:r>
        <w:rPr>
          <w:rFonts w:ascii="宋体" w:hAnsi="宋体" w:cs="宋体" w:eastAsia="宋体" w:hint="default"/>
        </w:rPr>
        <w:t>3</w:t>
      </w:r>
      <w:r>
        <w:rPr/>
        <w:t>月期间的适用税率为</w:t>
      </w:r>
      <w:r>
        <w:rPr>
          <w:rFonts w:ascii="宋体" w:hAnsi="宋体" w:cs="宋体" w:eastAsia="宋体" w:hint="default"/>
        </w:rPr>
        <w:t>16%</w:t>
      </w:r>
      <w:r>
        <w:rPr/>
        <w:t>、</w:t>
      </w:r>
      <w:r>
        <w:rPr>
          <w:rFonts w:ascii="宋体" w:hAnsi="宋体" w:cs="宋体" w:eastAsia="宋体" w:hint="default"/>
        </w:rPr>
        <w:t>10%</w:t>
      </w:r>
      <w:r>
        <w:rPr/>
        <w:t>，根据《财政部、国家税务总局、 </w:t>
      </w:r>
      <w:r>
        <w:rPr>
          <w:spacing w:val="-2"/>
        </w:rPr>
        <w:t>海关总署关于深化增值税改革有关政策的公告》（财政部、国家税务总局、海关总署公告</w:t>
      </w:r>
      <w:r>
        <w:rPr>
          <w:rFonts w:ascii="宋体" w:hAnsi="宋体" w:cs="宋体" w:eastAsia="宋体" w:hint="default"/>
          <w:spacing w:val="-2"/>
        </w:rPr>
        <w:t>[2019]39</w:t>
      </w:r>
      <w:r>
        <w:rPr>
          <w:spacing w:val="-2"/>
        </w:rPr>
        <w:t>号）规定，自</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w:t>
      </w:r>
      <w:r>
        <w:rPr>
          <w:rFonts w:ascii="宋体" w:hAnsi="宋体" w:cs="宋体" w:eastAsia="宋体" w:hint="default"/>
          <w:spacing w:val="-55"/>
        </w:rPr>
        <w:t> </w:t>
      </w:r>
      <w:r>
        <w:rPr/>
        <w:t>日起，适用税率调整为</w:t>
      </w:r>
      <w:r>
        <w:rPr>
          <w:rFonts w:ascii="宋体" w:hAnsi="宋体" w:cs="宋体" w:eastAsia="宋体" w:hint="default"/>
        </w:rPr>
        <w:t>13%</w:t>
      </w:r>
      <w:r>
        <w:rPr/>
        <w:t>、</w:t>
      </w:r>
      <w:r>
        <w:rPr>
          <w:rFonts w:ascii="宋体" w:hAnsi="宋体" w:cs="宋体" w:eastAsia="宋体" w:hint="default"/>
        </w:rPr>
        <w:t>9%</w:t>
      </w:r>
      <w:r>
        <w:rPr/>
        <w:t>。同时，本公司下属子公司河北正态环境检测有限公司、河北先河正阳环保设备销售有限公</w:t>
      </w:r>
      <w:r>
        <w:rPr>
          <w:spacing w:val="-85"/>
        </w:rPr>
        <w:t> </w:t>
      </w:r>
      <w:r>
        <w:rPr>
          <w:spacing w:val="-85"/>
        </w:rPr>
      </w:r>
      <w:r>
        <w:rPr>
          <w:spacing w:val="-2"/>
        </w:rPr>
        <w:t>司、河北先河正达环保技术服务有限公司作为生产、生活性服务业纳税人，自</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2021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日，可按照当期</w:t>
      </w:r>
      <w:r>
        <w:rPr>
          <w:spacing w:val="-54"/>
        </w:rPr>
        <w:t> </w:t>
      </w:r>
      <w:r>
        <w:rPr>
          <w:spacing w:val="-54"/>
        </w:rPr>
      </w:r>
      <w:r>
        <w:rPr/>
        <w:t>可抵扣进项税额加计</w:t>
      </w:r>
      <w:r>
        <w:rPr>
          <w:rFonts w:ascii="宋体" w:hAnsi="宋体" w:cs="宋体" w:eastAsia="宋体" w:hint="default"/>
        </w:rPr>
        <w:t>10%</w:t>
      </w:r>
      <w:r>
        <w:rPr/>
        <w:t>，抵减应纳税额。</w:t>
      </w:r>
    </w:p>
    <w:p>
      <w:pPr>
        <w:pStyle w:val="BodyText"/>
        <w:spacing w:line="240" w:lineRule="auto" w:before="59"/>
        <w:ind w:right="1133"/>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广东科迪隆科技有限公司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广西先得环保科技有限公司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四川久环环境技术有限责任公司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河北先河正源环境治理技术有限公司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重庆冀华环保科技发展有限公司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河北正态环境检测有限公司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税收优惠" w:id="232"/>
      <w:bookmarkEnd w:id="232"/>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6" w:firstLine="420"/>
        <w:jc w:val="both"/>
      </w:pPr>
      <w:r>
        <w:rPr/>
        <w:t>（</w:t>
      </w:r>
      <w:r>
        <w:rPr>
          <w:rFonts w:ascii="宋体" w:hAnsi="宋体" w:cs="宋体" w:eastAsia="宋体" w:hint="default"/>
        </w:rPr>
        <w:t>1</w:t>
      </w:r>
      <w:r>
        <w:rPr/>
        <w:t>）本公司软件产品根据财税</w:t>
      </w:r>
      <w:r>
        <w:rPr>
          <w:rFonts w:ascii="宋体" w:hAnsi="宋体" w:cs="宋体" w:eastAsia="宋体" w:hint="default"/>
        </w:rPr>
        <w:t>[2011]100</w:t>
      </w:r>
      <w:r>
        <w:rPr/>
        <w:t>号“关于软件产品增值税政策的通知”对其入库税款实际税负超过</w:t>
      </w:r>
      <w:r>
        <w:rPr>
          <w:rFonts w:ascii="宋体" w:hAnsi="宋体" w:cs="宋体" w:eastAsia="宋体" w:hint="default"/>
        </w:rPr>
        <w:t>3%</w:t>
      </w:r>
      <w:r>
        <w:rPr/>
        <w:t>的部分 经主管税务机关审核批准后，享受即征即退政策。</w:t>
      </w:r>
    </w:p>
    <w:p>
      <w:pPr>
        <w:pStyle w:val="BodyText"/>
        <w:spacing w:line="316" w:lineRule="auto" w:before="79"/>
        <w:ind w:right="1129" w:firstLine="420"/>
        <w:jc w:val="both"/>
      </w:pPr>
      <w:r>
        <w:rPr/>
        <w:t>本公司为高新技术企业，</w:t>
      </w:r>
      <w:r>
        <w:rPr>
          <w:rFonts w:ascii="宋体" w:hAnsi="宋体" w:cs="宋体" w:eastAsia="宋体" w:hint="default"/>
        </w:rPr>
        <w:t>2017</w:t>
      </w:r>
      <w:r>
        <w:rPr/>
        <w:t>年</w:t>
      </w:r>
      <w:r>
        <w:rPr>
          <w:rFonts w:ascii="宋体" w:hAnsi="宋体" w:cs="宋体" w:eastAsia="宋体" w:hint="default"/>
        </w:rPr>
        <w:t>10</w:t>
      </w:r>
      <w:r>
        <w:rPr/>
        <w:t>月取得河北省科学技术厅、河北省财政厅、河北省国家税务局、河北省地方税务局 联合下发的高新技术企业证书，证书编号为</w:t>
      </w:r>
      <w:r>
        <w:rPr>
          <w:rFonts w:ascii="宋体" w:hAnsi="宋体" w:cs="宋体" w:eastAsia="宋体" w:hint="default"/>
        </w:rPr>
        <w:t>GR201713000426</w:t>
      </w:r>
      <w:r>
        <w:rPr/>
        <w:t>，有效期三年，有效期内按</w:t>
      </w:r>
      <w:r>
        <w:rPr>
          <w:rFonts w:ascii="宋体" w:hAnsi="宋体" w:cs="宋体" w:eastAsia="宋体" w:hint="default"/>
        </w:rPr>
        <w:t>15%</w:t>
      </w:r>
      <w:r>
        <w:rPr/>
        <w:t>的税率计缴企业所得税。本公司</w:t>
      </w:r>
      <w:r>
        <w:rPr>
          <w:spacing w:val="-85"/>
        </w:rPr>
        <w:t> </w:t>
      </w:r>
      <w:r>
        <w:rPr>
          <w:spacing w:val="-85"/>
        </w:rPr>
      </w:r>
      <w:r>
        <w:rPr>
          <w:rFonts w:ascii="宋体" w:hAnsi="宋体" w:cs="宋体" w:eastAsia="宋体" w:hint="default"/>
        </w:rPr>
        <w:t>2019</w:t>
      </w:r>
      <w:r>
        <w:rPr/>
        <w:t>年度按</w:t>
      </w:r>
      <w:r>
        <w:rPr>
          <w:rFonts w:ascii="宋体" w:hAnsi="宋体" w:cs="宋体" w:eastAsia="宋体" w:hint="default"/>
        </w:rPr>
        <w:t>15%</w:t>
      </w:r>
      <w:r>
        <w:rPr/>
        <w:t>税率计缴企业所得税。</w:t>
      </w:r>
    </w:p>
    <w:p>
      <w:pPr>
        <w:pStyle w:val="BodyText"/>
        <w:spacing w:line="316" w:lineRule="auto" w:before="79"/>
        <w:ind w:right="1128" w:firstLine="420"/>
        <w:jc w:val="both"/>
      </w:pPr>
      <w:r>
        <w:rPr>
          <w:spacing w:val="-1"/>
        </w:rPr>
        <w:t>（</w:t>
      </w:r>
      <w:r>
        <w:rPr>
          <w:rFonts w:ascii="宋体" w:hAnsi="宋体" w:cs="宋体" w:eastAsia="宋体" w:hint="default"/>
          <w:spacing w:val="-1"/>
        </w:rPr>
        <w:t>2</w:t>
      </w:r>
      <w:r>
        <w:rPr>
          <w:spacing w:val="-1"/>
        </w:rPr>
        <w:t>）本公司控股子公司广东科迪隆科技有限公司为高新技术企业，于</w:t>
      </w:r>
      <w:r>
        <w:rPr>
          <w:rFonts w:ascii="宋体" w:hAnsi="宋体" w:cs="宋体" w:eastAsia="宋体" w:hint="default"/>
          <w:spacing w:val="-1"/>
        </w:rPr>
        <w:t>2018</w:t>
      </w:r>
      <w:r>
        <w:rPr>
          <w:spacing w:val="-1"/>
        </w:rPr>
        <w:t>年</w:t>
      </w:r>
      <w:r>
        <w:rPr>
          <w:rFonts w:ascii="宋体" w:hAnsi="宋体" w:cs="宋体" w:eastAsia="宋体" w:hint="default"/>
          <w:spacing w:val="-1"/>
        </w:rPr>
        <w:t>11</w:t>
      </w:r>
      <w:r>
        <w:rPr>
          <w:spacing w:val="-1"/>
        </w:rPr>
        <w:t>月通过高新技术企业资格复审，高新技</w:t>
      </w:r>
      <w:r>
        <w:rPr/>
        <w:t> 术企业证书编号为</w:t>
      </w:r>
      <w:r>
        <w:rPr>
          <w:rFonts w:ascii="宋体" w:hAnsi="宋体" w:cs="宋体" w:eastAsia="宋体" w:hint="default"/>
        </w:rPr>
        <w:t>GR201544005365</w:t>
      </w:r>
      <w:r>
        <w:rPr/>
        <w:t>，税收优惠期间：</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31</w:t>
      </w:r>
      <w:r>
        <w:rPr/>
        <w:t>日，有效期内按</w:t>
      </w:r>
      <w:r>
        <w:rPr>
          <w:rFonts w:ascii="宋体" w:hAnsi="宋体" w:cs="宋体" w:eastAsia="宋体" w:hint="default"/>
        </w:rPr>
        <w:t>15%</w:t>
      </w:r>
      <w:r>
        <w:rPr/>
        <w:t>的税率计缴企业所得 税。</w:t>
      </w:r>
    </w:p>
    <w:p>
      <w:pPr>
        <w:pStyle w:val="BodyText"/>
        <w:spacing w:line="316" w:lineRule="auto" w:before="79"/>
        <w:ind w:right="1034" w:firstLine="420"/>
        <w:jc w:val="left"/>
      </w:pPr>
      <w:r>
        <w:rPr>
          <w:spacing w:val="-3"/>
        </w:rPr>
        <w:t>（</w:t>
      </w:r>
      <w:r>
        <w:rPr>
          <w:rFonts w:ascii="宋体" w:hAnsi="宋体" w:cs="宋体" w:eastAsia="宋体" w:hint="default"/>
          <w:spacing w:val="-3"/>
        </w:rPr>
        <w:t>3</w:t>
      </w:r>
      <w:r>
        <w:rPr>
          <w:spacing w:val="-3"/>
        </w:rPr>
        <w:t>）依据南宁市青秀区国定税务局出具的《西部大开发税收优惠事项审核确认通知书》（南青国税审字</w:t>
      </w:r>
      <w:r>
        <w:rPr>
          <w:rFonts w:ascii="宋体" w:hAnsi="宋体" w:cs="宋体" w:eastAsia="宋体" w:hint="default"/>
          <w:spacing w:val="-3"/>
        </w:rPr>
        <w:t>[2014]14</w:t>
      </w:r>
      <w:r>
        <w:rPr>
          <w:spacing w:val="-3"/>
        </w:rPr>
        <w:t>号），</w:t>
      </w:r>
      <w:r>
        <w:rPr/>
        <w:t> 本公司控股子公司广西先得环保科技有限公司符合享受西部大开发税收优惠政策的规定，</w:t>
      </w:r>
      <w:r>
        <w:rPr>
          <w:rFonts w:ascii="宋体" w:hAnsi="宋体" w:cs="宋体" w:eastAsia="宋体" w:hint="default"/>
        </w:rPr>
        <w:t>2014</w:t>
      </w:r>
      <w:r>
        <w:rPr/>
        <w:t>年至</w:t>
      </w:r>
      <w:r>
        <w:rPr>
          <w:rFonts w:ascii="宋体" w:hAnsi="宋体" w:cs="宋体" w:eastAsia="宋体" w:hint="default"/>
        </w:rPr>
        <w:t>2020</w:t>
      </w:r>
      <w:r>
        <w:rPr/>
        <w:t>年企业所得税暂按</w:t>
      </w:r>
      <w:r>
        <w:rPr>
          <w:spacing w:val="-7"/>
        </w:rPr>
        <w:t> </w:t>
      </w:r>
      <w:r>
        <w:rPr>
          <w:spacing w:val="-7"/>
        </w:rPr>
      </w:r>
      <w:r>
        <w:rPr>
          <w:rFonts w:ascii="宋体" w:hAnsi="宋体" w:cs="宋体" w:eastAsia="宋体" w:hint="default"/>
        </w:rPr>
        <w:t>15%</w:t>
      </w:r>
      <w:r>
        <w:rPr/>
        <w:t>税率预缴。</w:t>
      </w:r>
    </w:p>
    <w:p>
      <w:pPr>
        <w:pStyle w:val="BodyText"/>
        <w:spacing w:line="316" w:lineRule="auto" w:before="79"/>
        <w:ind w:right="1137" w:firstLine="420"/>
        <w:jc w:val="both"/>
      </w:pPr>
      <w:r>
        <w:rPr/>
        <w:t>（</w:t>
      </w:r>
      <w:r>
        <w:rPr>
          <w:rFonts w:ascii="宋体" w:hAnsi="宋体" w:cs="宋体" w:eastAsia="宋体" w:hint="default"/>
        </w:rPr>
        <w:t>4</w:t>
      </w:r>
      <w:r>
        <w:rPr/>
        <w:t>）依据四川省科学城国家税务局出具的《税务事项通知书》（绵科国税通</w:t>
      </w:r>
      <w:r>
        <w:rPr>
          <w:rFonts w:ascii="宋体" w:hAnsi="宋体" w:cs="宋体" w:eastAsia="宋体" w:hint="default"/>
        </w:rPr>
        <w:t>[2014]196</w:t>
      </w:r>
      <w:r>
        <w:rPr/>
        <w:t>号），本公司控股子公司四川 久环环境技术有限责任公司享有西部大开发企业所得税优惠政策，自</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w:t>
      </w:r>
      <w:r>
        <w:rPr/>
        <w:t>日起按</w:t>
      </w:r>
      <w:r>
        <w:rPr>
          <w:rFonts w:ascii="宋体" w:hAnsi="宋体" w:cs="宋体" w:eastAsia="宋体" w:hint="default"/>
        </w:rPr>
        <w:t>15%</w:t>
      </w:r>
      <w:r>
        <w:rPr/>
        <w:t>税率计缴企业所得税。</w:t>
      </w:r>
    </w:p>
    <w:p>
      <w:pPr>
        <w:pStyle w:val="BodyText"/>
        <w:spacing w:line="316" w:lineRule="auto" w:before="79"/>
        <w:ind w:right="1129" w:firstLine="420"/>
        <w:jc w:val="both"/>
      </w:pPr>
      <w:r>
        <w:rPr>
          <w:spacing w:val="-1"/>
        </w:rPr>
        <w:t>本公司控股子公司四川久环环境技术有限责任公司本期符合小型微利企业规定，按照</w:t>
      </w:r>
      <w:r>
        <w:rPr>
          <w:rFonts w:ascii="宋体" w:hAnsi="宋体" w:cs="宋体" w:eastAsia="宋体" w:hint="default"/>
          <w:spacing w:val="-1"/>
        </w:rPr>
        <w:t>20%</w:t>
      </w:r>
      <w:r>
        <w:rPr>
          <w:spacing w:val="-1"/>
        </w:rPr>
        <w:t>税率缴纳企业所得税。根据财</w:t>
      </w:r>
      <w:r>
        <w:rPr/>
        <w:t> 政部</w:t>
      </w:r>
      <w:r>
        <w:rPr>
          <w:spacing w:val="6"/>
        </w:rPr>
        <w:t> </w:t>
      </w:r>
      <w:r>
        <w:rPr/>
        <w:t>税务总局《关于实施小微企业普惠性税收减免政策的通知》（财税</w:t>
      </w:r>
      <w:r>
        <w:rPr>
          <w:rFonts w:ascii="宋体" w:hAnsi="宋体" w:cs="宋体" w:eastAsia="宋体" w:hint="default"/>
        </w:rPr>
        <w:t>[2019]13</w:t>
      </w:r>
      <w:r>
        <w:rPr/>
        <w:t>号）中第二条规定：对小型微利企业年应 纳税所得额不超过</w:t>
      </w:r>
      <w:r>
        <w:rPr>
          <w:rFonts w:ascii="宋体" w:hAnsi="宋体" w:cs="宋体" w:eastAsia="宋体" w:hint="default"/>
        </w:rPr>
        <w:t>100</w:t>
      </w:r>
      <w:r>
        <w:rPr/>
        <w:t>万元的部分，减按</w:t>
      </w:r>
      <w:r>
        <w:rPr>
          <w:rFonts w:ascii="宋体" w:hAnsi="宋体" w:cs="宋体" w:eastAsia="宋体" w:hint="default"/>
        </w:rPr>
        <w:t>25%</w:t>
      </w:r>
      <w:r>
        <w:rPr/>
        <w:t>计入应纳税所得额，按</w:t>
      </w:r>
      <w:r>
        <w:rPr>
          <w:rFonts w:ascii="宋体" w:hAnsi="宋体" w:cs="宋体" w:eastAsia="宋体" w:hint="default"/>
        </w:rPr>
        <w:t>20%</w:t>
      </w:r>
      <w:r>
        <w:rPr/>
        <w:t>的税率缴纳企业所得税；</w:t>
      </w:r>
      <w:r>
        <w:rPr>
          <w:spacing w:val="3"/>
        </w:rPr>
        <w:t> </w:t>
      </w:r>
      <w:r>
        <w:rPr/>
        <w:t>对年应纳税所得额超过</w:t>
      </w:r>
      <w:r>
        <w:rPr>
          <w:rFonts w:ascii="宋体" w:hAnsi="宋体" w:cs="宋体" w:eastAsia="宋体" w:hint="default"/>
        </w:rPr>
        <w:t>100</w:t>
      </w:r>
      <w:r>
        <w:rPr>
          <w:rFonts w:ascii="宋体" w:hAnsi="宋体" w:cs="宋体" w:eastAsia="宋体" w:hint="default"/>
          <w:spacing w:val="1"/>
        </w:rPr>
        <w:t> </w:t>
      </w:r>
      <w:r>
        <w:rPr/>
        <w:t>万元但不超过</w:t>
      </w:r>
      <w:r>
        <w:rPr>
          <w:rFonts w:ascii="宋体" w:hAnsi="宋体" w:cs="宋体" w:eastAsia="宋体" w:hint="default"/>
        </w:rPr>
        <w:t>300</w:t>
      </w:r>
      <w:r>
        <w:rPr/>
        <w:t>万元的部分，减按</w:t>
      </w:r>
      <w:r>
        <w:rPr>
          <w:rFonts w:ascii="宋体" w:hAnsi="宋体" w:cs="宋体" w:eastAsia="宋体" w:hint="default"/>
        </w:rPr>
        <w:t>50%</w:t>
      </w:r>
      <w:r>
        <w:rPr/>
        <w:t>计入应纳税所得额，按</w:t>
      </w:r>
      <w:r>
        <w:rPr>
          <w:rFonts w:ascii="宋体" w:hAnsi="宋体" w:cs="宋体" w:eastAsia="宋体" w:hint="default"/>
        </w:rPr>
        <w:t>20%</w:t>
      </w:r>
      <w:r>
        <w:rPr/>
        <w:t>的税率缴纳企业所得税。</w:t>
      </w:r>
    </w:p>
    <w:p>
      <w:pPr>
        <w:pStyle w:val="BodyText"/>
        <w:spacing w:line="316" w:lineRule="auto" w:before="79"/>
        <w:ind w:right="1128" w:firstLine="420"/>
        <w:jc w:val="both"/>
      </w:pPr>
      <w:r>
        <w:rPr/>
        <w:t>（</w:t>
      </w:r>
      <w:r>
        <w:rPr>
          <w:rFonts w:ascii="宋体" w:hAnsi="宋体" w:cs="宋体" w:eastAsia="宋体" w:hint="default"/>
        </w:rPr>
        <w:t>5</w:t>
      </w:r>
      <w:r>
        <w:rPr/>
        <w:t>）本公司下属子公司河北先河正源环境治理技术有限公司为高新技术企业，</w:t>
      </w:r>
      <w:r>
        <w:rPr>
          <w:rFonts w:ascii="宋体" w:hAnsi="宋体" w:cs="宋体" w:eastAsia="宋体" w:hint="default"/>
        </w:rPr>
        <w:t>2017</w:t>
      </w:r>
      <w:r>
        <w:rPr/>
        <w:t>年</w:t>
      </w:r>
      <w:r>
        <w:rPr>
          <w:rFonts w:ascii="宋体" w:hAnsi="宋体" w:cs="宋体" w:eastAsia="宋体" w:hint="default"/>
        </w:rPr>
        <w:t>7</w:t>
      </w:r>
      <w:r>
        <w:rPr/>
        <w:t>月取得河北省科学技术厅、河 </w:t>
      </w:r>
      <w:r>
        <w:rPr>
          <w:spacing w:val="-2"/>
        </w:rPr>
        <w:t>北省财政厅、河北省国家税务局、河北省地方税务局联合下发的高新技术企业证书，证书编号为</w:t>
      </w:r>
      <w:r>
        <w:rPr>
          <w:rFonts w:ascii="宋体" w:hAnsi="宋体" w:cs="宋体" w:eastAsia="宋体" w:hint="default"/>
          <w:spacing w:val="-2"/>
        </w:rPr>
        <w:t>GR201713000012</w:t>
      </w:r>
      <w:r>
        <w:rPr>
          <w:spacing w:val="-2"/>
        </w:rPr>
        <w:t>，有效期三</w:t>
      </w:r>
      <w:r>
        <w:rPr>
          <w:spacing w:val="-53"/>
        </w:rPr>
        <w:t> </w:t>
      </w:r>
      <w:r>
        <w:rPr>
          <w:spacing w:val="-53"/>
        </w:rPr>
      </w:r>
      <w:r>
        <w:rPr/>
        <w:t>年，有效期内按</w:t>
      </w:r>
      <w:r>
        <w:rPr>
          <w:rFonts w:ascii="宋体" w:hAnsi="宋体" w:cs="宋体" w:eastAsia="宋体" w:hint="default"/>
        </w:rPr>
        <w:t>15%</w:t>
      </w:r>
      <w:r>
        <w:rPr/>
        <w:t>的税率计缴企业所得税。</w:t>
      </w:r>
    </w:p>
    <w:p>
      <w:pPr>
        <w:pStyle w:val="BodyText"/>
        <w:spacing w:line="319" w:lineRule="auto" w:before="79"/>
        <w:ind w:right="1128" w:firstLine="420"/>
        <w:jc w:val="both"/>
      </w:pPr>
      <w:r>
        <w:rPr>
          <w:spacing w:val="-1"/>
        </w:rPr>
        <w:t>（</w:t>
      </w:r>
      <w:r>
        <w:rPr>
          <w:rFonts w:ascii="宋体" w:hAnsi="宋体" w:cs="宋体" w:eastAsia="宋体" w:hint="default"/>
          <w:spacing w:val="-1"/>
        </w:rPr>
        <w:t>6</w:t>
      </w:r>
      <w:r>
        <w:rPr>
          <w:spacing w:val="-1"/>
        </w:rPr>
        <w:t>）本公司下属子公司重庆冀华环保科技发展有限公司为高新技术企业，</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月取得重庆市科学技术委员会、重</w:t>
      </w:r>
      <w:r>
        <w:rPr/>
        <w:t> </w:t>
      </w:r>
      <w:r>
        <w:rPr>
          <w:spacing w:val="-2"/>
        </w:rPr>
        <w:t>庆市财政局、重庆市国家税务局、重庆市地方税务局联合下发的高新技术企业证书，证书编号为</w:t>
      </w:r>
      <w:r>
        <w:rPr>
          <w:rFonts w:ascii="宋体" w:hAnsi="宋体" w:cs="宋体" w:eastAsia="宋体" w:hint="default"/>
          <w:spacing w:val="-2"/>
        </w:rPr>
        <w:t>GR201751100283</w:t>
      </w:r>
      <w:r>
        <w:rPr>
          <w:spacing w:val="-2"/>
        </w:rPr>
        <w:t>，有效期三</w:t>
      </w:r>
      <w:r>
        <w:rPr>
          <w:spacing w:val="-53"/>
        </w:rPr>
        <w:t> </w:t>
      </w:r>
      <w:r>
        <w:rPr>
          <w:spacing w:val="-53"/>
        </w:rPr>
      </w:r>
      <w:r>
        <w:rPr/>
        <w:t>年，有效期内按</w:t>
      </w:r>
      <w:r>
        <w:rPr>
          <w:rFonts w:ascii="宋体" w:hAnsi="宋体" w:cs="宋体" w:eastAsia="宋体" w:hint="default"/>
        </w:rPr>
        <w:t>15%</w:t>
      </w:r>
      <w:r>
        <w:rPr/>
        <w:t>的税率计缴企业所得税。</w:t>
      </w:r>
    </w:p>
    <w:p>
      <w:pPr>
        <w:pStyle w:val="BodyText"/>
        <w:spacing w:line="316" w:lineRule="auto" w:before="77"/>
        <w:ind w:right="1128" w:firstLine="420"/>
        <w:jc w:val="both"/>
      </w:pPr>
      <w:r>
        <w:rPr>
          <w:spacing w:val="-1"/>
        </w:rPr>
        <w:t>（</w:t>
      </w:r>
      <w:r>
        <w:rPr>
          <w:rFonts w:ascii="宋体" w:hAnsi="宋体" w:cs="宋体" w:eastAsia="宋体" w:hint="default"/>
          <w:spacing w:val="-1"/>
        </w:rPr>
        <w:t>7</w:t>
      </w:r>
      <w:r>
        <w:rPr>
          <w:spacing w:val="-1"/>
        </w:rPr>
        <w:t>）本公司下属子公司河北正态环境检测有限公司为高新技术企业，</w:t>
      </w:r>
      <w:r>
        <w:rPr>
          <w:rFonts w:ascii="宋体" w:hAnsi="宋体" w:cs="宋体" w:eastAsia="宋体" w:hint="default"/>
          <w:spacing w:val="-1"/>
        </w:rPr>
        <w:t>2018</w:t>
      </w:r>
      <w:r>
        <w:rPr>
          <w:spacing w:val="-1"/>
        </w:rPr>
        <w:t>年</w:t>
      </w:r>
      <w:r>
        <w:rPr>
          <w:rFonts w:ascii="宋体" w:hAnsi="宋体" w:cs="宋体" w:eastAsia="宋体" w:hint="default"/>
          <w:spacing w:val="-1"/>
        </w:rPr>
        <w:t>11</w:t>
      </w:r>
      <w:r>
        <w:rPr>
          <w:spacing w:val="-1"/>
        </w:rPr>
        <w:t>月取得河北省科学技术厅、河北省财政</w:t>
      </w:r>
      <w:r>
        <w:rPr/>
        <w:t> 厅、国家税务总局河北省税务局联合下发的高新技术企业证书，证书编号为</w:t>
      </w:r>
      <w:r>
        <w:rPr>
          <w:rFonts w:ascii="宋体" w:hAnsi="宋体" w:cs="宋体" w:eastAsia="宋体" w:hint="default"/>
        </w:rPr>
        <w:t>GR201813000921</w:t>
      </w:r>
      <w:r>
        <w:rPr/>
        <w:t>，有效期三年，有效期内按</w:t>
      </w:r>
      <w:r>
        <w:rPr>
          <w:rFonts w:ascii="宋体" w:hAnsi="宋体" w:cs="宋体" w:eastAsia="宋体" w:hint="default"/>
        </w:rPr>
        <w:t>15%</w:t>
      </w:r>
      <w:r>
        <w:rPr>
          <w:rFonts w:ascii="宋体" w:hAnsi="宋体" w:cs="宋体" w:eastAsia="宋体" w:hint="default"/>
          <w:spacing w:val="-85"/>
        </w:rPr>
        <w:t> </w:t>
      </w:r>
      <w:r>
        <w:rPr/>
        <w:t>的税率计缴企业所得税。</w:t>
      </w:r>
    </w:p>
    <w:p>
      <w:pPr>
        <w:spacing w:after="0" w:line="316"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七、合并财务报表项目注释" w:id="233"/>
      <w:bookmarkEnd w:id="233"/>
      <w:r>
        <w:rPr>
          <w:b w:val="0"/>
          <w:bCs w:val="0"/>
        </w:rPr>
      </w: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货币资金" w:id="234"/>
      <w:bookmarkEnd w:id="234"/>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114,157.57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326,362.05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726,056,398.38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525,377,322.09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31,680,748.20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47,004,601.85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757,851,304.15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572,708,285.99</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18,618,748.50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12,111,527.41</w:t>
            </w:r>
          </w:p>
        </w:tc>
      </w:tr>
    </w:tbl>
    <w:p>
      <w:pPr>
        <w:pStyle w:val="BodyText"/>
        <w:spacing w:line="240" w:lineRule="auto" w:before="49"/>
        <w:ind w:right="1133"/>
        <w:jc w:val="left"/>
      </w:pPr>
      <w:r>
        <w:rPr/>
        <w:t>其他说明</w:t>
      </w:r>
    </w:p>
    <w:p>
      <w:pPr>
        <w:pStyle w:val="BodyText"/>
        <w:spacing w:line="240" w:lineRule="auto" w:before="136"/>
        <w:ind w:left="573" w:right="1133"/>
        <w:jc w:val="left"/>
      </w:pPr>
      <w:r>
        <w:rPr/>
        <w:t>（</w:t>
      </w:r>
      <w:r>
        <w:rPr>
          <w:rFonts w:ascii="宋体" w:hAnsi="宋体" w:cs="宋体" w:eastAsia="宋体" w:hint="default"/>
        </w:rPr>
        <w:t>1</w:t>
      </w:r>
      <w:r>
        <w:rPr/>
        <w:t>）其他货币资金中，受限制的货币资金明细如下：</w:t>
      </w:r>
    </w:p>
    <w:p>
      <w:pPr>
        <w:spacing w:line="240" w:lineRule="auto" w:before="3"/>
        <w:rPr>
          <w:rFonts w:ascii="宋体" w:hAnsi="宋体" w:cs="宋体" w:eastAsia="宋体" w:hint="default"/>
          <w:sz w:val="5"/>
          <w:szCs w:val="5"/>
        </w:rPr>
      </w:pPr>
    </w:p>
    <w:tbl>
      <w:tblPr>
        <w:tblW w:w="0" w:type="auto"/>
        <w:jc w:val="left"/>
        <w:tblInd w:w="760" w:type="dxa"/>
        <w:tblLayout w:type="fixed"/>
        <w:tblCellMar>
          <w:top w:w="0" w:type="dxa"/>
          <w:left w:w="0" w:type="dxa"/>
          <w:bottom w:w="0" w:type="dxa"/>
          <w:right w:w="0" w:type="dxa"/>
        </w:tblCellMar>
        <w:tblLook w:val="01E0"/>
      </w:tblPr>
      <w:tblGrid>
        <w:gridCol w:w="2852"/>
        <w:gridCol w:w="2976"/>
        <w:gridCol w:w="2552"/>
      </w:tblGrid>
      <w:tr>
        <w:trPr>
          <w:trHeight w:val="406" w:hRule="exact"/>
        </w:trPr>
        <w:tc>
          <w:tcPr>
            <w:tcW w:w="285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4"/>
              <w:ind w:left="2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55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13" w:hRule="exact"/>
        </w:trPr>
        <w:tc>
          <w:tcPr>
            <w:tcW w:w="285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票据及保函保证金</w:t>
            </w:r>
          </w:p>
        </w:tc>
        <w:tc>
          <w:tcPr>
            <w:tcW w:w="29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1826" w:right="0"/>
              <w:jc w:val="left"/>
              <w:rPr>
                <w:rFonts w:ascii="Times New Roman" w:hAnsi="Times New Roman" w:cs="Times New Roman" w:eastAsia="Times New Roman" w:hint="default"/>
                <w:sz w:val="18"/>
                <w:szCs w:val="18"/>
              </w:rPr>
            </w:pPr>
            <w:r>
              <w:rPr>
                <w:rFonts w:ascii="Times New Roman"/>
                <w:sz w:val="18"/>
              </w:rPr>
              <w:t>24,088,692.82</w:t>
            </w:r>
          </w:p>
        </w:tc>
        <w:tc>
          <w:tcPr>
            <w:tcW w:w="255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left="1407" w:right="0"/>
              <w:jc w:val="left"/>
              <w:rPr>
                <w:rFonts w:ascii="Times New Roman" w:hAnsi="Times New Roman" w:cs="Times New Roman" w:eastAsia="Times New Roman" w:hint="default"/>
                <w:sz w:val="18"/>
                <w:szCs w:val="18"/>
              </w:rPr>
            </w:pPr>
            <w:r>
              <w:rPr>
                <w:rFonts w:ascii="Times New Roman"/>
                <w:sz w:val="18"/>
              </w:rPr>
              <w:t>15,985,001.73</w:t>
            </w:r>
          </w:p>
        </w:tc>
      </w:tr>
    </w:tbl>
    <w:p>
      <w:pPr>
        <w:pStyle w:val="BodyText"/>
        <w:spacing w:line="240" w:lineRule="auto" w:before="68"/>
        <w:ind w:left="573" w:right="1133"/>
        <w:jc w:val="left"/>
      </w:pPr>
      <w:r>
        <w:rPr/>
        <w:t>本公司编制现金流量表时，已将其他货币资金从期末现金及现金等价物中扣除。</w:t>
      </w:r>
    </w:p>
    <w:p>
      <w:pPr>
        <w:pStyle w:val="BodyText"/>
        <w:spacing w:line="316" w:lineRule="auto" w:before="136"/>
        <w:ind w:right="1121" w:firstLine="420"/>
        <w:jc w:val="left"/>
      </w:pPr>
      <w:r>
        <w:rPr>
          <w:spacing w:val="-1"/>
        </w:rPr>
        <w:t>（</w:t>
      </w:r>
      <w:r>
        <w:rPr>
          <w:rFonts w:ascii="宋体" w:hAnsi="宋体" w:cs="宋体" w:eastAsia="宋体" w:hint="default"/>
          <w:spacing w:val="-1"/>
        </w:rPr>
        <w:t>2</w:t>
      </w:r>
      <w:r>
        <w:rPr>
          <w:spacing w:val="-1"/>
        </w:rPr>
        <w:t>）银行存款期末余额中有</w:t>
      </w:r>
      <w:r>
        <w:rPr>
          <w:rFonts w:ascii="宋体" w:hAnsi="宋体" w:cs="宋体" w:eastAsia="宋体" w:hint="default"/>
          <w:spacing w:val="-1"/>
        </w:rPr>
        <w:t>193,301.91</w:t>
      </w:r>
      <w:r>
        <w:rPr>
          <w:spacing w:val="-1"/>
        </w:rPr>
        <w:t>元为子公司北京卫家环境技术有限公司涉诉被司法冻结资金，已从期末现金及</w:t>
      </w:r>
      <w:r>
        <w:rPr/>
        <w:t> 现金等价物中扣除。</w:t>
      </w:r>
    </w:p>
    <w:p>
      <w:pPr>
        <w:pStyle w:val="BodyText"/>
        <w:spacing w:line="316" w:lineRule="auto" w:before="79"/>
        <w:ind w:right="1133" w:firstLine="420"/>
        <w:jc w:val="left"/>
      </w:pPr>
      <w:r>
        <w:rPr>
          <w:spacing w:val="-2"/>
        </w:rPr>
        <w:t>（</w:t>
      </w:r>
      <w:r>
        <w:rPr>
          <w:rFonts w:ascii="宋体" w:hAnsi="宋体" w:cs="宋体" w:eastAsia="宋体" w:hint="default"/>
          <w:spacing w:val="-2"/>
        </w:rPr>
        <w:t>3</w:t>
      </w:r>
      <w:r>
        <w:rPr>
          <w:spacing w:val="-2"/>
        </w:rPr>
        <w:t>）货币资金期末余额较期初增加</w:t>
      </w:r>
      <w:r>
        <w:rPr>
          <w:rFonts w:ascii="宋体" w:hAnsi="宋体" w:cs="宋体" w:eastAsia="宋体" w:hint="default"/>
          <w:spacing w:val="-2"/>
        </w:rPr>
        <w:t>185,143,018.16</w:t>
      </w:r>
      <w:r>
        <w:rPr>
          <w:spacing w:val="-2"/>
        </w:rPr>
        <w:t>元，增幅</w:t>
      </w:r>
      <w:r>
        <w:rPr>
          <w:rFonts w:ascii="宋体" w:hAnsi="宋体" w:cs="宋体" w:eastAsia="宋体" w:hint="default"/>
          <w:spacing w:val="-2"/>
        </w:rPr>
        <w:t>32.33%</w:t>
      </w:r>
      <w:r>
        <w:rPr>
          <w:spacing w:val="-2"/>
        </w:rPr>
        <w:t>，主要原因是本公司经营活动产生的现金流量增加</w:t>
      </w:r>
      <w:r>
        <w:rPr/>
        <w:t> 所致。</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bookmarkStart w:name="2、交易性金融资产" w:id="235"/>
      <w:bookmarkEnd w:id="235"/>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673"/>
        <w:gridCol w:w="2127"/>
        <w:gridCol w:w="1771"/>
      </w:tblGrid>
      <w:tr>
        <w:trPr>
          <w:trHeight w:val="403" w:hRule="exact"/>
        </w:trPr>
        <w:tc>
          <w:tcPr>
            <w:tcW w:w="5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5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1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银行理财产品投资</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5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77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应收票据" w:id="236"/>
      <w:bookmarkEnd w:id="236"/>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应收票据分类列示" w:id="237"/>
      <w:bookmarkEnd w:id="237"/>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8,133,029.36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917,300.00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2,484,250.00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10,617,279.36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917,300.00</w:t>
            </w:r>
          </w:p>
        </w:tc>
      </w:tr>
    </w:tbl>
    <w:p>
      <w:pPr>
        <w:pStyle w:val="BodyText"/>
        <w:spacing w:line="240" w:lineRule="auto" w:before="4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932"/>
        <w:gridCol w:w="797"/>
        <w:gridCol w:w="79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729" w:type="dxa"/>
            <w:gridSpan w:val="2"/>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8"/>
              <w:jc w:val="righ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备的应收票据</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10,748,0</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29.36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130,750.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10,617,27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9.36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8"/>
              <w:jc w:val="righ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2"/>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：银行承兑汇</w:t>
            </w:r>
            <w:r>
              <w:rPr>
                <w:rFonts w:ascii="宋体" w:hAnsi="宋体" w:cs="宋体" w:eastAsia="宋体" w:hint="default"/>
                <w:sz w:val="18"/>
                <w:szCs w:val="18"/>
              </w:rPr>
              <w:t> 票</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8,133,02</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9.36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75.67%</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8,133,029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2"/>
                <w:sz w:val="18"/>
                <w:szCs w:val="18"/>
              </w:rPr>
              <w:t> </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：商业承兑汇</w:t>
            </w:r>
            <w:r>
              <w:rPr>
                <w:rFonts w:ascii="宋体" w:hAnsi="宋体" w:cs="宋体" w:eastAsia="宋体" w:hint="default"/>
                <w:sz w:val="18"/>
                <w:szCs w:val="18"/>
              </w:rPr>
              <w:t> 票</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2,615,00</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24.33%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130,750.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2,484,250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10,748,0</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29.36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130,750.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10,617,27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9.36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133"/>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33"/>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130,750.00</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130,750.00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2,615,000.00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130,750.00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357" w:lineRule="auto" w:before="49"/>
        <w:ind w:left="513" w:right="-20" w:hanging="361"/>
        <w:jc w:val="left"/>
      </w:pPr>
      <w:r>
        <w:rPr/>
        <w:t>确定该组合依据的说明： 按账龄组合计提坏账准备的应收票据</w:t>
      </w:r>
    </w:p>
    <w:p>
      <w:pPr>
        <w:pStyle w:val="BodyText"/>
        <w:spacing w:line="240" w:lineRule="auto" w:before="29"/>
        <w:ind w:right="-20"/>
        <w:jc w:val="left"/>
      </w:pPr>
      <w:r>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394" w:space="5435"/>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49"/>
        <w:ind w:right="1754"/>
        <w:jc w:val="left"/>
      </w:pPr>
      <w:r>
        <w:rPr/>
        <w:t>确定该组合依据的说明： 如是按照预期信用损失一般模型计提应收票据坏账准备，请参照其他应收款的披露方式披露坏账准备的相关信息：</w:t>
      </w:r>
    </w:p>
    <w:p>
      <w:pPr>
        <w:spacing w:after="0" w:line="36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本期计提、收回或转回的坏账准备情况" w:id="238"/>
      <w:bookmarkEnd w:id="23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130,750.00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130,750.00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3" w:right="0"/>
              <w:jc w:val="left"/>
              <w:rPr>
                <w:rFonts w:ascii="Times New Roman" w:hAnsi="Times New Roman" w:cs="Times New Roman" w:eastAsia="Times New Roman" w:hint="default"/>
                <w:sz w:val="18"/>
                <w:szCs w:val="18"/>
              </w:rPr>
            </w:pPr>
            <w:r>
              <w:rPr>
                <w:rFonts w:ascii="Times New Roman"/>
                <w:sz w:val="18"/>
              </w:rPr>
              <w:t>130,750.00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130,750.00</w:t>
            </w:r>
          </w:p>
        </w:tc>
      </w:tr>
    </w:tbl>
    <w:p>
      <w:pPr>
        <w:pStyle w:val="BodyText"/>
        <w:spacing w:line="240" w:lineRule="auto" w:before="49"/>
        <w:ind w:right="1133"/>
        <w:jc w:val="left"/>
      </w:pPr>
      <w:r>
        <w:rPr/>
        <w:t>其中本期坏账准备收回或转回金额重要的：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3）期末公司已背书或贴现且在资产负债表日尚未到期的应收票据" w:id="239"/>
      <w:bookmarkEnd w:id="239"/>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5,859,701.71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5,859,701.71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应收账款" w:id="240"/>
      <w:bookmarkEnd w:id="240"/>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收账款分类披露" w:id="241"/>
      <w:bookmarkEnd w:id="24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4"/>
        <w:gridCol w:w="761"/>
        <w:gridCol w:w="763"/>
        <w:gridCol w:w="790"/>
        <w:gridCol w:w="775"/>
        <w:gridCol w:w="797"/>
        <w:gridCol w:w="800"/>
        <w:gridCol w:w="790"/>
        <w:gridCol w:w="931"/>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8"/>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04" w:right="0"/>
              <w:jc w:val="left"/>
              <w:rPr>
                <w:rFonts w:ascii="Times New Roman" w:hAnsi="Times New Roman" w:cs="Times New Roman" w:eastAsia="Times New Roman" w:hint="default"/>
                <w:sz w:val="18"/>
                <w:szCs w:val="18"/>
              </w:rPr>
            </w:pPr>
            <w:r>
              <w:rPr>
                <w:rFonts w:ascii="Times New Roman"/>
                <w:sz w:val="18"/>
              </w:rPr>
              <w:t>3,040,14</w:t>
            </w:r>
          </w:p>
          <w:p>
            <w:pPr>
              <w:pStyle w:val="TableParagraph"/>
              <w:spacing w:line="240" w:lineRule="auto" w:before="102"/>
              <w:ind w:left="421" w:right="0"/>
              <w:jc w:val="left"/>
              <w:rPr>
                <w:rFonts w:ascii="Times New Roman" w:hAnsi="Times New Roman" w:cs="Times New Roman" w:eastAsia="Times New Roman" w:hint="default"/>
                <w:sz w:val="18"/>
                <w:szCs w:val="18"/>
              </w:rPr>
            </w:pPr>
            <w:r>
              <w:rPr>
                <w:rFonts w:ascii="Times New Roman"/>
                <w:sz w:val="18"/>
              </w:rPr>
              <w:t>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3,040,14</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3,040,140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3,040,140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83" w:right="0"/>
              <w:jc w:val="center"/>
              <w:rPr>
                <w:rFonts w:ascii="Times New Roman" w:hAnsi="Times New Roman" w:cs="Times New Roman" w:eastAsia="Times New Roman" w:hint="default"/>
                <w:sz w:val="18"/>
                <w:szCs w:val="18"/>
              </w:rPr>
            </w:pPr>
            <w:r>
              <w:rPr>
                <w:rFonts w:ascii="Times New Roman"/>
                <w:sz w:val="18"/>
              </w:rPr>
              <w:t>777,802,</w:t>
            </w:r>
          </w:p>
          <w:p>
            <w:pPr>
              <w:pStyle w:val="TableParagraph"/>
              <w:spacing w:line="240" w:lineRule="auto" w:before="102"/>
              <w:ind w:left="220" w:right="0"/>
              <w:jc w:val="center"/>
              <w:rPr>
                <w:rFonts w:ascii="Times New Roman" w:hAnsi="Times New Roman" w:cs="Times New Roman" w:eastAsia="Times New Roman" w:hint="default"/>
                <w:sz w:val="18"/>
                <w:szCs w:val="18"/>
              </w:rPr>
            </w:pPr>
            <w:r>
              <w:rPr>
                <w:rFonts w:ascii="Times New Roman"/>
                <w:sz w:val="18"/>
              </w:rPr>
              <w:t>433.71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99.61%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153,139,</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560.34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19.69%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624,662,8</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73.37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740,303,4</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93.43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99.59%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140,416,8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64.10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18.97%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599,886,62</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9.33</w:t>
            </w: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0" w:right="0"/>
              <w:jc w:val="center"/>
              <w:rPr>
                <w:rFonts w:ascii="Times New Roman" w:hAnsi="Times New Roman" w:cs="Times New Roman" w:eastAsia="Times New Roman" w:hint="default"/>
                <w:sz w:val="18"/>
                <w:szCs w:val="18"/>
              </w:rPr>
            </w:pPr>
            <w:r>
              <w:rPr>
                <w:rFonts w:ascii="Times New Roman"/>
                <w:sz w:val="18"/>
              </w:rPr>
              <w:t>777,802,</w:t>
            </w:r>
          </w:p>
          <w:p>
            <w:pPr>
              <w:pStyle w:val="TableParagraph"/>
              <w:spacing w:line="240" w:lineRule="auto" w:before="102"/>
              <w:ind w:left="227" w:right="0"/>
              <w:jc w:val="center"/>
              <w:rPr>
                <w:rFonts w:ascii="Times New Roman" w:hAnsi="Times New Roman" w:cs="Times New Roman" w:eastAsia="Times New Roman" w:hint="default"/>
                <w:sz w:val="18"/>
                <w:szCs w:val="18"/>
              </w:rPr>
            </w:pPr>
            <w:r>
              <w:rPr>
                <w:rFonts w:ascii="Times New Roman"/>
                <w:sz w:val="18"/>
              </w:rPr>
              <w:t>433.71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99.61%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153,139,</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560.34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19.69%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624,662,8</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73.37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740,303,4</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93.43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99.59%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140,416,8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64.10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18.97%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599,886,62</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9.33</w:t>
            </w: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780,842,</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573.71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156,179,</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700.34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20.00%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624,662,8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73.37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743,343,6</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33.43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143,457,0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04.10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19.30%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599,886,62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9.33</w:t>
            </w:r>
          </w:p>
        </w:tc>
      </w:tr>
    </w:tbl>
    <w:p>
      <w:pPr>
        <w:spacing w:after="0" w:line="240" w:lineRule="auto"/>
        <w:jc w:val="left"/>
        <w:rPr>
          <w:rFonts w:ascii="Times New Roman" w:hAnsi="Times New Roman" w:cs="Times New Roman" w:eastAsia="Times New Roman" w:hint="default"/>
          <w:sz w:val="18"/>
          <w:szCs w:val="18"/>
        </w:rPr>
        <w:sectPr>
          <w:footerReference w:type="default" r:id="rId17"/>
          <w:pgSz w:w="11910" w:h="16840"/>
          <w:pgMar w:footer="980" w:header="745" w:top="1060" w:bottom="1160" w:left="980" w:right="0"/>
          <w:pgNumType w:start="12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3,040,140.00</w:t>
      </w:r>
    </w:p>
    <w:p>
      <w:pPr>
        <w:pStyle w:val="BodyText"/>
        <w:spacing w:line="240" w:lineRule="auto" w:before="10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8"/>
        <w:gridCol w:w="1561"/>
        <w:gridCol w:w="1916"/>
        <w:gridCol w:w="1913"/>
        <w:gridCol w:w="1916"/>
      </w:tblGrid>
      <w:tr>
        <w:trPr>
          <w:trHeight w:val="403"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30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雄县龙达包装材料有限公司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武汉立方科技有限公司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雄县华茂包装材料有限公司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雄县立亚包装材料有限公司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绵阳市科宇节能环保有限公 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绿地环保科技股份有限公司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4,640.00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4,640.00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3,040,140.00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3,040,140.00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33"/>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153,139,560.34</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521,042,889.59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26,052,144.48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116,959,881.66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11,695,988.18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34,868,906.86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10,460,672.08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104,930,755.60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104,930,755.60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777,802,433.71</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153,139,560.34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left="525" w:right="1133" w:hanging="373"/>
        <w:jc w:val="left"/>
      </w:pPr>
      <w:r>
        <w:rPr/>
        <w:t>确定该组合依据的说明： 对于划分为账龄组合的应收款项，本公司参考历史信用损失经验，结合当前状况以及对未来经济状况的预测，编制应</w:t>
      </w:r>
    </w:p>
    <w:p>
      <w:pPr>
        <w:pStyle w:val="BodyText"/>
        <w:spacing w:line="224" w:lineRule="exact"/>
        <w:ind w:right="1133"/>
        <w:jc w:val="left"/>
      </w:pPr>
      <w:r>
        <w:rPr/>
        <w:t>收款项账龄与整个存续期预期信用损失率对照表，计算预期信用损失。</w:t>
      </w:r>
    </w:p>
    <w:p>
      <w:pPr>
        <w:pStyle w:val="BodyText"/>
        <w:spacing w:line="240" w:lineRule="auto" w:before="118"/>
        <w:ind w:right="1133"/>
        <w:jc w:val="left"/>
      </w:pPr>
      <w:r>
        <w:rPr/>
        <w:t>按组合计提坏账准备：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after="0" w:line="3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521,042,889.59</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116,959,881.66</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36,868,906.86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105,970,895.60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15,800,202.53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25,542,602.40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64,628,090.67</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780,842,573.71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本期计提、收回或转回的坏账准备情况" w:id="242"/>
      <w:bookmarkEnd w:id="24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单项计提坏账准 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3,040,140.00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3,040,140.00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按组合计提坏账 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140,416,864.10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14,692,244.17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759,605.65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1,209,942.28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153,139,560.34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143,457,004.10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14,692,244.17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759,605.65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1,209,942.28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156,179,700.34</w:t>
            </w:r>
          </w:p>
        </w:tc>
      </w:tr>
    </w:tbl>
    <w:p>
      <w:pPr>
        <w:pStyle w:val="BodyText"/>
        <w:spacing w:line="240" w:lineRule="auto" w:before="49"/>
        <w:ind w:right="1133"/>
        <w:jc w:val="left"/>
      </w:pPr>
      <w:r>
        <w:rPr/>
        <w:t>其中本期坏账准备收回或转回金额重要的：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316" w:lineRule="auto" w:before="9"/>
        <w:ind w:right="1133" w:firstLine="372"/>
        <w:jc w:val="left"/>
      </w:pPr>
      <w:r>
        <w:rPr/>
        <w:t>本期其他变动金额</w:t>
      </w:r>
      <w:r>
        <w:rPr>
          <w:rFonts w:ascii="宋体" w:hAnsi="宋体" w:cs="宋体" w:eastAsia="宋体" w:hint="default"/>
        </w:rPr>
        <w:t>1,209,942.28</w:t>
      </w:r>
      <w:r>
        <w:rPr/>
        <w:t>元为公司本期注销山东先河环保科技有限公司、转让广州市云景信息科技有限公司转 销的坏账准备。</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3）按欠款方归集的期末余额前五名的应收账款情况" w:id="243"/>
      <w:bookmarkEnd w:id="243"/>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安顺市西秀区农业产业 发展投资有限责任公司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湖北省监利经济开发区 管委会</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30,448,147.40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1,522,407.37</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定州市生态环境局</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27,312,600.00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1,365,630.00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唐山市环境保护局遵化 市分局</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18,105,000.00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905,250.00</w:t>
            </w:r>
          </w:p>
        </w:tc>
      </w:tr>
      <w:tr>
        <w:trPr>
          <w:trHeight w:val="71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河北中科朗博环保科技 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16,490,000.00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2.11%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824,500.00</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152,355,747.40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19.51%</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预付款项" w:id="244"/>
      <w:bookmarkEnd w:id="244"/>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预付款项按账龄列示" w:id="245"/>
      <w:bookmarkEnd w:id="245"/>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1"/>
        <w:gridCol w:w="1928"/>
        <w:gridCol w:w="1913"/>
        <w:gridCol w:w="1915"/>
        <w:gridCol w:w="1916"/>
      </w:tblGrid>
      <w:tr>
        <w:trPr>
          <w:trHeight w:val="207"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44,447,489.46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58.82%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74,832,731.85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72.61%</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11,307,940.91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15,550,362.91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15.09%</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11,129,984.38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5,429,385.32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5.27%</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8,685,783.40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7,239,912.39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75,571,198.15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103,052,392.47</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
        <w:rPr>
          <w:rFonts w:ascii="宋体" w:hAnsi="宋体" w:cs="宋体" w:eastAsia="宋体" w:hint="default"/>
          <w:sz w:val="7"/>
          <w:szCs w:val="7"/>
        </w:rPr>
      </w:pPr>
    </w:p>
    <w:tbl>
      <w:tblPr>
        <w:tblW w:w="0" w:type="auto"/>
        <w:jc w:val="left"/>
        <w:tblInd w:w="774" w:type="dxa"/>
        <w:tblLayout w:type="fixed"/>
        <w:tblCellMar>
          <w:top w:w="0" w:type="dxa"/>
          <w:left w:w="0" w:type="dxa"/>
          <w:bottom w:w="0" w:type="dxa"/>
          <w:right w:w="0" w:type="dxa"/>
        </w:tblCellMar>
        <w:tblLook w:val="01E0"/>
      </w:tblPr>
      <w:tblGrid>
        <w:gridCol w:w="3701"/>
        <w:gridCol w:w="2410"/>
        <w:gridCol w:w="2268"/>
      </w:tblGrid>
      <w:tr>
        <w:trPr>
          <w:trHeight w:val="408" w:hRule="exact"/>
        </w:trPr>
        <w:tc>
          <w:tcPr>
            <w:tcW w:w="37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left="23"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4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26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b/>
                <w:bCs/>
                <w:sz w:val="18"/>
                <w:szCs w:val="18"/>
              </w:rPr>
              <w:t>未及时结算原因</w:t>
            </w:r>
            <w:r>
              <w:rPr>
                <w:rFonts w:ascii="宋体" w:hAnsi="宋体" w:cs="宋体" w:eastAsia="宋体" w:hint="default"/>
                <w:sz w:val="18"/>
                <w:szCs w:val="18"/>
              </w:rPr>
            </w:r>
          </w:p>
        </w:tc>
      </w:tr>
      <w:tr>
        <w:trPr>
          <w:trHeight w:val="394" w:hRule="exact"/>
        </w:trPr>
        <w:tc>
          <w:tcPr>
            <w:tcW w:w="3701" w:type="dxa"/>
            <w:tcBorders>
              <w:top w:val="single" w:sz="4" w:space="0" w:color="000000"/>
              <w:left w:val="nil" w:sz="6" w:space="0" w:color="auto"/>
              <w:bottom w:val="nil" w:sz="6" w:space="0" w:color="auto"/>
              <w:right w:val="single" w:sz="4" w:space="0" w:color="000000"/>
            </w:tcBorders>
          </w:tcPr>
          <w:p>
            <w:pPr>
              <w:pStyle w:val="TableParagraph"/>
              <w:spacing w:line="240" w:lineRule="auto" w:before="44"/>
              <w:ind w:left="124" w:right="0"/>
              <w:jc w:val="left"/>
              <w:rPr>
                <w:rFonts w:ascii="宋体" w:hAnsi="宋体" w:cs="宋体" w:eastAsia="宋体" w:hint="default"/>
                <w:sz w:val="18"/>
                <w:szCs w:val="18"/>
              </w:rPr>
            </w:pPr>
            <w:r>
              <w:rPr>
                <w:rFonts w:ascii="宋体" w:hAnsi="宋体" w:cs="宋体" w:eastAsia="宋体" w:hint="default"/>
                <w:sz w:val="18"/>
                <w:szCs w:val="18"/>
              </w:rPr>
              <w:t>双福源（天津</w:t>
            </w:r>
            <w:r>
              <w:rPr>
                <w:rFonts w:ascii="Times New Roman" w:hAnsi="Times New Roman" w:cs="Times New Roman" w:eastAsia="Times New Roman" w:hint="default"/>
                <w:sz w:val="18"/>
                <w:szCs w:val="18"/>
              </w:rPr>
              <w:t>)</w:t>
            </w:r>
            <w:r>
              <w:rPr>
                <w:rFonts w:ascii="宋体" w:hAnsi="宋体" w:cs="宋体" w:eastAsia="宋体" w:hint="default"/>
                <w:sz w:val="18"/>
                <w:szCs w:val="18"/>
              </w:rPr>
              <w:t>环境科技发展有限公司</w:t>
            </w:r>
          </w:p>
        </w:tc>
        <w:tc>
          <w:tcPr>
            <w:tcW w:w="24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w w:val="80"/>
                <w:sz w:val="18"/>
              </w:rPr>
              <w:t>1,938,000.00</w:t>
            </w:r>
            <w:r>
              <w:rPr>
                <w:rFonts w:ascii="Arial"/>
                <w:spacing w:val="-1"/>
                <w:sz w:val="18"/>
              </w:rPr>
            </w:r>
          </w:p>
        </w:tc>
        <w:tc>
          <w:tcPr>
            <w:tcW w:w="2268" w:type="dxa"/>
            <w:tcBorders>
              <w:top w:val="single" w:sz="4" w:space="0" w:color="000000"/>
              <w:left w:val="single" w:sz="4" w:space="0" w:color="000000"/>
              <w:bottom w:val="nil" w:sz="6" w:space="0" w:color="auto"/>
              <w:right w:val="nil" w:sz="6" w:space="0" w:color="auto"/>
            </w:tcBorders>
          </w:tcPr>
          <w:p>
            <w:pPr>
              <w:pStyle w:val="TableParagraph"/>
              <w:spacing w:line="240" w:lineRule="auto" w:before="44"/>
              <w:ind w:left="90"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86" w:hRule="exact"/>
        </w:trPr>
        <w:tc>
          <w:tcPr>
            <w:tcW w:w="3701" w:type="dxa"/>
            <w:tcBorders>
              <w:top w:val="nil" w:sz="6" w:space="0" w:color="auto"/>
              <w:left w:val="nil" w:sz="6" w:space="0" w:color="auto"/>
              <w:bottom w:val="nil" w:sz="6" w:space="0" w:color="auto"/>
              <w:right w:val="single" w:sz="4" w:space="0" w:color="000000"/>
            </w:tcBorders>
          </w:tcPr>
          <w:p>
            <w:pPr>
              <w:pStyle w:val="TableParagraph"/>
              <w:spacing w:line="240" w:lineRule="auto" w:before="83"/>
              <w:ind w:left="124" w:right="0"/>
              <w:jc w:val="left"/>
              <w:rPr>
                <w:rFonts w:ascii="Times New Roman" w:hAnsi="Times New Roman" w:cs="Times New Roman" w:eastAsia="Times New Roman" w:hint="default"/>
                <w:sz w:val="18"/>
                <w:szCs w:val="18"/>
              </w:rPr>
            </w:pPr>
            <w:r>
              <w:rPr>
                <w:rFonts w:ascii="Times New Roman"/>
                <w:sz w:val="18"/>
              </w:rPr>
              <w:t>Scien-HighTech International</w:t>
            </w:r>
            <w:r>
              <w:rPr>
                <w:rFonts w:ascii="Times New Roman"/>
                <w:spacing w:val="-21"/>
                <w:sz w:val="18"/>
              </w:rPr>
              <w:t> </w:t>
            </w:r>
            <w:r>
              <w:rPr>
                <w:rFonts w:ascii="Times New Roman"/>
                <w:sz w:val="18"/>
              </w:rPr>
              <w:t>LLC</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0"/>
              <w:jc w:val="right"/>
              <w:rPr>
                <w:rFonts w:ascii="Arial" w:hAnsi="Arial" w:cs="Arial" w:eastAsia="Arial" w:hint="default"/>
                <w:sz w:val="18"/>
                <w:szCs w:val="18"/>
              </w:rPr>
            </w:pPr>
            <w:r>
              <w:rPr>
                <w:rFonts w:ascii="Arial"/>
                <w:spacing w:val="-1"/>
                <w:w w:val="80"/>
                <w:sz w:val="18"/>
              </w:rPr>
              <w:t>1,129,928.60</w:t>
            </w:r>
            <w:r>
              <w:rPr>
                <w:rFonts w:ascii="Arial"/>
                <w:spacing w:val="-1"/>
                <w:sz w:val="18"/>
              </w:rPr>
            </w:r>
          </w:p>
        </w:tc>
        <w:tc>
          <w:tcPr>
            <w:tcW w:w="2268"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尚未发货</w:t>
            </w:r>
          </w:p>
        </w:tc>
      </w:tr>
      <w:tr>
        <w:trPr>
          <w:trHeight w:val="386" w:hRule="exact"/>
        </w:trPr>
        <w:tc>
          <w:tcPr>
            <w:tcW w:w="3701"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4" w:right="0"/>
              <w:jc w:val="left"/>
              <w:rPr>
                <w:rFonts w:ascii="宋体" w:hAnsi="宋体" w:cs="宋体" w:eastAsia="宋体" w:hint="default"/>
                <w:sz w:val="18"/>
                <w:szCs w:val="18"/>
              </w:rPr>
            </w:pPr>
            <w:r>
              <w:rPr>
                <w:rFonts w:ascii="宋体" w:hAnsi="宋体" w:cs="宋体" w:eastAsia="宋体" w:hint="default"/>
                <w:sz w:val="18"/>
                <w:szCs w:val="18"/>
              </w:rPr>
              <w:t>河北圣基建设工程集团有限公司吴桥分公司</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0"/>
              <w:jc w:val="right"/>
              <w:rPr>
                <w:rFonts w:ascii="Arial" w:hAnsi="Arial" w:cs="Arial" w:eastAsia="Arial" w:hint="default"/>
                <w:sz w:val="18"/>
                <w:szCs w:val="18"/>
              </w:rPr>
            </w:pPr>
            <w:r>
              <w:rPr>
                <w:rFonts w:ascii="Arial"/>
                <w:spacing w:val="-1"/>
                <w:w w:val="80"/>
                <w:sz w:val="18"/>
              </w:rPr>
              <w:t>721,800.00</w:t>
            </w:r>
            <w:r>
              <w:rPr>
                <w:rFonts w:ascii="Arial"/>
                <w:spacing w:val="-1"/>
                <w:sz w:val="18"/>
              </w:rPr>
            </w:r>
          </w:p>
        </w:tc>
        <w:tc>
          <w:tcPr>
            <w:tcW w:w="2268"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386" w:hRule="exact"/>
        </w:trPr>
        <w:tc>
          <w:tcPr>
            <w:tcW w:w="3701"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4" w:right="0"/>
              <w:jc w:val="left"/>
              <w:rPr>
                <w:rFonts w:ascii="宋体" w:hAnsi="宋体" w:cs="宋体" w:eastAsia="宋体" w:hint="default"/>
                <w:sz w:val="18"/>
                <w:szCs w:val="18"/>
              </w:rPr>
            </w:pPr>
            <w:r>
              <w:rPr>
                <w:rFonts w:ascii="宋体" w:hAnsi="宋体" w:cs="宋体" w:eastAsia="宋体" w:hint="default"/>
                <w:sz w:val="18"/>
                <w:szCs w:val="18"/>
              </w:rPr>
              <w:t>河北吉茂环保工程有限公司</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0"/>
              <w:jc w:val="right"/>
              <w:rPr>
                <w:rFonts w:ascii="Arial" w:hAnsi="Arial" w:cs="Arial" w:eastAsia="Arial" w:hint="default"/>
                <w:sz w:val="18"/>
                <w:szCs w:val="18"/>
              </w:rPr>
            </w:pPr>
            <w:r>
              <w:rPr>
                <w:rFonts w:ascii="Arial"/>
                <w:spacing w:val="-1"/>
                <w:w w:val="80"/>
                <w:sz w:val="18"/>
              </w:rPr>
              <w:t>737,882.27</w:t>
            </w:r>
            <w:r>
              <w:rPr>
                <w:rFonts w:ascii="Arial"/>
                <w:spacing w:val="-1"/>
                <w:sz w:val="18"/>
              </w:rPr>
            </w:r>
          </w:p>
        </w:tc>
        <w:tc>
          <w:tcPr>
            <w:tcW w:w="2268"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86" w:hRule="exact"/>
        </w:trPr>
        <w:tc>
          <w:tcPr>
            <w:tcW w:w="3701" w:type="dxa"/>
            <w:tcBorders>
              <w:top w:val="nil" w:sz="6" w:space="0" w:color="auto"/>
              <w:left w:val="nil" w:sz="6" w:space="0" w:color="auto"/>
              <w:bottom w:val="single" w:sz="4" w:space="0" w:color="000000"/>
              <w:right w:val="single" w:sz="4" w:space="0" w:color="000000"/>
            </w:tcBorders>
          </w:tcPr>
          <w:p>
            <w:pPr>
              <w:pStyle w:val="TableParagraph"/>
              <w:spacing w:line="240" w:lineRule="auto" w:before="41"/>
              <w:ind w:left="124" w:right="0"/>
              <w:jc w:val="left"/>
              <w:rPr>
                <w:rFonts w:ascii="宋体" w:hAnsi="宋体" w:cs="宋体" w:eastAsia="宋体" w:hint="default"/>
                <w:sz w:val="18"/>
                <w:szCs w:val="18"/>
              </w:rPr>
            </w:pPr>
            <w:r>
              <w:rPr>
                <w:rFonts w:ascii="宋体" w:hAnsi="宋体" w:cs="宋体" w:eastAsia="宋体" w:hint="default"/>
                <w:sz w:val="18"/>
                <w:szCs w:val="18"/>
              </w:rPr>
              <w:t>保定市华电海通实业有限公司</w:t>
            </w:r>
          </w:p>
        </w:tc>
        <w:tc>
          <w:tcPr>
            <w:tcW w:w="24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8"/>
                <w:szCs w:val="18"/>
              </w:rPr>
            </w:pPr>
            <w:r>
              <w:rPr>
                <w:rFonts w:ascii="Arial"/>
                <w:spacing w:val="-1"/>
                <w:w w:val="80"/>
                <w:sz w:val="18"/>
              </w:rPr>
              <w:t>576,066.50</w:t>
            </w:r>
            <w:r>
              <w:rPr>
                <w:rFonts w:ascii="Arial"/>
                <w:spacing w:val="-1"/>
                <w:sz w:val="18"/>
              </w:rPr>
            </w:r>
          </w:p>
        </w:tc>
        <w:tc>
          <w:tcPr>
            <w:tcW w:w="2268" w:type="dxa"/>
            <w:tcBorders>
              <w:top w:val="nil" w:sz="6" w:space="0" w:color="auto"/>
              <w:left w:val="single" w:sz="4" w:space="0" w:color="000000"/>
              <w:bottom w:val="single" w:sz="4" w:space="0" w:color="000000"/>
              <w:right w:val="nil" w:sz="6" w:space="0" w:color="auto"/>
            </w:tcBorders>
          </w:tcPr>
          <w:p>
            <w:pPr>
              <w:pStyle w:val="TableParagraph"/>
              <w:spacing w:line="240" w:lineRule="auto" w:before="41"/>
              <w:ind w:left="88" w:right="0"/>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8" w:hRule="exact"/>
        </w:trPr>
        <w:tc>
          <w:tcPr>
            <w:tcW w:w="37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6"/>
              <w:ind w:left="23"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b/>
                <w:spacing w:val="-1"/>
                <w:w w:val="80"/>
                <w:sz w:val="18"/>
              </w:rPr>
              <w:t>5,103,677.37</w:t>
            </w:r>
            <w:r>
              <w:rPr>
                <w:rFonts w:ascii="Arial"/>
                <w:spacing w:val="-1"/>
                <w:sz w:val="18"/>
              </w:rPr>
            </w:r>
          </w:p>
        </w:tc>
        <w:tc>
          <w:tcPr>
            <w:tcW w:w="2268"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33"/>
        <w:jc w:val="left"/>
        <w:rPr>
          <w:b w:val="0"/>
          <w:bCs w:val="0"/>
        </w:rPr>
      </w:pPr>
      <w:bookmarkStart w:name="（2）按预付对象归集的期末余额前五名的预付款情况" w:id="246"/>
      <w:bookmarkEnd w:id="246"/>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501" w:type="dxa"/>
        <w:tblLayout w:type="fixed"/>
        <w:tblCellMar>
          <w:top w:w="0" w:type="dxa"/>
          <w:left w:w="0" w:type="dxa"/>
          <w:bottom w:w="0" w:type="dxa"/>
          <w:right w:w="0" w:type="dxa"/>
        </w:tblCellMar>
        <w:tblLook w:val="01E0"/>
      </w:tblPr>
      <w:tblGrid>
        <w:gridCol w:w="3685"/>
        <w:gridCol w:w="1865"/>
        <w:gridCol w:w="3380"/>
      </w:tblGrid>
      <w:tr>
        <w:trPr>
          <w:trHeight w:val="389" w:hRule="exact"/>
        </w:trPr>
        <w:tc>
          <w:tcPr>
            <w:tcW w:w="368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7"/>
              <w:ind w:left="20"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8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33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103"/>
              <w:jc w:val="right"/>
              <w:rPr>
                <w:rFonts w:ascii="宋体" w:hAnsi="宋体" w:cs="宋体" w:eastAsia="宋体" w:hint="default"/>
                <w:sz w:val="18"/>
                <w:szCs w:val="18"/>
              </w:rPr>
            </w:pPr>
            <w:r>
              <w:rPr>
                <w:rFonts w:ascii="宋体" w:hAnsi="宋体" w:cs="宋体" w:eastAsia="宋体" w:hint="default"/>
                <w:b/>
                <w:bCs/>
                <w:w w:val="95"/>
                <w:sz w:val="18"/>
                <w:szCs w:val="18"/>
              </w:rPr>
              <w:t>占预付款项期末余额合计数的比例（</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r>
      <w:tr>
        <w:trPr>
          <w:trHeight w:val="402" w:hRule="exact"/>
        </w:trPr>
        <w:tc>
          <w:tcPr>
            <w:tcW w:w="3685" w:type="dxa"/>
            <w:tcBorders>
              <w:top w:val="single" w:sz="4" w:space="0" w:color="000000"/>
              <w:left w:val="nil" w:sz="6" w:space="0" w:color="auto"/>
              <w:bottom w:val="nil" w:sz="6" w:space="0" w:color="auto"/>
              <w:right w:val="single" w:sz="4"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深圳市比量科技传媒有限公司</w:t>
            </w:r>
          </w:p>
        </w:tc>
        <w:tc>
          <w:tcPr>
            <w:tcW w:w="18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6"/>
              <w:ind w:right="101"/>
              <w:jc w:val="right"/>
              <w:rPr>
                <w:rFonts w:ascii="Arial" w:hAnsi="Arial" w:cs="Arial" w:eastAsia="Arial" w:hint="default"/>
                <w:sz w:val="20"/>
                <w:szCs w:val="20"/>
              </w:rPr>
            </w:pPr>
            <w:r>
              <w:rPr>
                <w:rFonts w:ascii="Arial"/>
                <w:w w:val="80"/>
                <w:sz w:val="20"/>
              </w:rPr>
              <w:t>6,800,000.00</w:t>
            </w:r>
            <w:r>
              <w:rPr>
                <w:rFonts w:ascii="Arial"/>
                <w:sz w:val="20"/>
              </w:rPr>
            </w:r>
          </w:p>
        </w:tc>
        <w:tc>
          <w:tcPr>
            <w:tcW w:w="3380" w:type="dxa"/>
            <w:tcBorders>
              <w:top w:val="single" w:sz="4" w:space="0" w:color="000000"/>
              <w:left w:val="single" w:sz="4" w:space="0" w:color="000000"/>
              <w:bottom w:val="nil" w:sz="6" w:space="0" w:color="auto"/>
              <w:right w:val="nil" w:sz="6" w:space="0" w:color="auto"/>
            </w:tcBorders>
          </w:tcPr>
          <w:p>
            <w:pPr>
              <w:pStyle w:val="TableParagraph"/>
              <w:spacing w:line="240" w:lineRule="auto" w:before="76"/>
              <w:ind w:right="103"/>
              <w:jc w:val="right"/>
              <w:rPr>
                <w:rFonts w:ascii="Arial" w:hAnsi="Arial" w:cs="Arial" w:eastAsia="Arial" w:hint="default"/>
                <w:sz w:val="20"/>
                <w:szCs w:val="20"/>
              </w:rPr>
            </w:pPr>
            <w:r>
              <w:rPr>
                <w:rFonts w:ascii="Arial"/>
                <w:w w:val="80"/>
                <w:sz w:val="20"/>
              </w:rPr>
              <w:t>9.00</w:t>
            </w:r>
            <w:r>
              <w:rPr>
                <w:rFonts w:ascii="Arial"/>
                <w:sz w:val="20"/>
              </w:rPr>
            </w:r>
          </w:p>
        </w:tc>
      </w:tr>
      <w:tr>
        <w:trPr>
          <w:trHeight w:val="395" w:hRule="exact"/>
        </w:trPr>
        <w:tc>
          <w:tcPr>
            <w:tcW w:w="3685"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22" w:right="0"/>
              <w:jc w:val="left"/>
              <w:rPr>
                <w:rFonts w:ascii="宋体" w:hAnsi="宋体" w:cs="宋体" w:eastAsia="宋体" w:hint="default"/>
                <w:sz w:val="18"/>
                <w:szCs w:val="18"/>
              </w:rPr>
            </w:pPr>
            <w:r>
              <w:rPr>
                <w:rFonts w:ascii="宋体" w:hAnsi="宋体" w:cs="宋体" w:eastAsia="宋体" w:hint="default"/>
                <w:sz w:val="18"/>
                <w:szCs w:val="18"/>
              </w:rPr>
              <w:t>河北宏天环保科技股份有限公司</w:t>
            </w:r>
          </w:p>
        </w:tc>
        <w:tc>
          <w:tcPr>
            <w:tcW w:w="1865"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1"/>
              <w:jc w:val="right"/>
              <w:rPr>
                <w:rFonts w:ascii="Arial" w:hAnsi="Arial" w:cs="Arial" w:eastAsia="Arial" w:hint="default"/>
                <w:sz w:val="20"/>
                <w:szCs w:val="20"/>
              </w:rPr>
            </w:pPr>
            <w:r>
              <w:rPr>
                <w:rFonts w:ascii="Arial"/>
                <w:w w:val="80"/>
                <w:sz w:val="20"/>
              </w:rPr>
              <w:t>2,230,088.50</w:t>
            </w:r>
            <w:r>
              <w:rPr>
                <w:rFonts w:ascii="Arial"/>
                <w:sz w:val="20"/>
              </w:rPr>
            </w:r>
          </w:p>
        </w:tc>
        <w:tc>
          <w:tcPr>
            <w:tcW w:w="3380"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right="103"/>
              <w:jc w:val="right"/>
              <w:rPr>
                <w:rFonts w:ascii="Arial" w:hAnsi="Arial" w:cs="Arial" w:eastAsia="Arial" w:hint="default"/>
                <w:sz w:val="20"/>
                <w:szCs w:val="20"/>
              </w:rPr>
            </w:pPr>
            <w:r>
              <w:rPr>
                <w:rFonts w:ascii="Arial"/>
                <w:w w:val="80"/>
                <w:sz w:val="20"/>
              </w:rPr>
              <w:t>2.95</w:t>
            </w:r>
            <w:r>
              <w:rPr>
                <w:rFonts w:ascii="Arial"/>
                <w:sz w:val="20"/>
              </w:rPr>
            </w:r>
          </w:p>
        </w:tc>
      </w:tr>
      <w:tr>
        <w:trPr>
          <w:trHeight w:val="396" w:hRule="exact"/>
        </w:trPr>
        <w:tc>
          <w:tcPr>
            <w:tcW w:w="3685"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广州天怡环保科技有限公司</w:t>
            </w:r>
          </w:p>
        </w:tc>
        <w:tc>
          <w:tcPr>
            <w:tcW w:w="1865"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1"/>
              <w:jc w:val="right"/>
              <w:rPr>
                <w:rFonts w:ascii="Arial" w:hAnsi="Arial" w:cs="Arial" w:eastAsia="Arial" w:hint="default"/>
                <w:sz w:val="20"/>
                <w:szCs w:val="20"/>
              </w:rPr>
            </w:pPr>
            <w:r>
              <w:rPr>
                <w:rFonts w:ascii="Arial"/>
                <w:w w:val="80"/>
                <w:sz w:val="20"/>
              </w:rPr>
              <w:t>2,164,001.96</w:t>
            </w:r>
            <w:r>
              <w:rPr>
                <w:rFonts w:ascii="Arial"/>
                <w:sz w:val="20"/>
              </w:rPr>
            </w:r>
          </w:p>
        </w:tc>
        <w:tc>
          <w:tcPr>
            <w:tcW w:w="3380"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103"/>
              <w:jc w:val="right"/>
              <w:rPr>
                <w:rFonts w:ascii="Arial" w:hAnsi="Arial" w:cs="Arial" w:eastAsia="Arial" w:hint="default"/>
                <w:sz w:val="20"/>
                <w:szCs w:val="20"/>
              </w:rPr>
            </w:pPr>
            <w:r>
              <w:rPr>
                <w:rFonts w:ascii="Arial"/>
                <w:w w:val="80"/>
                <w:sz w:val="20"/>
              </w:rPr>
              <w:t>2.86</w:t>
            </w:r>
            <w:r>
              <w:rPr>
                <w:rFonts w:ascii="Arial"/>
                <w:sz w:val="20"/>
              </w:rPr>
            </w:r>
          </w:p>
        </w:tc>
      </w:tr>
      <w:tr>
        <w:trPr>
          <w:trHeight w:val="398" w:hRule="exact"/>
        </w:trPr>
        <w:tc>
          <w:tcPr>
            <w:tcW w:w="3685"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双福源（天津</w:t>
            </w:r>
            <w:r>
              <w:rPr>
                <w:rFonts w:ascii="Times New Roman" w:hAnsi="Times New Roman" w:cs="Times New Roman" w:eastAsia="Times New Roman" w:hint="default"/>
                <w:sz w:val="18"/>
                <w:szCs w:val="18"/>
              </w:rPr>
              <w:t>)</w:t>
            </w:r>
            <w:r>
              <w:rPr>
                <w:rFonts w:ascii="宋体" w:hAnsi="宋体" w:cs="宋体" w:eastAsia="宋体" w:hint="default"/>
                <w:sz w:val="18"/>
                <w:szCs w:val="18"/>
              </w:rPr>
              <w:t>环境科技发展有限公司</w:t>
            </w:r>
          </w:p>
        </w:tc>
        <w:tc>
          <w:tcPr>
            <w:tcW w:w="1865"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1"/>
              <w:jc w:val="right"/>
              <w:rPr>
                <w:rFonts w:ascii="Arial" w:hAnsi="Arial" w:cs="Arial" w:eastAsia="Arial" w:hint="default"/>
                <w:sz w:val="20"/>
                <w:szCs w:val="20"/>
              </w:rPr>
            </w:pPr>
            <w:r>
              <w:rPr>
                <w:rFonts w:ascii="Arial"/>
                <w:w w:val="80"/>
                <w:sz w:val="20"/>
              </w:rPr>
              <w:t>1,938,000.00</w:t>
            </w:r>
            <w:r>
              <w:rPr>
                <w:rFonts w:ascii="Arial"/>
                <w:sz w:val="20"/>
              </w:rPr>
            </w:r>
          </w:p>
        </w:tc>
        <w:tc>
          <w:tcPr>
            <w:tcW w:w="3380"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103"/>
              <w:jc w:val="right"/>
              <w:rPr>
                <w:rFonts w:ascii="Arial" w:hAnsi="Arial" w:cs="Arial" w:eastAsia="Arial" w:hint="default"/>
                <w:sz w:val="20"/>
                <w:szCs w:val="20"/>
              </w:rPr>
            </w:pPr>
            <w:r>
              <w:rPr>
                <w:rFonts w:ascii="Arial"/>
                <w:w w:val="80"/>
                <w:sz w:val="20"/>
              </w:rPr>
              <w:t>2.56</w:t>
            </w:r>
            <w:r>
              <w:rPr>
                <w:rFonts w:ascii="Arial"/>
                <w:sz w:val="20"/>
              </w:rPr>
            </w:r>
          </w:p>
        </w:tc>
      </w:tr>
      <w:tr>
        <w:trPr>
          <w:trHeight w:val="394" w:hRule="exact"/>
        </w:trPr>
        <w:tc>
          <w:tcPr>
            <w:tcW w:w="3685" w:type="dxa"/>
            <w:tcBorders>
              <w:top w:val="nil" w:sz="6" w:space="0" w:color="auto"/>
              <w:left w:val="nil" w:sz="6" w:space="0" w:color="auto"/>
              <w:bottom w:val="single" w:sz="4" w:space="0" w:color="000000"/>
              <w:right w:val="single" w:sz="4" w:space="0" w:color="000000"/>
            </w:tcBorders>
          </w:tcPr>
          <w:p>
            <w:pPr>
              <w:pStyle w:val="TableParagraph"/>
              <w:spacing w:line="240" w:lineRule="auto" w:before="84"/>
              <w:ind w:left="122" w:right="0"/>
              <w:jc w:val="left"/>
              <w:rPr>
                <w:rFonts w:ascii="Times New Roman" w:hAnsi="Times New Roman" w:cs="Times New Roman" w:eastAsia="Times New Roman" w:hint="default"/>
                <w:sz w:val="18"/>
                <w:szCs w:val="18"/>
              </w:rPr>
            </w:pPr>
            <w:r>
              <w:rPr>
                <w:rFonts w:ascii="Times New Roman"/>
                <w:sz w:val="18"/>
              </w:rPr>
              <w:t>Ecotech Pty</w:t>
            </w:r>
            <w:r>
              <w:rPr>
                <w:rFonts w:ascii="Times New Roman"/>
                <w:spacing w:val="-6"/>
                <w:sz w:val="18"/>
              </w:rPr>
              <w:t> </w:t>
            </w:r>
            <w:r>
              <w:rPr>
                <w:rFonts w:ascii="Times New Roman"/>
                <w:sz w:val="18"/>
              </w:rPr>
              <w:t>Ltd</w:t>
            </w:r>
          </w:p>
        </w:tc>
        <w:tc>
          <w:tcPr>
            <w:tcW w:w="18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0"/>
                <w:szCs w:val="20"/>
              </w:rPr>
            </w:pPr>
            <w:r>
              <w:rPr>
                <w:rFonts w:ascii="Arial"/>
                <w:w w:val="80"/>
                <w:sz w:val="20"/>
              </w:rPr>
              <w:t>1,521,749.51</w:t>
            </w:r>
            <w:r>
              <w:rPr>
                <w:rFonts w:ascii="Arial"/>
                <w:sz w:val="20"/>
              </w:rPr>
            </w:r>
          </w:p>
        </w:tc>
        <w:tc>
          <w:tcPr>
            <w:tcW w:w="3380" w:type="dxa"/>
            <w:tcBorders>
              <w:top w:val="nil" w:sz="6" w:space="0" w:color="auto"/>
              <w:left w:val="single" w:sz="4" w:space="0" w:color="000000"/>
              <w:bottom w:val="single" w:sz="4" w:space="0" w:color="000000"/>
              <w:right w:val="nil" w:sz="6" w:space="0" w:color="auto"/>
            </w:tcBorders>
          </w:tcPr>
          <w:p>
            <w:pPr>
              <w:pStyle w:val="TableParagraph"/>
              <w:spacing w:line="240" w:lineRule="auto" w:before="74"/>
              <w:ind w:right="103"/>
              <w:jc w:val="right"/>
              <w:rPr>
                <w:rFonts w:ascii="Arial" w:hAnsi="Arial" w:cs="Arial" w:eastAsia="Arial" w:hint="default"/>
                <w:sz w:val="20"/>
                <w:szCs w:val="20"/>
              </w:rPr>
            </w:pPr>
            <w:r>
              <w:rPr>
                <w:rFonts w:ascii="Arial"/>
                <w:w w:val="80"/>
                <w:sz w:val="20"/>
              </w:rPr>
              <w:t>2.01</w:t>
            </w:r>
            <w:r>
              <w:rPr>
                <w:rFonts w:ascii="Arial"/>
                <w:sz w:val="20"/>
              </w:rPr>
            </w:r>
          </w:p>
        </w:tc>
      </w:tr>
      <w:tr>
        <w:trPr>
          <w:trHeight w:val="408" w:hRule="exact"/>
        </w:trPr>
        <w:tc>
          <w:tcPr>
            <w:tcW w:w="3685" w:type="dxa"/>
            <w:tcBorders>
              <w:top w:val="single" w:sz="4" w:space="0" w:color="000000"/>
              <w:left w:val="nil" w:sz="6" w:space="0" w:color="auto"/>
              <w:bottom w:val="single" w:sz="12" w:space="0" w:color="000000"/>
              <w:right w:val="single" w:sz="4" w:space="0" w:color="000000"/>
            </w:tcBorders>
          </w:tcPr>
          <w:p>
            <w:pPr>
              <w:pStyle w:val="TableParagraph"/>
              <w:tabs>
                <w:tab w:pos="522" w:val="left" w:leader="none"/>
              </w:tabs>
              <w:spacing w:line="240" w:lineRule="auto" w:before="28"/>
              <w:ind w:left="18" w:right="0"/>
              <w:jc w:val="center"/>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8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right="101"/>
              <w:jc w:val="right"/>
              <w:rPr>
                <w:rFonts w:ascii="Arial" w:hAnsi="Arial" w:cs="Arial" w:eastAsia="Arial" w:hint="default"/>
                <w:sz w:val="20"/>
                <w:szCs w:val="20"/>
              </w:rPr>
            </w:pPr>
            <w:r>
              <w:rPr>
                <w:rFonts w:ascii="Arial"/>
                <w:b/>
                <w:w w:val="80"/>
                <w:sz w:val="20"/>
              </w:rPr>
              <w:t>14,653,839.97</w:t>
            </w:r>
            <w:r>
              <w:rPr>
                <w:rFonts w:ascii="Arial"/>
                <w:sz w:val="20"/>
              </w:rPr>
            </w:r>
          </w:p>
        </w:tc>
        <w:tc>
          <w:tcPr>
            <w:tcW w:w="33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4"/>
              <w:ind w:right="103"/>
              <w:jc w:val="right"/>
              <w:rPr>
                <w:rFonts w:ascii="Arial" w:hAnsi="Arial" w:cs="Arial" w:eastAsia="Arial" w:hint="default"/>
                <w:sz w:val="20"/>
                <w:szCs w:val="20"/>
              </w:rPr>
            </w:pPr>
            <w:r>
              <w:rPr>
                <w:rFonts w:ascii="Arial"/>
                <w:b/>
                <w:w w:val="80"/>
                <w:sz w:val="20"/>
              </w:rPr>
              <w:t>19.38</w:t>
            </w:r>
            <w:r>
              <w:rPr>
                <w:rFonts w:ascii="Arial"/>
                <w:sz w:val="20"/>
              </w:rPr>
            </w:r>
          </w:p>
        </w:tc>
      </w:tr>
    </w:tbl>
    <w:p>
      <w:pPr>
        <w:spacing w:after="0" w:line="240" w:lineRule="auto"/>
        <w:jc w:val="right"/>
        <w:rPr>
          <w:rFonts w:ascii="Arial" w:hAnsi="Arial" w:cs="Arial" w:eastAsia="Arial" w:hint="default"/>
          <w:sz w:val="20"/>
          <w:szCs w:val="20"/>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6、其他应收款" w:id="247"/>
      <w:bookmarkEnd w:id="247"/>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60,857,497.93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98,802,386.60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60,857,497.93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98,802,386.60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其他应收款" w:id="248"/>
      <w:bookmarkEnd w:id="248"/>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bookmarkStart w:name="1）其他应收款按款项性质分类情况" w:id="249"/>
      <w:bookmarkEnd w:id="249"/>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39,972,320.92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83,178,217.94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20,948,699.36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33,204,399.31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27,340,796.86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13,907,168.04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88,261,817.14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130,289,785.29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坏账准备计提情况" w:id="250"/>
      <w:bookmarkEnd w:id="250"/>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3,240,611.66</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26,998,051.43</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1,248,735.60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31,487,398.69</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593,737.47</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1,498,204.01</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2,091,941.48</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1,648,194.06</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2,043,084.05</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3,691,278.11</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2,483,742.85</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2,483,742.85</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2,186,155.07</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23,969,428.54</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1,248,735.60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27,404,319.21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38" w:lineRule="auto" w:before="117"/>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43,723,101.14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17,389,460.23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5,207,553.81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21,941,701.96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4,909,117.89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11,932,680.39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5,099,903.68</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88,261,817.14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本期计提、收回或转回的坏账准备情况" w:id="251"/>
      <w:bookmarkEnd w:id="251"/>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340"/>
        <w:gridCol w:w="1332"/>
        <w:gridCol w:w="1332"/>
        <w:gridCol w:w="1325"/>
        <w:gridCol w:w="1726"/>
      </w:tblGrid>
      <w:tr>
        <w:trPr>
          <w:trHeight w:val="401"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单项计提坏账准 备</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1,248,735.60</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1,248,735.60</w:t>
            </w:r>
          </w:p>
        </w:tc>
      </w:tr>
      <w:tr>
        <w:trPr>
          <w:trHeight w:val="71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按组合计提坏账 准备</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30,238,663.09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2,091,941.48</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3,691,278.11</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2,483,742.85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26,155,583.61</w:t>
            </w:r>
          </w:p>
        </w:tc>
      </w:tr>
      <w:tr>
        <w:trPr>
          <w:trHeight w:val="401"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31,487,398.69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2,091,941.48</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3,691,278.11</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2,483,742.85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27,404,319.21</w:t>
            </w:r>
          </w:p>
        </w:tc>
      </w:tr>
    </w:tbl>
    <w:p>
      <w:pPr>
        <w:pStyle w:val="BodyText"/>
        <w:spacing w:line="240" w:lineRule="auto" w:before="49"/>
        <w:ind w:right="1133"/>
        <w:jc w:val="left"/>
      </w:pPr>
      <w:r>
        <w:rPr/>
        <w:t>其中本期坏账准备转回或收回金额重要的：</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河北省公共资源交易中心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1,856,332.00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退回保证金</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唐山市生态环境局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退回保证金</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德州市公共资源交易中心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退回保证金</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石家庄市公共资源交易中心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退回保证金</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2,397,072.00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0" w:lineRule="auto" w:before="8"/>
        <w:ind w:right="1133" w:firstLine="425"/>
        <w:jc w:val="left"/>
      </w:pPr>
      <w:r>
        <w:rPr>
          <w:spacing w:val="-1"/>
        </w:rPr>
        <w:t>本期其他变动金额</w:t>
      </w:r>
      <w:r>
        <w:rPr>
          <w:rFonts w:ascii="Times New Roman" w:hAnsi="Times New Roman" w:cs="Times New Roman" w:eastAsia="Times New Roman" w:hint="default"/>
          <w:spacing w:val="-1"/>
        </w:rPr>
        <w:t>2,483,742.85</w:t>
      </w:r>
      <w:r>
        <w:rPr>
          <w:spacing w:val="-1"/>
        </w:rPr>
        <w:t>元为公司本期注销山东先河环保科技有限公司、转让广州市云景信息科技有限公司转销</w:t>
      </w:r>
      <w:r>
        <w:rPr/>
        <w:t> 的坏账准备。</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bookmarkStart w:name="4）按欠款方归集的期末余额前五名的其他应收款情况" w:id="252"/>
      <w:bookmarkEnd w:id="252"/>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09"/>
        <w:gridCol w:w="1136"/>
        <w:gridCol w:w="1238"/>
        <w:gridCol w:w="1594"/>
        <w:gridCol w:w="1594"/>
        <w:gridCol w:w="1596"/>
      </w:tblGrid>
      <w:tr>
        <w:trPr>
          <w:trHeight w:val="713"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10"/>
        <w:gridCol w:w="1136"/>
        <w:gridCol w:w="1238"/>
        <w:gridCol w:w="1594"/>
        <w:gridCol w:w="1594"/>
        <w:gridCol w:w="1596"/>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贵州建安房地产开发有限公司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526,500.00</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吉林省生态环境监测中心</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3,676,800.00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183,840.00</w:t>
            </w:r>
          </w:p>
        </w:tc>
      </w:tr>
      <w:tr>
        <w:trPr>
          <w:trHeight w:val="1337"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广州市环境监测中心站</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2,994,061.00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300" w:lineRule="auto" w:before="63"/>
              <w:ind w:left="23"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22,300.00</w:t>
            </w:r>
            <w:r>
              <w:rPr>
                <w:rFonts w:ascii="宋体" w:hAnsi="宋体" w:cs="宋体" w:eastAsia="宋体" w:hint="default"/>
                <w:sz w:val="18"/>
                <w:szCs w:val="18"/>
              </w:rPr>
              <w:t>；</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:153,450.00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以上</w:t>
            </w:r>
            <w:r>
              <w:rPr>
                <w:rFonts w:ascii="Times New Roman" w:hAnsi="Times New Roman" w:cs="Times New Roman" w:eastAsia="Times New Roman" w:hint="default"/>
                <w:sz w:val="18"/>
                <w:szCs w:val="18"/>
              </w:rPr>
              <w:t>:2,818,311.00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2,834,771.00</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自贡市生态环境局</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2,863,500.00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286,350.00</w:t>
            </w:r>
          </w:p>
        </w:tc>
      </w:tr>
      <w:tr>
        <w:trPr>
          <w:trHeight w:val="1337"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河北省环境监测中心站</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2,238,052.00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1,911,500.00</w:t>
            </w:r>
            <w:r>
              <w:rPr>
                <w:rFonts w:ascii="宋体" w:hAnsi="宋体" w:cs="宋体" w:eastAsia="宋体" w:hint="default"/>
                <w:sz w:val="18"/>
                <w:szCs w:val="18"/>
              </w:rPr>
              <w:t>；</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277,000.00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年以上：</w:t>
            </w:r>
            <w:r>
              <w:rPr>
                <w:rFonts w:ascii="Times New Roman" w:hAnsi="Times New Roman" w:cs="Times New Roman" w:eastAsia="Times New Roman" w:hint="default"/>
                <w:sz w:val="18"/>
                <w:szCs w:val="18"/>
              </w:rPr>
              <w:t>49,552.00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228,227.00</w:t>
            </w:r>
          </w:p>
        </w:tc>
      </w:tr>
      <w:tr>
        <w:trPr>
          <w:trHeight w:val="40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1238"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4"/>
              <w:ind w:right="12"/>
              <w:jc w:val="right"/>
              <w:rPr>
                <w:rFonts w:ascii="Times New Roman" w:hAnsi="Times New Roman" w:cs="Times New Roman" w:eastAsia="Times New Roman" w:hint="default"/>
                <w:sz w:val="18"/>
                <w:szCs w:val="18"/>
              </w:rPr>
            </w:pPr>
            <w:r>
              <w:rPr>
                <w:rFonts w:ascii="Times New Roman"/>
                <w:spacing w:val="-1"/>
                <w:sz w:val="18"/>
              </w:rPr>
              <w:t>22,302,413.00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25.27%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4,059,688.00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转移其他应收款且继续涉入形成的资产、负债金额" w:id="253"/>
      <w:bookmarkEnd w:id="253"/>
      <w:r>
        <w:rPr>
          <w:b w:val="0"/>
          <w:bCs w:val="0"/>
        </w:rPr>
      </w:r>
      <w:r>
        <w:rPr>
          <w:rFonts w:ascii="Times New Roman" w:hAnsi="Times New Roman" w:cs="Times New Roman" w:eastAsia="Times New Roman" w:hint="default"/>
        </w:rPr>
        <w:t>5</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其他说明：</w:t>
      </w:r>
    </w:p>
    <w:p>
      <w:pPr>
        <w:pStyle w:val="BodyText"/>
        <w:spacing w:line="240" w:lineRule="auto" w:before="136"/>
        <w:ind w:left="0" w:right="1040"/>
        <w:jc w:val="right"/>
      </w:pPr>
      <w:r>
        <w:rPr>
          <w:spacing w:val="-1"/>
        </w:rPr>
        <w:t>其他应收款期末余额较期初减少</w:t>
      </w:r>
      <w:r>
        <w:rPr>
          <w:rFonts w:ascii="Times New Roman" w:hAnsi="Times New Roman" w:cs="Times New Roman" w:eastAsia="Times New Roman" w:hint="default"/>
          <w:spacing w:val="-1"/>
        </w:rPr>
        <w:t>37,944,888.67</w:t>
      </w:r>
      <w:r>
        <w:rPr>
          <w:spacing w:val="-1"/>
        </w:rPr>
        <w:t>元，降幅</w:t>
      </w:r>
      <w:r>
        <w:rPr>
          <w:rFonts w:ascii="Times New Roman" w:hAnsi="Times New Roman" w:cs="Times New Roman" w:eastAsia="Times New Roman" w:hint="default"/>
          <w:spacing w:val="-1"/>
        </w:rPr>
        <w:t>38.40%</w:t>
      </w:r>
      <w:r>
        <w:rPr>
          <w:spacing w:val="-1"/>
        </w:rPr>
        <w:t>，主要原因是本公司前期支付的保证金在本期收回影响。</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7、存货" w:id="254"/>
      <w:bookmarkEnd w:id="254"/>
      <w:r>
        <w:rPr>
          <w:b w:val="0"/>
          <w:bCs w:val="0"/>
        </w:rPr>
      </w:r>
      <w:r>
        <w:rPr>
          <w:rFonts w:ascii="Times New Roman" w:hAnsi="Times New Roman" w:cs="Times New Roman" w:eastAsia="Times New Roman" w:hint="default"/>
        </w:rPr>
        <w:t>7</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1）存货分类" w:id="255"/>
      <w:bookmarkEnd w:id="25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79,563,614.01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79,563,614.01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76,639,078.73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76,639,078.73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28,649,356.55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28,649,356.55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15,937,549.13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15,937,549.13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291,102,010.51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291,102,010.51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363,183,876.57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363,183,876.57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17,683,564.96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17,683,564.96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399,314,981.07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399,314,981.07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473,444,069.39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473,444,069.39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8、其他流动资产" w:id="256"/>
      <w:bookmarkEnd w:id="256"/>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留抵增值税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1,506,557.53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2,826,175.56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预缴税款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91,684.55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91,684.55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1,598,242.08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2,917,860.11</w:t>
            </w:r>
          </w:p>
        </w:tc>
      </w:tr>
    </w:tbl>
    <w:p>
      <w:pPr>
        <w:pStyle w:val="BodyText"/>
        <w:spacing w:line="240" w:lineRule="auto" w:before="49"/>
        <w:ind w:right="1133"/>
        <w:jc w:val="left"/>
      </w:pPr>
      <w:r>
        <w:rPr/>
        <w:t>其他说明：</w:t>
      </w:r>
    </w:p>
    <w:p>
      <w:pPr>
        <w:pStyle w:val="BodyText"/>
        <w:spacing w:line="240" w:lineRule="auto" w:before="136"/>
        <w:ind w:left="578" w:right="1133"/>
        <w:jc w:val="left"/>
      </w:pPr>
      <w:r>
        <w:rPr/>
        <w:t>其他流动资产期末余额较期初减少</w:t>
      </w:r>
      <w:r>
        <w:rPr>
          <w:rFonts w:ascii="宋体" w:hAnsi="宋体" w:cs="宋体" w:eastAsia="宋体" w:hint="default"/>
        </w:rPr>
        <w:t>1,319,618.03</w:t>
      </w:r>
      <w:r>
        <w:rPr/>
        <w:t>元，降幅</w:t>
      </w:r>
      <w:r>
        <w:rPr>
          <w:rFonts w:ascii="宋体" w:hAnsi="宋体" w:cs="宋体" w:eastAsia="宋体" w:hint="default"/>
        </w:rPr>
        <w:t>45.23%</w:t>
      </w:r>
      <w:r>
        <w:rPr/>
        <w:t>，主要原因是本期留抵增值税额减少所致。</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9、其他非流动金融资产" w:id="257"/>
      <w:bookmarkEnd w:id="257"/>
      <w:r>
        <w:rPr>
          <w:b w:val="0"/>
          <w:bCs w:val="0"/>
        </w:rPr>
      </w:r>
      <w:r>
        <w:rPr>
          <w:rFonts w:ascii="Times New Roman" w:hAnsi="Times New Roman" w:cs="Times New Roman" w:eastAsia="Times New Roman" w:hint="default"/>
        </w:rPr>
        <w:t>9</w:t>
      </w:r>
      <w:r>
        <w:rPr/>
        <w:t>、其他非流动金融资产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pStyle w:val="BodyText"/>
        <w:spacing w:line="316" w:lineRule="auto" w:before="139"/>
        <w:ind w:right="1076" w:firstLine="514"/>
        <w:jc w:val="both"/>
      </w:pPr>
      <w:r>
        <w:rPr/>
        <w:t>公司下属子公司北京先河中润科技有限公司于</w:t>
      </w:r>
      <w:r>
        <w:rPr>
          <w:rFonts w:ascii="宋体" w:hAnsi="宋体" w:cs="宋体" w:eastAsia="宋体" w:hint="default"/>
        </w:rPr>
        <w:t>2016</w:t>
      </w:r>
      <w:r>
        <w:rPr/>
        <w:t>年</w:t>
      </w:r>
      <w:r>
        <w:rPr>
          <w:rFonts w:ascii="宋体" w:hAnsi="宋体" w:cs="宋体" w:eastAsia="宋体" w:hint="default"/>
        </w:rPr>
        <w:t>10</w:t>
      </w:r>
      <w:r>
        <w:rPr/>
        <w:t>月</w:t>
      </w:r>
      <w:r>
        <w:rPr>
          <w:rFonts w:ascii="宋体" w:hAnsi="宋体" w:cs="宋体" w:eastAsia="宋体" w:hint="default"/>
        </w:rPr>
        <w:t>13</w:t>
      </w:r>
      <w:r>
        <w:rPr/>
        <w:t>日与陈景明共同投资设立内蒙古先河环保技术有限公司， 设立时注册资本</w:t>
      </w:r>
      <w:r>
        <w:rPr>
          <w:rFonts w:ascii="宋体" w:hAnsi="宋体" w:cs="宋体" w:eastAsia="宋体" w:hint="default"/>
        </w:rPr>
        <w:t>1,000</w:t>
      </w:r>
      <w:r>
        <w:rPr/>
        <w:t>万元，其中：陈景明认缴</w:t>
      </w:r>
      <w:r>
        <w:rPr>
          <w:rFonts w:ascii="宋体" w:hAnsi="宋体" w:cs="宋体" w:eastAsia="宋体" w:hint="default"/>
        </w:rPr>
        <w:t>700</w:t>
      </w:r>
      <w:r>
        <w:rPr/>
        <w:t>万元，北京先河中润科技有限公司认缴</w:t>
      </w:r>
      <w:r>
        <w:rPr>
          <w:rFonts w:ascii="宋体" w:hAnsi="宋体" w:cs="宋体" w:eastAsia="宋体" w:hint="default"/>
        </w:rPr>
        <w:t>300</w:t>
      </w:r>
      <w:r>
        <w:rPr/>
        <w:t>万元。截止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 北京先河中润科技有限公司尚未实际出资。公司将该笔投资分类以公允价值计量且其变动计入当期损益的权益工具投资。</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10、固定资产" w:id="258"/>
      <w:bookmarkEnd w:id="258"/>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245,085,966.09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246,675,191.87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245,085,966.09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246,675,191.87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固定资产情况" w:id="259"/>
      <w:bookmarkEnd w:id="259"/>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862" w:val="left" w:leader="none"/>
              </w:tabs>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209,155,200.94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109,413,947.70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13,900,897.31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22,914,119.53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8,958,697.05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364,342,862.53</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26,563,986.41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3,351,518.33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4,024,585.29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2,387,559.64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36,327,649.67</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20,613,946.53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3,351,518.33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4,024,585.29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2,387,559.64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30,377,609.79</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7"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5,853,002.50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5,853,002.50</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率变动</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97,037.38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97,037.38</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7,913,090.90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4,333,567.69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1,227,805.73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1,803,530.97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1,667,552.16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16,945,547.45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7,913,090.90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969,615.57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18,155.77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788,954.62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1,132,463.17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10,822,280.03</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3,363,952.12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1,209,649.96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1,014,576.35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535,088.99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6,123,267.42</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201,242,110.04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131,644,366.42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16,024,609.91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25,135,173.85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9,678,704.53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383,724,964.75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36,730,935.18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52,105,950.51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7,854,903.58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15,337,476.44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5,638,404.95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117,667,670.66</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6,665,022.22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14,718,474.70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1,940,615.04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3,068,056.38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1,818,265.85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28,210,434.19</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6,665,022.22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14,680,730.61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1,940,615.04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3,068,056.38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1,818,265.85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28,172,690.10</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2"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）企业合并增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37,744.09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37,744.09</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1,092,890.05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2,607,218.20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737,864.15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1,617,153.17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1,183,980.62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7,239,106.19</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1,092,890.05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362,323.53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17,248.09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686,624.42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989,252.72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3,148,338.81</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2,244,894.67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720,616.06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930,528.75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194,727.90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4,090,767.38</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42,303,067.35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64,217,207.01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9,057,654.47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16,788,379.65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6,272,690.18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138,638,998.66</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158,939,042.69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67,427,159.41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6,966,955.44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8,346,794.20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3,406,014.35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245,085,966.09</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172,424,265.76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57,307,997.19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6,045,993.73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7,576,643.09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3,320,292.10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246,675,191.87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1133"/>
        <w:jc w:val="left"/>
        <w:rPr>
          <w:b w:val="0"/>
          <w:bCs w:val="0"/>
        </w:rPr>
      </w:pPr>
      <w:bookmarkStart w:name="（2）通过经营租赁租出的固定资产" w:id="260"/>
      <w:bookmarkEnd w:id="260"/>
      <w:r>
        <w:rPr>
          <w:b w:val="0"/>
          <w:bCs w:val="0"/>
        </w:rPr>
      </w:r>
      <w:r>
        <w:rPr/>
        <w:t>（</w:t>
      </w:r>
      <w:r>
        <w:rPr>
          <w:rFonts w:ascii="Times New Roman" w:hAnsi="Times New Roman" w:cs="Times New Roman" w:eastAsia="Times New Roman" w:hint="default"/>
        </w:rPr>
        <w:t>2</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9,441,243.08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未办妥产权证书的固定资产情况" w:id="261"/>
      <w:bookmarkEnd w:id="261"/>
      <w:r>
        <w:rPr>
          <w:b w:val="0"/>
          <w:bCs w:val="0"/>
        </w:rPr>
      </w:r>
      <w:r>
        <w:rPr/>
        <w:t>（</w:t>
      </w:r>
      <w:r>
        <w:rPr>
          <w:rFonts w:ascii="Times New Roman" w:hAnsi="Times New Roman" w:cs="Times New Roman" w:eastAsia="Times New Roman" w:hint="default"/>
        </w:rPr>
        <w:t>3</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生产车间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15,575,874.64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产权证尚在办理中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检测中心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6,803,922.09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产权证尚在办理中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产品演示及商务洽谈中心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8,206,095.90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产权证尚在办理中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员工餐厅和活动中心等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4,238,075.51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产权证尚在办理中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海南保亭房产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2,290,503.91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产权证尚在办理中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tabs>
                <w:tab w:pos="478" w:val="left" w:leader="none"/>
              </w:tabs>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37,114,472.05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11、在建工程" w:id="262"/>
      <w:bookmarkEnd w:id="262"/>
      <w:r>
        <w:rPr>
          <w:b w:val="0"/>
          <w:bCs w:val="0"/>
        </w:rPr>
      </w:r>
      <w:r>
        <w:rPr>
          <w:rFonts w:ascii="Times New Roman" w:hAnsi="Times New Roman" w:cs="Times New Roman" w:eastAsia="Times New Roman" w:hint="default"/>
        </w:rPr>
        <w:t>11</w:t>
      </w:r>
      <w:r>
        <w:rPr/>
        <w:t>、在建工程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5,266,632.90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5,266,632.90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在建工程情况" w:id="263"/>
      <w:bookmarkEnd w:id="263"/>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64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34"/>
              <w:jc w:val="both"/>
              <w:rPr>
                <w:rFonts w:ascii="宋体" w:hAnsi="宋体" w:cs="宋体" w:eastAsia="宋体" w:hint="default"/>
                <w:sz w:val="18"/>
                <w:szCs w:val="18"/>
              </w:rPr>
            </w:pPr>
            <w:r>
              <w:rPr>
                <w:rFonts w:ascii="宋体" w:hAnsi="宋体" w:cs="宋体" w:eastAsia="宋体" w:hint="default"/>
                <w:sz w:val="18"/>
                <w:szCs w:val="18"/>
              </w:rPr>
              <w:t>石家庄鸿业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PVC </w:t>
            </w:r>
            <w:r>
              <w:rPr>
                <w:rFonts w:ascii="宋体" w:hAnsi="宋体" w:cs="宋体" w:eastAsia="宋体" w:hint="default"/>
                <w:sz w:val="18"/>
                <w:szCs w:val="18"/>
              </w:rPr>
              <w:t>手套生产线给排 风改造及生产废 气回收与治理项 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5,180,802.44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5,180,802.44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85,830.46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85,830.46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5,266,632.90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5,266,632.90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重要在建工程项目本期变动情况" w:id="264"/>
      <w:bookmarkEnd w:id="264"/>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9"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320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石家庄 鸿业 </w:t>
            </w: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手</w:t>
            </w:r>
          </w:p>
          <w:p>
            <w:pPr>
              <w:pStyle w:val="TableParagraph"/>
              <w:spacing w:line="319" w:lineRule="auto"/>
              <w:ind w:left="24" w:right="156"/>
              <w:jc w:val="both"/>
              <w:rPr>
                <w:rFonts w:ascii="宋体" w:hAnsi="宋体" w:cs="宋体" w:eastAsia="宋体" w:hint="default"/>
                <w:sz w:val="18"/>
                <w:szCs w:val="18"/>
              </w:rPr>
            </w:pPr>
            <w:r>
              <w:rPr>
                <w:rFonts w:ascii="宋体" w:hAnsi="宋体" w:cs="宋体" w:eastAsia="宋体" w:hint="default"/>
                <w:sz w:val="18"/>
                <w:szCs w:val="18"/>
              </w:rPr>
              <w:t>套生产 线给排 风改造 及生产 废气回 收与治 理项目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71" w:right="0"/>
              <w:jc w:val="left"/>
              <w:rPr>
                <w:rFonts w:ascii="Times New Roman" w:hAnsi="Times New Roman" w:cs="Times New Roman" w:eastAsia="Times New Roman" w:hint="default"/>
                <w:sz w:val="18"/>
                <w:szCs w:val="18"/>
              </w:rPr>
            </w:pPr>
            <w:r>
              <w:rPr>
                <w:rFonts w:ascii="Times New Roman"/>
                <w:sz w:val="18"/>
              </w:rPr>
              <w:t>5,170,00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71" w:right="0"/>
              <w:jc w:val="left"/>
              <w:rPr>
                <w:rFonts w:ascii="Times New Roman" w:hAnsi="Times New Roman" w:cs="Times New Roman" w:eastAsia="Times New Roman" w:hint="default"/>
                <w:sz w:val="18"/>
                <w:szCs w:val="18"/>
              </w:rPr>
            </w:pPr>
            <w:r>
              <w:rPr>
                <w:rFonts w:ascii="Times New Roman"/>
                <w:sz w:val="18"/>
              </w:rPr>
              <w:t>5,180,80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672,200.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71" w:right="0"/>
              <w:jc w:val="left"/>
              <w:rPr>
                <w:rFonts w:ascii="Times New Roman" w:hAnsi="Times New Roman" w:cs="Times New Roman" w:eastAsia="Times New Roman" w:hint="default"/>
                <w:sz w:val="18"/>
                <w:szCs w:val="18"/>
              </w:rPr>
            </w:pPr>
            <w:r>
              <w:rPr>
                <w:rFonts w:ascii="Times New Roman"/>
                <w:sz w:val="18"/>
              </w:rPr>
              <w:t>5,853,00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2.50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338"/>
              <w:jc w:val="right"/>
              <w:rPr>
                <w:rFonts w:ascii="宋体" w:hAnsi="宋体" w:cs="宋体" w:eastAsia="宋体" w:hint="default"/>
                <w:sz w:val="18"/>
                <w:szCs w:val="18"/>
              </w:rPr>
            </w:pPr>
            <w:r>
              <w:rPr>
                <w:rFonts w:ascii="宋体" w:hAnsi="宋体" w:cs="宋体" w:eastAsia="宋体" w:hint="default"/>
                <w:sz w:val="18"/>
                <w:szCs w:val="18"/>
              </w:rPr>
              <w:t>完工</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其他零 星工程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85,830.4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72,668.1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158,498.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5,170,00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5,266,63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744,868.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5,853,00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2.50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158,498.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2、无形资产" w:id="265"/>
      <w:bookmarkEnd w:id="265"/>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无形资产情况" w:id="266"/>
      <w:bookmarkEnd w:id="266"/>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20,409,939.97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33,717,961.35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4,261,581.15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242,623.40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58,632,105.87</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721,237.04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164,691.64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3,285,928.68</w:t>
            </w:r>
          </w:p>
        </w:tc>
      </w:tr>
      <w:tr>
        <w:trPr>
          <w:trHeight w:val="40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249,385.20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6,193.02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2,655,578.22</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firstLine="5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7"/>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）在建工程转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158,498.62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158,498.62</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2"/>
              <w:ind w:right="29"/>
              <w:jc w:val="right"/>
              <w:rPr>
                <w:rFonts w:ascii="Times New Roman" w:hAnsi="Times New Roman" w:cs="Times New Roman" w:eastAsia="Times New Roman" w:hint="default"/>
                <w:sz w:val="18"/>
                <w:szCs w:val="18"/>
              </w:rPr>
            </w:pPr>
            <w:r>
              <w:rPr>
                <w:rFonts w:ascii="Times New Roman"/>
                <w:spacing w:val="-1"/>
                <w:sz w:val="18"/>
              </w:rPr>
              <w:t>(5)</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471,851.84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471,851.84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954,400.00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954,400.00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1"/>
              <w:jc w:val="right"/>
              <w:rPr>
                <w:rFonts w:ascii="Times New Roman" w:hAnsi="Times New Roman" w:cs="Times New Roman" w:eastAsia="Times New Roman" w:hint="default"/>
                <w:sz w:val="18"/>
                <w:szCs w:val="18"/>
              </w:rPr>
            </w:pPr>
            <w:r>
              <w:rPr>
                <w:rFonts w:ascii="Times New Roman"/>
                <w:spacing w:val="-1"/>
                <w:sz w:val="18"/>
              </w:rPr>
              <w:t>(2)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954,400.00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954,400.00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20,409,939.97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34,439,198.39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3,471,872.79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2,642,623.40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60,963,634.55</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3,338,476.46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26,801,281.30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3,183,119.98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56,179.36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33,379,057.10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417,805.65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4,256,653.47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311,679.80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364,262.30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5,350,401.22</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417,805.65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3,845,771.95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311,679.80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364,262.30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4,939,519.70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1"/>
              <w:jc w:val="right"/>
              <w:rPr>
                <w:rFonts w:ascii="Times New Roman" w:hAnsi="Times New Roman" w:cs="Times New Roman" w:eastAsia="Times New Roman" w:hint="default"/>
                <w:sz w:val="18"/>
                <w:szCs w:val="18"/>
              </w:rPr>
            </w:pPr>
            <w:r>
              <w:rPr>
                <w:rFonts w:ascii="Times New Roman"/>
                <w:spacing w:val="-1"/>
                <w:sz w:val="18"/>
              </w:rPr>
              <w:t>(2)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1"/>
              <w:jc w:val="right"/>
              <w:rPr>
                <w:rFonts w:ascii="Times New Roman" w:hAnsi="Times New Roman" w:cs="Times New Roman" w:eastAsia="Times New Roman" w:hint="default"/>
                <w:sz w:val="18"/>
                <w:szCs w:val="18"/>
              </w:rPr>
            </w:pPr>
            <w:r>
              <w:rPr>
                <w:rFonts w:ascii="Times New Roman"/>
                <w:spacing w:val="-1"/>
                <w:sz w:val="18"/>
              </w:rPr>
              <w:t>(3)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410,881.52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410,881.52</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481,349.54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481,349.54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1"/>
              <w:jc w:val="right"/>
              <w:rPr>
                <w:rFonts w:ascii="Times New Roman" w:hAnsi="Times New Roman" w:cs="Times New Roman" w:eastAsia="Times New Roman" w:hint="default"/>
                <w:sz w:val="18"/>
                <w:szCs w:val="18"/>
              </w:rPr>
            </w:pPr>
            <w:r>
              <w:rPr>
                <w:rFonts w:ascii="Times New Roman"/>
                <w:spacing w:val="-1"/>
                <w:sz w:val="18"/>
              </w:rPr>
              <w:t>(2)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481,349.54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481,349.54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3,756,282.11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31,057,934.77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3,013,450.24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420,441.66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38,248,108.78</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16,653,657.86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3,381,263.62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458,422.55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2,222,181.74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22,715,525.77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17,071,463.51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6,916,680.05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1,078,461.17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186,444.04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25,253,048.77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13、商誉" w:id="267"/>
      <w:bookmarkEnd w:id="267"/>
      <w:r>
        <w:rPr>
          <w:b w:val="0"/>
          <w:bCs w:val="0"/>
        </w:rPr>
      </w:r>
      <w:r>
        <w:rPr>
          <w:rFonts w:ascii="Times New Roman" w:hAnsi="Times New Roman" w:cs="Times New Roman" w:eastAsia="Times New Roman" w:hint="default"/>
        </w:rPr>
        <w:t>13</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商誉账面原值" w:id="268"/>
      <w:bookmarkEnd w:id="26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7"/>
        <w:gridCol w:w="1571"/>
        <w:gridCol w:w="1419"/>
        <w:gridCol w:w="850"/>
        <w:gridCol w:w="994"/>
        <w:gridCol w:w="973"/>
        <w:gridCol w:w="1366"/>
      </w:tblGrid>
      <w:tr>
        <w:trPr>
          <w:trHeight w:val="206" w:hRule="exact"/>
        </w:trPr>
        <w:tc>
          <w:tcPr>
            <w:tcW w:w="238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08" w:right="16" w:hanging="990"/>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96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2387" w:type="dxa"/>
            <w:vMerge/>
            <w:tcBorders>
              <w:left w:val="single" w:sz="4" w:space="0" w:color="000000"/>
              <w:right w:val="single" w:sz="4" w:space="0" w:color="000000"/>
            </w:tcBorders>
            <w:shd w:val="clear" w:color="auto" w:fill="D2D2D2"/>
          </w:tcPr>
          <w:p>
            <w:pPr/>
          </w:p>
        </w:tc>
        <w:tc>
          <w:tcPr>
            <w:tcW w:w="1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2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68" w:type="dxa"/>
            <w:gridSpan w:val="2"/>
            <w:vMerge/>
            <w:tcBorders>
              <w:left w:val="single" w:sz="4" w:space="0" w:color="000000"/>
              <w:bottom w:val="single" w:sz="4" w:space="0" w:color="000000"/>
              <w:right w:val="single" w:sz="4" w:space="0" w:color="000000"/>
            </w:tcBorders>
            <w:shd w:val="clear" w:color="auto" w:fill="D2D2D2"/>
          </w:tcPr>
          <w:p>
            <w:pPr/>
          </w:p>
        </w:tc>
        <w:tc>
          <w:tcPr>
            <w:tcW w:w="1966"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387" w:type="dxa"/>
            <w:vMerge/>
            <w:tcBorders>
              <w:left w:val="single" w:sz="4" w:space="0" w:color="000000"/>
              <w:right w:val="single" w:sz="4" w:space="0" w:color="000000"/>
            </w:tcBorders>
            <w:shd w:val="clear" w:color="auto" w:fill="D2D2D2"/>
          </w:tcPr>
          <w:p>
            <w:pPr/>
          </w:p>
        </w:tc>
        <w:tc>
          <w:tcPr>
            <w:tcW w:w="1571" w:type="dxa"/>
            <w:vMerge/>
            <w:tcBorders>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973"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2387" w:type="dxa"/>
            <w:vMerge/>
            <w:tcBorders>
              <w:left w:val="single" w:sz="4" w:space="0" w:color="000000"/>
              <w:bottom w:val="single" w:sz="4" w:space="0" w:color="000000"/>
              <w:right w:val="single" w:sz="4" w:space="0" w:color="000000"/>
            </w:tcBorders>
            <w:shd w:val="clear" w:color="auto" w:fill="D2D2D2"/>
          </w:tcPr>
          <w:p>
            <w:pPr/>
          </w:p>
        </w:tc>
        <w:tc>
          <w:tcPr>
            <w:tcW w:w="1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73"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6"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93"/>
              <w:ind w:left="12" w:right="62"/>
              <w:jc w:val="left"/>
              <w:rPr>
                <w:rFonts w:ascii="Times New Roman" w:hAnsi="Times New Roman" w:cs="Times New Roman" w:eastAsia="Times New Roman" w:hint="default"/>
                <w:sz w:val="18"/>
                <w:szCs w:val="18"/>
              </w:rPr>
            </w:pPr>
            <w:r>
              <w:rPr>
                <w:rFonts w:ascii="Times New Roman"/>
                <w:sz w:val="18"/>
              </w:rPr>
              <w:t>COOPER</w:t>
            </w:r>
            <w:r>
              <w:rPr>
                <w:rFonts w:ascii="Times New Roman"/>
                <w:spacing w:val="-14"/>
                <w:sz w:val="18"/>
              </w:rPr>
              <w:t> </w:t>
            </w:r>
            <w:r>
              <w:rPr>
                <w:rFonts w:ascii="Times New Roman"/>
                <w:sz w:val="18"/>
              </w:rPr>
              <w:t>ENVIRONMENTAL</w:t>
            </w:r>
            <w:r>
              <w:rPr>
                <w:rFonts w:ascii="Times New Roman"/>
                <w:w w:val="99"/>
                <w:sz w:val="18"/>
              </w:rPr>
              <w:t> </w:t>
            </w:r>
            <w:r>
              <w:rPr>
                <w:rFonts w:ascii="Times New Roman"/>
                <w:sz w:val="18"/>
              </w:rPr>
              <w:t>SERVICES,LLC</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18,076,352.86</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18,076,352.86</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广东科迪隆科技有限公司</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178,237,356.07</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178,237,356.07</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广西先得环保科技有限公司</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40,416,357.79</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40,416,357.79</w:t>
            </w:r>
          </w:p>
        </w:tc>
      </w:tr>
      <w:tr>
        <w:trPr>
          <w:trHeight w:val="71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3"/>
              <w:jc w:val="left"/>
              <w:rPr>
                <w:rFonts w:ascii="宋体" w:hAnsi="宋体" w:cs="宋体" w:eastAsia="宋体" w:hint="default"/>
                <w:sz w:val="18"/>
                <w:szCs w:val="18"/>
              </w:rPr>
            </w:pPr>
            <w:r>
              <w:rPr>
                <w:rFonts w:ascii="宋体" w:hAnsi="宋体" w:cs="宋体" w:eastAsia="宋体" w:hint="default"/>
                <w:sz w:val="18"/>
                <w:szCs w:val="18"/>
              </w:rPr>
              <w:t>四川久环环境技术有限责任公 司</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16,504,366.85</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16,504,366.85</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Sunset Laboratory</w:t>
            </w:r>
            <w:r>
              <w:rPr>
                <w:rFonts w:ascii="Times New Roman"/>
                <w:spacing w:val="-8"/>
                <w:sz w:val="18"/>
              </w:rPr>
              <w:t> </w:t>
            </w:r>
            <w:r>
              <w:rPr>
                <w:rFonts w:ascii="Times New Roman"/>
                <w:sz w:val="18"/>
              </w:rPr>
              <w:t>Inc.</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39,875,053.99</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39,875,053.99</w:t>
            </w:r>
          </w:p>
        </w:tc>
      </w:tr>
      <w:tr>
        <w:trPr>
          <w:trHeight w:val="71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3"/>
              <w:jc w:val="left"/>
              <w:rPr>
                <w:rFonts w:ascii="宋体" w:hAnsi="宋体" w:cs="宋体" w:eastAsia="宋体" w:hint="default"/>
                <w:sz w:val="18"/>
                <w:szCs w:val="18"/>
              </w:rPr>
            </w:pPr>
            <w:r>
              <w:rPr>
                <w:rFonts w:ascii="宋体" w:hAnsi="宋体" w:cs="宋体" w:eastAsia="宋体" w:hint="default"/>
                <w:sz w:val="18"/>
                <w:szCs w:val="18"/>
              </w:rPr>
              <w:t>四川广迈富宇建设工程有限公 司</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重庆渝凡实业有限公司</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328,709,487.56</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328,709,487.56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商誉减值准备" w:id="269"/>
      <w:bookmarkEnd w:id="269"/>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72"/>
        <w:gridCol w:w="1145"/>
        <w:gridCol w:w="1560"/>
        <w:gridCol w:w="850"/>
        <w:gridCol w:w="994"/>
        <w:gridCol w:w="973"/>
        <w:gridCol w:w="1366"/>
      </w:tblGrid>
      <w:tr>
        <w:trPr>
          <w:trHeight w:val="206" w:hRule="exact"/>
        </w:trPr>
        <w:tc>
          <w:tcPr>
            <w:tcW w:w="267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241" w:right="72" w:hanging="1172"/>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 项</w:t>
            </w:r>
          </w:p>
        </w:tc>
        <w:tc>
          <w:tcPr>
            <w:tcW w:w="1145" w:type="dxa"/>
            <w:tcBorders>
              <w:top w:val="single" w:sz="4" w:space="0" w:color="000000"/>
              <w:left w:val="single" w:sz="4" w:space="0" w:color="000000"/>
              <w:bottom w:val="nil" w:sz="6" w:space="0" w:color="auto"/>
              <w:right w:val="single" w:sz="4" w:space="0" w:color="000000"/>
            </w:tcBorders>
            <w:shd w:val="clear" w:color="auto" w:fill="D2D2D2"/>
          </w:tcPr>
          <w:p>
            <w:pPr/>
          </w:p>
        </w:tc>
        <w:tc>
          <w:tcPr>
            <w:tcW w:w="241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96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4" w:hRule="exact"/>
        </w:trPr>
        <w:tc>
          <w:tcPr>
            <w:tcW w:w="2672" w:type="dxa"/>
            <w:vMerge/>
            <w:tcBorders>
              <w:left w:val="single" w:sz="4" w:space="0" w:color="000000"/>
              <w:right w:val="single" w:sz="4" w:space="0" w:color="000000"/>
            </w:tcBorders>
            <w:shd w:val="clear" w:color="auto" w:fill="D2D2D2"/>
          </w:tcPr>
          <w:p>
            <w:pPr/>
          </w:p>
        </w:tc>
        <w:tc>
          <w:tcPr>
            <w:tcW w:w="11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10" w:type="dxa"/>
            <w:gridSpan w:val="2"/>
            <w:vMerge/>
            <w:tcBorders>
              <w:left w:val="single" w:sz="4" w:space="0" w:color="000000"/>
              <w:bottom w:val="single" w:sz="4" w:space="0" w:color="000000"/>
              <w:right w:val="single" w:sz="4" w:space="0" w:color="000000"/>
            </w:tcBorders>
            <w:shd w:val="clear" w:color="auto" w:fill="D2D2D2"/>
          </w:tcPr>
          <w:p>
            <w:pPr/>
          </w:p>
        </w:tc>
        <w:tc>
          <w:tcPr>
            <w:tcW w:w="1966"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672" w:type="dxa"/>
            <w:vMerge/>
            <w:tcBorders>
              <w:left w:val="single" w:sz="4" w:space="0" w:color="000000"/>
              <w:right w:val="single" w:sz="4" w:space="0" w:color="000000"/>
            </w:tcBorders>
            <w:shd w:val="clear" w:color="auto" w:fill="D2D2D2"/>
          </w:tcPr>
          <w:p>
            <w:pPr/>
          </w:p>
        </w:tc>
        <w:tc>
          <w:tcPr>
            <w:tcW w:w="1145" w:type="dxa"/>
            <w:vMerge/>
            <w:tcBorders>
              <w:left w:val="single" w:sz="4" w:space="0" w:color="000000"/>
              <w:bottom w:val="nil" w:sz="6" w:space="0" w:color="auto"/>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973"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672" w:type="dxa"/>
            <w:vMerge/>
            <w:tcBorders>
              <w:left w:val="single" w:sz="4" w:space="0" w:color="000000"/>
              <w:bottom w:val="single" w:sz="4" w:space="0" w:color="000000"/>
              <w:right w:val="single" w:sz="4" w:space="0" w:color="000000"/>
            </w:tcBorders>
            <w:shd w:val="clear" w:color="auto" w:fill="D2D2D2"/>
          </w:tcPr>
          <w:p>
            <w:pPr/>
          </w:p>
        </w:tc>
        <w:tc>
          <w:tcPr>
            <w:tcW w:w="11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73"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2" w:lineRule="auto" w:before="91"/>
              <w:ind w:left="12" w:right="347"/>
              <w:jc w:val="left"/>
              <w:rPr>
                <w:rFonts w:ascii="Times New Roman" w:hAnsi="Times New Roman" w:cs="Times New Roman" w:eastAsia="Times New Roman" w:hint="default"/>
                <w:sz w:val="18"/>
                <w:szCs w:val="18"/>
              </w:rPr>
            </w:pPr>
            <w:r>
              <w:rPr>
                <w:rFonts w:ascii="Times New Roman"/>
                <w:sz w:val="18"/>
              </w:rPr>
              <w:t>COOPER</w:t>
            </w:r>
            <w:r>
              <w:rPr>
                <w:rFonts w:ascii="Times New Roman"/>
                <w:spacing w:val="-14"/>
                <w:sz w:val="18"/>
              </w:rPr>
              <w:t> </w:t>
            </w:r>
            <w:r>
              <w:rPr>
                <w:rFonts w:ascii="Times New Roman"/>
                <w:sz w:val="18"/>
              </w:rPr>
              <w:t>ENVIRONMENTAL</w:t>
            </w:r>
            <w:r>
              <w:rPr>
                <w:rFonts w:ascii="Times New Roman"/>
                <w:w w:val="99"/>
                <w:sz w:val="18"/>
              </w:rPr>
              <w:t> </w:t>
            </w:r>
            <w:r>
              <w:rPr>
                <w:rFonts w:ascii="Times New Roman"/>
                <w:sz w:val="18"/>
              </w:rPr>
              <w:t>SERVICES,LLC</w:t>
            </w:r>
          </w:p>
        </w:tc>
        <w:tc>
          <w:tcPr>
            <w:tcW w:w="1145" w:type="dxa"/>
            <w:tcBorders>
              <w:top w:val="single" w:sz="4" w:space="0" w:color="000000"/>
              <w:left w:val="single" w:sz="13"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广东科迪隆科技有限公司</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18,058,716.05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18,552,107.40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36,610,823.45</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广西先得环保科技有限公司</w:t>
            </w:r>
          </w:p>
        </w:tc>
        <w:tc>
          <w:tcPr>
            <w:tcW w:w="1145" w:type="dxa"/>
            <w:tcBorders>
              <w:top w:val="single" w:sz="4" w:space="0" w:color="000000"/>
              <w:left w:val="single" w:sz="13"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4,659,884.46</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4,659,884.46</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四川久环环境技术有限责任公司</w:t>
            </w:r>
          </w:p>
        </w:tc>
        <w:tc>
          <w:tcPr>
            <w:tcW w:w="1145" w:type="dxa"/>
            <w:tcBorders>
              <w:top w:val="single" w:sz="4" w:space="0" w:color="000000"/>
              <w:left w:val="single" w:sz="13"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Sunset Laboratory</w:t>
            </w:r>
            <w:r>
              <w:rPr>
                <w:rFonts w:ascii="Times New Roman"/>
                <w:spacing w:val="-8"/>
                <w:sz w:val="18"/>
              </w:rPr>
              <w:t> </w:t>
            </w:r>
            <w:r>
              <w:rPr>
                <w:rFonts w:ascii="Times New Roman"/>
                <w:sz w:val="18"/>
              </w:rPr>
              <w:t>Inc.</w:t>
            </w:r>
          </w:p>
        </w:tc>
        <w:tc>
          <w:tcPr>
            <w:tcW w:w="1145" w:type="dxa"/>
            <w:tcBorders>
              <w:top w:val="single" w:sz="4" w:space="0" w:color="000000"/>
              <w:left w:val="single" w:sz="13"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四川广迈富宇建设工程有限公司</w:t>
            </w:r>
          </w:p>
        </w:tc>
        <w:tc>
          <w:tcPr>
            <w:tcW w:w="1145" w:type="dxa"/>
            <w:tcBorders>
              <w:top w:val="single" w:sz="4" w:space="0" w:color="000000"/>
              <w:left w:val="single" w:sz="13"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重庆渝凡实业有限公司</w:t>
            </w:r>
          </w:p>
        </w:tc>
        <w:tc>
          <w:tcPr>
            <w:tcW w:w="1145" w:type="dxa"/>
            <w:tcBorders>
              <w:top w:val="single" w:sz="4" w:space="0" w:color="000000"/>
              <w:left w:val="single" w:sz="13"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18,058,716.05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23,211,991.86</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41,270,707.91</w:t>
            </w:r>
          </w:p>
        </w:tc>
      </w:tr>
    </w:tbl>
    <w:p>
      <w:pPr>
        <w:pStyle w:val="BodyText"/>
        <w:spacing w:line="357" w:lineRule="auto" w:before="49"/>
        <w:ind w:right="1133"/>
        <w:jc w:val="left"/>
      </w:pPr>
      <w:r>
        <w:rPr/>
        <w:t>商誉所在资产组或资产组组合的相关信息 </w:t>
      </w:r>
      <w:r>
        <w:rPr>
          <w:spacing w:val="-2"/>
        </w:rPr>
        <w:t>说明商誉减值测试过程、关键参数（如预计未来现金流量现值时的预测期增长率、稳定期增长率、利润率、折现率、预测期</w:t>
      </w:r>
    </w:p>
    <w:p>
      <w:pPr>
        <w:spacing w:after="0" w:line="357"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81" w:lineRule="auto" w:before="44"/>
        <w:ind w:left="513" w:right="1118" w:hanging="361"/>
        <w:jc w:val="left"/>
      </w:pPr>
      <w:r>
        <w:rPr/>
        <w:t>等）及商誉减值损失的确认方法： </w:t>
      </w:r>
      <w:r>
        <w:rPr>
          <w:spacing w:val="-5"/>
        </w:rPr>
        <w:t>公司期末对上述相关的各项资产组进行了减值测试，将各资产组账面价值与其可收回金额进行比较，以确定各资产组（包</w:t>
      </w:r>
    </w:p>
    <w:p>
      <w:pPr>
        <w:pStyle w:val="BodyText"/>
        <w:spacing w:line="203" w:lineRule="exact"/>
        <w:ind w:right="1133"/>
        <w:jc w:val="left"/>
      </w:pPr>
      <w:r>
        <w:rPr/>
        <w:t>括商誉）是否发生了减值。具体测算过程如下：</w:t>
      </w:r>
    </w:p>
    <w:p>
      <w:pPr>
        <w:pStyle w:val="BodyText"/>
        <w:spacing w:line="300" w:lineRule="auto" w:before="136"/>
        <w:ind w:right="1132" w:firstLine="360"/>
        <w:jc w:val="both"/>
      </w:pPr>
      <w:r>
        <w:rPr>
          <w:rFonts w:ascii="Times New Roman" w:hAnsi="Times New Roman" w:cs="Times New Roman" w:eastAsia="Times New Roman" w:hint="default"/>
          <w:spacing w:val="-1"/>
        </w:rPr>
        <w:t>1)</w:t>
      </w:r>
      <w:r>
        <w:rPr>
          <w:spacing w:val="-1"/>
        </w:rPr>
        <w:t>资产组的界定：上述子公司在合并后均作为独立的经济实体运行，主要现金流入独立于其他资产或者资产组的现金流</w:t>
      </w:r>
      <w:r>
        <w:rPr>
          <w:w w:val="99"/>
        </w:rPr>
        <w:t> </w:t>
      </w:r>
      <w:r>
        <w:rPr/>
        <w:t>入，故减值测试时均将其视为一个资产组。</w:t>
      </w:r>
    </w:p>
    <w:p>
      <w:pPr>
        <w:pStyle w:val="BodyText"/>
        <w:spacing w:line="300" w:lineRule="auto" w:before="91"/>
        <w:ind w:right="1131" w:firstLine="360"/>
        <w:jc w:val="both"/>
      </w:pPr>
      <w:r>
        <w:rPr>
          <w:rFonts w:ascii="Times New Roman" w:hAnsi="Times New Roman" w:cs="Times New Roman" w:eastAsia="Times New Roman" w:hint="default"/>
        </w:rPr>
        <w:t>2)</w:t>
      </w:r>
      <w:r>
        <w:rPr/>
        <w:t>预计未来现金流：根据与商誉相关的资产或资产组目前经营状况、业务特点、市场供需要情况，以未来</w:t>
      </w:r>
      <w:r>
        <w:rPr>
          <w:rFonts w:ascii="Times New Roman" w:hAnsi="Times New Roman" w:cs="Times New Roman" w:eastAsia="Times New Roman" w:hint="default"/>
        </w:rPr>
        <w:t>1-5</w:t>
      </w:r>
      <w:r>
        <w:rPr/>
        <w:t>年期现金</w:t>
      </w:r>
      <w:r>
        <w:rPr>
          <w:w w:val="99"/>
        </w:rPr>
        <w:t> </w:t>
      </w:r>
      <w:r>
        <w:rPr/>
        <w:t>流量预测为基础合理测算资产组的未来现金流量。</w:t>
      </w:r>
    </w:p>
    <w:p>
      <w:pPr>
        <w:pStyle w:val="BodyText"/>
        <w:spacing w:line="300" w:lineRule="auto" w:before="91"/>
        <w:ind w:right="1132" w:firstLine="360"/>
        <w:jc w:val="both"/>
      </w:pPr>
      <w:r>
        <w:rPr>
          <w:rFonts w:ascii="Times New Roman" w:hAnsi="Times New Roman" w:cs="Times New Roman" w:eastAsia="Times New Roman" w:hint="default"/>
          <w:spacing w:val="-1"/>
        </w:rPr>
        <w:t>3)</w:t>
      </w:r>
      <w:r>
        <w:rPr>
          <w:spacing w:val="-1"/>
        </w:rPr>
        <w:t>税前折现率的确定：根据企业加权平均资金成本考虑与资产预计现金流量有关的特定风险作适当调整后确定，采用的</w:t>
      </w:r>
      <w:r>
        <w:rPr>
          <w:w w:val="99"/>
        </w:rPr>
        <w:t> </w:t>
      </w:r>
      <w:r>
        <w:rPr/>
        <w:t>折现率是反映相关资产组特定风险的税前折现率。</w:t>
      </w:r>
    </w:p>
    <w:p>
      <w:pPr>
        <w:pStyle w:val="BodyText"/>
        <w:spacing w:line="309" w:lineRule="auto" w:before="91"/>
        <w:ind w:right="1043" w:firstLine="360"/>
        <w:jc w:val="both"/>
      </w:pPr>
      <w:r>
        <w:rPr>
          <w:rFonts w:ascii="Times New Roman" w:hAnsi="Times New Roman" w:cs="Times New Roman" w:eastAsia="Times New Roman" w:hint="default"/>
        </w:rPr>
        <w:t>4)</w:t>
      </w:r>
      <w:r>
        <w:rPr/>
        <w:t>商誉减值损失的确认：减值测试时，如与商誉相关的资产组或者资产组组合存在减值迹象的，首先对不包括商誉的资</w:t>
      </w:r>
      <w:r>
        <w:rPr>
          <w:w w:val="99"/>
        </w:rPr>
        <w:t> </w:t>
      </w:r>
      <w:r>
        <w:rPr>
          <w:spacing w:val="-2"/>
        </w:rPr>
        <w:t>产组或者资产组组合进行减值测试，计算可收回金额，并与相关账面价值相比较，确认相应的减值损失。然后对包含商誉的</w:t>
      </w:r>
      <w:r>
        <w:rPr>
          <w:spacing w:val="-65"/>
        </w:rPr>
        <w:t> </w:t>
      </w:r>
      <w:r>
        <w:rPr>
          <w:spacing w:val="-65"/>
        </w:rPr>
      </w:r>
      <w:r>
        <w:rPr>
          <w:spacing w:val="-4"/>
        </w:rPr>
        <w:t>资产组或者资产组组合进行减值测试，比较其账面价值与可收回金额，如可收回金额低于账面价值的，确认商誉的减值损失。</w:t>
      </w:r>
    </w:p>
    <w:p>
      <w:pPr>
        <w:pStyle w:val="BodyText"/>
        <w:spacing w:line="379" w:lineRule="auto" w:before="65"/>
        <w:ind w:left="513" w:right="1129" w:hanging="361"/>
        <w:jc w:val="left"/>
      </w:pPr>
      <w:r>
        <w:rPr/>
        <w:t>商誉减值测试的影响 </w:t>
      </w:r>
      <w:r>
        <w:rPr>
          <w:spacing w:val="-2"/>
        </w:rPr>
        <w:t>根据上述方法测试发现广东科迪隆科技有限公司和广西先得环保科技有限公司资产组的可收回金额低于账面价值，商誉</w:t>
      </w:r>
    </w:p>
    <w:p>
      <w:pPr>
        <w:pStyle w:val="BodyText"/>
        <w:spacing w:line="208" w:lineRule="exact"/>
        <w:ind w:right="1133"/>
        <w:jc w:val="left"/>
      </w:pPr>
      <w:r>
        <w:rPr/>
        <w:t>出现减值迹象，公司分别计提商誉减值损失</w:t>
      </w:r>
      <w:r>
        <w:rPr>
          <w:rFonts w:ascii="宋体" w:hAnsi="宋体" w:cs="宋体" w:eastAsia="宋体" w:hint="default"/>
        </w:rPr>
        <w:t>18,552,107.40</w:t>
      </w:r>
      <w:r>
        <w:rPr/>
        <w:t>元、</w:t>
      </w:r>
      <w:r>
        <w:rPr>
          <w:rFonts w:ascii="宋体" w:hAnsi="宋体" w:cs="宋体" w:eastAsia="宋体" w:hint="default"/>
        </w:rPr>
        <w:t>4,659,884.46</w:t>
      </w:r>
      <w:r>
        <w:rPr/>
        <w:t>元。</w:t>
      </w:r>
    </w:p>
    <w:p>
      <w:pPr>
        <w:pStyle w:val="BodyText"/>
        <w:spacing w:line="240" w:lineRule="auto" w:before="117"/>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14、长期待摊费用" w:id="270"/>
      <w:bookmarkEnd w:id="270"/>
      <w:r>
        <w:rPr>
          <w:b w:val="0"/>
          <w:bCs w:val="0"/>
        </w:rPr>
      </w:r>
      <w:r>
        <w:rPr>
          <w:rFonts w:ascii="Times New Roman" w:hAnsi="Times New Roman" w:cs="Times New Roman" w:eastAsia="Times New Roman" w:hint="default"/>
        </w:rPr>
        <w:t>14</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1,065,581.10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2,313,842.83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748,871.62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2,630,552.31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运营成本摊销</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1,706,201.88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1,706,201.88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373,142.00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56,720.00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426,362.00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3,500.00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3,144,924.98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2,370,562.83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1,175,233.62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1,706,201.88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2,634,052.31</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15、递延所得税资产/递延所得税负债" w:id="271"/>
      <w:bookmarkEnd w:id="271"/>
      <w:r>
        <w:rPr>
          <w:b w:val="0"/>
          <w:bCs w:val="0"/>
        </w:rPr>
      </w: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未经抵销的递延所得税资产" w:id="272"/>
      <w:bookmarkEnd w:id="27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7"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187,196,270.33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28,434,847.62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179,427,751.74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27,427,372.19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3,973,490.31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596,023.55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2,833,411.71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425,011.76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191,169,760.64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29,030,871.17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182,261,163.45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27,852,383.95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未经抵销的递延所得税负债" w:id="273"/>
      <w:bookmarkEnd w:id="27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43"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5"/>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265,594.53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39,839.18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531,189.07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79,678.36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265,594.53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39,839.18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531,189.07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79,678.36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以抵销后净额列示的递延所得税资产或负债" w:id="274"/>
      <w:bookmarkEnd w:id="27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22"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29,030,871.17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27,852,383.95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39,839.18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79,678.36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未确认递延所得税资产明细" w:id="275"/>
      <w:bookmarkEnd w:id="27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3,229,903.81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3,118,775.45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19,431,428.71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17,555,324.49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22,661,332.52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20,674,099.94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未确认递延所得税资产的可抵扣亏损将于以下年度到期" w:id="276"/>
      <w:bookmarkEnd w:id="27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2,292,955.15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11,077,681.71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13,427,238.07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5,276,373.11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9,546,273.45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10,535,623.17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18,959,900.13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19,631,496.45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28,351,034.07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39,258,951.70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85,780,126.14</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72,577,400.87</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16、短期借款" w:id="277"/>
      <w:bookmarkEnd w:id="277"/>
      <w:r>
        <w:rPr>
          <w:b w:val="0"/>
          <w:bCs w:val="0"/>
        </w:rPr>
      </w:r>
      <w:r>
        <w:rPr>
          <w:rFonts w:ascii="Times New Roman" w:hAnsi="Times New Roman" w:cs="Times New Roman" w:eastAsia="Times New Roman" w:hint="default"/>
        </w:rPr>
        <w:t>16</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短期借款分类" w:id="278"/>
      <w:bookmarkEnd w:id="278"/>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134,000,000.00</w:t>
            </w:r>
          </w:p>
        </w:tc>
      </w:tr>
    </w:tbl>
    <w:p>
      <w:pPr>
        <w:pStyle w:val="BodyText"/>
        <w:spacing w:line="240" w:lineRule="auto" w:before="49"/>
        <w:ind w:right="1133"/>
        <w:jc w:val="left"/>
      </w:pPr>
      <w:r>
        <w:rPr/>
        <w:t>短期借款分类的说明：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17、应付票据" w:id="279"/>
      <w:bookmarkEnd w:id="279"/>
      <w:r>
        <w:rPr>
          <w:b w:val="0"/>
          <w:bCs w:val="0"/>
        </w:rPr>
      </w:r>
      <w:r>
        <w:rPr>
          <w:rFonts w:ascii="Times New Roman" w:hAnsi="Times New Roman" w:cs="Times New Roman" w:eastAsia="Times New Roman" w:hint="default"/>
        </w:rPr>
        <w:t>17</w:t>
      </w:r>
      <w:r>
        <w:rPr/>
        <w:t>、应付票据</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24,186,941.00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24,186,941.00</w:t>
            </w:r>
          </w:p>
        </w:tc>
      </w:tr>
    </w:tbl>
    <w:p>
      <w:pPr>
        <w:pStyle w:val="BodyText"/>
        <w:spacing w:line="240" w:lineRule="auto" w:before="49"/>
        <w:ind w:right="1133"/>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18、应付账款" w:id="280"/>
      <w:bookmarkEnd w:id="280"/>
      <w:r>
        <w:rPr>
          <w:b w:val="0"/>
          <w:bCs w:val="0"/>
        </w:rPr>
      </w:r>
      <w:r>
        <w:rPr>
          <w:rFonts w:ascii="Times New Roman" w:hAnsi="Times New Roman" w:cs="Times New Roman" w:eastAsia="Times New Roman" w:hint="default"/>
        </w:rPr>
        <w:t>18</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付账款列示" w:id="281"/>
      <w:bookmarkEnd w:id="281"/>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131,518,177.79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137,732,404.33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28,003,400.36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13,418,587.27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7,936,685.03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5,682,769.15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16,860,689.34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14,304,151.94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184,318,952.52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171,137,912.69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账龄超过1年的重要应付账款" w:id="282"/>
      <w:bookmarkEnd w:id="282"/>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北京美科思远环境科技有限公司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4,092,222.22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未结算材料费</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惠州市环发环保科技有限公司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3,918,010.02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未结算材料费</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内蒙古先河环保技术有限公司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1,065,108.03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未结算材料费</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中国铁塔股份有限公司保定市分公司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990,566.04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未结算服务费</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内蒙古创宇科技有限公司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826,571.00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未结算材料费</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10,892,477.31</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19、预收款项" w:id="283"/>
      <w:bookmarkEnd w:id="283"/>
      <w:r>
        <w:rPr>
          <w:b w:val="0"/>
          <w:bCs w:val="0"/>
        </w:rPr>
      </w:r>
      <w:r>
        <w:rPr>
          <w:rFonts w:ascii="Times New Roman" w:hAnsi="Times New Roman" w:cs="Times New Roman" w:eastAsia="Times New Roman" w:hint="default"/>
        </w:rPr>
        <w:t>19</w:t>
      </w:r>
      <w:r>
        <w:rPr/>
        <w:t>、预收款项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1）预收款项列示" w:id="284"/>
      <w:bookmarkEnd w:id="284"/>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80,981,267.43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115,782,427.86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19,567,587.59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6,522,207.45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5,116,321.45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2,413,701.19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6,986,057.58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6,535,452.60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112,651,234.05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131,253,789.10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账龄超过1年的重要预收款项" w:id="285"/>
      <w:bookmarkEnd w:id="285"/>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山东省生态环境监测中心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5,853,448.27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项目未验收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秦皇岛信越智能装备有限公司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项目延期</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广西壮族自治区水利电力勘测设计研究 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1,187,829.72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项目未验收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成都垠洋环保工程有限公司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928,880.00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项目延期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西宁欧科商贸有限公司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项目延期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10,638,157.99</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0、应付职工薪酬" w:id="286"/>
      <w:bookmarkEnd w:id="286"/>
      <w:r>
        <w:rPr>
          <w:b w:val="0"/>
          <w:bCs w:val="0"/>
        </w:rPr>
      </w:r>
      <w:r>
        <w:rPr>
          <w:rFonts w:ascii="Times New Roman" w:hAnsi="Times New Roman" w:cs="Times New Roman" w:eastAsia="Times New Roman" w:hint="default"/>
        </w:rPr>
        <w:t>20</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付职工薪酬列示" w:id="287"/>
      <w:bookmarkEnd w:id="28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13,028,543.95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208,775,615.61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209,016,204.28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12,787,955.28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25,025.68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11,108,816.57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11,068,904.56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64,937.69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36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存计划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13,053,569.63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219,884,432.18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220,085,108.84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12,852,892.97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短期薪酬列示" w:id="288"/>
      <w:bookmarkEnd w:id="28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12,979,951.39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197,872,188.85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198,134,142.19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12,717,998.05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1,884,966.53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1,884,966.53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5,698.50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5,893,492.57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5,865,698.90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33,492.17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5,443.53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5,413,458.27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5,388,242.70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30,659.10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85.06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286,415.56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285,444.47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1,056.15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193,618.74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192,011.73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1,776.92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40,894.06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1,044,996.75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1,051,425.75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34,465.06</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2,079,970.91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2,079,970.91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2,000.00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13,028,543.95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208,775,615.61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209,016,204.28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12,787,955.28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设定提存计划列示" w:id="289"/>
      <w:bookmarkEnd w:id="28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23,890.67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10,701,190.29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10,662,693.59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62,387.37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1,135.01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407,626.28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406,210.97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2,550.32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25,025.68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11,108,816.57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11,068,904.56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64,937.69</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1、应交税费" w:id="290"/>
      <w:bookmarkEnd w:id="290"/>
      <w:r>
        <w:rPr>
          <w:b w:val="0"/>
          <w:bCs w:val="0"/>
        </w:rPr>
      </w:r>
      <w:r>
        <w:rPr>
          <w:rFonts w:ascii="Times New Roman" w:hAnsi="Times New Roman" w:cs="Times New Roman" w:eastAsia="Times New Roman" w:hint="default"/>
        </w:rPr>
        <w:t>21</w:t>
      </w:r>
      <w:r>
        <w:rPr/>
        <w:t>、应交税费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28,162,342.96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30,601,131.89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52,166,028.62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53,119,306.83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2,913,812.35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3,424,802.63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1,957,573.63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2,252,518.77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208,527.74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6,149,301.64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93,889.98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719,968.07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85,502,175.28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96,267,029.83</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2、其他应付款" w:id="291"/>
      <w:bookmarkEnd w:id="291"/>
      <w:r>
        <w:rPr>
          <w:b w:val="0"/>
          <w:bCs w:val="0"/>
        </w:rPr>
      </w:r>
      <w:r>
        <w:rPr>
          <w:rFonts w:ascii="Times New Roman" w:hAnsi="Times New Roman" w:cs="Times New Roman" w:eastAsia="Times New Roman" w:hint="default"/>
        </w:rPr>
        <w:t>22</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22,220,714.96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22,175,151.69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22,220,714.96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23,675,151.69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应付利息" w:id="292"/>
      <w:bookmarkEnd w:id="292"/>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1,500,000.00</w:t>
            </w:r>
          </w:p>
        </w:tc>
      </w:tr>
    </w:tbl>
    <w:p>
      <w:pPr>
        <w:pStyle w:val="BodyText"/>
        <w:spacing w:line="240" w:lineRule="auto" w:before="49"/>
        <w:ind w:right="1133"/>
        <w:jc w:val="left"/>
      </w:pPr>
      <w:r>
        <w:rPr/>
        <w:t>重要的已逾期未支付的利息情况：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其他应付款" w:id="293"/>
      <w:bookmarkEnd w:id="293"/>
      <w:r>
        <w:rPr>
          <w:b w:val="0"/>
          <w:bCs w:val="0"/>
        </w:rPr>
      </w:r>
      <w:r>
        <w:rPr/>
        <w:t>（</w:t>
      </w:r>
      <w:r>
        <w:rPr>
          <w:rFonts w:ascii="Times New Roman" w:hAnsi="Times New Roman" w:cs="Times New Roman" w:eastAsia="Times New Roman" w:hint="default"/>
        </w:rPr>
        <w:t>2</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按款项性质列示其他应付款" w:id="294"/>
      <w:bookmarkEnd w:id="294"/>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押金、质保金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7,488,469.30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9,735,760.98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代扣保险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704,007.73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1,044,276.15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项目合作经费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2,939,000.00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其他往来欠款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14,028,237.93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8,456,114.56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22,220,714.96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22,175,151.69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3、一年内到期的非流动负债" w:id="295"/>
      <w:bookmarkEnd w:id="295"/>
      <w:r>
        <w:rPr>
          <w:b w:val="0"/>
          <w:bCs w:val="0"/>
        </w:rPr>
      </w:r>
      <w:r>
        <w:rPr>
          <w:rFonts w:ascii="Times New Roman" w:hAnsi="Times New Roman" w:cs="Times New Roman" w:eastAsia="Times New Roman" w:hint="default"/>
        </w:rPr>
        <w:t>23</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年内到期的其他长期负债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4,562,282.40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9,124,564.80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4,562,282.40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9,124,564.80</w:t>
            </w:r>
          </w:p>
        </w:tc>
      </w:tr>
    </w:tbl>
    <w:p>
      <w:pPr>
        <w:pStyle w:val="BodyText"/>
        <w:spacing w:line="240" w:lineRule="auto" w:before="49"/>
        <w:ind w:right="1133"/>
        <w:jc w:val="left"/>
      </w:pPr>
      <w:r>
        <w:rPr/>
        <w:t>其他说明：</w:t>
      </w:r>
    </w:p>
    <w:p>
      <w:pPr>
        <w:pStyle w:val="BodyText"/>
        <w:spacing w:line="240" w:lineRule="auto" w:before="115"/>
        <w:ind w:left="0" w:right="1133"/>
        <w:jc w:val="right"/>
      </w:pPr>
      <w:r>
        <w:rPr>
          <w:spacing w:val="2"/>
          <w:w w:val="95"/>
        </w:rPr>
        <w:t>（</w:t>
      </w:r>
      <w:r>
        <w:rPr>
          <w:rFonts w:ascii="Times New Roman" w:hAnsi="Times New Roman" w:cs="Times New Roman" w:eastAsia="Times New Roman" w:hint="default"/>
          <w:spacing w:val="2"/>
          <w:w w:val="95"/>
        </w:rPr>
        <w:t>1</w:t>
      </w:r>
      <w:r>
        <w:rPr>
          <w:spacing w:val="2"/>
          <w:w w:val="95"/>
        </w:rPr>
        <w:t>）上述款项系</w:t>
      </w:r>
      <w:r>
        <w:rPr>
          <w:rFonts w:ascii="Times New Roman" w:hAnsi="Times New Roman" w:cs="Times New Roman" w:eastAsia="Times New Roman" w:hint="default"/>
          <w:spacing w:val="2"/>
          <w:w w:val="95"/>
        </w:rPr>
        <w:t>2002</w:t>
      </w:r>
      <w:r>
        <w:rPr>
          <w:spacing w:val="2"/>
          <w:w w:val="95"/>
        </w:rPr>
        <w:t>年本公司在中国建设银行石家庄市中华南大街支行的河北省建设投资公司委托贷款，借款期限</w:t>
      </w:r>
      <w:r>
        <w:rPr>
          <w:w w:val="95"/>
        </w:rPr>
      </w:r>
    </w:p>
    <w:p>
      <w:pPr>
        <w:pStyle w:val="BodyText"/>
        <w:spacing w:line="240" w:lineRule="auto" w:before="63"/>
        <w:ind w:right="1133"/>
        <w:jc w:val="left"/>
      </w:pPr>
      <w:r>
        <w:rPr>
          <w:rFonts w:ascii="Times New Roman" w:hAnsi="Times New Roman" w:cs="Times New Roman" w:eastAsia="Times New Roman" w:hint="default"/>
        </w:rPr>
        <w:t>2002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w:t>
      </w:r>
    </w:p>
    <w:p>
      <w:pPr>
        <w:pStyle w:val="BodyText"/>
        <w:spacing w:line="300" w:lineRule="auto" w:before="63"/>
        <w:ind w:right="1131" w:firstLine="420"/>
        <w:jc w:val="both"/>
      </w:pPr>
      <w:r>
        <w:rPr/>
        <w:t>（</w:t>
      </w:r>
      <w:r>
        <w:rPr>
          <w:rFonts w:ascii="Times New Roman" w:hAnsi="Times New Roman" w:cs="Times New Roman" w:eastAsia="Times New Roman" w:hint="default"/>
        </w:rPr>
        <w:t>2</w:t>
      </w:r>
      <w:r>
        <w:rPr/>
        <w:t>）根据</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日河北省人民政府国有资产监督管理委员会冀国资字（</w:t>
      </w:r>
      <w:r>
        <w:rPr>
          <w:rFonts w:ascii="Times New Roman" w:hAnsi="Times New Roman" w:cs="Times New Roman" w:eastAsia="Times New Roman" w:hint="default"/>
        </w:rPr>
        <w:t>2006</w:t>
      </w:r>
      <w:r>
        <w:rPr/>
        <w:t>）</w:t>
      </w:r>
      <w:r>
        <w:rPr>
          <w:rFonts w:ascii="Times New Roman" w:hAnsi="Times New Roman" w:cs="Times New Roman" w:eastAsia="Times New Roman" w:hint="default"/>
        </w:rPr>
        <w:t>15</w:t>
      </w:r>
      <w:r>
        <w:rPr/>
        <w:t>号文以及河北省建设投资公司 冀建投函字（</w:t>
      </w:r>
      <w:r>
        <w:rPr>
          <w:rFonts w:ascii="Times New Roman" w:hAnsi="Times New Roman" w:cs="Times New Roman" w:eastAsia="Times New Roman" w:hint="default"/>
        </w:rPr>
        <w:t>2006</w:t>
      </w:r>
      <w:r>
        <w:rPr/>
        <w:t>）</w:t>
      </w:r>
      <w:r>
        <w:rPr>
          <w:rFonts w:ascii="Times New Roman" w:hAnsi="Times New Roman" w:cs="Times New Roman" w:eastAsia="Times New Roman" w:hint="default"/>
        </w:rPr>
        <w:t>32</w:t>
      </w:r>
      <w:r>
        <w:rPr/>
        <w:t>号函，将本公司在中国建设银行石家庄市中华南大街支行的河北省建设投资公司委托贷款</w:t>
      </w:r>
      <w:r>
        <w:rPr>
          <w:rFonts w:ascii="Times New Roman" w:hAnsi="Times New Roman" w:cs="Times New Roman" w:eastAsia="Times New Roman" w:hint="default"/>
        </w:rPr>
        <w:t>700</w:t>
      </w:r>
      <w:r>
        <w:rPr/>
        <w:t>万元划</w:t>
      </w:r>
      <w:r>
        <w:rPr>
          <w:spacing w:val="-85"/>
        </w:rPr>
        <w:t> </w:t>
      </w:r>
      <w:r>
        <w:rPr>
          <w:spacing w:val="-85"/>
        </w:rPr>
      </w:r>
      <w:r>
        <w:rPr/>
        <w:t>转给河北省质量技术监督局，并豁免</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日以前先河环保所欠利息及罚息。</w:t>
      </w:r>
    </w:p>
    <w:p>
      <w:pPr>
        <w:pStyle w:val="BodyText"/>
        <w:spacing w:line="300" w:lineRule="auto" w:before="13"/>
        <w:ind w:right="0" w:firstLine="288"/>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日，公司与经河北省质量技术监督局授权负责收回上述款项的河北省食品质量监督检验研究院签订了 </w:t>
      </w:r>
      <w:r>
        <w:rPr>
          <w:spacing w:val="-2"/>
        </w:rPr>
        <w:t>还款协议。根据协议，公司应于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日前偿还</w:t>
      </w:r>
      <w:r>
        <w:rPr>
          <w:rFonts w:ascii="Times New Roman" w:hAnsi="Times New Roman" w:cs="Times New Roman" w:eastAsia="Times New Roman" w:hint="default"/>
          <w:spacing w:val="-2"/>
        </w:rPr>
        <w:t>100</w:t>
      </w:r>
      <w:r>
        <w:rPr>
          <w:spacing w:val="-2"/>
        </w:rPr>
        <w:t>万元、</w:t>
      </w:r>
      <w:r>
        <w:rPr/>
        <w:t> </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日前和</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日前分别偿还</w:t>
      </w:r>
      <w:r>
        <w:rPr>
          <w:rFonts w:ascii="Times New Roman" w:hAnsi="Times New Roman" w:cs="Times New Roman" w:eastAsia="Times New Roman" w:hint="default"/>
          <w:spacing w:val="-1"/>
        </w:rPr>
        <w:t>300</w:t>
      </w:r>
      <w:r>
        <w:rPr>
          <w:spacing w:val="-1"/>
        </w:rPr>
        <w:t>万元，</w:t>
      </w:r>
      <w:r>
        <w:rPr>
          <w:spacing w:val="-81"/>
        </w:rPr>
        <w:t> </w:t>
      </w:r>
      <w:r>
        <w:rPr>
          <w:spacing w:val="-81"/>
        </w:rPr>
      </w:r>
      <w:r>
        <w:rPr>
          <w:spacing w:val="-2"/>
        </w:rPr>
        <w:t>并自协议签署日起，按照同期银行贷款利率于每年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日前支付当年利息；上述款项在协议签署日前产生的利息则予以豁</w:t>
      </w:r>
      <w:r>
        <w:rPr>
          <w:spacing w:val="-61"/>
        </w:rPr>
        <w:t> </w:t>
      </w:r>
      <w:r>
        <w:rPr>
          <w:spacing w:val="-61"/>
        </w:rPr>
      </w:r>
      <w:r>
        <w:rPr/>
        <w:t>免。截止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日，期末余额中包括本金</w:t>
      </w:r>
      <w:r>
        <w:rPr>
          <w:rFonts w:ascii="Times New Roman" w:hAnsi="Times New Roman" w:cs="Times New Roman" w:eastAsia="Times New Roman" w:hint="default"/>
        </w:rPr>
        <w:t>3,000,000.00</w:t>
      </w:r>
      <w:r>
        <w:rPr/>
        <w:t>元、利息</w:t>
      </w:r>
      <w:r>
        <w:rPr>
          <w:rFonts w:ascii="Times New Roman" w:hAnsi="Times New Roman" w:cs="Times New Roman" w:eastAsia="Times New Roman" w:hint="default"/>
        </w:rPr>
        <w:t>1,562,282.40</w:t>
      </w:r>
      <w:r>
        <w:rPr/>
        <w:t>元。</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bookmarkStart w:name="24、递延收益" w:id="296"/>
      <w:bookmarkEnd w:id="296"/>
      <w:r>
        <w:rPr>
          <w:b w:val="0"/>
          <w:bCs w:val="0"/>
        </w:rPr>
      </w:r>
      <w:r>
        <w:rPr>
          <w:rFonts w:ascii="Times New Roman" w:hAnsi="Times New Roman" w:cs="Times New Roman" w:eastAsia="Times New Roman" w:hint="default"/>
        </w:rPr>
        <w:t>24</w:t>
      </w:r>
      <w:r>
        <w:rPr/>
        <w:t>、递延收益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6,388,941.78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6,572,491.19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4,649,216.82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8,312,216.15</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6,388,941.78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6,572,491.19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4,649,216.82</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8,312,216.15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涉及政府补助的项目：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5"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海水溶解氧 在线监测仪 产业化</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43,850.30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29,233.58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14,616.72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1"/>
              <w:jc w:val="both"/>
              <w:rPr>
                <w:rFonts w:ascii="宋体" w:hAnsi="宋体" w:cs="宋体" w:eastAsia="宋体" w:hint="default"/>
                <w:sz w:val="18"/>
                <w:szCs w:val="18"/>
              </w:rPr>
            </w:pPr>
            <w:r>
              <w:rPr>
                <w:rFonts w:ascii="宋体" w:hAnsi="宋体" w:cs="宋体" w:eastAsia="宋体" w:hint="default"/>
                <w:sz w:val="18"/>
                <w:szCs w:val="18"/>
              </w:rPr>
              <w:t>微生物膜法 </w:t>
            </w:r>
            <w:r>
              <w:rPr>
                <w:rFonts w:ascii="Times New Roman" w:hAnsi="Times New Roman" w:cs="Times New Roman" w:eastAsia="Times New Roman" w:hint="default"/>
                <w:sz w:val="18"/>
                <w:szCs w:val="18"/>
              </w:rPr>
              <w:t>BOD</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在线监 测仪研制及 海水</w:t>
            </w:r>
          </w:p>
          <w:p>
            <w:pPr>
              <w:pStyle w:val="TableParagraph"/>
              <w:spacing w:line="240" w:lineRule="auto" w:before="65"/>
              <w:ind w:left="24" w:right="0"/>
              <w:jc w:val="both"/>
              <w:rPr>
                <w:rFonts w:ascii="Times New Roman" w:hAnsi="Times New Roman" w:cs="Times New Roman" w:eastAsia="Times New Roman" w:hint="default"/>
                <w:sz w:val="18"/>
                <w:szCs w:val="18"/>
              </w:rPr>
            </w:pPr>
            <w:r>
              <w:rPr>
                <w:rFonts w:ascii="Times New Roman"/>
                <w:sz w:val="18"/>
              </w:rPr>
              <w:t>PH/COD/B</w:t>
            </w:r>
          </w:p>
          <w:p>
            <w:pPr>
              <w:pStyle w:val="TableParagraph"/>
              <w:spacing w:line="309" w:lineRule="auto" w:before="63"/>
              <w:ind w:left="24" w:right="77"/>
              <w:jc w:val="both"/>
              <w:rPr>
                <w:rFonts w:ascii="宋体" w:hAnsi="宋体" w:cs="宋体" w:eastAsia="宋体" w:hint="default"/>
                <w:sz w:val="18"/>
                <w:szCs w:val="18"/>
              </w:rPr>
            </w:pPr>
            <w:r>
              <w:rPr>
                <w:rFonts w:ascii="Times New Roman" w:hAnsi="Times New Roman" w:cs="Times New Roman" w:eastAsia="Times New Roman" w:hint="default"/>
                <w:sz w:val="18"/>
                <w:szCs w:val="18"/>
              </w:rPr>
              <w:t>OD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快速在 线监测仪产 业化</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156,622.94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40,600.00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120,655.20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76,567.74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创新方法在 区域典型企 业的应用</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284,999.98</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155,454.60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129,545.38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53"/>
              <w:jc w:val="center"/>
              <w:rPr>
                <w:rFonts w:ascii="宋体" w:hAnsi="宋体" w:cs="宋体" w:eastAsia="宋体" w:hint="default"/>
                <w:sz w:val="18"/>
                <w:szCs w:val="18"/>
              </w:rPr>
            </w:pPr>
            <w:r>
              <w:rPr>
                <w:rFonts w:ascii="宋体" w:hAnsi="宋体" w:cs="宋体" w:eastAsia="宋体" w:hint="default"/>
                <w:sz w:val="18"/>
                <w:szCs w:val="18"/>
              </w:rPr>
              <w:t>精细网格大</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109,285.70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199,285.70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29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77"/>
              <w:jc w:val="both"/>
              <w:rPr>
                <w:rFonts w:ascii="宋体" w:hAnsi="宋体" w:cs="宋体" w:eastAsia="宋体" w:hint="default"/>
                <w:sz w:val="18"/>
                <w:szCs w:val="18"/>
              </w:rPr>
            </w:pPr>
            <w:r>
              <w:rPr>
                <w:rFonts w:ascii="宋体" w:hAnsi="宋体" w:cs="宋体" w:eastAsia="宋体" w:hint="default"/>
                <w:sz w:val="18"/>
                <w:szCs w:val="18"/>
              </w:rPr>
              <w:t>气动态污染 源清单技术 研发及应用 示范</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环境空气臭 氧前驱体及 光化学烟雾 在线监测仪 开发及应用 示范</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3,008,111.42</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3,863,000.00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2,021,016.30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4,850,095.12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大气污染防 治动态评估 与决策支持 系统开发及 应用示范</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128,571.44</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1" w:right="0"/>
              <w:jc w:val="center"/>
              <w:rPr>
                <w:rFonts w:ascii="Times New Roman" w:hAnsi="Times New Roman" w:cs="Times New Roman" w:eastAsia="Times New Roman" w:hint="default"/>
                <w:sz w:val="18"/>
                <w:szCs w:val="18"/>
              </w:rPr>
            </w:pPr>
            <w:r>
              <w:rPr>
                <w:rFonts w:ascii="Times New Roman"/>
                <w:sz w:val="18"/>
              </w:rPr>
              <w:t>128,571.44</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基于环境大 数据融合技 术的区域大 气污染溯源</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1" w:right="0"/>
              <w:jc w:val="center"/>
              <w:rPr>
                <w:rFonts w:ascii="Times New Roman" w:hAnsi="Times New Roman" w:cs="Times New Roman" w:eastAsia="Times New Roman" w:hint="default"/>
                <w:sz w:val="18"/>
                <w:szCs w:val="18"/>
              </w:rPr>
            </w:pPr>
            <w:r>
              <w:rPr>
                <w:rFonts w:ascii="Times New Roman"/>
                <w:sz w:val="18"/>
              </w:rPr>
              <w:t>350,000.00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海洋环境监 测中褐潮监 测预警技术 研发与示范</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1" w:right="0"/>
              <w:jc w:val="center"/>
              <w:rPr>
                <w:rFonts w:ascii="Times New Roman" w:hAnsi="Times New Roman" w:cs="Times New Roman" w:eastAsia="Times New Roman" w:hint="default"/>
                <w:sz w:val="18"/>
                <w:szCs w:val="18"/>
              </w:rPr>
            </w:pPr>
            <w:r>
              <w:rPr>
                <w:rFonts w:ascii="Times New Roman"/>
                <w:sz w:val="18"/>
              </w:rPr>
              <w:t>125,000.00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基于全光普 扫描的水质 在线分析及 预警系统</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1" w:right="0"/>
              <w:jc w:val="center"/>
              <w:rPr>
                <w:rFonts w:ascii="Times New Roman" w:hAnsi="Times New Roman" w:cs="Times New Roman" w:eastAsia="Times New Roman" w:hint="default"/>
                <w:sz w:val="18"/>
                <w:szCs w:val="18"/>
              </w:rPr>
            </w:pPr>
            <w:r>
              <w:rPr>
                <w:rFonts w:ascii="Times New Roman"/>
                <w:sz w:val="18"/>
              </w:rPr>
              <w:t>140,000.00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7"/>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百人计划</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创新科研项 目资金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科技新星与 领军人才培 养</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97,500.00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97,500.00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年双创促 进计划项目 补贴款</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1" w:right="0"/>
              <w:jc w:val="center"/>
              <w:rPr>
                <w:rFonts w:ascii="Times New Roman" w:hAnsi="Times New Roman" w:cs="Times New Roman" w:eastAsia="Times New Roman" w:hint="default"/>
                <w:sz w:val="18"/>
                <w:szCs w:val="18"/>
              </w:rPr>
            </w:pPr>
            <w:r>
              <w:rPr>
                <w:rFonts w:ascii="Times New Roman"/>
                <w:sz w:val="18"/>
              </w:rPr>
              <w:t>200,000.00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新兴产业发 展专项资金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1,180,000.00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28,891.19</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28,891.19</w:t>
            </w:r>
          </w:p>
        </w:tc>
        <w:tc>
          <w:tcPr>
            <w:tcW w:w="10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6,388,941.78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6,572,491.19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1,180,000.00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3,469,216.82</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8,312,216.15</w:t>
            </w:r>
          </w:p>
        </w:tc>
        <w:tc>
          <w:tcPr>
            <w:tcW w:w="101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5、股本" w:id="297"/>
      <w:bookmarkEnd w:id="297"/>
      <w:r>
        <w:rPr>
          <w:b w:val="0"/>
          <w:bCs w:val="0"/>
        </w:rPr>
      </w:r>
      <w:r>
        <w:rPr>
          <w:rFonts w:ascii="Times New Roman" w:hAnsi="Times New Roman" w:cs="Times New Roman" w:eastAsia="Times New Roman" w:hint="default"/>
        </w:rPr>
        <w:t>25</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551,032,550.00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551,032,550.00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6、资本公积" w:id="298"/>
      <w:bookmarkEnd w:id="298"/>
      <w:r>
        <w:rPr>
          <w:b w:val="0"/>
          <w:bCs w:val="0"/>
        </w:rPr>
      </w:r>
      <w:r>
        <w:rPr>
          <w:rFonts w:ascii="Times New Roman" w:hAnsi="Times New Roman" w:cs="Times New Roman" w:eastAsia="Times New Roman" w:hint="default"/>
        </w:rPr>
        <w:t>26</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471,132,852.81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471,132,852.81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471,132,852.81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471,132,852.81</w:t>
            </w:r>
          </w:p>
        </w:tc>
      </w:tr>
    </w:tbl>
    <w:p>
      <w:pPr>
        <w:pStyle w:val="BodyText"/>
        <w:spacing w:line="240" w:lineRule="auto" w:before="49"/>
        <w:ind w:right="1133"/>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7、库存股" w:id="299"/>
      <w:bookmarkEnd w:id="299"/>
      <w:r>
        <w:rPr>
          <w:b w:val="0"/>
          <w:bCs w:val="0"/>
        </w:rPr>
      </w:r>
      <w:r>
        <w:rPr>
          <w:rFonts w:ascii="Times New Roman" w:hAnsi="Times New Roman" w:cs="Times New Roman" w:eastAsia="Times New Roman" w:hint="default"/>
        </w:rPr>
        <w:t>27</w:t>
      </w:r>
      <w:r>
        <w:rPr/>
        <w:t>、库存股</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21"/>
        <w:gridCol w:w="1699"/>
        <w:gridCol w:w="1419"/>
        <w:gridCol w:w="1418"/>
        <w:gridCol w:w="1916"/>
      </w:tblGrid>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因减少注册资本而收购的本公司股份</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5"/>
              <w:jc w:val="left"/>
              <w:rPr>
                <w:rFonts w:ascii="宋体" w:hAnsi="宋体" w:cs="宋体" w:eastAsia="宋体" w:hint="default"/>
                <w:sz w:val="18"/>
                <w:szCs w:val="18"/>
              </w:rPr>
            </w:pPr>
            <w:r>
              <w:rPr>
                <w:rFonts w:ascii="宋体" w:hAnsi="宋体" w:cs="宋体" w:eastAsia="宋体" w:hint="default"/>
                <w:sz w:val="18"/>
                <w:szCs w:val="18"/>
              </w:rPr>
              <w:t>为员工持股计划或者股权激励而收购的 本公司股份</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36,901,998.60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8,568,569.17</w:t>
            </w:r>
          </w:p>
        </w:tc>
        <w:tc>
          <w:tcPr>
            <w:tcW w:w="141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45,470,567.77</w:t>
            </w:r>
          </w:p>
        </w:tc>
      </w:tr>
      <w:tr>
        <w:trPr>
          <w:trHeight w:val="71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5"/>
              <w:jc w:val="left"/>
              <w:rPr>
                <w:rFonts w:ascii="宋体" w:hAnsi="宋体" w:cs="宋体" w:eastAsia="宋体" w:hint="default"/>
                <w:sz w:val="18"/>
                <w:szCs w:val="18"/>
              </w:rPr>
            </w:pPr>
            <w:r>
              <w:rPr>
                <w:rFonts w:ascii="宋体" w:hAnsi="宋体" w:cs="宋体" w:eastAsia="宋体" w:hint="default"/>
                <w:sz w:val="18"/>
                <w:szCs w:val="18"/>
              </w:rPr>
              <w:t>为转换本公司发行的可转换为股票的公 司债券而收购的本公司股份</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5"/>
              <w:jc w:val="left"/>
              <w:rPr>
                <w:rFonts w:ascii="宋体" w:hAnsi="宋体" w:cs="宋体" w:eastAsia="宋体" w:hint="default"/>
                <w:sz w:val="18"/>
                <w:szCs w:val="18"/>
              </w:rPr>
            </w:pPr>
            <w:r>
              <w:rPr>
                <w:rFonts w:ascii="宋体" w:hAnsi="宋体" w:cs="宋体" w:eastAsia="宋体" w:hint="default"/>
                <w:sz w:val="18"/>
                <w:szCs w:val="18"/>
              </w:rPr>
              <w:t>为维护公司价值及股东权益而收购的本 公司股份</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36,901,998.60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8,568,569.17</w:t>
            </w:r>
          </w:p>
        </w:tc>
        <w:tc>
          <w:tcPr>
            <w:tcW w:w="141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45,470,567.77</w:t>
            </w:r>
          </w:p>
        </w:tc>
      </w:tr>
    </w:tbl>
    <w:p>
      <w:pPr>
        <w:pStyle w:val="BodyText"/>
        <w:spacing w:line="381" w:lineRule="auto" w:before="49"/>
        <w:ind w:left="578" w:right="1029" w:hanging="426"/>
        <w:jc w:val="left"/>
      </w:pPr>
      <w:r>
        <w:rPr/>
        <w:t>其他说明，包括本期增减变动情况、变动原因说明： </w:t>
      </w:r>
      <w:r>
        <w:rPr>
          <w:spacing w:val="-1"/>
        </w:rPr>
        <w:t>截止</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日，本公司累计通过股票回购专用证券账户以集中竞价交易方式回购本公司股份数量为</w:t>
      </w:r>
      <w:r>
        <w:rPr>
          <w:rFonts w:ascii="Times New Roman" w:hAnsi="Times New Roman" w:cs="Times New Roman" w:eastAsia="Times New Roman" w:hint="default"/>
          <w:spacing w:val="-1"/>
        </w:rPr>
        <w:t>5,658,540</w:t>
      </w:r>
      <w:r>
        <w:rPr>
          <w:spacing w:val="-1"/>
        </w:rPr>
        <w:t>股，</w:t>
      </w:r>
    </w:p>
    <w:p>
      <w:pPr>
        <w:pStyle w:val="BodyText"/>
        <w:spacing w:line="192" w:lineRule="exact"/>
        <w:ind w:right="1133"/>
        <w:jc w:val="left"/>
      </w:pPr>
      <w:r>
        <w:rPr/>
        <w:t>占本公司已发行股份的总比例为</w:t>
      </w:r>
      <w:r>
        <w:rPr>
          <w:rFonts w:ascii="Times New Roman" w:hAnsi="Times New Roman" w:cs="Times New Roman" w:eastAsia="Times New Roman" w:hint="default"/>
        </w:rPr>
        <w:t>1.03%</w:t>
      </w:r>
      <w:r>
        <w:rPr/>
        <w:t>。</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bookmarkStart w:name="28、其他综合收益" w:id="300"/>
      <w:bookmarkEnd w:id="300"/>
      <w:r>
        <w:rPr>
          <w:b w:val="0"/>
          <w:bCs w:val="0"/>
        </w:rPr>
      </w:r>
      <w:r>
        <w:rPr>
          <w:rFonts w:ascii="Times New Roman" w:hAnsi="Times New Roman" w:cs="Times New Roman" w:eastAsia="Times New Roman" w:hint="default"/>
        </w:rPr>
        <w:t>28</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5"/>
        <w:gridCol w:w="975"/>
        <w:gridCol w:w="852"/>
        <w:gridCol w:w="1052"/>
        <w:gridCol w:w="852"/>
        <w:gridCol w:w="852"/>
        <w:gridCol w:w="853"/>
        <w:gridCol w:w="852"/>
        <w:gridCol w:w="727"/>
      </w:tblGrid>
      <w:tr>
        <w:trPr>
          <w:trHeight w:val="403" w:hRule="exact"/>
        </w:trPr>
        <w:tc>
          <w:tcPr>
            <w:tcW w:w="25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1025" w:hRule="exact"/>
        </w:trPr>
        <w:tc>
          <w:tcPr>
            <w:tcW w:w="2555"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69" w:right="22" w:hanging="46"/>
              <w:jc w:val="both"/>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其他综合收 益当期转入</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5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44"/>
        <w:gridCol w:w="975"/>
        <w:gridCol w:w="852"/>
        <w:gridCol w:w="1052"/>
        <w:gridCol w:w="852"/>
        <w:gridCol w:w="852"/>
        <w:gridCol w:w="853"/>
        <w:gridCol w:w="852"/>
        <w:gridCol w:w="727"/>
      </w:tblGrid>
      <w:tr>
        <w:trPr>
          <w:trHeight w:val="358" w:hRule="exact"/>
        </w:trPr>
        <w:tc>
          <w:tcPr>
            <w:tcW w:w="2544"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340"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
              <w:ind w:left="62" w:right="59"/>
              <w:jc w:val="left"/>
              <w:rPr>
                <w:rFonts w:ascii="宋体" w:hAnsi="宋体" w:cs="宋体" w:eastAsia="宋体" w:hint="default"/>
                <w:sz w:val="18"/>
                <w:szCs w:val="18"/>
              </w:rPr>
            </w:pPr>
            <w:r>
              <w:rPr>
                <w:rFonts w:ascii="宋体" w:hAnsi="宋体" w:cs="宋体" w:eastAsia="宋体" w:hint="default"/>
                <w:sz w:val="18"/>
                <w:szCs w:val="18"/>
              </w:rPr>
              <w:t>当期转入 留存收益</w:t>
            </w: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727" w:type="dxa"/>
            <w:vMerge w:val="restart"/>
            <w:tcBorders>
              <w:top w:val="single" w:sz="4" w:space="0" w:color="000000"/>
              <w:left w:val="single" w:sz="4" w:space="0" w:color="000000"/>
              <w:right w:val="single" w:sz="4" w:space="0" w:color="000000"/>
            </w:tcBorders>
            <w:shd w:val="clear" w:color="auto" w:fill="D2D2D2"/>
          </w:tcPr>
          <w:p>
            <w:pPr/>
          </w:p>
        </w:tc>
      </w:tr>
      <w:tr>
        <w:trPr>
          <w:trHeight w:val="317" w:hRule="exact"/>
        </w:trPr>
        <w:tc>
          <w:tcPr>
            <w:tcW w:w="2544"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1,656,668.4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530,015.0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377,066.4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152,948.6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2,033,73</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4.88</w:t>
            </w:r>
          </w:p>
        </w:tc>
      </w:tr>
      <w:tr>
        <w:trPr>
          <w:trHeight w:val="161" w:hRule="exact"/>
        </w:trPr>
        <w:tc>
          <w:tcPr>
            <w:tcW w:w="2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1,656,668.4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530,015.0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377,066.4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152,948.6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2,033,73</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4.88</w:t>
            </w:r>
          </w:p>
        </w:tc>
      </w:tr>
      <w:tr>
        <w:trPr>
          <w:trHeight w:val="394"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5"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r>
        <w:trPr>
          <w:trHeight w:val="161" w:hRule="exact"/>
        </w:trPr>
        <w:tc>
          <w:tcPr>
            <w:tcW w:w="2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1,656,668.4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530,015.0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377,066.4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152,948.6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2,033,73</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4.88</w:t>
            </w:r>
          </w:p>
        </w:tc>
      </w:tr>
      <w:tr>
        <w:trPr>
          <w:trHeight w:val="391"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9、盈余公积" w:id="301"/>
      <w:bookmarkEnd w:id="301"/>
      <w:r>
        <w:rPr>
          <w:b w:val="0"/>
          <w:bCs w:val="0"/>
        </w:rPr>
      </w:r>
      <w:r>
        <w:rPr>
          <w:rFonts w:ascii="Times New Roman" w:hAnsi="Times New Roman" w:cs="Times New Roman" w:eastAsia="Times New Roman" w:hint="default"/>
        </w:rPr>
        <w:t>29</w:t>
      </w:r>
      <w:r>
        <w:rPr/>
        <w:t>、盈余公积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93,330,489.89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33,025,868.22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126,356,358.11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93,330,489.89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33,025,868.22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126,356,358.11</w:t>
            </w:r>
          </w:p>
        </w:tc>
      </w:tr>
    </w:tbl>
    <w:p>
      <w:pPr>
        <w:pStyle w:val="BodyText"/>
        <w:spacing w:line="379" w:lineRule="auto" w:before="49"/>
        <w:ind w:left="578" w:right="4478" w:hanging="426"/>
        <w:jc w:val="left"/>
      </w:pPr>
      <w:r>
        <w:rPr/>
        <w:t>盈余公积说明，包括本期增减变动情况、变动原因说明： 盈余公积本期增加金额系按公司</w:t>
      </w:r>
      <w:r>
        <w:rPr>
          <w:rFonts w:ascii="宋体" w:hAnsi="宋体" w:cs="宋体" w:eastAsia="宋体" w:hint="default"/>
        </w:rPr>
        <w:t>2019</w:t>
      </w:r>
      <w:r>
        <w:rPr/>
        <w:t>年度净利润</w:t>
      </w:r>
      <w:r>
        <w:rPr>
          <w:rFonts w:ascii="宋体" w:hAnsi="宋体" w:cs="宋体" w:eastAsia="宋体" w:hint="default"/>
        </w:rPr>
        <w:t>10%</w:t>
      </w:r>
      <w:r>
        <w:rPr/>
        <w:t>提取的法定盈余公积。</w:t>
      </w:r>
    </w:p>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bookmarkStart w:name="30、未分配利润" w:id="302"/>
      <w:bookmarkEnd w:id="302"/>
      <w:r>
        <w:rPr>
          <w:b w:val="0"/>
          <w:bCs w:val="0"/>
        </w:rPr>
      </w:r>
      <w:r>
        <w:rPr>
          <w:rFonts w:ascii="Times New Roman" w:hAnsi="Times New Roman" w:cs="Times New Roman" w:eastAsia="Times New Roman" w:hint="default"/>
        </w:rPr>
        <w:t>30</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727,987,313.88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515,637,231.11</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727,987,313.88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515,637,231.11</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262,648,290.96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259,434,109.03</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33,025,868.22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29,501,933.69</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17,219,767.20</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加：其他事项调整</w:t>
            </w:r>
          </w:p>
        </w:tc>
        <w:tc>
          <w:tcPr>
            <w:tcW w:w="293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-362,325.37</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957,609,736.62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727,987,313.88</w:t>
            </w:r>
          </w:p>
        </w:tc>
      </w:tr>
    </w:tbl>
    <w:p>
      <w:pPr>
        <w:pStyle w:val="BodyText"/>
        <w:spacing w:line="240" w:lineRule="auto" w:before="49"/>
        <w:ind w:right="1133"/>
        <w:jc w:val="left"/>
      </w:pPr>
      <w:r>
        <w:rPr/>
        <w:t>调整期初未分配利润明细：</w:t>
      </w:r>
    </w:p>
    <w:p>
      <w:pPr>
        <w:pStyle w:val="BodyText"/>
        <w:spacing w:line="240" w:lineRule="auto" w:before="115"/>
        <w:ind w:right="1133"/>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1133"/>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right="1133"/>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1"/>
        <w:ind w:right="1133"/>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1133"/>
        <w:jc w:val="left"/>
      </w:pPr>
      <w:r>
        <w:rPr>
          <w:rFonts w:ascii="Times New Roman" w:hAnsi="Times New Roman" w:cs="Times New Roman" w:eastAsia="Times New Roman" w:hint="default"/>
        </w:rPr>
        <w:t>5)</w:t>
      </w:r>
      <w:r>
        <w:rPr/>
        <w:t>、其他调整合计影响期初未分配利润元。</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1、营业收入和营业成本" w:id="303"/>
      <w:bookmarkEnd w:id="303"/>
      <w:r>
        <w:rPr>
          <w:b w:val="0"/>
          <w:bCs w:val="0"/>
        </w:rPr>
      </w:r>
      <w:r>
        <w:rPr>
          <w:rFonts w:ascii="Times New Roman" w:hAnsi="Times New Roman" w:cs="Times New Roman" w:eastAsia="Times New Roman" w:hint="default"/>
        </w:rPr>
        <w:t>31</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1,372,227,610.70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698,741,351.63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1,371,874,112.56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681,417,739.68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2,098,524.62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1,273,078.62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2,226,031.91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579,842.01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1,374,326,135.32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700,014,430.25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1,374,100,144.47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681,997,581.69</w:t>
            </w:r>
          </w:p>
        </w:tc>
      </w:tr>
    </w:tbl>
    <w:p>
      <w:pPr>
        <w:pStyle w:val="BodyText"/>
        <w:spacing w:line="240" w:lineRule="auto" w:before="49"/>
        <w:ind w:right="1133"/>
        <w:jc w:val="left"/>
      </w:pPr>
      <w:r>
        <w:rPr/>
        <w:t>是否已执行新收入准则</w:t>
      </w:r>
    </w:p>
    <w:p>
      <w:pPr>
        <w:pStyle w:val="BodyText"/>
        <w:spacing w:line="340" w:lineRule="auto" w:before="115"/>
        <w:ind w:right="928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 其他说明</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bookmarkStart w:name="32、税金及附加" w:id="304"/>
      <w:bookmarkEnd w:id="304"/>
      <w:r>
        <w:rPr>
          <w:b w:val="0"/>
          <w:bCs w:val="0"/>
        </w:rPr>
      </w:r>
      <w:r>
        <w:rPr>
          <w:rFonts w:ascii="Times New Roman" w:hAnsi="Times New Roman" w:cs="Times New Roman" w:eastAsia="Times New Roman" w:hint="default"/>
        </w:rPr>
        <w:t>32</w:t>
      </w:r>
      <w:r>
        <w:rPr/>
        <w:t>、税金及附加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5,940,301.90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5,413,641.07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4,359,192.89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3,878,405.06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1,649,103.08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1,522,880.33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1,270,300.64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1,255,557.14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548,822.68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572,712.36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54,924.60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13,769,561.19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12,698,120.56</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3、销售费用" w:id="305"/>
      <w:bookmarkEnd w:id="305"/>
      <w:r>
        <w:rPr>
          <w:b w:val="0"/>
          <w:bCs w:val="0"/>
        </w:rPr>
      </w:r>
      <w:r>
        <w:rPr>
          <w:rFonts w:ascii="Times New Roman" w:hAnsi="Times New Roman" w:cs="Times New Roman" w:eastAsia="Times New Roman" w:hint="default"/>
        </w:rPr>
        <w:t>33</w:t>
      </w:r>
      <w:r>
        <w:rPr/>
        <w:t>、销售费用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56,367,598.38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64,364,525.95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11,480,162.56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9,520,797.93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业务活动费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7,539,990.15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17,716,720.42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4,939,210.71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5,047,481.82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技术服务费、中标服务费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17,052,492.96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16,882,218.62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801,975.64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716,395.62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5,389,240.44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4,018,475.28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442,229.86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796,540.48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29,138,009.91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22,164,388.30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2,557,417.17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2,362,328.25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现场费用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9,764,934.41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9,248,775.12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5,175,621.00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4,327,123.31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150,648,883.19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157,165,771.10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4、管理费用" w:id="306"/>
      <w:bookmarkEnd w:id="306"/>
      <w:r>
        <w:rPr>
          <w:b w:val="0"/>
          <w:bCs w:val="0"/>
        </w:rPr>
      </w:r>
      <w:r>
        <w:rPr>
          <w:rFonts w:ascii="Times New Roman" w:hAnsi="Times New Roman" w:cs="Times New Roman" w:eastAsia="Times New Roman" w:hint="default"/>
        </w:rPr>
        <w:t>34</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54,392,538.66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70,157,390.44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7,901,543.79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7,784,014.43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9,485,154.45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8,173,137.30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业务活动费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5,506,252.69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4,561,660.29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3,573,467.37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3,228,299.06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18,288,705.26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13,166,682.64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2,249,700.30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2,090,517.16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3,676,124.54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5,568,927.00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4,939,519.70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4,565,124.68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1,023,370.57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1,111,388.29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831,206.72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823,047.70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4,653,494.48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3,457,139.81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3,613,746.50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7,021,361.51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4,254,604.87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2,128,896.08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14,039,734.49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9,731,730.24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11,342,424.88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9,990,622.21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149,771,589.27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153,559,938.84</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5、研发费用" w:id="307"/>
      <w:bookmarkEnd w:id="307"/>
      <w:r>
        <w:rPr>
          <w:b w:val="0"/>
          <w:bCs w:val="0"/>
        </w:rPr>
      </w:r>
      <w:r>
        <w:rPr>
          <w:rFonts w:ascii="Times New Roman" w:hAnsi="Times New Roman" w:cs="Times New Roman" w:eastAsia="Times New Roman" w:hint="default"/>
        </w:rPr>
        <w:t>35</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19,398,670.52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16,314,584.03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31,192,226.93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25,678,544.43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2,527,418.73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3,096,373.12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331,941.07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研发成果鉴证费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312,589.82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238,221.21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3,641,456.04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4,576,186.80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技术研发外包费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1,533,891.37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2,087,007.45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测试化验加工费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653,918.62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2,384,459.92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专家咨询费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768,631.16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984,768.83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出版</w:t>
            </w:r>
            <w:r>
              <w:rPr>
                <w:rFonts w:ascii="Times New Roman" w:hAnsi="Times New Roman" w:cs="Times New Roman" w:eastAsia="Times New Roman" w:hint="default"/>
                <w:sz w:val="18"/>
                <w:szCs w:val="18"/>
              </w:rPr>
              <w:t>/</w:t>
            </w:r>
            <w:r>
              <w:rPr>
                <w:rFonts w:ascii="宋体" w:hAnsi="宋体" w:cs="宋体" w:eastAsia="宋体" w:hint="default"/>
                <w:sz w:val="18"/>
                <w:szCs w:val="18"/>
              </w:rPr>
              <w:t>文献</w:t>
            </w:r>
            <w:r>
              <w:rPr>
                <w:rFonts w:ascii="Times New Roman" w:hAnsi="Times New Roman" w:cs="Times New Roman" w:eastAsia="Times New Roman" w:hint="default"/>
                <w:sz w:val="18"/>
                <w:szCs w:val="18"/>
              </w:rPr>
              <w:t>/</w:t>
            </w:r>
            <w:r>
              <w:rPr>
                <w:rFonts w:ascii="宋体" w:hAnsi="宋体" w:cs="宋体" w:eastAsia="宋体" w:hint="default"/>
                <w:sz w:val="18"/>
                <w:szCs w:val="18"/>
              </w:rPr>
              <w:t>信息传播</w:t>
            </w:r>
            <w:r>
              <w:rPr>
                <w:rFonts w:ascii="Times New Roman" w:hAnsi="Times New Roman" w:cs="Times New Roman" w:eastAsia="Times New Roman" w:hint="default"/>
                <w:sz w:val="18"/>
                <w:szCs w:val="18"/>
              </w:rPr>
              <w:t>/</w:t>
            </w:r>
            <w:r>
              <w:rPr>
                <w:rFonts w:ascii="宋体" w:hAnsi="宋体" w:cs="宋体" w:eastAsia="宋体" w:hint="default"/>
                <w:sz w:val="18"/>
                <w:szCs w:val="18"/>
              </w:rPr>
              <w:t>知识产权事务费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1,048,313.65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285,979.93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61,077,116.84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55,978,066.79</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6、财务费用" w:id="308"/>
      <w:bookmarkEnd w:id="308"/>
      <w:r>
        <w:rPr>
          <w:b w:val="0"/>
          <w:bCs w:val="0"/>
        </w:rPr>
      </w:r>
      <w:r>
        <w:rPr>
          <w:rFonts w:ascii="Times New Roman" w:hAnsi="Times New Roman" w:cs="Times New Roman" w:eastAsia="Times New Roman" w:hint="default"/>
        </w:rPr>
        <w:t>36</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2,357,034.46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1,857,566.40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10,101,446.63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5,768,104.45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1,194,861.10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980,729.19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汇兑净损益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550,539.88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-265,642.50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-5,999,011.19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-3,195,451.36</w:t>
            </w:r>
          </w:p>
        </w:tc>
      </w:tr>
    </w:tbl>
    <w:p>
      <w:pPr>
        <w:pStyle w:val="BodyText"/>
        <w:spacing w:line="240" w:lineRule="auto" w:before="49"/>
        <w:ind w:right="1133"/>
        <w:jc w:val="left"/>
      </w:pPr>
      <w:r>
        <w:rPr/>
        <w:t>其他说明：</w:t>
      </w:r>
    </w:p>
    <w:p>
      <w:pPr>
        <w:pStyle w:val="BodyText"/>
        <w:spacing w:line="297" w:lineRule="auto" w:before="136"/>
        <w:ind w:right="1129" w:firstLine="425"/>
        <w:jc w:val="left"/>
      </w:pPr>
      <w:r>
        <w:rPr>
          <w:spacing w:val="-1"/>
        </w:rPr>
        <w:t>财务费用本期发生额较上期发生额减少</w:t>
      </w:r>
      <w:r>
        <w:rPr>
          <w:rFonts w:ascii="Times New Roman" w:hAnsi="Times New Roman" w:cs="Times New Roman" w:eastAsia="Times New Roman" w:hint="default"/>
          <w:spacing w:val="-1"/>
        </w:rPr>
        <w:t>2,803,559.83</w:t>
      </w:r>
      <w:r>
        <w:rPr>
          <w:spacing w:val="-1"/>
        </w:rPr>
        <w:t>元，降幅</w:t>
      </w:r>
      <w:r>
        <w:rPr>
          <w:rFonts w:ascii="Times New Roman" w:hAnsi="Times New Roman" w:cs="Times New Roman" w:eastAsia="Times New Roman" w:hint="default"/>
          <w:spacing w:val="-1"/>
        </w:rPr>
        <w:t>87.74%</w:t>
      </w:r>
      <w:r>
        <w:rPr>
          <w:spacing w:val="-1"/>
        </w:rPr>
        <w:t>，主要原因是公司本期收到的银行存款利息收入增</w:t>
      </w:r>
      <w:r>
        <w:rPr/>
        <w:t> 加影响。</w:t>
      </w:r>
    </w:p>
    <w:p>
      <w:pPr>
        <w:spacing w:line="240" w:lineRule="auto" w:before="12"/>
        <w:rPr>
          <w:rFonts w:ascii="宋体" w:hAnsi="宋体" w:cs="宋体" w:eastAsia="宋体" w:hint="default"/>
          <w:sz w:val="23"/>
          <w:szCs w:val="23"/>
        </w:rPr>
      </w:pPr>
    </w:p>
    <w:p>
      <w:pPr>
        <w:pStyle w:val="Heading3"/>
        <w:spacing w:line="240" w:lineRule="auto"/>
        <w:ind w:right="1133"/>
        <w:jc w:val="left"/>
        <w:rPr>
          <w:b w:val="0"/>
          <w:bCs w:val="0"/>
        </w:rPr>
      </w:pPr>
      <w:bookmarkStart w:name="37、其他收益" w:id="309"/>
      <w:bookmarkEnd w:id="309"/>
      <w:r>
        <w:rPr>
          <w:b w:val="0"/>
          <w:bCs w:val="0"/>
        </w:rPr>
      </w:r>
      <w:r>
        <w:rPr>
          <w:rFonts w:ascii="Times New Roman" w:hAnsi="Times New Roman" w:cs="Times New Roman" w:eastAsia="Times New Roman" w:hint="default"/>
        </w:rPr>
        <w:t>37</w:t>
      </w:r>
      <w:r>
        <w:rPr/>
        <w:t>、其他收益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31,757,569.09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47,274,441.38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8、投资收益" w:id="310"/>
      <w:bookmarkEnd w:id="310"/>
      <w:r>
        <w:rPr>
          <w:b w:val="0"/>
          <w:bCs w:val="0"/>
        </w:rPr>
      </w:r>
      <w:r>
        <w:rPr>
          <w:rFonts w:ascii="Times New Roman" w:hAnsi="Times New Roman" w:cs="Times New Roman" w:eastAsia="Times New Roman" w:hint="default"/>
        </w:rPr>
        <w:t>38</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86,773.25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61,813.70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148,586.95</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9、信用减值损失" w:id="311"/>
      <w:bookmarkEnd w:id="311"/>
      <w:r>
        <w:rPr>
          <w:b w:val="0"/>
          <w:bCs w:val="0"/>
        </w:rPr>
      </w:r>
      <w:r>
        <w:rPr>
          <w:rFonts w:ascii="Times New Roman" w:hAnsi="Times New Roman" w:cs="Times New Roman" w:eastAsia="Times New Roman" w:hint="default"/>
        </w:rPr>
        <w:t>39</w:t>
      </w:r>
      <w:r>
        <w:rPr/>
        <w:t>、信用减值损失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1,599,336.63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-13,932,638.52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-12,464,051.89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0、资产减值损失" w:id="312"/>
      <w:bookmarkEnd w:id="312"/>
      <w:r>
        <w:rPr>
          <w:b w:val="0"/>
          <w:bCs w:val="0"/>
        </w:rPr>
      </w:r>
      <w:r>
        <w:rPr>
          <w:rFonts w:ascii="Times New Roman" w:hAnsi="Times New Roman" w:cs="Times New Roman" w:eastAsia="Times New Roman" w:hint="default"/>
        </w:rPr>
        <w:t>40</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-34,954,006.99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-23,211,991.86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-18,058,716.05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-23,211,991.86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-53,012,723.04</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1、资产处置收益" w:id="313"/>
      <w:bookmarkEnd w:id="313"/>
      <w:r>
        <w:rPr>
          <w:b w:val="0"/>
          <w:bCs w:val="0"/>
        </w:rPr>
      </w:r>
      <w:r>
        <w:rPr>
          <w:rFonts w:ascii="Times New Roman" w:hAnsi="Times New Roman" w:cs="Times New Roman" w:eastAsia="Times New Roman" w:hint="default"/>
        </w:rPr>
        <w:t>41</w:t>
      </w:r>
      <w:r>
        <w:rPr/>
        <w:t>、资产处置收益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334,968.79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38,723.98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334,968.79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38,723.98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2、营业外收入" w:id="314"/>
      <w:bookmarkEnd w:id="314"/>
      <w:r>
        <w:rPr>
          <w:b w:val="0"/>
          <w:bCs w:val="0"/>
        </w:rPr>
      </w:r>
      <w:r>
        <w:rPr>
          <w:rFonts w:ascii="Times New Roman" w:hAnsi="Times New Roman" w:cs="Times New Roman" w:eastAsia="Times New Roman" w:hint="default"/>
        </w:rPr>
        <w:t>42</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2"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6,410,397.78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1,943,786.30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6,410,397.78</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701,460.64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119,683.21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701,460.64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5" w:right="0"/>
              <w:jc w:val="left"/>
              <w:rPr>
                <w:rFonts w:ascii="Times New Roman" w:hAnsi="Times New Roman" w:cs="Times New Roman" w:eastAsia="Times New Roman" w:hint="default"/>
                <w:sz w:val="18"/>
                <w:szCs w:val="18"/>
              </w:rPr>
            </w:pPr>
            <w:r>
              <w:rPr>
                <w:rFonts w:ascii="Times New Roman"/>
                <w:sz w:val="18"/>
              </w:rPr>
              <w:t>7,111,858.42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2,063,469.51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8" w:right="0"/>
              <w:jc w:val="left"/>
              <w:rPr>
                <w:rFonts w:ascii="Times New Roman" w:hAnsi="Times New Roman" w:cs="Times New Roman" w:eastAsia="Times New Roman" w:hint="default"/>
                <w:sz w:val="18"/>
                <w:szCs w:val="18"/>
              </w:rPr>
            </w:pPr>
            <w:r>
              <w:rPr>
                <w:rFonts w:ascii="Times New Roman"/>
                <w:sz w:val="18"/>
              </w:rPr>
              <w:t>7,111,858.42</w:t>
            </w:r>
          </w:p>
        </w:tc>
      </w:tr>
    </w:tbl>
    <w:p>
      <w:pPr>
        <w:pStyle w:val="BodyText"/>
        <w:spacing w:line="240" w:lineRule="auto" w:before="49"/>
        <w:ind w:right="1133"/>
        <w:jc w:val="left"/>
      </w:pPr>
      <w:r>
        <w:rPr/>
        <w:t>计入当期损益的政府补助：</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130"/>
              <w:jc w:val="left"/>
              <w:rPr>
                <w:rFonts w:ascii="宋体" w:hAnsi="宋体" w:cs="宋体" w:eastAsia="宋体" w:hint="default"/>
                <w:sz w:val="18"/>
                <w:szCs w:val="18"/>
              </w:rPr>
            </w:pPr>
            <w:r>
              <w:rPr>
                <w:rFonts w:ascii="宋体" w:hAnsi="宋体" w:cs="宋体" w:eastAsia="宋体" w:hint="default"/>
                <w:sz w:val="18"/>
                <w:szCs w:val="18"/>
              </w:rPr>
              <w:t>新兴产业发 展专项资金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27"/>
              <w:jc w:val="left"/>
              <w:rPr>
                <w:rFonts w:ascii="宋体" w:hAnsi="宋体" w:cs="宋体" w:eastAsia="宋体" w:hint="default"/>
                <w:sz w:val="18"/>
                <w:szCs w:val="18"/>
              </w:rPr>
            </w:pPr>
            <w:r>
              <w:rPr>
                <w:rFonts w:ascii="宋体" w:hAnsi="宋体" w:cs="宋体" w:eastAsia="宋体" w:hint="default"/>
                <w:sz w:val="18"/>
                <w:szCs w:val="18"/>
              </w:rPr>
              <w:t>四川省财政 厅</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30"/>
              <w:jc w:val="both"/>
              <w:rPr>
                <w:rFonts w:ascii="宋体" w:hAnsi="宋体" w:cs="宋体" w:eastAsia="宋体" w:hint="default"/>
                <w:sz w:val="18"/>
                <w:szCs w:val="18"/>
              </w:rPr>
            </w:pPr>
            <w:r>
              <w:rPr>
                <w:rFonts w:ascii="宋体" w:hAnsi="宋体" w:cs="宋体" w:eastAsia="宋体" w:hint="default"/>
                <w:sz w:val="18"/>
                <w:szCs w:val="18"/>
              </w:rPr>
              <w:t>南宁市污染 源自动监控 设施社会化 运行补助资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广州市博丽 能环保科技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47,008.77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2"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年度石 家庄市十大 工业名牌产 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3" w:right="127"/>
              <w:jc w:val="left"/>
              <w:rPr>
                <w:rFonts w:ascii="宋体" w:hAnsi="宋体" w:cs="宋体" w:eastAsia="宋体" w:hint="default"/>
                <w:sz w:val="18"/>
                <w:szCs w:val="18"/>
              </w:rPr>
            </w:pPr>
            <w:r>
              <w:rPr>
                <w:rFonts w:ascii="宋体" w:hAnsi="宋体" w:cs="宋体" w:eastAsia="宋体" w:hint="default"/>
                <w:sz w:val="18"/>
                <w:szCs w:val="18"/>
              </w:rPr>
              <w:t>石家庄市市 委市政府</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7"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年河北 省政府质量 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石家庄市质 量技术监督 局开发区分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3"/>
              <w:ind w:left="24"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年河北 省知名品牌</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3" w:right="127"/>
              <w:jc w:val="left"/>
              <w:rPr>
                <w:rFonts w:ascii="宋体" w:hAnsi="宋体" w:cs="宋体" w:eastAsia="宋体" w:hint="default"/>
                <w:sz w:val="18"/>
                <w:szCs w:val="18"/>
              </w:rPr>
            </w:pPr>
            <w:r>
              <w:rPr>
                <w:rFonts w:ascii="宋体" w:hAnsi="宋体" w:cs="宋体" w:eastAsia="宋体" w:hint="default"/>
                <w:sz w:val="18"/>
                <w:szCs w:val="18"/>
              </w:rPr>
              <w:t>河北省省委 组织部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sz w:val="18"/>
                <w:szCs w:val="18"/>
              </w:rPr>
              <w:t>标准化资助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石家庄市市 场监督管理</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因从事国家 鼓励和扶持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69.690002pt;margin-top:380.449982pt;width:52.75pt;height:23.4pt;mso-position-horizontal-relative:page;mso-position-vertical-relative:page;z-index:-1057720" coordorigin="5394,7609" coordsize="1055,468">
            <v:shape style="position:absolute;left:5394;top:7609;width:1055;height:468" coordorigin="5394,7609" coordsize="1055,468" path="m5394,8077l6448,8077,6448,7609,5394,7609,5394,807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161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局</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
              <w:jc w:val="left"/>
              <w:rPr>
                <w:rFonts w:ascii="宋体" w:hAnsi="宋体" w:cs="宋体" w:eastAsia="宋体" w:hint="default"/>
                <w:sz w:val="18"/>
                <w:szCs w:val="18"/>
              </w:rPr>
            </w:pP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09"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年市级 创新平台奖 励金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石家庄高新 技术产业开 发区经济发 展局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09"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年度标 准奖励资金 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石家庄高新 技术企业产 业开发区市 场监督管理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年市级 </w:t>
            </w:r>
            <w:r>
              <w:rPr>
                <w:rFonts w:ascii="宋体" w:hAnsi="宋体" w:cs="宋体" w:eastAsia="宋体" w:hint="default"/>
                <w:spacing w:val="-12"/>
                <w:sz w:val="18"/>
                <w:szCs w:val="18"/>
              </w:rPr>
              <w:t>知识产权（专</w:t>
            </w:r>
            <w:r>
              <w:rPr>
                <w:rFonts w:ascii="宋体" w:hAnsi="宋体" w:cs="宋体" w:eastAsia="宋体" w:hint="default"/>
                <w:sz w:val="18"/>
                <w:szCs w:val="18"/>
              </w:rPr>
              <w:t> </w:t>
            </w:r>
            <w:r>
              <w:rPr>
                <w:rFonts w:ascii="宋体" w:hAnsi="宋体" w:cs="宋体" w:eastAsia="宋体" w:hint="default"/>
                <w:spacing w:val="-12"/>
                <w:sz w:val="18"/>
                <w:szCs w:val="18"/>
              </w:rPr>
              <w:t>利）专项资金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石家庄高新 技术产业开 发区市场监 督管理局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w w:val="95"/>
                <w:sz w:val="18"/>
              </w:rPr>
              <w:t>2,000.00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海水溶解氧 在线监测仪 产业化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中国科学院 合肥物质科 学研究院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11,600.00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4" w:right="130"/>
              <w:jc w:val="left"/>
              <w:rPr>
                <w:rFonts w:ascii="宋体" w:hAnsi="宋体" w:cs="宋体" w:eastAsia="宋体" w:hint="default"/>
                <w:sz w:val="18"/>
                <w:szCs w:val="18"/>
              </w:rPr>
            </w:pPr>
            <w:r>
              <w:rPr>
                <w:rFonts w:ascii="宋体" w:hAnsi="宋体" w:cs="宋体" w:eastAsia="宋体" w:hint="default"/>
                <w:sz w:val="18"/>
                <w:szCs w:val="18"/>
              </w:rPr>
              <w:t>返还墙改基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127"/>
              <w:jc w:val="both"/>
              <w:rPr>
                <w:rFonts w:ascii="宋体" w:hAnsi="宋体" w:cs="宋体" w:eastAsia="宋体" w:hint="default"/>
                <w:sz w:val="18"/>
                <w:szCs w:val="18"/>
              </w:rPr>
            </w:pPr>
            <w:r>
              <w:rPr>
                <w:rFonts w:ascii="宋体" w:hAnsi="宋体" w:cs="宋体" w:eastAsia="宋体" w:hint="default"/>
                <w:sz w:val="18"/>
                <w:szCs w:val="18"/>
              </w:rPr>
              <w:t>石家庄高新 区自然资源 和规划住建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191,158.64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1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河北省第三 批青年拨尖 人才奖励资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中共河北省 委组织部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675"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27"/>
              <w:jc w:val="left"/>
              <w:rPr>
                <w:rFonts w:ascii="宋体" w:hAnsi="宋体" w:cs="宋体" w:eastAsia="宋体" w:hint="default"/>
                <w:sz w:val="18"/>
                <w:szCs w:val="18"/>
              </w:rPr>
            </w:pPr>
            <w:r>
              <w:rPr>
                <w:rFonts w:ascii="宋体" w:hAnsi="宋体" w:cs="宋体" w:eastAsia="宋体" w:hint="default"/>
                <w:sz w:val="18"/>
                <w:szCs w:val="18"/>
              </w:rPr>
              <w:t>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4"/>
              <w:ind w:left="24"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与 两化融合标 准及解决方 案推广补助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石家庄高新 技术产业开 发区经济发 展局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09"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年度博 士后工作资 助经费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3" w:right="127"/>
              <w:jc w:val="both"/>
              <w:rPr>
                <w:rFonts w:ascii="宋体" w:hAnsi="宋体" w:cs="宋体" w:eastAsia="宋体" w:hint="default"/>
                <w:sz w:val="18"/>
                <w:szCs w:val="18"/>
              </w:rPr>
            </w:pPr>
            <w:r>
              <w:rPr>
                <w:rFonts w:ascii="宋体" w:hAnsi="宋体" w:cs="宋体" w:eastAsia="宋体" w:hint="default"/>
                <w:sz w:val="18"/>
                <w:szCs w:val="18"/>
              </w:rPr>
              <w:t>河北省人力 资源和社会 保障厅</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2"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年度市 级引进外国 人才智为项 目专项资金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石家庄高新 技术产业开 发区科学技 术局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09"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年省企 业上云补贴 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石家庄高新 技术产业开 发区经济发 展局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4" w:right="130"/>
              <w:jc w:val="both"/>
              <w:rPr>
                <w:rFonts w:ascii="宋体" w:hAnsi="宋体" w:cs="宋体" w:eastAsia="宋体" w:hint="default"/>
                <w:sz w:val="18"/>
                <w:szCs w:val="18"/>
              </w:rPr>
            </w:pPr>
            <w:r>
              <w:rPr>
                <w:rFonts w:ascii="宋体" w:hAnsi="宋体" w:cs="宋体" w:eastAsia="宋体" w:hint="default"/>
                <w:sz w:val="18"/>
                <w:szCs w:val="18"/>
              </w:rPr>
              <w:t>大气污染防 治综合科学 决策支撑项 目资金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127"/>
              <w:jc w:val="left"/>
              <w:rPr>
                <w:rFonts w:ascii="宋体" w:hAnsi="宋体" w:cs="宋体" w:eastAsia="宋体" w:hint="default"/>
                <w:sz w:val="18"/>
                <w:szCs w:val="18"/>
              </w:rPr>
            </w:pPr>
            <w:r>
              <w:rPr>
                <w:rFonts w:ascii="宋体" w:hAnsi="宋体" w:cs="宋体" w:eastAsia="宋体" w:hint="default"/>
                <w:sz w:val="18"/>
                <w:szCs w:val="18"/>
              </w:rPr>
              <w:t>中国环境科 学研究院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年及</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6" w:lineRule="auto" w:before="63"/>
              <w:ind w:left="24" w:right="130"/>
              <w:jc w:val="both"/>
              <w:rPr>
                <w:rFonts w:ascii="宋体" w:hAnsi="宋体" w:cs="宋体" w:eastAsia="宋体" w:hint="default"/>
                <w:sz w:val="18"/>
                <w:szCs w:val="18"/>
              </w:rPr>
            </w:pPr>
            <w:r>
              <w:rPr>
                <w:rFonts w:ascii="宋体" w:hAnsi="宋体" w:cs="宋体" w:eastAsia="宋体" w:hint="default"/>
                <w:sz w:val="18"/>
                <w:szCs w:val="18"/>
              </w:rPr>
              <w:t>新增入统规 上企业奖励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石家庄高新 技术产业开 发区经济发 展局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69.690002pt;margin-top:219.859985pt;width:52.75pt;height:23.4pt;mso-position-horizontal-relative:page;mso-position-vertical-relative:page;z-index:-1057696" coordorigin="5394,4397" coordsize="1055,468">
            <v:shape style="position:absolute;left:5394;top:4397;width:1055;height:468" coordorigin="5394,4397" coordsize="1055,468" path="m5394,4865l6448,4865,6448,4397,5394,4397,5394,486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675"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27"/>
              <w:jc w:val="left"/>
              <w:rPr>
                <w:rFonts w:ascii="宋体" w:hAnsi="宋体" w:cs="宋体" w:eastAsia="宋体" w:hint="default"/>
                <w:sz w:val="18"/>
                <w:szCs w:val="18"/>
              </w:rPr>
            </w:pPr>
            <w:r>
              <w:rPr>
                <w:rFonts w:ascii="宋体" w:hAnsi="宋体" w:cs="宋体" w:eastAsia="宋体" w:hint="default"/>
                <w:sz w:val="18"/>
                <w:szCs w:val="18"/>
              </w:rPr>
              <w:t>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2"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 批省战略性 新兴产业发 展专项资金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石家庄高新 技术产业开 发区经济发 展局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141,100.00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年新增 规模以上服 务业企业奖 励资金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石家庄高新 技术产业开 发区经济发 展局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09"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年国家 科技中小型 企业款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石家庄高新 技术产业开 发区科学技 术局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2"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年度石 家庄高新区 区级科技补 助资金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3" w:right="127"/>
              <w:jc w:val="both"/>
              <w:rPr>
                <w:rFonts w:ascii="宋体" w:hAnsi="宋体" w:cs="宋体" w:eastAsia="宋体" w:hint="default"/>
                <w:sz w:val="18"/>
                <w:szCs w:val="18"/>
              </w:rPr>
            </w:pPr>
            <w:r>
              <w:rPr>
                <w:rFonts w:ascii="宋体" w:hAnsi="宋体" w:cs="宋体" w:eastAsia="宋体" w:hint="default"/>
                <w:sz w:val="18"/>
                <w:szCs w:val="18"/>
              </w:rPr>
              <w:t>石家庄高新 区科学技术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4"/>
              <w:ind w:left="24" w:right="36"/>
              <w:jc w:val="left"/>
              <w:rPr>
                <w:rFonts w:ascii="宋体" w:hAnsi="宋体" w:cs="宋体" w:eastAsia="宋体" w:hint="default"/>
                <w:sz w:val="18"/>
                <w:szCs w:val="18"/>
              </w:rPr>
            </w:pPr>
            <w:r>
              <w:rPr>
                <w:rFonts w:ascii="宋体" w:hAnsi="宋体" w:cs="宋体" w:eastAsia="宋体" w:hint="default"/>
                <w:sz w:val="18"/>
                <w:szCs w:val="18"/>
              </w:rPr>
              <w:t>省级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支持市县科 技创新和科 学普及专项 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石家庄科学 技术局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高新技术企 业奖励性后 补助经费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广西壮族自 治区科学技 术厅</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28,539.14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8" w:right="0"/>
              <w:jc w:val="left"/>
              <w:rPr>
                <w:rFonts w:ascii="Times New Roman" w:hAnsi="Times New Roman" w:cs="Times New Roman" w:eastAsia="Times New Roman" w:hint="default"/>
                <w:sz w:val="18"/>
                <w:szCs w:val="18"/>
              </w:rPr>
            </w:pPr>
            <w:r>
              <w:rPr>
                <w:rFonts w:ascii="Times New Roman"/>
                <w:sz w:val="18"/>
              </w:rPr>
              <w:t>116,777.53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right="1133"/>
        <w:jc w:val="left"/>
      </w:pPr>
      <w:r>
        <w:rPr/>
        <w:t>其他说明：</w:t>
      </w:r>
    </w:p>
    <w:p>
      <w:pPr>
        <w:pStyle w:val="BodyText"/>
        <w:spacing w:line="240" w:lineRule="auto" w:before="117"/>
        <w:ind w:left="0" w:right="1042"/>
        <w:jc w:val="right"/>
      </w:pPr>
      <w:r>
        <w:rPr>
          <w:spacing w:val="-2"/>
        </w:rPr>
        <w:t>营业外收入本期发生额较上期发生额增加</w:t>
      </w:r>
      <w:r>
        <w:rPr>
          <w:rFonts w:ascii="Times New Roman" w:hAnsi="Times New Roman" w:cs="Times New Roman" w:eastAsia="Times New Roman" w:hint="default"/>
          <w:spacing w:val="-2"/>
        </w:rPr>
        <w:t>5,048,388.91</w:t>
      </w:r>
      <w:r>
        <w:rPr>
          <w:spacing w:val="-2"/>
        </w:rPr>
        <w:t>元，增幅</w:t>
      </w:r>
      <w:r>
        <w:rPr>
          <w:rFonts w:ascii="Times New Roman" w:hAnsi="Times New Roman" w:cs="Times New Roman" w:eastAsia="Times New Roman" w:hint="default"/>
          <w:spacing w:val="-2"/>
        </w:rPr>
        <w:t>244.66%</w:t>
      </w:r>
      <w:r>
        <w:rPr>
          <w:spacing w:val="-2"/>
        </w:rPr>
        <w:t>，主要原因是公司本期收到的政府补助增加所致。</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43、营业外支出" w:id="315"/>
      <w:bookmarkEnd w:id="315"/>
      <w:r>
        <w:rPr>
          <w:b w:val="0"/>
          <w:bCs w:val="0"/>
        </w:rPr>
      </w:r>
      <w:r>
        <w:rPr>
          <w:rFonts w:ascii="Times New Roman" w:hAnsi="Times New Roman" w:cs="Times New Roman" w:eastAsia="Times New Roman" w:hint="default"/>
        </w:rPr>
        <w:t>43</w:t>
      </w:r>
      <w:r>
        <w:rPr/>
        <w:t>、营业外支出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223,120.61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780,128.40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223,120.61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12,574.41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12,212.54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12,574.41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1,450,940.58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92,198.46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1,450,940.58</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1,686,635.60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884,539.40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1,686,635.60</w:t>
            </w:r>
          </w:p>
        </w:tc>
      </w:tr>
    </w:tbl>
    <w:p>
      <w:pPr>
        <w:pStyle w:val="BodyText"/>
        <w:spacing w:line="240" w:lineRule="auto" w:before="49"/>
        <w:ind w:right="1133"/>
        <w:jc w:val="left"/>
      </w:pPr>
      <w:r>
        <w:rPr/>
        <w:t>其他说明：</w:t>
      </w:r>
    </w:p>
    <w:p>
      <w:pPr>
        <w:pStyle w:val="BodyText"/>
        <w:spacing w:line="240" w:lineRule="auto" w:before="136"/>
        <w:ind w:left="578" w:right="0"/>
        <w:jc w:val="left"/>
      </w:pPr>
      <w:r>
        <w:rPr/>
        <w:t>营业外支出本期发生额较上期发生额增加</w:t>
      </w:r>
      <w:r>
        <w:rPr>
          <w:rFonts w:ascii="Times New Roman" w:hAnsi="Times New Roman" w:cs="Times New Roman" w:eastAsia="Times New Roman" w:hint="default"/>
        </w:rPr>
        <w:t>802,096.20</w:t>
      </w:r>
      <w:r>
        <w:rPr/>
        <w:t>元，增幅</w:t>
      </w:r>
      <w:r>
        <w:rPr>
          <w:rFonts w:ascii="Times New Roman" w:hAnsi="Times New Roman" w:cs="Times New Roman" w:eastAsia="Times New Roman" w:hint="default"/>
        </w:rPr>
        <w:t>90.68%</w:t>
      </w:r>
      <w:r>
        <w:rPr/>
        <w:t>，主要原因是公司本期支付员工赔偿补偿金增加所</w:t>
      </w:r>
    </w:p>
    <w:p>
      <w:pPr>
        <w:pStyle w:val="BodyText"/>
        <w:spacing w:line="240" w:lineRule="auto" w:before="60"/>
        <w:ind w:right="1133"/>
        <w:jc w:val="left"/>
      </w:pPr>
      <w:r>
        <w:rPr/>
        <w:t>致。</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3"/>
        <w:spacing w:line="240" w:lineRule="auto" w:before="36"/>
        <w:ind w:right="1133"/>
        <w:jc w:val="left"/>
        <w:rPr>
          <w:b w:val="0"/>
          <w:bCs w:val="0"/>
        </w:rPr>
      </w:pPr>
      <w:bookmarkStart w:name="44、所得税费用" w:id="316"/>
      <w:bookmarkEnd w:id="316"/>
      <w:r>
        <w:rPr>
          <w:b w:val="0"/>
          <w:bCs w:val="0"/>
        </w:rPr>
      </w:r>
      <w:r>
        <w:rPr>
          <w:rFonts w:ascii="Times New Roman" w:hAnsi="Times New Roman" w:cs="Times New Roman" w:eastAsia="Times New Roman" w:hint="default"/>
        </w:rPr>
        <w:t>44</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所得税费用表" w:id="317"/>
      <w:bookmarkEnd w:id="317"/>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45,629,456.73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52,392,513.76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-1,361,178.27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-8,238,192.29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44,268,278.46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44,154,321.47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会计利润与所得税费用调整过程" w:id="318"/>
      <w:bookmarkEnd w:id="318"/>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307,033,869.67</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46,055,080.47</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21"/>
              <w:jc w:val="right"/>
              <w:rPr>
                <w:rFonts w:ascii="Arial" w:hAnsi="Arial" w:cs="Arial" w:eastAsia="Arial" w:hint="default"/>
                <w:sz w:val="20"/>
                <w:szCs w:val="20"/>
              </w:rPr>
            </w:pPr>
            <w:r>
              <w:rPr>
                <w:rFonts w:ascii="Arial"/>
                <w:w w:val="80"/>
                <w:sz w:val="20"/>
              </w:rPr>
              <w:t>-2,704,208.86</w:t>
            </w:r>
            <w:r>
              <w:rPr>
                <w:rFonts w:ascii="Arial"/>
                <w:sz w:val="20"/>
              </w:rPr>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21"/>
              <w:jc w:val="right"/>
              <w:rPr>
                <w:rFonts w:ascii="Arial" w:hAnsi="Arial" w:cs="Arial" w:eastAsia="Arial" w:hint="default"/>
                <w:sz w:val="20"/>
                <w:szCs w:val="20"/>
              </w:rPr>
            </w:pPr>
            <w:r>
              <w:rPr>
                <w:rFonts w:ascii="Arial"/>
                <w:w w:val="80"/>
                <w:sz w:val="20"/>
              </w:rPr>
              <w:t>-5,636,310.95</w:t>
            </w:r>
            <w:r>
              <w:rPr>
                <w:rFonts w:ascii="Arial"/>
                <w:sz w:val="20"/>
              </w:rPr>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-3,777,535.26</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13,092,981.53</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-7,240,246.07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71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8,624,495.93</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其他（研发费用加计扣除）</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-4,145,978.33</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44,268,278.46</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spacing w:line="547" w:lineRule="auto" w:before="118"/>
        <w:ind w:left="152" w:right="8857" w:firstLine="0"/>
        <w:jc w:val="left"/>
        <w:rPr>
          <w:rFonts w:ascii="宋体" w:hAnsi="宋体" w:cs="宋体" w:eastAsia="宋体" w:hint="default"/>
          <w:sz w:val="21"/>
          <w:szCs w:val="21"/>
        </w:rPr>
      </w:pPr>
      <w:bookmarkStart w:name="45、其他综合收益" w:id="319"/>
      <w:bookmarkEnd w:id="319"/>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28</w:t>
      </w:r>
      <w:r>
        <w:rPr>
          <w:rFonts w:ascii="宋体" w:hAnsi="宋体" w:cs="宋体" w:eastAsia="宋体" w:hint="default"/>
          <w:sz w:val="18"/>
          <w:szCs w:val="18"/>
        </w:rPr>
        <w:t>。 </w:t>
      </w:r>
      <w:bookmarkStart w:name="46、现金流量表项目" w:id="320"/>
      <w:bookmarkEnd w:id="320"/>
      <w:r>
        <w:rPr>
          <w:rFonts w:ascii="宋体" w:hAnsi="宋体" w:cs="宋体" w:eastAsia="宋体" w:hint="default"/>
          <w:sz w:val="18"/>
          <w:szCs w:val="18"/>
        </w:rPr>
      </w: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4"/>
        <w:ind w:right="1133"/>
        <w:jc w:val="left"/>
        <w:rPr>
          <w:b w:val="0"/>
          <w:bCs w:val="0"/>
        </w:rPr>
      </w:pPr>
      <w:bookmarkStart w:name="（1）收到的其他与经营活动有关的现金" w:id="321"/>
      <w:bookmarkEnd w:id="321"/>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收到的退回投标保证金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107,650,504.02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22,760,211.29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13,651,939.61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10,870,061.41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10,101,446.63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5,768,104.45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26,500,419.93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16,572,576.52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157,904,310.19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55,970,953.67</w:t>
            </w:r>
          </w:p>
        </w:tc>
      </w:tr>
    </w:tbl>
    <w:p>
      <w:pPr>
        <w:pStyle w:val="BodyText"/>
        <w:spacing w:line="240" w:lineRule="auto" w:before="49"/>
        <w:ind w:right="1133"/>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支付的其他与经营活动有关的现金" w:id="322"/>
      <w:bookmarkEnd w:id="322"/>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13,176,617.64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17,376,168.58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业务活动费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12,920,846.94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13,430,276.01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代理费、中标服务费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40,042,888.97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21,644,484.57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97,184,762.98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41,182,430.61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7,592,495.68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7,828,360.24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2,489,599.50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1,827,783.91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2,049,304.03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4,479,336.77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9,860,177.67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7,695,355.38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审计、咨询、培训费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16,811,965.90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11,294,967.66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移动电话费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1,353,520.17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879,536.38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7,188,604.41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11,694,863.21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项目合作费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7,682,400.00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16,491,250.34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8,432,920.09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办事处费用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373,097.84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487,001.96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4,046,834.53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2,746,446.67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4,035,104.31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6,859,759.75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659,567.77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856,779.58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1,428,566.89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1,077,497.71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11,760,807.46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6,593,288.51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257,148,413.03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166,387,257.59</w:t>
            </w:r>
          </w:p>
        </w:tc>
      </w:tr>
    </w:tbl>
    <w:p>
      <w:pPr>
        <w:pStyle w:val="BodyText"/>
        <w:spacing w:line="240" w:lineRule="auto" w:before="49"/>
        <w:ind w:right="1133"/>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支付的其他与筹资活动有关的现金" w:id="323"/>
      <w:bookmarkEnd w:id="323"/>
      <w:r>
        <w:rPr>
          <w:b w:val="0"/>
          <w:bCs w:val="0"/>
        </w:rPr>
      </w: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回购股份</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8,568,569.17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36,901,998.60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归还长期应付款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11,568,569.17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36,901,998.60</w:t>
            </w:r>
          </w:p>
        </w:tc>
      </w:tr>
    </w:tbl>
    <w:p>
      <w:pPr>
        <w:pStyle w:val="BodyText"/>
        <w:spacing w:line="240" w:lineRule="auto" w:before="49"/>
        <w:ind w:right="1133"/>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7、现金流量表补充资料" w:id="324"/>
      <w:bookmarkEnd w:id="324"/>
      <w:r>
        <w:rPr>
          <w:b w:val="0"/>
          <w:bCs w:val="0"/>
        </w:rPr>
      </w:r>
      <w:r>
        <w:rPr>
          <w:rFonts w:ascii="Times New Roman" w:hAnsi="Times New Roman" w:cs="Times New Roman" w:eastAsia="Times New Roman" w:hint="default"/>
        </w:rPr>
        <w:t>47</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现金流量表补充资料" w:id="325"/>
      <w:bookmarkEnd w:id="32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262,765,591.21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267,221,167.81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35,676,043.75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53,012,723.04</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28,172,690.10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24,969,216.52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4,939,519.70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4,565,124.68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1,175,233.62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3,030,252.84</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-334,968.79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2,357,034.46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1,857,566.40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-148,586.95</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group style="position:absolute;margin-left:223.369995pt;margin-top:143.359985pt;width:151.25pt;height:20.65pt;mso-position-horizontal-relative:page;mso-position-vertical-relative:page;z-index:-1057672" coordorigin="4467,2867" coordsize="3025,413">
            <v:group style="position:absolute;left:4478;top:2878;width:2;height:392" coordorigin="4478,2878" coordsize="2,392">
              <v:shape style="position:absolute;left:4478;top:2878;width:2;height:392" coordorigin="4478,2878" coordsize="0,392" path="m4478,2878l4478,3269e" filled="false" stroked="true" strokeweight="1.08pt" strokecolor="#ffffff">
                <v:path arrowok="t"/>
              </v:shape>
            </v:group>
            <v:group style="position:absolute;left:4489;top:2878;width:3003;height:392" coordorigin="4489,2878" coordsize="3003,392">
              <v:shape style="position:absolute;left:4489;top:2878;width:3003;height:392" coordorigin="4489,2878" coordsize="3003,392" path="m4489,3269l7492,3269,7492,2878,4489,2878,4489,3269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39"/>
        <w:gridCol w:w="2029"/>
        <w:gridCol w:w="3185"/>
      </w:tblGrid>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22" w:right="0"/>
              <w:jc w:val="left"/>
              <w:rPr>
                <w:rFonts w:ascii="Times New Roman" w:hAnsi="Times New Roman" w:cs="Times New Roman" w:eastAsia="Times New Roman" w:hint="default"/>
                <w:sz w:val="18"/>
                <w:szCs w:val="18"/>
              </w:rPr>
            </w:pPr>
            <w:r>
              <w:rPr>
                <w:rFonts w:ascii="Times New Roman"/>
                <w:sz w:val="18"/>
              </w:rPr>
              <w:t>-1,178,487.22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-8,198,353.11</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-39,839.18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-39,839.18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39"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66" w:right="0"/>
              <w:jc w:val="left"/>
              <w:rPr>
                <w:rFonts w:ascii="Times New Roman" w:hAnsi="Times New Roman" w:cs="Times New Roman" w:eastAsia="Times New Roman" w:hint="default"/>
                <w:sz w:val="18"/>
                <w:szCs w:val="18"/>
              </w:rPr>
            </w:pPr>
            <w:r>
              <w:rPr>
                <w:rFonts w:ascii="Times New Roman"/>
                <w:sz w:val="18"/>
              </w:rPr>
              <w:t>74,129,088.32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-57,917,498.23</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-956,257.60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-366,458,716.15</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-53,834,669.42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5,694,935.91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0"/>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352,722,392.00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-72,263,419.47</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733,569,309.42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556,600,541.05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556,600,541.05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556,842,269.19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176,968,768.37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-241,728.14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本期收到的处置子公司的现金净额" w:id="326"/>
      <w:bookmarkEnd w:id="326"/>
      <w:r>
        <w:rPr>
          <w:b w:val="0"/>
          <w:bCs w:val="0"/>
        </w:rPr>
      </w:r>
      <w:r>
        <w:rPr/>
        <w:t>（</w:t>
      </w:r>
      <w:r>
        <w:rPr>
          <w:rFonts w:ascii="Times New Roman" w:hAnsi="Times New Roman" w:cs="Times New Roman" w:eastAsia="Times New Roman" w:hint="default"/>
        </w:rPr>
        <w:t>2</w:t>
      </w:r>
      <w:r>
        <w:rPr/>
        <w:t>）本期收到的处置子公司的现金净额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16,891,350.74</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广州市云景信息科技有限公司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16,691,350.74</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重庆冀华正态检测技术有限公司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2,814,402.78</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广州市云景信息科技有限公司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2,814,402.78</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14,076,947.96</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现金和现金等价物的构成" w:id="327"/>
      <w:bookmarkEnd w:id="327"/>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733,569,309.42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26" w:right="0"/>
              <w:jc w:val="left"/>
              <w:rPr>
                <w:rFonts w:ascii="Times New Roman" w:hAnsi="Times New Roman" w:cs="Times New Roman" w:eastAsia="Times New Roman" w:hint="default"/>
                <w:sz w:val="18"/>
                <w:szCs w:val="18"/>
              </w:rPr>
            </w:pPr>
            <w:r>
              <w:rPr>
                <w:rFonts w:ascii="Times New Roman"/>
                <w:sz w:val="18"/>
              </w:rPr>
              <w:t>556,600,541.05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114,157.57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326,362.05</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725,863,096.47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525,254,578.88</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7,592,055.38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31,019,600.12</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733,569,309.42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556,600,541.05</w:t>
            </w:r>
          </w:p>
        </w:tc>
      </w:tr>
    </w:tbl>
    <w:p>
      <w:pPr>
        <w:pStyle w:val="BodyText"/>
        <w:spacing w:line="240" w:lineRule="auto" w:before="49"/>
        <w:ind w:right="1133"/>
        <w:jc w:val="left"/>
      </w:pPr>
      <w:r>
        <w:rPr/>
        <w:t>其他说明：</w:t>
      </w:r>
    </w:p>
    <w:p>
      <w:pPr>
        <w:pStyle w:val="BodyText"/>
        <w:spacing w:line="300" w:lineRule="auto" w:before="115"/>
        <w:ind w:right="1133" w:firstLine="300"/>
        <w:jc w:val="left"/>
      </w:pPr>
      <w:r>
        <w:rPr>
          <w:spacing w:val="-2"/>
        </w:rPr>
        <w:t>货币资金中超过三个月票据及保函保证金</w:t>
      </w:r>
      <w:r>
        <w:rPr>
          <w:rFonts w:ascii="Times New Roman" w:hAnsi="Times New Roman" w:cs="Times New Roman" w:eastAsia="Times New Roman" w:hint="default"/>
          <w:spacing w:val="-2"/>
        </w:rPr>
        <w:t>24,088,692.82</w:t>
      </w:r>
      <w:r>
        <w:rPr>
          <w:spacing w:val="-2"/>
        </w:rPr>
        <w:t>元，子公司北京卫家环境技术有限公司涉诉被司法冻结</w:t>
      </w:r>
      <w:r>
        <w:rPr>
          <w:rFonts w:ascii="Times New Roman" w:hAnsi="Times New Roman" w:cs="Times New Roman" w:eastAsia="Times New Roman" w:hint="default"/>
          <w:spacing w:val="-2"/>
        </w:rPr>
        <w:t>193,301.91</w:t>
      </w:r>
      <w:r>
        <w:rPr>
          <w:rFonts w:ascii="Times New Roman" w:hAnsi="Times New Roman" w:cs="Times New Roman" w:eastAsia="Times New Roman" w:hint="default"/>
        </w:rPr>
        <w:t> </w:t>
      </w:r>
      <w:r>
        <w:rPr/>
        <w:t>元，不属于现金和现金等价物，已从现金的期末余额中扣除。</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bookmarkStart w:name="48、所有权或使用权受到限制的资产" w:id="328"/>
      <w:bookmarkEnd w:id="328"/>
      <w:r>
        <w:rPr>
          <w:b w:val="0"/>
          <w:bCs w:val="0"/>
        </w:rPr>
      </w:r>
      <w:r>
        <w:rPr>
          <w:rFonts w:ascii="Times New Roman" w:hAnsi="Times New Roman" w:cs="Times New Roman" w:eastAsia="Times New Roman" w:hint="default"/>
        </w:rPr>
        <w:t>48</w:t>
      </w:r>
      <w:r>
        <w:rPr/>
        <w:t>、所有权或使用权受到限制的资产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193,301.91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子公司北京卫家环境技术有限公司涉诉 被司法冻结资金</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24,088,692.82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票据及保函保证金</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24,281,994.73</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9、外币货币性项目" w:id="329"/>
      <w:bookmarkEnd w:id="329"/>
      <w:r>
        <w:rPr>
          <w:b w:val="0"/>
          <w:bCs w:val="0"/>
        </w:rPr>
      </w:r>
      <w:r>
        <w:rPr>
          <w:rFonts w:ascii="Times New Roman" w:hAnsi="Times New Roman" w:cs="Times New Roman" w:eastAsia="Times New Roman" w:hint="default"/>
        </w:rPr>
        <w:t>49</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外币货币性项目" w:id="330"/>
      <w:bookmarkEnd w:id="330"/>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18,618,748.50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2,586,221.07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18,041,995.43</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73,797.00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7.8154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576,753.07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10,414,254.42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1,492,826.24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10,414,254.42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59" w:lineRule="auto" w:before="118"/>
        <w:ind w:right="1133"/>
        <w:jc w:val="left"/>
        <w:rPr>
          <w:b w:val="0"/>
          <w:bCs w:val="0"/>
        </w:rPr>
      </w:pPr>
      <w:bookmarkStart w:name="（2）境外经营实体说明，包括对于重要的境外经营实体，应披露其境外主要经营地、记账" w:id="331"/>
      <w:bookmarkEnd w:id="331"/>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14"/>
          <w:szCs w:val="14"/>
        </w:rPr>
      </w:pPr>
    </w:p>
    <w:p>
      <w:pPr>
        <w:pStyle w:val="BodyText"/>
        <w:spacing w:line="240" w:lineRule="auto"/>
        <w:ind w:left="573" w:right="1133"/>
        <w:jc w:val="left"/>
        <w:rPr>
          <w:rFonts w:ascii="Times New Roman" w:hAnsi="Times New Roman" w:cs="Times New Roman" w:eastAsia="Times New Roman" w:hint="default"/>
        </w:rPr>
      </w:pPr>
      <w:r>
        <w:rPr/>
        <w:t>境外经营实体说明：本公司子公司</w:t>
      </w:r>
      <w:r>
        <w:rPr>
          <w:rFonts w:ascii="Times New Roman" w:hAnsi="Times New Roman" w:cs="Times New Roman" w:eastAsia="Times New Roman" w:hint="default"/>
        </w:rPr>
        <w:t>SAILHERO US HOLDING INC.  </w:t>
      </w:r>
      <w:r>
        <w:rPr/>
        <w:t>、</w:t>
      </w:r>
      <w:r>
        <w:rPr>
          <w:rFonts w:ascii="Times New Roman" w:hAnsi="Times New Roman" w:cs="Times New Roman" w:eastAsia="Times New Roman" w:hint="default"/>
        </w:rPr>
        <w:t>SUNSET CES INCORPORATED</w:t>
      </w:r>
      <w:r>
        <w:rPr>
          <w:rFonts w:ascii="Times New Roman" w:hAnsi="Times New Roman" w:cs="Times New Roman" w:eastAsia="Times New Roman" w:hint="default"/>
          <w:spacing w:val="3"/>
        </w:rPr>
        <w:t> </w:t>
      </w:r>
      <w:r>
        <w:rPr/>
        <w:t>、</w:t>
      </w:r>
      <w:r>
        <w:rPr>
          <w:rFonts w:ascii="Times New Roman" w:hAnsi="Times New Roman" w:cs="Times New Roman" w:eastAsia="Times New Roman" w:hint="default"/>
        </w:rPr>
        <w:t>COOPER</w:t>
      </w:r>
    </w:p>
    <w:p>
      <w:pPr>
        <w:pStyle w:val="BodyText"/>
        <w:spacing w:line="300" w:lineRule="auto" w:before="60"/>
        <w:ind w:right="1120"/>
        <w:jc w:val="left"/>
      </w:pPr>
      <w:r>
        <w:rPr>
          <w:rFonts w:ascii="Times New Roman" w:hAnsi="Times New Roman" w:cs="Times New Roman" w:eastAsia="Times New Roman" w:hint="default"/>
        </w:rPr>
        <w:t>ENVIRONMENTAL</w:t>
      </w:r>
      <w:r>
        <w:rPr>
          <w:rFonts w:ascii="Times New Roman" w:hAnsi="Times New Roman" w:cs="Times New Roman" w:eastAsia="Times New Roman" w:hint="default"/>
          <w:spacing w:val="-24"/>
        </w:rPr>
        <w:t> </w:t>
      </w:r>
      <w:r>
        <w:rPr>
          <w:rFonts w:ascii="Times New Roman" w:hAnsi="Times New Roman" w:cs="Times New Roman" w:eastAsia="Times New Roman" w:hint="default"/>
        </w:rPr>
        <w:t>SERVICES,LLC</w:t>
      </w:r>
      <w:r>
        <w:rPr/>
        <w:t>、</w:t>
      </w:r>
      <w:r>
        <w:rPr>
          <w:rFonts w:ascii="Times New Roman" w:hAnsi="Times New Roman" w:cs="Times New Roman" w:eastAsia="Times New Roman" w:hint="default"/>
        </w:rPr>
        <w:t>Sunset</w:t>
      </w:r>
      <w:r>
        <w:rPr>
          <w:rFonts w:ascii="Times New Roman" w:hAnsi="Times New Roman" w:cs="Times New Roman" w:eastAsia="Times New Roman" w:hint="default"/>
          <w:spacing w:val="-22"/>
        </w:rPr>
        <w:t> </w:t>
      </w:r>
      <w:r>
        <w:rPr>
          <w:rFonts w:ascii="Times New Roman" w:hAnsi="Times New Roman" w:cs="Times New Roman" w:eastAsia="Times New Roman" w:hint="default"/>
        </w:rPr>
        <w:t>Laboratory</w:t>
      </w:r>
      <w:r>
        <w:rPr>
          <w:rFonts w:ascii="Times New Roman" w:hAnsi="Times New Roman" w:cs="Times New Roman" w:eastAsia="Times New Roman" w:hint="default"/>
          <w:spacing w:val="-25"/>
        </w:rPr>
        <w:t> </w:t>
      </w:r>
      <w:r>
        <w:rPr>
          <w:rFonts w:ascii="Times New Roman" w:hAnsi="Times New Roman" w:cs="Times New Roman" w:eastAsia="Times New Roman" w:hint="default"/>
        </w:rPr>
        <w:t>Inc.</w:t>
      </w:r>
      <w:r>
        <w:rPr/>
        <w:t>、属于在境外经营的子公司，主要经营地在美国，采用美元为记 账本位币；</w:t>
      </w:r>
      <w:r>
        <w:rPr>
          <w:rFonts w:ascii="Times New Roman" w:hAnsi="Times New Roman" w:cs="Times New Roman" w:eastAsia="Times New Roman" w:hint="default"/>
        </w:rPr>
        <w:t>Sunset Laboratory Inc.</w:t>
      </w:r>
      <w:r>
        <w:rPr/>
        <w:t>在荷兰设立办事处</w:t>
      </w:r>
      <w:r>
        <w:rPr>
          <w:rFonts w:ascii="Times New Roman" w:hAnsi="Times New Roman" w:cs="Times New Roman" w:eastAsia="Times New Roman" w:hint="default"/>
        </w:rPr>
        <w:t>Sunset Laboratory</w:t>
      </w:r>
      <w:r>
        <w:rPr>
          <w:rFonts w:ascii="Times New Roman" w:hAnsi="Times New Roman" w:cs="Times New Roman" w:eastAsia="Times New Roman" w:hint="default"/>
          <w:spacing w:val="-14"/>
        </w:rPr>
        <w:t> </w:t>
      </w:r>
      <w:r>
        <w:rPr>
          <w:rFonts w:ascii="Times New Roman" w:hAnsi="Times New Roman" w:cs="Times New Roman" w:eastAsia="Times New Roman" w:hint="default"/>
        </w:rPr>
        <w:t>BV</w:t>
      </w:r>
      <w:r>
        <w:rPr/>
        <w:t>，采用欧元为记账本位币。</w:t>
      </w:r>
    </w:p>
    <w:p>
      <w:pPr>
        <w:spacing w:line="240" w:lineRule="auto" w:before="5"/>
        <w:rPr>
          <w:rFonts w:ascii="宋体" w:hAnsi="宋体" w:cs="宋体" w:eastAsia="宋体" w:hint="default"/>
          <w:sz w:val="22"/>
          <w:szCs w:val="22"/>
        </w:rPr>
      </w:pPr>
    </w:p>
    <w:p>
      <w:pPr>
        <w:pStyle w:val="Heading3"/>
        <w:spacing w:line="240" w:lineRule="auto"/>
        <w:ind w:right="1133"/>
        <w:jc w:val="left"/>
        <w:rPr>
          <w:b w:val="0"/>
          <w:bCs w:val="0"/>
        </w:rPr>
      </w:pPr>
      <w:bookmarkStart w:name="50、政府补助" w:id="332"/>
      <w:bookmarkEnd w:id="332"/>
      <w:r>
        <w:rPr>
          <w:b w:val="0"/>
          <w:bCs w:val="0"/>
        </w:rPr>
      </w:r>
      <w:r>
        <w:rPr>
          <w:rFonts w:ascii="Times New Roman" w:hAnsi="Times New Roman" w:cs="Times New Roman" w:eastAsia="Times New Roman" w:hint="default"/>
        </w:rPr>
        <w:t>50</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政府补助基本情况" w:id="333"/>
      <w:bookmarkEnd w:id="333"/>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245"/>
        <w:gridCol w:w="1418"/>
        <w:gridCol w:w="1136"/>
        <w:gridCol w:w="1771"/>
      </w:tblGrid>
      <w:tr>
        <w:trPr>
          <w:trHeight w:val="401"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7"/>
              <w:jc w:val="righ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软件产品增值税退税收入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26,173,152.71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26,173,152.71</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海水溶解氧在线监测仪产业化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29,233.58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29,233.58</w:t>
            </w:r>
          </w:p>
        </w:tc>
      </w:tr>
      <w:tr>
        <w:trPr>
          <w:trHeight w:val="716"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微生物膜法</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BOD</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在线监测仪研制及海水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PH/COD/BOD</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快速在线监 测仪产业化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120,655.20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120,655.20</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创新方法在区域典型企业的应用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155,454.60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155,454.60</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大气污染防治动态评估与决策支持系统开发及应用示范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128,571.44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128,571.44</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精细网格大气动态污染源清单技术研发及应用示范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199,285.70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199,285.70</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环境空气臭氧前驱体及光化学烟雾在线监测仪开发及应用示范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2,021,016.30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2,021,016.30</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基于环境大数据融合技术的区域大气污染溯源</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海洋环境监测中褐潮监测预警技术研发与示范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125,000.00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基于全光普扫描的水质在线分析及预警系统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工业设计成果转化应用资助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68,200.00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68,200.00</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省知名品牌、十大工业名牌产品奖励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年度企业研究开发省级财政补助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66,000.00</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年度省研发费用后补助财政拨款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118,900.00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118,900.00</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天河软件园产业扶持政策软件著作权奖励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天河软件园产业扶持政策配套奖励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年市双创促进计划</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高性能系列水质污染物在线监控仪器研制及示范应用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1,190,000.00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245"/>
        <w:gridCol w:w="1418"/>
        <w:gridCol w:w="1136"/>
        <w:gridCol w:w="1771"/>
      </w:tblGrid>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加计抵扣进项税额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268,260.74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268,260.74</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新兴产业发展专项资金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1,180,000.00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1,180,000.00</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标准化资助款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年市级创新平台奖励金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年度标准奖励资金款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年市级知识产权（专利）专项资金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2,000.00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2,000.00</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海水溶解氧在线监测仪产业化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w w:val="95"/>
                <w:sz w:val="18"/>
              </w:rPr>
              <w:t>11,600.00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11,600.00</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返还墙改基金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191,158.64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191,158.64</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河北省第三批青年拨尖人才奖励资金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4"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与两化融合标准及解决方案推广补助金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年度博士后工作资助经费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年度市级引进外国人才智为项目专项资金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年省企业上云补贴资金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178,000.00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178,000.00</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大气污染防治综合科学决策支撑项目资金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288,000.00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288,000.00</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月新增入统规上企业奖励金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年第二批省战略性新兴产业发展专项资金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141,100.00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141,100.00</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年新增规模以上服务业企业奖励资金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年国家科技中小型企业款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年度石家庄高新区区级科技补助资金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省级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年支持市县科技创新和科学普及专项资金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高新技术企业奖励性后补助经费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47,377.96</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47,377.96</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38,167,966.87</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38,167,966.87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政府补助退回情况" w:id="334"/>
      <w:bookmarkEnd w:id="334"/>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7"/>
        <w:rPr>
          <w:rFonts w:ascii="宋体" w:hAnsi="宋体" w:cs="宋体" w:eastAsia="宋体" w:hint="default"/>
          <w:sz w:val="19"/>
          <w:szCs w:val="19"/>
        </w:rPr>
      </w:pPr>
    </w:p>
    <w:p>
      <w:pPr>
        <w:pStyle w:val="Heading2"/>
        <w:spacing w:line="240" w:lineRule="auto"/>
        <w:ind w:right="1133"/>
        <w:jc w:val="left"/>
        <w:rPr>
          <w:b w:val="0"/>
          <w:bCs w:val="0"/>
        </w:rPr>
      </w:pPr>
      <w:bookmarkStart w:name="八、合并范围的变更" w:id="335"/>
      <w:bookmarkEnd w:id="335"/>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处置子公司" w:id="336"/>
      <w:bookmarkEnd w:id="336"/>
      <w:r>
        <w:rPr>
          <w:b w:val="0"/>
          <w:bCs w:val="0"/>
        </w:rPr>
      </w:r>
      <w:r>
        <w:rPr>
          <w:rFonts w:ascii="Times New Roman" w:hAnsi="Times New Roman" w:cs="Times New Roman" w:eastAsia="Times New Roman" w:hint="default"/>
        </w:rPr>
        <w:t>1</w:t>
      </w:r>
      <w:r>
        <w:rPr/>
        <w:t>、处置子公司</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是否存在单次处置对子公司投资即丧失控制权的情形</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5"/>
        <w:gridCol w:w="737"/>
        <w:gridCol w:w="734"/>
        <w:gridCol w:w="734"/>
        <w:gridCol w:w="735"/>
        <w:gridCol w:w="738"/>
        <w:gridCol w:w="737"/>
        <w:gridCol w:w="736"/>
        <w:gridCol w:w="734"/>
        <w:gridCol w:w="726"/>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股权处</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股权处</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股权处</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丧失控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丧失控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处置价</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丧失控</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丧失控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丧失控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按照公</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丧失控</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与原子</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5"/>
        <w:gridCol w:w="737"/>
        <w:gridCol w:w="734"/>
        <w:gridCol w:w="734"/>
        <w:gridCol w:w="735"/>
        <w:gridCol w:w="737"/>
        <w:gridCol w:w="737"/>
        <w:gridCol w:w="737"/>
        <w:gridCol w:w="734"/>
        <w:gridCol w:w="737"/>
      </w:tblGrid>
      <w:tr>
        <w:trPr>
          <w:trHeight w:val="3483"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91"/>
              <w:jc w:val="right"/>
              <w:rPr>
                <w:rFonts w:ascii="宋体" w:hAnsi="宋体" w:cs="宋体" w:eastAsia="宋体" w:hint="default"/>
                <w:sz w:val="18"/>
                <w:szCs w:val="18"/>
              </w:rPr>
            </w:pPr>
            <w:r>
              <w:rPr>
                <w:rFonts w:ascii="宋体" w:hAnsi="宋体" w:cs="宋体" w:eastAsia="宋体" w:hint="default"/>
                <w:sz w:val="18"/>
                <w:szCs w:val="18"/>
              </w:rPr>
              <w:t>置比例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置方式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82" w:right="91" w:hanging="89"/>
              <w:jc w:val="left"/>
              <w:rPr>
                <w:rFonts w:ascii="宋体" w:hAnsi="宋体" w:cs="宋体" w:eastAsia="宋体" w:hint="default"/>
                <w:sz w:val="18"/>
                <w:szCs w:val="18"/>
              </w:rPr>
            </w:pPr>
            <w:r>
              <w:rPr>
                <w:rFonts w:ascii="宋体" w:hAnsi="宋体" w:cs="宋体" w:eastAsia="宋体" w:hint="default"/>
                <w:sz w:val="18"/>
                <w:szCs w:val="18"/>
              </w:rPr>
              <w:t>制权的 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3" w:right="89"/>
              <w:jc w:val="both"/>
              <w:rPr>
                <w:rFonts w:ascii="宋体" w:hAnsi="宋体" w:cs="宋体" w:eastAsia="宋体" w:hint="default"/>
                <w:sz w:val="18"/>
                <w:szCs w:val="18"/>
              </w:rPr>
            </w:pPr>
            <w:r>
              <w:rPr>
                <w:rFonts w:ascii="宋体" w:hAnsi="宋体" w:cs="宋体" w:eastAsia="宋体" w:hint="default"/>
                <w:sz w:val="18"/>
                <w:szCs w:val="18"/>
              </w:rPr>
              <w:t>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89"/>
              <w:jc w:val="center"/>
              <w:rPr>
                <w:rFonts w:ascii="宋体" w:hAnsi="宋体" w:cs="宋体" w:eastAsia="宋体" w:hint="default"/>
                <w:sz w:val="18"/>
                <w:szCs w:val="18"/>
              </w:rPr>
            </w:pPr>
            <w:r>
              <w:rPr>
                <w:rFonts w:ascii="宋体" w:hAnsi="宋体" w:cs="宋体" w:eastAsia="宋体" w:hint="default"/>
                <w:sz w:val="18"/>
                <w:szCs w:val="18"/>
              </w:rPr>
              <w:t>款与处 置投资 对应的 合并财 务报表 层面享 有该子 公司净 资产份 额的差 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3" w:right="89"/>
              <w:jc w:val="both"/>
              <w:rPr>
                <w:rFonts w:ascii="宋体" w:hAnsi="宋体" w:cs="宋体" w:eastAsia="宋体" w:hint="default"/>
                <w:sz w:val="18"/>
                <w:szCs w:val="18"/>
              </w:rPr>
            </w:pPr>
            <w:r>
              <w:rPr>
                <w:rFonts w:ascii="宋体" w:hAnsi="宋体" w:cs="宋体" w:eastAsia="宋体" w:hint="default"/>
                <w:sz w:val="18"/>
                <w:szCs w:val="18"/>
              </w:rPr>
              <w:t>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3" w:right="91"/>
              <w:jc w:val="center"/>
              <w:rPr>
                <w:rFonts w:ascii="宋体" w:hAnsi="宋体" w:cs="宋体" w:eastAsia="宋体" w:hint="default"/>
                <w:sz w:val="18"/>
                <w:szCs w:val="18"/>
              </w:rPr>
            </w:pPr>
            <w:r>
              <w:rPr>
                <w:rFonts w:ascii="宋体" w:hAnsi="宋体" w:cs="宋体" w:eastAsia="宋体" w:hint="default"/>
                <w:sz w:val="18"/>
                <w:szCs w:val="18"/>
              </w:rPr>
              <w:t>制权之 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3" w:right="91"/>
              <w:jc w:val="center"/>
              <w:rPr>
                <w:rFonts w:ascii="宋体" w:hAnsi="宋体" w:cs="宋体" w:eastAsia="宋体" w:hint="default"/>
                <w:sz w:val="18"/>
                <w:szCs w:val="18"/>
              </w:rPr>
            </w:pPr>
            <w:r>
              <w:rPr>
                <w:rFonts w:ascii="宋体" w:hAnsi="宋体" w:cs="宋体" w:eastAsia="宋体" w:hint="default"/>
                <w:sz w:val="18"/>
                <w:szCs w:val="18"/>
              </w:rPr>
              <w:t>制权之 日剩余 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92"/>
              <w:jc w:val="center"/>
              <w:rPr>
                <w:rFonts w:ascii="宋体" w:hAnsi="宋体" w:cs="宋体" w:eastAsia="宋体" w:hint="default"/>
                <w:sz w:val="18"/>
                <w:szCs w:val="18"/>
              </w:rPr>
            </w:pPr>
            <w:r>
              <w:rPr>
                <w:rFonts w:ascii="宋体" w:hAnsi="宋体" w:cs="宋体" w:eastAsia="宋体" w:hint="default"/>
                <w:sz w:val="18"/>
                <w:szCs w:val="18"/>
              </w:rPr>
              <w:t>允价值 重新计 量剩余 股权产 生的利 得或损 失</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89"/>
              <w:jc w:val="center"/>
              <w:rPr>
                <w:rFonts w:ascii="宋体" w:hAnsi="宋体" w:cs="宋体" w:eastAsia="宋体" w:hint="default"/>
                <w:sz w:val="18"/>
                <w:szCs w:val="18"/>
              </w:rPr>
            </w:pPr>
            <w:r>
              <w:rPr>
                <w:rFonts w:ascii="宋体" w:hAnsi="宋体" w:cs="宋体" w:eastAsia="宋体" w:hint="default"/>
                <w:sz w:val="18"/>
                <w:szCs w:val="18"/>
              </w:rPr>
              <w:t>制权之 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91"/>
              <w:jc w:val="both"/>
              <w:rPr>
                <w:rFonts w:ascii="宋体" w:hAnsi="宋体" w:cs="宋体" w:eastAsia="宋体" w:hint="default"/>
                <w:sz w:val="18"/>
                <w:szCs w:val="18"/>
              </w:rPr>
            </w:pPr>
            <w:r>
              <w:rPr>
                <w:rFonts w:ascii="宋体" w:hAnsi="宋体" w:cs="宋体" w:eastAsia="宋体" w:hint="default"/>
                <w:sz w:val="18"/>
                <w:szCs w:val="18"/>
              </w:rPr>
              <w:t>公司股 权投资 相关的 其他综 合收益 转入投 资损益 的金额</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山东先 河环保 科技有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158"/>
              <w:jc w:val="left"/>
              <w:rPr>
                <w:rFonts w:ascii="宋体" w:hAnsi="宋体" w:cs="宋体" w:eastAsia="宋体" w:hint="default"/>
                <w:sz w:val="18"/>
                <w:szCs w:val="18"/>
              </w:rPr>
            </w:pPr>
            <w:r>
              <w:rPr>
                <w:rFonts w:ascii="宋体" w:hAnsi="宋体" w:cs="宋体" w:eastAsia="宋体" w:hint="default"/>
                <w:sz w:val="18"/>
                <w:szCs w:val="18"/>
              </w:rPr>
              <w:t>工商注 销</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-1,206,0</w:t>
            </w:r>
          </w:p>
          <w:p>
            <w:pPr>
              <w:pStyle w:val="TableParagraph"/>
              <w:spacing w:line="240" w:lineRule="auto" w:before="105"/>
              <w:ind w:left="276" w:right="0"/>
              <w:jc w:val="center"/>
              <w:rPr>
                <w:rFonts w:ascii="Times New Roman" w:hAnsi="Times New Roman" w:cs="Times New Roman" w:eastAsia="Times New Roman" w:hint="default"/>
                <w:sz w:val="18"/>
                <w:szCs w:val="18"/>
              </w:rPr>
            </w:pPr>
            <w:r>
              <w:rPr>
                <w:rFonts w:ascii="Times New Roman"/>
                <w:sz w:val="18"/>
              </w:rPr>
              <w:t>38.85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广州市 云景信 息科技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47.12%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59"/>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收到转 让价款</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1,453,45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7.32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重庆冀 华正态 检测技 术有限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3" w:right="159"/>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 w:right="158"/>
              <w:jc w:val="left"/>
              <w:rPr>
                <w:rFonts w:ascii="宋体" w:hAnsi="宋体" w:cs="宋体" w:eastAsia="宋体" w:hint="default"/>
                <w:sz w:val="18"/>
                <w:szCs w:val="18"/>
              </w:rPr>
            </w:pPr>
            <w:r>
              <w:rPr>
                <w:rFonts w:ascii="宋体" w:hAnsi="宋体" w:cs="宋体" w:eastAsia="宋体" w:hint="default"/>
                <w:sz w:val="18"/>
                <w:szCs w:val="18"/>
              </w:rPr>
              <w:t>收到转 让价款</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-160,645</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sz w:val="18"/>
              </w:rPr>
              <w:t>.22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15.00%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pStyle w:val="BodyText"/>
        <w:spacing w:line="300" w:lineRule="auto" w:before="139"/>
        <w:ind w:right="1119" w:firstLine="420"/>
        <w:jc w:val="left"/>
      </w:pPr>
      <w:r>
        <w:rPr/>
        <w:t>重庆冀华环保科技发展有限公司于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日将其持有重庆冀华正态检测技术有限公司</w:t>
      </w:r>
      <w:r>
        <w:rPr>
          <w:rFonts w:ascii="Times New Roman" w:hAnsi="Times New Roman" w:cs="Times New Roman" w:eastAsia="Times New Roman" w:hint="default"/>
        </w:rPr>
        <w:t>100%</w:t>
      </w:r>
      <w:r>
        <w:rPr/>
        <w:t>股权分别转让予重 </w:t>
      </w:r>
      <w:r>
        <w:rPr>
          <w:spacing w:val="-1"/>
        </w:rPr>
        <w:t>庆通达环保工程有限公司、河北正态环境检测有限公司，其中：重庆通达环保工程有限公司受让</w:t>
      </w:r>
      <w:r>
        <w:rPr>
          <w:rFonts w:ascii="Times New Roman" w:hAnsi="Times New Roman" w:cs="Times New Roman" w:eastAsia="Times New Roman" w:hint="default"/>
          <w:spacing w:val="-1"/>
        </w:rPr>
        <w:t>85%</w:t>
      </w:r>
      <w:r>
        <w:rPr>
          <w:spacing w:val="-1"/>
        </w:rPr>
        <w:t>的股权、河北正态环境</w:t>
      </w:r>
      <w:r>
        <w:rPr>
          <w:spacing w:val="-88"/>
        </w:rPr>
        <w:t> </w:t>
      </w:r>
      <w:r>
        <w:rPr>
          <w:spacing w:val="-88"/>
        </w:rPr>
      </w:r>
      <w:r>
        <w:rPr/>
        <w:t>检测有限公司无偿受让</w:t>
      </w:r>
      <w:r>
        <w:rPr>
          <w:rFonts w:ascii="Times New Roman" w:hAnsi="Times New Roman" w:cs="Times New Roman" w:eastAsia="Times New Roman" w:hint="default"/>
        </w:rPr>
        <w:t>15%</w:t>
      </w:r>
      <w:r>
        <w:rPr/>
        <w:t>的股权。本公司本期不再将重庆冀华正态检测技术有限公司纳入合并范围。</w:t>
      </w:r>
    </w:p>
    <w:p>
      <w:pPr>
        <w:spacing w:line="240" w:lineRule="auto" w:before="0"/>
        <w:rPr>
          <w:rFonts w:ascii="宋体" w:hAnsi="宋体" w:cs="宋体" w:eastAsia="宋体" w:hint="default"/>
          <w:sz w:val="18"/>
          <w:szCs w:val="18"/>
        </w:rPr>
      </w:pPr>
    </w:p>
    <w:p>
      <w:pPr>
        <w:pStyle w:val="BodyText"/>
        <w:spacing w:line="240" w:lineRule="auto" w:before="130"/>
        <w:ind w:right="1133"/>
        <w:jc w:val="left"/>
      </w:pPr>
      <w:r>
        <w:rPr/>
        <w:t>是否存在通过多次交易分步处置对子公司投资且在本期丧失控制权的情形</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其他原因的合并范围变动" w:id="337"/>
      <w:bookmarkEnd w:id="337"/>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说明其他原因导致的合并范围变动（如，新设子公司、清算子公司等）及其相关情况：</w:t>
      </w:r>
    </w:p>
    <w:p>
      <w:pPr>
        <w:pStyle w:val="BodyText"/>
        <w:spacing w:line="300" w:lineRule="auto" w:before="139"/>
        <w:ind w:right="1131" w:firstLine="413"/>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日，经公司第三届董事会第十七次会议审议通过，公司与石家庄荣驰环境治理中心（有限合伙）共同投 资设立河北先进环保产业创新中心有限公司，设立时注册资本</w:t>
      </w:r>
      <w:r>
        <w:rPr>
          <w:rFonts w:ascii="Times New Roman" w:hAnsi="Times New Roman" w:cs="Times New Roman" w:eastAsia="Times New Roman" w:hint="default"/>
        </w:rPr>
        <w:t>10,000.00</w:t>
      </w:r>
      <w:r>
        <w:rPr/>
        <w:t>万元，其中公司认缴</w:t>
      </w:r>
      <w:r>
        <w:rPr>
          <w:rFonts w:ascii="Times New Roman" w:hAnsi="Times New Roman" w:cs="Times New Roman" w:eastAsia="Times New Roman" w:hint="default"/>
        </w:rPr>
        <w:t>7,500.00</w:t>
      </w:r>
      <w:r>
        <w:rPr/>
        <w:t>万元，石家庄荣驰环境</w:t>
      </w:r>
      <w:r>
        <w:rPr>
          <w:spacing w:val="-86"/>
        </w:rPr>
        <w:t> </w:t>
      </w:r>
      <w:r>
        <w:rPr>
          <w:spacing w:val="-86"/>
        </w:rPr>
      </w:r>
      <w:r>
        <w:rPr/>
        <w:t>治理中心（有限合伙）</w:t>
      </w:r>
      <w:r>
        <w:rPr>
          <w:rFonts w:ascii="Times New Roman" w:hAnsi="Times New Roman" w:cs="Times New Roman" w:eastAsia="Times New Roman" w:hint="default"/>
        </w:rPr>
        <w:t>2,500.00</w:t>
      </w:r>
      <w:r>
        <w:rPr/>
        <w:t>万元。本公司拥有对其实质控制权，故在</w:t>
      </w:r>
      <w:r>
        <w:rPr>
          <w:rFonts w:ascii="Times New Roman" w:hAnsi="Times New Roman" w:cs="Times New Roman" w:eastAsia="Times New Roman" w:hint="default"/>
        </w:rPr>
        <w:t>2019</w:t>
      </w:r>
      <w:r>
        <w:rPr/>
        <w:t>年度将其纳入合并范围。</w:t>
      </w:r>
    </w:p>
    <w:p>
      <w:pPr>
        <w:spacing w:after="0" w:line="300"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r>
        <w:rPr/>
        <w:pict>
          <v:shape style="position:absolute;margin-left:324.549988pt;margin-top:409.369995pt;width:73.95pt;height:31.2pt;mso-position-horizontal-relative:page;mso-position-vertical-relative:page;z-index:-1057624"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330.670013pt;margin-top:507.009979pt;width:66.6pt;height:20.65pt;mso-position-horizontal-relative:page;mso-position-vertical-relative:page;z-index:-1057600" coordorigin="6613,10140" coordsize="1332,413">
            <v:group style="position:absolute;left:6624;top:10151;width:2;height:392" coordorigin="6624,10151" coordsize="2,392">
              <v:shape style="position:absolute;left:6624;top:10151;width:2;height:392" coordorigin="6624,10151" coordsize="0,392" path="m6624,10151l6624,10542e" filled="false" stroked="true" strokeweight="1.08pt" strokecolor="#ffffff">
                <v:path arrowok="t"/>
              </v:shape>
            </v:group>
            <v:group style="position:absolute;left:6635;top:10151;width:1311;height:392" coordorigin="6635,10151" coordsize="1311,392">
              <v:shape style="position:absolute;left:6635;top:10151;width:1311;height:392" coordorigin="6635,10151" coordsize="1311,392" path="m6635,10542l7945,10542,7945,10151,6635,10151,6635,10542xe" filled="true" fillcolor="#ffffff" stroked="false">
                <v:path arrowok="t"/>
                <v:fill type="solid"/>
              </v:shape>
            </v:group>
            <w10:wrap type="none"/>
          </v:group>
        </w:pict>
      </w:r>
    </w:p>
    <w:p>
      <w:pPr>
        <w:spacing w:line="487" w:lineRule="auto" w:before="36"/>
        <w:ind w:left="152" w:right="8104" w:firstLine="0"/>
        <w:jc w:val="left"/>
        <w:rPr>
          <w:rFonts w:ascii="宋体" w:hAnsi="宋体" w:cs="宋体" w:eastAsia="宋体" w:hint="default"/>
          <w:sz w:val="21"/>
          <w:szCs w:val="21"/>
        </w:rPr>
      </w:pPr>
      <w:bookmarkStart w:name="3、其他" w:id="338"/>
      <w:bookmarkEnd w:id="33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339"/>
      <w:bookmarkEnd w:id="339"/>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340"/>
      <w:bookmarkEnd w:id="34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1133"/>
        <w:jc w:val="left"/>
        <w:rPr>
          <w:b w:val="0"/>
          <w:bCs w:val="0"/>
        </w:rPr>
      </w:pPr>
      <w:bookmarkStart w:name="（1）企业集团的构成" w:id="341"/>
      <w:bookmarkEnd w:id="341"/>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北京先河中润科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环保设备的安装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四川先河环保科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环保设备、计量 仪器研制开发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河北先河金瑞环 保设施运营服务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环保专用设备的 安装、维修及技 术咨询服务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河北先河正源环 境治理技术有限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6" w:right="70"/>
              <w:jc w:val="left"/>
              <w:rPr>
                <w:rFonts w:ascii="宋体" w:hAnsi="宋体" w:cs="宋体" w:eastAsia="宋体" w:hint="default"/>
                <w:sz w:val="18"/>
                <w:szCs w:val="18"/>
              </w:rPr>
            </w:pPr>
            <w:r>
              <w:rPr>
                <w:rFonts w:ascii="宋体" w:hAnsi="宋体" w:cs="宋体" w:eastAsia="宋体" w:hint="default"/>
                <w:sz w:val="18"/>
                <w:szCs w:val="18"/>
              </w:rPr>
              <w:t>废气治理技术研 发、生产、销售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6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北京卫家环境技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both"/>
              <w:rPr>
                <w:rFonts w:ascii="宋体" w:hAnsi="宋体" w:cs="宋体" w:eastAsia="宋体" w:hint="default"/>
                <w:sz w:val="18"/>
                <w:szCs w:val="18"/>
              </w:rPr>
            </w:pPr>
            <w:r>
              <w:rPr>
                <w:rFonts w:ascii="宋体" w:hAnsi="宋体" w:cs="宋体" w:eastAsia="宋体" w:hint="default"/>
                <w:spacing w:val="-6"/>
                <w:sz w:val="18"/>
                <w:szCs w:val="18"/>
              </w:rPr>
              <w:t>技术开发、转让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咨询、服务；销 售家用电器、计 算机、软件及辅 助设备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left="2" w:right="-50"/>
              <w:jc w:val="left"/>
              <w:rPr>
                <w:rFonts w:ascii="宋体" w:hAnsi="宋体" w:cs="宋体" w:eastAsia="宋体" w:hint="default"/>
                <w:sz w:val="20"/>
                <w:szCs w:val="20"/>
              </w:rPr>
            </w:pPr>
            <w:r>
              <w:rPr>
                <w:rFonts w:ascii="宋体" w:hAnsi="宋体" w:cs="宋体" w:eastAsia="宋体" w:hint="default"/>
                <w:position w:val="-11"/>
                <w:sz w:val="20"/>
                <w:szCs w:val="20"/>
              </w:rPr>
              <w:pict>
                <v:group style="width:67.8pt;height:31.2pt;mso-position-horizontal-relative:char;mso-position-vertical-relative:line" coordorigin="0,0" coordsize="1356,624">
                  <v:group style="position:absolute;left:0;top:0;width:1356;height:624" coordorigin="0,0" coordsize="1356,624">
                    <v:shape style="position:absolute;left:0;top:0;width:1356;height:624" coordorigin="0,0" coordsize="1356,624" path="m0,624l1356,624,1356,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保定先河正源环 境资源科技有限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雄县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雄县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从事环保治理设 </w:t>
            </w:r>
            <w:r>
              <w:rPr>
                <w:rFonts w:ascii="宋体" w:hAnsi="宋体" w:cs="宋体" w:eastAsia="宋体" w:hint="default"/>
                <w:spacing w:val="-6"/>
                <w:sz w:val="18"/>
                <w:szCs w:val="18"/>
              </w:rPr>
              <w:t>施、设备的研发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生产、加工安装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河北正态环境检 测有限公司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第三方检测服务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河北先河正阳环 保设备销售有限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环境设备的销售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86.75%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河北先河正达环 保技术服务有限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环境监测设施、 环境治理设施的 运营技术服务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77.50%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重庆冀华环保科 技发展有限公司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环保设备的安装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四川广迈富宇建 设工程有限公司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r>
        <w:rPr/>
        <w:pict>
          <v:group style="position:absolute;margin-left:330.670013pt;margin-top:466.809998pt;width:66.6pt;height:20.65pt;mso-position-horizontal-relative:page;mso-position-vertical-relative:page;z-index:-1057576" coordorigin="6613,9336" coordsize="1332,413">
            <v:group style="position:absolute;left:6624;top:9347;width:2;height:392" coordorigin="6624,9347" coordsize="2,392">
              <v:shape style="position:absolute;left:6624;top:9347;width:2;height:392" coordorigin="6624,9347" coordsize="0,392" path="m6624,9347l6624,9738e" filled="false" stroked="true" strokeweight="1.08pt" strokecolor="#ffffff">
                <v:path arrowok="t"/>
              </v:shape>
            </v:group>
            <v:group style="position:absolute;left:6635;top:9347;width:1311;height:392" coordorigin="6635,9347" coordsize="1311,392">
              <v:shape style="position:absolute;left:6635;top:9347;width:1311;height:392" coordorigin="6635,9347" coordsize="1311,392" path="m6635,9738l7945,9738,7945,9347,6635,9347,6635,9738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425"/>
        <w:gridCol w:w="943"/>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16"/>
              <w:jc w:val="left"/>
              <w:rPr>
                <w:rFonts w:ascii="Times New Roman" w:hAnsi="Times New Roman" w:cs="Times New Roman" w:eastAsia="Times New Roman" w:hint="default"/>
                <w:sz w:val="18"/>
                <w:szCs w:val="18"/>
              </w:rPr>
            </w:pPr>
            <w:r>
              <w:rPr>
                <w:rFonts w:ascii="Times New Roman"/>
                <w:sz w:val="18"/>
              </w:rPr>
              <w:t>SAILHERO</w:t>
            </w:r>
            <w:r>
              <w:rPr>
                <w:rFonts w:ascii="Times New Roman"/>
                <w:spacing w:val="-2"/>
                <w:sz w:val="18"/>
              </w:rPr>
              <w:t> </w:t>
            </w:r>
            <w:r>
              <w:rPr>
                <w:rFonts w:ascii="Times New Roman"/>
                <w:sz w:val="18"/>
              </w:rPr>
              <w:t>US</w:t>
            </w:r>
            <w:r>
              <w:rPr>
                <w:rFonts w:ascii="Times New Roman"/>
                <w:w w:val="99"/>
                <w:sz w:val="18"/>
              </w:rPr>
              <w:t> </w:t>
            </w:r>
            <w:r>
              <w:rPr>
                <w:rFonts w:ascii="Times New Roman"/>
                <w:sz w:val="18"/>
              </w:rPr>
              <w:t>HOLDING</w:t>
            </w:r>
            <w:r>
              <w:rPr>
                <w:rFonts w:ascii="Times New Roman"/>
                <w:spacing w:val="-4"/>
                <w:sz w:val="18"/>
              </w:rPr>
              <w:t> </w:t>
            </w:r>
            <w:r>
              <w:rPr>
                <w:rFonts w:ascii="Times New Roman"/>
                <w:sz w:val="18"/>
              </w:rPr>
              <w:t>INC.</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美国特拉华州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美国特拉华州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投资控股、国际 贸易</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97"/>
              <w:jc w:val="left"/>
              <w:rPr>
                <w:rFonts w:ascii="Times New Roman" w:hAnsi="Times New Roman" w:cs="Times New Roman" w:eastAsia="Times New Roman" w:hint="default"/>
                <w:sz w:val="18"/>
                <w:szCs w:val="18"/>
              </w:rPr>
            </w:pPr>
            <w:r>
              <w:rPr>
                <w:rFonts w:ascii="Times New Roman"/>
                <w:sz w:val="18"/>
              </w:rPr>
              <w:t>SUNSET</w:t>
            </w:r>
            <w:r>
              <w:rPr>
                <w:rFonts w:ascii="Times New Roman"/>
                <w:spacing w:val="-5"/>
                <w:sz w:val="18"/>
              </w:rPr>
              <w:t> </w:t>
            </w:r>
            <w:r>
              <w:rPr>
                <w:rFonts w:ascii="Times New Roman"/>
                <w:sz w:val="18"/>
              </w:rPr>
              <w:t>CES</w:t>
            </w:r>
            <w:r>
              <w:rPr>
                <w:rFonts w:ascii="Times New Roman"/>
                <w:sz w:val="18"/>
              </w:rPr>
              <w:t> </w:t>
            </w:r>
            <w:r>
              <w:rPr>
                <w:rFonts w:ascii="Times New Roman"/>
                <w:spacing w:val="-3"/>
                <w:sz w:val="18"/>
              </w:rPr>
              <w:t>INCORPORATE</w:t>
            </w:r>
            <w:r>
              <w:rPr>
                <w:rFonts w:ascii="Times New Roman"/>
                <w:spacing w:val="-37"/>
                <w:sz w:val="18"/>
              </w:rPr>
              <w:t> </w:t>
            </w:r>
            <w:r>
              <w:rPr>
                <w:rFonts w:ascii="Times New Roman"/>
                <w:spacing w:val="-37"/>
                <w:sz w:val="18"/>
              </w:rPr>
            </w:r>
            <w:r>
              <w:rPr>
                <w:rFonts w:ascii="Times New Roman"/>
                <w:sz w:val="18"/>
              </w:rPr>
              <w: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美国俄勒冈州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美国俄勒冈州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77.25%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3"/>
              <w:jc w:val="left"/>
              <w:rPr>
                <w:rFonts w:ascii="Times New Roman" w:hAnsi="Times New Roman" w:cs="Times New Roman" w:eastAsia="Times New Roman" w:hint="default"/>
                <w:sz w:val="18"/>
                <w:szCs w:val="18"/>
              </w:rPr>
            </w:pPr>
            <w:r>
              <w:rPr>
                <w:rFonts w:ascii="Times New Roman"/>
                <w:sz w:val="18"/>
              </w:rPr>
              <w:t>COOPER ENVIRONMENT</w:t>
            </w:r>
            <w:r>
              <w:rPr>
                <w:rFonts w:ascii="Times New Roman"/>
                <w:w w:val="99"/>
                <w:sz w:val="18"/>
              </w:rPr>
              <w:t> </w:t>
            </w:r>
            <w:r>
              <w:rPr>
                <w:rFonts w:ascii="Times New Roman"/>
                <w:sz w:val="18"/>
              </w:rPr>
              <w:t>AL</w:t>
            </w:r>
            <w:r>
              <w:rPr>
                <w:rFonts w:ascii="Times New Roman"/>
                <w:w w:val="99"/>
                <w:sz w:val="18"/>
              </w:rPr>
              <w:t> </w:t>
            </w:r>
            <w:r>
              <w:rPr>
                <w:rFonts w:ascii="Times New Roman"/>
                <w:sz w:val="18"/>
              </w:rPr>
              <w:t>SERVICES,LLC</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美国俄勒冈州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美国俄勒冈州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218"/>
              <w:jc w:val="left"/>
              <w:rPr>
                <w:rFonts w:ascii="Times New Roman" w:hAnsi="Times New Roman" w:cs="Times New Roman" w:eastAsia="Times New Roman" w:hint="default"/>
                <w:sz w:val="18"/>
                <w:szCs w:val="18"/>
              </w:rPr>
            </w:pPr>
            <w:r>
              <w:rPr>
                <w:rFonts w:ascii="Times New Roman"/>
                <w:sz w:val="18"/>
              </w:rPr>
              <w:t>Sunset Laboratory</w:t>
            </w:r>
            <w:r>
              <w:rPr>
                <w:rFonts w:ascii="Times New Roman"/>
                <w:spacing w:val="-5"/>
                <w:sz w:val="18"/>
              </w:rPr>
              <w:t> </w:t>
            </w:r>
            <w:r>
              <w:rPr>
                <w:rFonts w:ascii="Times New Roman"/>
                <w:sz w:val="18"/>
              </w:rPr>
              <w:t>Inc.</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美国俄勒冈州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美国俄勒冈州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广东科迪隆科技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环境监测专用仪 器销售、研发及 运营服务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4" w:right="75"/>
              <w:jc w:val="left"/>
              <w:rPr>
                <w:rFonts w:ascii="宋体" w:hAnsi="宋体" w:cs="宋体" w:eastAsia="宋体" w:hint="default"/>
                <w:sz w:val="18"/>
                <w:szCs w:val="18"/>
              </w:rPr>
            </w:pPr>
            <w:r>
              <w:rPr>
                <w:rFonts w:ascii="宋体" w:hAnsi="宋体" w:cs="宋体" w:eastAsia="宋体" w:hint="default"/>
                <w:sz w:val="18"/>
                <w:szCs w:val="18"/>
              </w:rPr>
              <w:t>广州博世芬科技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环保仪器及工程 设计、货物进出 口</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广西先得环保科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环境监测专用仪 器销售、研发及 运营服务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广西科测检测技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环境技术咨询服 务；环境检测</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四川久环环境技 术有限责任公司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环境监测设备销 </w:t>
            </w:r>
            <w:r>
              <w:rPr>
                <w:rFonts w:ascii="宋体" w:hAnsi="宋体" w:cs="宋体" w:eastAsia="宋体" w:hint="default"/>
                <w:spacing w:val="-6"/>
                <w:sz w:val="18"/>
                <w:szCs w:val="18"/>
              </w:rPr>
              <w:t>售、安装、运营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软件研发</w:t>
            </w:r>
          </w:p>
        </w:tc>
        <w:tc>
          <w:tcPr>
            <w:tcW w:w="42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94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4" w:right="75"/>
              <w:jc w:val="left"/>
              <w:rPr>
                <w:rFonts w:ascii="宋体" w:hAnsi="宋体" w:cs="宋体" w:eastAsia="宋体" w:hint="default"/>
                <w:sz w:val="18"/>
                <w:szCs w:val="18"/>
              </w:rPr>
            </w:pPr>
            <w:r>
              <w:rPr>
                <w:rFonts w:ascii="宋体" w:hAnsi="宋体" w:cs="宋体" w:eastAsia="宋体" w:hint="default"/>
                <w:sz w:val="18"/>
                <w:szCs w:val="18"/>
              </w:rPr>
              <w:t>河北先河正合环 境科技有限公司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环境污染技术治 理研发、技术咨 询、技术服务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53.00%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重庆渝凡实业有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从事建筑相关业 务</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75"/>
              <w:jc w:val="both"/>
              <w:rPr>
                <w:rFonts w:ascii="宋体" w:hAnsi="宋体" w:cs="宋体" w:eastAsia="宋体" w:hint="default"/>
                <w:sz w:val="18"/>
                <w:szCs w:val="18"/>
              </w:rPr>
            </w:pPr>
            <w:r>
              <w:rPr>
                <w:rFonts w:ascii="宋体" w:hAnsi="宋体" w:cs="宋体" w:eastAsia="宋体" w:hint="default"/>
                <w:sz w:val="18"/>
                <w:szCs w:val="18"/>
              </w:rPr>
              <w:t>河北先进环保产 业创新中心有限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生态环境物联网 与大数据应用及 环境保护专用设 备的研发</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57" w:lineRule="auto" w:before="49"/>
        <w:ind w:right="2834"/>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9"/>
        <w:ind w:right="7694"/>
        <w:jc w:val="left"/>
      </w:pPr>
      <w:r>
        <w:rPr/>
        <w:t>确定公司是代理人还是委托人的依据： 其他说明：</w:t>
      </w:r>
    </w:p>
    <w:p>
      <w:pPr>
        <w:pStyle w:val="BodyText"/>
        <w:spacing w:line="240" w:lineRule="auto" w:before="110"/>
        <w:ind w:left="573" w:right="0"/>
        <w:jc w:val="left"/>
      </w:pPr>
      <w:r>
        <w:rPr/>
        <w:t>河北先河正阳环保设备销售有限公司注册资本</w:t>
      </w:r>
      <w:r>
        <w:rPr>
          <w:rFonts w:ascii="Times New Roman" w:hAnsi="Times New Roman" w:cs="Times New Roman" w:eastAsia="Times New Roman" w:hint="default"/>
        </w:rPr>
        <w:t>2,000.00</w:t>
      </w:r>
      <w:r>
        <w:rPr/>
        <w:t>万元，公司及其他股东均未实缴出资，根据补充协议，在其他股</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69"/>
        <w:jc w:val="right"/>
      </w:pPr>
      <w:r>
        <w:rPr/>
        <w:t>东未实际出资前，由公司享有资产收益和重大决策等权利。本公司在编制合并报表时对该公司按</w:t>
      </w:r>
      <w:r>
        <w:rPr>
          <w:rFonts w:ascii="Times New Roman" w:hAnsi="Times New Roman" w:cs="Times New Roman" w:eastAsia="Times New Roman" w:hint="default"/>
        </w:rPr>
        <w:t>100%</w:t>
      </w:r>
      <w:r>
        <w:rPr/>
        <w:t>股权比例进行合并。</w:t>
      </w:r>
    </w:p>
    <w:p>
      <w:pPr>
        <w:spacing w:line="240" w:lineRule="auto" w:before="0"/>
        <w:rPr>
          <w:rFonts w:ascii="宋体" w:hAnsi="宋体" w:cs="宋体" w:eastAsia="宋体" w:hint="default"/>
          <w:sz w:val="14"/>
          <w:szCs w:val="14"/>
        </w:rPr>
      </w:pPr>
    </w:p>
    <w:p>
      <w:pPr>
        <w:pStyle w:val="BodyText"/>
        <w:spacing w:line="300" w:lineRule="auto"/>
        <w:ind w:right="1128" w:firstLine="420"/>
        <w:jc w:val="right"/>
      </w:pPr>
      <w:r>
        <w:rPr>
          <w:spacing w:val="-1"/>
        </w:rPr>
        <w:t>河北先河正达环保技术服务有限公司注册资本</w:t>
      </w:r>
      <w:r>
        <w:rPr>
          <w:rFonts w:ascii="Times New Roman" w:hAnsi="Times New Roman" w:cs="Times New Roman" w:eastAsia="Times New Roman" w:hint="default"/>
          <w:spacing w:val="-1"/>
        </w:rPr>
        <w:t>800.00</w:t>
      </w:r>
      <w:r>
        <w:rPr>
          <w:spacing w:val="-1"/>
        </w:rPr>
        <w:t>万元，公司及其他股东均未实缴出资，根据补充协议，在其他股</w:t>
      </w:r>
      <w:r>
        <w:rPr/>
        <w:t> 东未实际出资前，由公司享有资产收益和重大决策等权利。本公司在编制合并报表时对该公司按</w:t>
      </w:r>
      <w:r>
        <w:rPr>
          <w:rFonts w:ascii="Times New Roman" w:hAnsi="Times New Roman" w:cs="Times New Roman" w:eastAsia="Times New Roman" w:hint="default"/>
        </w:rPr>
        <w:t>100%</w:t>
      </w:r>
      <w:r>
        <w:rPr/>
        <w:t>股权比例进行合并。</w:t>
      </w:r>
    </w:p>
    <w:p>
      <w:pPr>
        <w:pStyle w:val="BodyText"/>
        <w:spacing w:line="309" w:lineRule="auto" w:before="133"/>
        <w:ind w:right="1034" w:firstLine="420"/>
        <w:jc w:val="left"/>
      </w:pPr>
      <w:r>
        <w:rPr/>
        <w:t>河北先河正合环境科技有限公司注册资本</w:t>
      </w:r>
      <w:r>
        <w:rPr>
          <w:rFonts w:ascii="Times New Roman" w:hAnsi="Times New Roman" w:cs="Times New Roman" w:eastAsia="Times New Roman" w:hint="default"/>
        </w:rPr>
        <w:t>20,000.00</w:t>
      </w:r>
      <w:r>
        <w:rPr/>
        <w:t>万元，截止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日，本公司已缴纳出资</w:t>
      </w:r>
      <w:r>
        <w:rPr>
          <w:rFonts w:ascii="Times New Roman" w:hAnsi="Times New Roman" w:cs="Times New Roman" w:eastAsia="Times New Roman" w:hint="default"/>
        </w:rPr>
        <w:t>4,000.00</w:t>
      </w:r>
      <w:r>
        <w:rPr/>
        <w:t>万元，其他 股东均未实缴出资，根据股东约定协议，股东各方按照实际缴纳的出资额比例分取红利、分享收益、分配利润、承担亏损。 本公司在编制合并报表时对该公司按</w:t>
      </w:r>
      <w:r>
        <w:rPr>
          <w:rFonts w:ascii="Times New Roman" w:hAnsi="Times New Roman" w:cs="Times New Roman" w:eastAsia="Times New Roman" w:hint="default"/>
        </w:rPr>
        <w:t>100%</w:t>
      </w:r>
      <w:r>
        <w:rPr/>
        <w:t>股权比例进行合并。</w:t>
      </w:r>
    </w:p>
    <w:p>
      <w:pPr>
        <w:pStyle w:val="BodyText"/>
        <w:spacing w:line="300" w:lineRule="auto" w:before="125"/>
        <w:ind w:right="1129"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日，本公司与江寒签署了股权转让协议，将其持有四川先河环保科技有限公司</w:t>
      </w:r>
      <w:r>
        <w:rPr>
          <w:rFonts w:ascii="Times New Roman" w:hAnsi="Times New Roman" w:cs="Times New Roman" w:eastAsia="Times New Roman" w:hint="default"/>
        </w:rPr>
        <w:t>10%</w:t>
      </w:r>
      <w:r>
        <w:rPr/>
        <w:t>的股权以</w:t>
      </w:r>
      <w:r>
        <w:rPr>
          <w:rFonts w:ascii="Times New Roman" w:hAnsi="Times New Roman" w:cs="Times New Roman" w:eastAsia="Times New Roman" w:hint="default"/>
        </w:rPr>
        <w:t>5,173,446.20 </w:t>
      </w:r>
      <w:r>
        <w:rPr>
          <w:spacing w:val="-2"/>
        </w:rPr>
        <w:t>元的价格转让给江寒，截止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日，江寒尚未支付股权转让款，出于谨慎性原则，本公司在编制合并报表时对四川</w:t>
      </w:r>
      <w:r>
        <w:rPr>
          <w:spacing w:val="-61"/>
        </w:rPr>
        <w:t> </w:t>
      </w:r>
      <w:r>
        <w:rPr>
          <w:spacing w:val="-61"/>
        </w:rPr>
      </w:r>
      <w:r>
        <w:rPr/>
        <w:t>先河环保科技有限公司仍按</w:t>
      </w:r>
      <w:r>
        <w:rPr>
          <w:rFonts w:ascii="Times New Roman" w:hAnsi="Times New Roman" w:cs="Times New Roman" w:eastAsia="Times New Roman" w:hint="default"/>
        </w:rPr>
        <w:t>100%</w:t>
      </w:r>
      <w:r>
        <w:rPr/>
        <w:t>股权比例进行合并。</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bookmarkStart w:name="（2）重要的非全资子公司" w:id="342"/>
      <w:bookmarkEnd w:id="342"/>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河北先河金瑞环保设施 运营服务有限公司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-49,312.87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-2,048,612.64</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重庆冀华环保科技发展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-1,938,215.40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-1,126,143.46</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4" w:right="512"/>
              <w:jc w:val="left"/>
              <w:rPr>
                <w:rFonts w:ascii="Times New Roman" w:hAnsi="Times New Roman" w:cs="Times New Roman" w:eastAsia="Times New Roman" w:hint="default"/>
                <w:sz w:val="18"/>
                <w:szCs w:val="18"/>
              </w:rPr>
            </w:pPr>
            <w:r>
              <w:rPr>
                <w:rFonts w:ascii="Times New Roman"/>
                <w:sz w:val="18"/>
              </w:rPr>
              <w:t>SUNSET</w:t>
            </w:r>
            <w:r>
              <w:rPr>
                <w:rFonts w:ascii="Times New Roman"/>
                <w:spacing w:val="-5"/>
                <w:sz w:val="18"/>
              </w:rPr>
              <w:t> </w:t>
            </w:r>
            <w:r>
              <w:rPr>
                <w:rFonts w:ascii="Times New Roman"/>
                <w:sz w:val="18"/>
              </w:rPr>
              <w:t>CES</w:t>
            </w:r>
            <w:r>
              <w:rPr>
                <w:rFonts w:ascii="Times New Roman"/>
                <w:sz w:val="18"/>
              </w:rPr>
              <w:t> </w:t>
            </w:r>
            <w:r>
              <w:rPr>
                <w:rFonts w:ascii="Times New Roman"/>
                <w:spacing w:val="-2"/>
                <w:sz w:val="18"/>
              </w:rPr>
              <w:t>INCORPORATED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754,075.65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713,979.19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11,281,870.34</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广东科迪隆科技有限公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754,890.79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18,244,500.82</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广西先得环保科技有限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256,983.76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800,800.00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8,602,133.80</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四川久环环境技术有限 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338,878.32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2,335,250.08</w:t>
            </w:r>
          </w:p>
        </w:tc>
      </w:tr>
    </w:tbl>
    <w:p>
      <w:pPr>
        <w:pStyle w:val="BodyText"/>
        <w:spacing w:line="357" w:lineRule="auto" w:before="49"/>
        <w:ind w:right="6434"/>
        <w:jc w:val="left"/>
      </w:pPr>
      <w:r>
        <w:rPr/>
        <w:t>子公司少数股东的持股比例不同于表决权比例的说明： 其他说明：</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bookmarkStart w:name="（3）重要非全资子公司的主要财务信息" w:id="343"/>
      <w:bookmarkEnd w:id="343"/>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3"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298"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河北先 河金瑞 环保设 施运营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89,632.4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17,340.9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106,973.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71" w:right="0"/>
              <w:jc w:val="left"/>
              <w:rPr>
                <w:rFonts w:ascii="Times New Roman" w:hAnsi="Times New Roman" w:cs="Times New Roman" w:eastAsia="Times New Roman" w:hint="default"/>
                <w:sz w:val="18"/>
                <w:szCs w:val="18"/>
              </w:rPr>
            </w:pPr>
            <w:r>
              <w:rPr>
                <w:rFonts w:ascii="Times New Roman"/>
                <w:sz w:val="18"/>
              </w:rPr>
              <w:t>8,301,42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3.94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72" w:right="0"/>
              <w:jc w:val="left"/>
              <w:rPr>
                <w:rFonts w:ascii="Times New Roman" w:hAnsi="Times New Roman" w:cs="Times New Roman" w:eastAsia="Times New Roman" w:hint="default"/>
                <w:sz w:val="18"/>
                <w:szCs w:val="18"/>
              </w:rPr>
            </w:pPr>
            <w:r>
              <w:rPr>
                <w:rFonts w:ascii="Times New Roman"/>
                <w:sz w:val="18"/>
              </w:rPr>
              <w:t>8,301,42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3.94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z w:val="18"/>
              </w:rPr>
              <w:t>217,401.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17,340.9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234,742.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74" w:right="0"/>
              <w:jc w:val="left"/>
              <w:rPr>
                <w:rFonts w:ascii="Times New Roman" w:hAnsi="Times New Roman" w:cs="Times New Roman" w:eastAsia="Times New Roman" w:hint="default"/>
                <w:sz w:val="18"/>
                <w:szCs w:val="18"/>
              </w:rPr>
            </w:pPr>
            <w:r>
              <w:rPr>
                <w:rFonts w:ascii="Times New Roman"/>
                <w:sz w:val="18"/>
              </w:rPr>
              <w:t>8,231,94</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1.32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72" w:right="0"/>
              <w:jc w:val="left"/>
              <w:rPr>
                <w:rFonts w:ascii="Times New Roman" w:hAnsi="Times New Roman" w:cs="Times New Roman" w:eastAsia="Times New Roman" w:hint="default"/>
                <w:sz w:val="18"/>
                <w:szCs w:val="18"/>
              </w:rPr>
            </w:pPr>
            <w:r>
              <w:rPr>
                <w:rFonts w:ascii="Times New Roman"/>
                <w:sz w:val="18"/>
              </w:rPr>
              <w:t>8,231,94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1.32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67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61"/>
              <w:jc w:val="left"/>
              <w:rPr>
                <w:rFonts w:ascii="宋体" w:hAnsi="宋体" w:cs="宋体" w:eastAsia="宋体" w:hint="default"/>
                <w:sz w:val="18"/>
                <w:szCs w:val="18"/>
              </w:rPr>
            </w:pPr>
            <w:r>
              <w:rPr>
                <w:rFonts w:ascii="宋体" w:hAnsi="宋体" w:cs="宋体" w:eastAsia="宋体" w:hint="default"/>
                <w:sz w:val="18"/>
                <w:szCs w:val="18"/>
              </w:rPr>
              <w:t>服务有 限公司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重庆冀 华环保 科技发 展有限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68,687,9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75.02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692,033.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69,380,0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08.50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72,195,3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67.19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72,195,3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67.19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81,151,7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60.93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1,645,65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82,797,4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19.23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80,767,2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39.42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80,767,2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39.42</w:t>
            </w:r>
          </w:p>
        </w:tc>
      </w:tr>
      <w:tr>
        <w:trPr>
          <w:trHeight w:val="165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1"/>
              <w:jc w:val="left"/>
              <w:rPr>
                <w:rFonts w:ascii="Times New Roman" w:hAnsi="Times New Roman" w:cs="Times New Roman" w:eastAsia="Times New Roman" w:hint="default"/>
                <w:sz w:val="18"/>
                <w:szCs w:val="18"/>
              </w:rPr>
            </w:pPr>
            <w:r>
              <w:rPr>
                <w:rFonts w:ascii="Times New Roman"/>
                <w:sz w:val="18"/>
              </w:rPr>
              <w:t>SUNSET CES INCORP</w:t>
            </w:r>
            <w:r>
              <w:rPr>
                <w:rFonts w:ascii="Times New Roman"/>
                <w:w w:val="99"/>
                <w:sz w:val="18"/>
              </w:rPr>
              <w:t> </w:t>
            </w:r>
            <w:r>
              <w:rPr>
                <w:rFonts w:ascii="Times New Roman"/>
                <w:spacing w:val="-5"/>
                <w:sz w:val="18"/>
              </w:rPr>
              <w:t>ORATE</w:t>
            </w:r>
            <w:r>
              <w:rPr>
                <w:rFonts w:ascii="Times New Roman"/>
                <w:spacing w:val="-43"/>
                <w:sz w:val="18"/>
              </w:rPr>
              <w:t> </w:t>
            </w:r>
            <w:r>
              <w:rPr>
                <w:rFonts w:ascii="Times New Roman"/>
                <w:spacing w:val="-43"/>
                <w:sz w:val="18"/>
              </w:rPr>
            </w:r>
            <w:r>
              <w:rPr>
                <w:rFonts w:ascii="Times New Roman"/>
                <w:sz w:val="18"/>
              </w:rPr>
              <w:t>D</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30,768,4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10.17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5,274,91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36,043,3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22.88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9,811,28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3.24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9,811,28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3.24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34,427,1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70.95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65,255,7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67.03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99,682,9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37.98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9,388,41</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3.12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9,388,41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3.12</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广东科 迪隆科 技有限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178,876,</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911.03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17,202,1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196,079,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072.75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104,856,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568.63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104,856,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568.63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197,631,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336.89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11,147,5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74.33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208,778,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911.22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90,702,6</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46.85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90,702,6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46.85</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广西先 得环保 科技有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72,897,8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62.07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5,940,44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78,838,3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03.13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37,241,5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88.10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37,241,5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88.10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76,284,4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48.66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5,944,15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82,228,6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03.45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38,498,4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06.34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38,498,4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06.34</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四川久 环环境 技术有 限责任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32,331,6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79.01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1,004,13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33,335,8</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11.76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21,619,7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22.17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39,839.1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21,659,5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61.35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48,518,5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60.03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1,165,20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49,683,7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62.29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39,422,2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25.12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279,678.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39,701,9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03.48</w:t>
            </w:r>
          </w:p>
        </w:tc>
      </w:tr>
    </w:tbl>
    <w:p>
      <w:pPr>
        <w:pStyle w:val="BodyText"/>
        <w:spacing w:line="240" w:lineRule="auto" w:before="4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1"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33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河北先河金 瑞环保设施 运营服务有 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-197,251.50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-197,251.50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-1,845.42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-1,232,810.95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-1,232,810.95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-191,010.49</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重庆冀华环 保科技发展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6,011,904.32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-4,845,538.50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-4,845,538.50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-2,576,847.43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20,563,349.1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-2,763,431.85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-2,763,431.85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508,127.40</w:t>
            </w:r>
          </w:p>
        </w:tc>
      </w:tr>
      <w:tr>
        <w:trPr>
          <w:trHeight w:val="133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13"/>
              <w:jc w:val="left"/>
              <w:rPr>
                <w:rFonts w:ascii="Times New Roman" w:hAnsi="Times New Roman" w:cs="Times New Roman" w:eastAsia="Times New Roman" w:hint="default"/>
                <w:sz w:val="18"/>
                <w:szCs w:val="18"/>
              </w:rPr>
            </w:pPr>
            <w:r>
              <w:rPr>
                <w:rFonts w:ascii="Times New Roman"/>
                <w:sz w:val="18"/>
              </w:rPr>
              <w:t>SUNSET CES INCORPOR</w:t>
            </w:r>
            <w:r>
              <w:rPr>
                <w:rFonts w:ascii="Times New Roman"/>
                <w:w w:val="99"/>
                <w:sz w:val="18"/>
              </w:rPr>
              <w:t> </w:t>
            </w:r>
            <w:r>
              <w:rPr>
                <w:rFonts w:ascii="Times New Roman"/>
                <w:spacing w:val="-6"/>
                <w:sz w:val="18"/>
              </w:rPr>
              <w:t>ATED</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54,931,543.5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-915,167.47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-385,152.38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2,752,496.97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67,369,357.0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3,482,609.53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4,919,153.27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-1,206,923.65</w:t>
            </w: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广东科迪隆</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3" w:right="0"/>
              <w:jc w:val="center"/>
              <w:rPr>
                <w:rFonts w:ascii="Times New Roman" w:hAnsi="Times New Roman" w:cs="Times New Roman" w:eastAsia="Times New Roman" w:hint="default"/>
                <w:sz w:val="18"/>
                <w:szCs w:val="18"/>
              </w:rPr>
            </w:pPr>
            <w:r>
              <w:rPr>
                <w:rFonts w:ascii="Times New Roman"/>
                <w:sz w:val="18"/>
              </w:rPr>
              <w:t>144,768,620.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3,779,133.09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3,779,133.09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18,821,001.8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5" w:right="0"/>
              <w:jc w:val="center"/>
              <w:rPr>
                <w:rFonts w:ascii="Times New Roman" w:hAnsi="Times New Roman" w:cs="Times New Roman" w:eastAsia="Times New Roman" w:hint="default"/>
                <w:sz w:val="18"/>
                <w:szCs w:val="18"/>
              </w:rPr>
            </w:pPr>
            <w:r>
              <w:rPr>
                <w:rFonts w:ascii="Times New Roman"/>
                <w:sz w:val="18"/>
              </w:rPr>
              <w:t>138,607,703.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4" w:right="0"/>
              <w:jc w:val="center"/>
              <w:rPr>
                <w:rFonts w:ascii="Times New Roman" w:hAnsi="Times New Roman" w:cs="Times New Roman" w:eastAsia="Times New Roman" w:hint="default"/>
                <w:sz w:val="18"/>
                <w:szCs w:val="18"/>
              </w:rPr>
            </w:pPr>
            <w:r>
              <w:rPr>
                <w:rFonts w:ascii="Times New Roman"/>
                <w:sz w:val="18"/>
              </w:rPr>
              <w:t>18,721,766.6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18,721,766.6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13,317,573.3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67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25"/>
              <w:jc w:val="left"/>
              <w:rPr>
                <w:rFonts w:ascii="宋体" w:hAnsi="宋体" w:cs="宋体" w:eastAsia="宋体" w:hint="default"/>
                <w:sz w:val="18"/>
                <w:szCs w:val="18"/>
              </w:rPr>
            </w:pPr>
            <w:r>
              <w:rPr>
                <w:rFonts w:ascii="宋体" w:hAnsi="宋体" w:cs="宋体" w:eastAsia="宋体" w:hint="default"/>
                <w:sz w:val="18"/>
                <w:szCs w:val="18"/>
              </w:rPr>
              <w:t>科技有限公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04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广西先得环 保科技有限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42,495,604.3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1,870,517.92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1,870,517.92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5,411,279.87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66,289,316.4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3,833,698.84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3,833,698.84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1,021,065.01</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四川久环环 境技术有限 责任公司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22,213,412.5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1,694,391.60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1,694,391.60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902,525.45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38,705,935.7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5,467,442.14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5,467,442.14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-2,070,608.05</w:t>
            </w:r>
          </w:p>
        </w:tc>
      </w:tr>
    </w:tbl>
    <w:p>
      <w:pPr>
        <w:pStyle w:val="BodyText"/>
        <w:spacing w:line="240" w:lineRule="auto" w:before="49"/>
        <w:ind w:right="1133"/>
        <w:jc w:val="left"/>
      </w:pPr>
      <w:r>
        <w:rPr/>
        <w:t>其他说明：</w:t>
      </w:r>
    </w:p>
    <w:p>
      <w:pPr>
        <w:spacing w:line="240" w:lineRule="auto" w:before="1"/>
        <w:rPr>
          <w:rFonts w:ascii="宋体" w:hAnsi="宋体" w:cs="宋体" w:eastAsia="宋体" w:hint="default"/>
          <w:sz w:val="25"/>
          <w:szCs w:val="25"/>
        </w:rPr>
      </w:pPr>
    </w:p>
    <w:p>
      <w:pPr>
        <w:pStyle w:val="Heading2"/>
        <w:spacing w:line="240" w:lineRule="auto"/>
        <w:ind w:right="1133"/>
        <w:jc w:val="left"/>
        <w:rPr>
          <w:b w:val="0"/>
          <w:bCs w:val="0"/>
        </w:rPr>
      </w:pPr>
      <w:bookmarkStart w:name="十、与金融工具相关的风险" w:id="344"/>
      <w:bookmarkEnd w:id="344"/>
      <w:r>
        <w:rPr>
          <w:b w:val="0"/>
          <w:bCs w:val="0"/>
        </w:rPr>
      </w: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4" w:firstLine="360"/>
        <w:jc w:val="both"/>
      </w:pPr>
      <w:r>
        <w:rPr/>
        <w:t>本公司从事风险管理的目标是在风险和收益之间取得适当的平衡，将风险对本公司经营业绩的负面影响降低到最低水</w:t>
      </w:r>
      <w:r>
        <w:rPr>
          <w:spacing w:val="2"/>
        </w:rPr>
        <w:t> </w:t>
      </w:r>
      <w:r>
        <w:rPr>
          <w:spacing w:val="-2"/>
        </w:rPr>
        <w:t>平，使股东及其他权益投资者的利益最大化。基于该风险管理目标，本公司风险管理的基本策略是确定和分析本公司所面临</w:t>
      </w:r>
      <w:r>
        <w:rPr>
          <w:spacing w:val="-63"/>
        </w:rPr>
        <w:t> </w:t>
      </w:r>
      <w:r>
        <w:rPr>
          <w:spacing w:val="-63"/>
        </w:rPr>
      </w:r>
      <w:r>
        <w:rPr>
          <w:spacing w:val="-4"/>
        </w:rPr>
        <w:t>的各种风险，建立适当的风险承受底线和进行风险管理，并及时可靠地对各种风险进行监督，将风险控制在限定的范围之内。</w:t>
      </w:r>
    </w:p>
    <w:p>
      <w:pPr>
        <w:pStyle w:val="BodyText"/>
        <w:spacing w:line="316" w:lineRule="auto" w:before="19"/>
        <w:ind w:right="1132" w:firstLine="360"/>
        <w:jc w:val="both"/>
      </w:pPr>
      <w:r>
        <w:rPr>
          <w:spacing w:val="-2"/>
        </w:rPr>
        <w:t>本公司的主要金融工具包括股权投资、借款、应收账款、应付账款等，各项金融工具的详细情况说明见本附注六相关项</w:t>
      </w:r>
      <w:r>
        <w:rPr/>
        <w:t> 目。与这些金融工具有关的风险，主要包括市场风险、信用风险和流动风险。</w:t>
      </w:r>
    </w:p>
    <w:p>
      <w:pPr>
        <w:pStyle w:val="Heading4"/>
        <w:spacing w:line="240" w:lineRule="auto" w:before="139"/>
        <w:ind w:right="1133"/>
        <w:jc w:val="left"/>
        <w:rPr>
          <w:b w:val="0"/>
          <w:bCs w:val="0"/>
        </w:rPr>
      </w:pPr>
      <w:r>
        <w:rPr>
          <w:rFonts w:ascii="Times New Roman" w:hAnsi="Times New Roman" w:cs="Times New Roman" w:eastAsia="Times New Roman" w:hint="default"/>
        </w:rPr>
        <w:t>1</w:t>
      </w:r>
      <w:r>
        <w:rPr/>
        <w:t>、市场风险</w:t>
      </w:r>
      <w:r>
        <w:rPr>
          <w:b w:val="0"/>
          <w:bCs w:val="0"/>
        </w:rPr>
      </w:r>
    </w:p>
    <w:p>
      <w:pPr>
        <w:spacing w:line="240" w:lineRule="auto" w:before="13"/>
        <w:rPr>
          <w:rFonts w:ascii="宋体" w:hAnsi="宋体" w:cs="宋体" w:eastAsia="宋体" w:hint="default"/>
          <w:b/>
          <w:bCs/>
          <w:sz w:val="13"/>
          <w:szCs w:val="13"/>
        </w:rPr>
      </w:pPr>
    </w:p>
    <w:p>
      <w:pPr>
        <w:pStyle w:val="BodyText"/>
        <w:spacing w:line="300" w:lineRule="auto"/>
        <w:ind w:left="513" w:right="1129"/>
        <w:jc w:val="left"/>
      </w:pPr>
      <w:r>
        <w:rPr/>
        <w:t>（</w:t>
      </w:r>
      <w:r>
        <w:rPr>
          <w:rFonts w:ascii="Times New Roman" w:hAnsi="Times New Roman" w:cs="Times New Roman" w:eastAsia="Times New Roman" w:hint="default"/>
        </w:rPr>
        <w:t>1</w:t>
      </w:r>
      <w:r>
        <w:rPr/>
        <w:t>）外汇风险 </w:t>
      </w:r>
      <w:r>
        <w:rPr>
          <w:spacing w:val="-2"/>
        </w:rPr>
        <w:t>外汇风险指因汇率变动产生损失的风险。于本财务报告年间，由于本公司的主要经营业务开展于中国大陆，其主要的收</w:t>
      </w:r>
    </w:p>
    <w:p>
      <w:pPr>
        <w:pStyle w:val="BodyText"/>
        <w:spacing w:line="240" w:lineRule="auto" w:before="31"/>
        <w:ind w:right="1133"/>
        <w:jc w:val="left"/>
      </w:pPr>
      <w:r>
        <w:rPr/>
        <w:t>入和支出主要以人民币计价。外币汇率的浮动对本公司的经营业绩预期并不产生重大影响。</w:t>
      </w:r>
    </w:p>
    <w:p>
      <w:pPr>
        <w:pStyle w:val="BodyText"/>
        <w:spacing w:line="300" w:lineRule="auto" w:before="136"/>
        <w:ind w:right="1133" w:firstLine="360"/>
        <w:jc w:val="both"/>
      </w:pPr>
      <w:r>
        <w:rPr/>
        <w:t>（</w:t>
      </w:r>
      <w:r>
        <w:rPr>
          <w:rFonts w:ascii="Times New Roman" w:hAnsi="Times New Roman" w:cs="Times New Roman" w:eastAsia="Times New Roman" w:hint="default"/>
        </w:rPr>
        <w:t>2</w:t>
      </w:r>
      <w:r>
        <w:rPr/>
        <w:t>）利率风险：是指金融工具的公允价值或未来现金流量因市场利率变动而发生波动的风险。本公司面临的市场风险 主要与本公司以浮动利率计息的借款有关。</w:t>
      </w:r>
    </w:p>
    <w:p>
      <w:pPr>
        <w:pStyle w:val="BodyText"/>
        <w:spacing w:line="300" w:lineRule="auto" w:before="31"/>
        <w:ind w:left="513" w:right="1129"/>
        <w:jc w:val="left"/>
      </w:pPr>
      <w:r>
        <w:rPr>
          <w:rFonts w:ascii="Times New Roman" w:hAnsi="Times New Roman" w:cs="Times New Roman" w:eastAsia="Times New Roman" w:hint="default"/>
          <w:b/>
          <w:bCs/>
        </w:rPr>
        <w:t>2</w:t>
      </w:r>
      <w:r>
        <w:rPr>
          <w:rFonts w:ascii="宋体" w:hAnsi="宋体" w:cs="宋体" w:eastAsia="宋体" w:hint="default"/>
          <w:b/>
          <w:bCs/>
        </w:rPr>
        <w:t>、信用风险</w:t>
      </w:r>
      <w:r>
        <w:rPr>
          <w:rFonts w:ascii="宋体" w:hAnsi="宋体" w:cs="宋体" w:eastAsia="宋体" w:hint="default"/>
          <w:b/>
          <w:bCs/>
          <w:w w:val="99"/>
        </w:rPr>
        <w:t> </w:t>
      </w:r>
      <w:r>
        <w:rPr>
          <w:spacing w:val="-2"/>
        </w:rPr>
        <w:t>信用风险，是指金融工具的一方不能履行义务，造成另一方发生财务损失的风险。本公司的信用风险来自银行存款、应</w:t>
      </w:r>
    </w:p>
    <w:p>
      <w:pPr>
        <w:pStyle w:val="BodyText"/>
        <w:spacing w:line="240" w:lineRule="auto" w:before="31"/>
        <w:ind w:right="1133"/>
        <w:jc w:val="left"/>
      </w:pPr>
      <w:r>
        <w:rPr/>
        <w:t>收款项。</w:t>
      </w:r>
    </w:p>
    <w:p>
      <w:pPr>
        <w:pStyle w:val="BodyText"/>
        <w:spacing w:line="316" w:lineRule="auto" w:before="76"/>
        <w:ind w:left="513" w:right="1129"/>
        <w:jc w:val="left"/>
      </w:pPr>
      <w:r>
        <w:rPr/>
        <w:t>本公司的大部分银行存款存放在信用评级较高的大型国有银行，本公司认为该等资产不存在重大的信用风险。 </w:t>
      </w:r>
      <w:r>
        <w:rPr>
          <w:spacing w:val="-2"/>
        </w:rPr>
        <w:t>对于应收账款、其他应收款和应收票据，销售部基于财务状况、历史经验及其它因素来评估客户的信用品质。本公司定</w:t>
      </w:r>
    </w:p>
    <w:p>
      <w:pPr>
        <w:pStyle w:val="BodyText"/>
        <w:spacing w:line="316" w:lineRule="auto" w:before="19"/>
        <w:ind w:right="1133"/>
        <w:jc w:val="left"/>
      </w:pPr>
      <w:r>
        <w:rPr/>
        <w:t>期评估客户的信用品质并且认为在财务报表中已经计提了足额坏账准备。管理层认为不存在由于对方违约带来的进一步损</w:t>
      </w:r>
      <w:r>
        <w:rPr>
          <w:spacing w:val="-11"/>
        </w:rPr>
        <w:t> </w:t>
      </w:r>
      <w:r>
        <w:rPr>
          <w:spacing w:val="-11"/>
        </w:rPr>
      </w:r>
      <w:r>
        <w:rPr/>
        <w:t>失。</w:t>
      </w:r>
    </w:p>
    <w:p>
      <w:pPr>
        <w:pStyle w:val="BodyText"/>
        <w:spacing w:line="240" w:lineRule="auto" w:before="19"/>
        <w:ind w:left="513" w:right="1133"/>
        <w:jc w:val="left"/>
      </w:pPr>
      <w:r>
        <w:rPr/>
        <w:t>由于本公司的风险敞口分布在多个合同方和多个客户，因此本公司没有重大的信用集中风险。</w:t>
      </w:r>
    </w:p>
    <w:p>
      <w:pPr>
        <w:pStyle w:val="BodyText"/>
        <w:spacing w:line="300" w:lineRule="auto" w:before="76"/>
        <w:ind w:left="513" w:right="1129"/>
        <w:jc w:val="left"/>
      </w:pPr>
      <w:r>
        <w:rPr>
          <w:rFonts w:ascii="Times New Roman" w:hAnsi="Times New Roman" w:cs="Times New Roman" w:eastAsia="Times New Roman" w:hint="default"/>
          <w:b/>
          <w:bCs/>
        </w:rPr>
        <w:t>3</w:t>
      </w:r>
      <w:r>
        <w:rPr>
          <w:rFonts w:ascii="宋体" w:hAnsi="宋体" w:cs="宋体" w:eastAsia="宋体" w:hint="default"/>
          <w:b/>
          <w:bCs/>
        </w:rPr>
        <w:t>、流动风险</w:t>
      </w:r>
      <w:r>
        <w:rPr>
          <w:rFonts w:ascii="宋体" w:hAnsi="宋体" w:cs="宋体" w:eastAsia="宋体" w:hint="default"/>
          <w:b/>
          <w:bCs/>
          <w:w w:val="99"/>
        </w:rPr>
        <w:t> </w:t>
      </w:r>
      <w:r>
        <w:rPr>
          <w:spacing w:val="-2"/>
        </w:rPr>
        <w:t>流动风险，是指企业在履行以交付现金或其他金融资产的方式结算的义务时发生资金短缺的风险。管理流动风险时，本</w:t>
      </w:r>
    </w:p>
    <w:p>
      <w:pPr>
        <w:pStyle w:val="BodyText"/>
        <w:spacing w:line="240" w:lineRule="auto" w:before="32"/>
        <w:ind w:right="1133"/>
        <w:jc w:val="left"/>
      </w:pPr>
      <w:r>
        <w:rPr/>
        <w:t>公司保持管理层认为充分的现金及现金等价物并对其进行监控，以满足本公司经营需要，并降低现金流量波动的影响。</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bookmarkStart w:name="十一、关联方及关联交易" w:id="345"/>
      <w:bookmarkEnd w:id="345"/>
      <w:r>
        <w:rPr>
          <w:b w:val="0"/>
          <w:bCs w:val="0"/>
        </w:rPr>
      </w:r>
      <w:r>
        <w:rPr/>
        <w:t>十一、关联方及关联交易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本企业的母公司情况" w:id="346"/>
      <w:bookmarkEnd w:id="346"/>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240" w:lineRule="auto" w:before="49"/>
        <w:ind w:right="1133"/>
        <w:jc w:val="left"/>
      </w:pPr>
      <w:r>
        <w:rPr/>
        <w:t>本企业的母公司情况的说明</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3" w:firstLine="499"/>
        <w:jc w:val="left"/>
      </w:pPr>
      <w:r>
        <w:rPr>
          <w:spacing w:val="-2"/>
        </w:rPr>
        <w:t>本公司第一大股东和实际控制人为：李玉国，截止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日李玉国持股比例和表决权比例同为</w:t>
      </w:r>
      <w:r>
        <w:rPr>
          <w:rFonts w:ascii="Times New Roman" w:hAnsi="Times New Roman" w:cs="Times New Roman" w:eastAsia="Times New Roman" w:hint="default"/>
          <w:spacing w:val="-2"/>
        </w:rPr>
        <w:t>14.86%</w:t>
      </w:r>
      <w:r>
        <w:rPr>
          <w:spacing w:val="-2"/>
        </w:rPr>
        <w:t>。本公司</w:t>
      </w:r>
      <w:r>
        <w:rPr/>
        <w:t> 最终控制人为李玉国。</w:t>
      </w:r>
    </w:p>
    <w:p>
      <w:pPr>
        <w:pStyle w:val="BodyText"/>
        <w:spacing w:line="357" w:lineRule="auto" w:before="72"/>
        <w:ind w:right="8414"/>
        <w:jc w:val="left"/>
      </w:pPr>
      <w:r>
        <w:rPr/>
        <w:t>本企业最终控制方是李玉国。 其他说明：</w:t>
      </w:r>
    </w:p>
    <w:p>
      <w:pPr>
        <w:spacing w:line="240" w:lineRule="auto" w:before="6"/>
        <w:rPr>
          <w:rFonts w:ascii="宋体" w:hAnsi="宋体" w:cs="宋体" w:eastAsia="宋体" w:hint="default"/>
          <w:sz w:val="20"/>
          <w:szCs w:val="20"/>
        </w:rPr>
      </w:pPr>
    </w:p>
    <w:p>
      <w:pPr>
        <w:spacing w:line="547" w:lineRule="auto" w:before="0"/>
        <w:ind w:left="152" w:right="6164" w:firstLine="0"/>
        <w:jc w:val="left"/>
        <w:rPr>
          <w:rFonts w:ascii="宋体" w:hAnsi="宋体" w:cs="宋体" w:eastAsia="宋体" w:hint="default"/>
          <w:sz w:val="21"/>
          <w:szCs w:val="21"/>
        </w:rPr>
      </w:pPr>
      <w:bookmarkStart w:name="2、本企业的子公司情况" w:id="347"/>
      <w:bookmarkEnd w:id="34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关联交易情况" w:id="348"/>
      <w:bookmarkEnd w:id="348"/>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、关联交易情况</w:t>
      </w:r>
      <w:r>
        <w:rPr>
          <w:rFonts w:ascii="宋体" w:hAnsi="宋体" w:cs="宋体" w:eastAsia="宋体" w:hint="default"/>
          <w:sz w:val="21"/>
          <w:szCs w:val="21"/>
        </w:rPr>
      </w:r>
    </w:p>
    <w:p>
      <w:pPr>
        <w:pStyle w:val="Heading3"/>
        <w:spacing w:line="240" w:lineRule="auto" w:before="23"/>
        <w:ind w:right="1133"/>
        <w:jc w:val="left"/>
        <w:rPr>
          <w:b w:val="0"/>
          <w:bCs w:val="0"/>
        </w:rPr>
      </w:pPr>
      <w:bookmarkStart w:name="（1）关键管理人员报酬" w:id="349"/>
      <w:bookmarkEnd w:id="349"/>
      <w:r>
        <w:rPr>
          <w:b w:val="0"/>
          <w:bCs w:val="0"/>
        </w:rPr>
      </w:r>
      <w:r>
        <w:rPr/>
        <w:t>（</w:t>
      </w:r>
      <w:r>
        <w:rPr>
          <w:rFonts w:ascii="Times New Roman" w:hAnsi="Times New Roman" w:cs="Times New Roman" w:eastAsia="Times New Roman" w:hint="default"/>
        </w:rPr>
        <w:t>1</w:t>
      </w:r>
      <w:r>
        <w:rPr/>
        <w:t>）关键管理人员报酬</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3,043,281.19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2,336,654.40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关联方承诺" w:id="350"/>
      <w:bookmarkEnd w:id="350"/>
      <w:r>
        <w:rPr>
          <w:b w:val="0"/>
          <w:bCs w:val="0"/>
        </w:rPr>
      </w:r>
      <w:r>
        <w:rPr>
          <w:rFonts w:ascii="Times New Roman" w:hAnsi="Times New Roman" w:cs="Times New Roman" w:eastAsia="Times New Roman" w:hint="default"/>
        </w:rPr>
        <w:t>4</w:t>
      </w:r>
      <w:r>
        <w:rPr/>
        <w:t>、关联方承诺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66" w:right="1133"/>
        <w:jc w:val="left"/>
      </w:pPr>
      <w:r>
        <w:rPr/>
        <w:t>报告期内本公司未发生关联方承诺事项。</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bookmarkStart w:name="十二、承诺及或有事项" w:id="351"/>
      <w:bookmarkEnd w:id="351"/>
      <w:r>
        <w:rPr>
          <w:b w:val="0"/>
          <w:bCs w:val="0"/>
        </w:rPr>
      </w:r>
      <w:r>
        <w:rPr/>
        <w:t>十二、承诺及或有事项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重要承诺事项" w:id="352"/>
      <w:bookmarkEnd w:id="352"/>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left="566" w:right="7820" w:hanging="414"/>
        <w:jc w:val="left"/>
      </w:pPr>
      <w:r>
        <w:rPr/>
        <w:t>资产负债表日存在的重要承诺 本公司无需披露的重大承诺事项</w:t>
      </w:r>
    </w:p>
    <w:p>
      <w:pPr>
        <w:spacing w:line="240" w:lineRule="auto" w:before="4"/>
        <w:rPr>
          <w:rFonts w:ascii="宋体" w:hAnsi="宋体" w:cs="宋体" w:eastAsia="宋体" w:hint="default"/>
          <w:sz w:val="20"/>
          <w:szCs w:val="20"/>
        </w:rPr>
      </w:pPr>
    </w:p>
    <w:p>
      <w:pPr>
        <w:pStyle w:val="Heading3"/>
        <w:spacing w:line="240" w:lineRule="auto"/>
        <w:ind w:right="1133"/>
        <w:jc w:val="left"/>
        <w:rPr>
          <w:b w:val="0"/>
          <w:bCs w:val="0"/>
        </w:rPr>
      </w:pPr>
      <w:bookmarkStart w:name="2、或有事项" w:id="353"/>
      <w:bookmarkEnd w:id="353"/>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资产负债表日存在的重要或有事项" w:id="354"/>
      <w:bookmarkEnd w:id="354"/>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spacing w:val="-3"/>
        </w:rPr>
        <w:t>截止</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日，本公司已开具未到期的信用保函共计</w:t>
      </w:r>
      <w:r>
        <w:rPr>
          <w:rFonts w:ascii="Times New Roman" w:hAnsi="Times New Roman" w:cs="Times New Roman" w:eastAsia="Times New Roman" w:hint="default"/>
          <w:spacing w:val="-3"/>
        </w:rPr>
        <w:t>16,471,885.00</w:t>
      </w:r>
      <w:r>
        <w:rPr>
          <w:spacing w:val="-3"/>
        </w:rPr>
        <w:t>元，本期末不存在已到期尚未释放的信用保函。</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bookmarkStart w:name="（2）公司没有需要披露的重要或有事项，也应予以说明" w:id="355"/>
      <w:bookmarkEnd w:id="355"/>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right="1133"/>
        <w:jc w:val="left"/>
        <w:rPr>
          <w:b w:val="0"/>
          <w:bCs w:val="0"/>
        </w:rPr>
      </w:pPr>
      <w:bookmarkStart w:name="十三、资产负债表日后事项" w:id="356"/>
      <w:bookmarkEnd w:id="356"/>
      <w:r>
        <w:rPr>
          <w:b w:val="0"/>
          <w:bCs w:val="0"/>
        </w:rPr>
      </w:r>
      <w:r>
        <w:rPr/>
        <w:t>十三、资产负债表日后事项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利润分配情况" w:id="357"/>
      <w:bookmarkEnd w:id="357"/>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54,537,401.00</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十四、母公司财务报表主要项目注释" w:id="358"/>
      <w:bookmarkEnd w:id="358"/>
      <w:r>
        <w:rPr>
          <w:b w:val="0"/>
          <w:bCs w:val="0"/>
        </w:rPr>
      </w:r>
      <w:r>
        <w:rPr/>
        <w:t>十四、母公司财务报表主要项目注释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应收账款" w:id="359"/>
      <w:bookmarkEnd w:id="359"/>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收账款分类披露" w:id="360"/>
      <w:bookmarkEnd w:id="36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5"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715,650,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012.42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135,872,</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095.04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18.99%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579,777,9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17.38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628,001,5</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08.42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123,867,1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24.24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19.72%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504,134,38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4.18</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其中：账龄组合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604,256,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369.04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84.43%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135,872,</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095.04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22.49%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468,384,2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74.00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539,920,0</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58.79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85.97%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123,867,1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24.24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22.94%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416,052,93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4.55</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111,393,6</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43.38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15.57%</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111,393,6</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43.38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88,081,44</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9.63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14.03%</w:t>
            </w: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88,081,449.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63</w:t>
            </w: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715,650,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012.42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135,872,</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095.04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18.99%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579,777,9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17.38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628,001,5</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08.42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123,867,1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24.24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19.72%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504,134,38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4.18</w:t>
            </w:r>
          </w:p>
        </w:tc>
      </w:tr>
    </w:tbl>
    <w:p>
      <w:pPr>
        <w:pStyle w:val="BodyText"/>
        <w:spacing w:line="240" w:lineRule="auto" w:before="49"/>
        <w:ind w:right="1133"/>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33"/>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135,872,095.04</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394,811,510.66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19,740,575.53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81,085,553.35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8,108,555.34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29,051,915.52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8,715,574.66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99,307,389.51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99,307,389.51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604,256,369.04</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135,872,095.04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left="573" w:right="1133" w:hanging="421"/>
        <w:jc w:val="left"/>
      </w:pPr>
      <w:r>
        <w:rPr/>
        <w:t>确定该组合依据的说明： 对于划分为账龄组合的应收款项，本公司参考历史信用损失经验，结合当前状况以及对未来经济状况的预测，编制应</w:t>
      </w:r>
    </w:p>
    <w:p>
      <w:pPr>
        <w:spacing w:after="0" w:line="36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0" w:top="1060" w:bottom="1160" w:left="980" w:right="0"/>
        </w:sectPr>
      </w:pPr>
    </w:p>
    <w:p>
      <w:pPr>
        <w:pStyle w:val="BodyText"/>
        <w:spacing w:line="360" w:lineRule="auto" w:before="44"/>
        <w:ind w:right="-20"/>
        <w:jc w:val="left"/>
      </w:pPr>
      <w:r>
        <w:rPr/>
        <w:t>收款项账龄与整个存续期预期信用损失率对照表，计算预期信用损失。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5733" w:space="309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3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441,078,593.18</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108,598,629.16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61,427,321.52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104,545,468.56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17,157,339.55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22,029,362.46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65,358,766.55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715,650,012.42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本期计提、收回或转回的坏账准备情况" w:id="361"/>
      <w:bookmarkEnd w:id="36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按组合计提坏账 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123,867,124.24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12,004,970.80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135,872,095.04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123,867,124.24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12,004,970.80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135,872,095.04</w:t>
            </w:r>
          </w:p>
        </w:tc>
      </w:tr>
    </w:tbl>
    <w:p>
      <w:pPr>
        <w:pStyle w:val="BodyText"/>
        <w:spacing w:line="240" w:lineRule="auto" w:before="49"/>
        <w:ind w:right="1133"/>
        <w:jc w:val="left"/>
      </w:pPr>
      <w:r>
        <w:rPr/>
        <w:t>其中本期坏账准备收回或转回金额重要的：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3"/>
        <w:spacing w:line="240" w:lineRule="auto" w:before="36"/>
        <w:ind w:right="1133"/>
        <w:jc w:val="left"/>
        <w:rPr>
          <w:b w:val="0"/>
          <w:bCs w:val="0"/>
        </w:rPr>
      </w:pPr>
      <w:bookmarkStart w:name="（3）按欠款方归集的期末余额前五名的应收账款情况" w:id="362"/>
      <w:bookmarkEnd w:id="362"/>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76"/>
        <w:gridCol w:w="1807"/>
        <w:gridCol w:w="2393"/>
        <w:gridCol w:w="2381"/>
      </w:tblGrid>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0" w:right="0"/>
              <w:jc w:val="left"/>
              <w:rPr>
                <w:rFonts w:ascii="宋体" w:hAnsi="宋体" w:cs="宋体" w:eastAsia="宋体" w:hint="default"/>
                <w:sz w:val="18"/>
                <w:szCs w:val="18"/>
              </w:rPr>
            </w:pPr>
            <w:r>
              <w:rPr>
                <w:rFonts w:ascii="宋体" w:hAnsi="宋体" w:cs="宋体" w:eastAsia="宋体" w:hint="default"/>
                <w:sz w:val="18"/>
                <w:szCs w:val="18"/>
              </w:rPr>
              <w:t>占应收账款期末余额合计数</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77"/>
        <w:gridCol w:w="1807"/>
        <w:gridCol w:w="2393"/>
        <w:gridCol w:w="2393"/>
      </w:tblGrid>
      <w:tr>
        <w:trPr>
          <w:trHeight w:val="36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重庆冀华环保科技发展有限公司</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43,750,078.95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定州市生态环境局</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27,312,600.00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1,365,630.00</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河北先河正达环保技术服务有限公司</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21,004,287.19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四川先河环保科技有限公司</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19,609,451.76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唐山市环境保护局遵化市分局</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18,105,000.00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905,250.00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129,781,417.90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18.13%</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其他应收款" w:id="363"/>
      <w:bookmarkEnd w:id="363"/>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157,136,288.10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193,527,072.46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157,136,288.10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193,527,072.46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其他应收款" w:id="364"/>
      <w:bookmarkEnd w:id="364"/>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其他应收款按款项性质分类情况" w:id="365"/>
      <w:bookmarkEnd w:id="365"/>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24,212,534.83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61,532,848.57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6,877,142.47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6,876,796.79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130,584,865.84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137,073,375.02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11,529,613.24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7,967,215.23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173,204,156.38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213,450,235.61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坏账准备计提情况" w:id="366"/>
      <w:bookmarkEnd w:id="366"/>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5"/>
        <w:gridCol w:w="1663"/>
        <w:gridCol w:w="2098"/>
        <w:gridCol w:w="2101"/>
        <w:gridCol w:w="1805"/>
      </w:tblGrid>
      <w:tr>
        <w:trPr>
          <w:trHeight w:val="403" w:hRule="exact"/>
        </w:trPr>
        <w:tc>
          <w:tcPr>
            <w:tcW w:w="19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2" w:hRule="exact"/>
        </w:trPr>
        <w:tc>
          <w:tcPr>
            <w:tcW w:w="19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9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1,553,462.99</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18,369,700.16</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19,923,163.15</w:t>
            </w:r>
          </w:p>
        </w:tc>
      </w:tr>
      <w:tr>
        <w:trPr>
          <w:trHeight w:val="162" w:hRule="exact"/>
        </w:trPr>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05"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905"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761,701.79</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2,260,593.08</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3,022,294.87</w:t>
            </w:r>
          </w:p>
        </w:tc>
      </w:tr>
      <w:tr>
        <w:trPr>
          <w:trHeight w:val="40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833,000.00</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833,000.00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6" w:right="0"/>
              <w:jc w:val="left"/>
              <w:rPr>
                <w:rFonts w:ascii="Times New Roman" w:hAnsi="Times New Roman" w:cs="Times New Roman" w:eastAsia="Times New Roman" w:hint="default"/>
                <w:sz w:val="18"/>
                <w:szCs w:val="18"/>
              </w:rPr>
            </w:pPr>
            <w:r>
              <w:rPr>
                <w:rFonts w:ascii="Times New Roman"/>
                <w:sz w:val="18"/>
              </w:rPr>
              <w:t>791,761.20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2" w:right="0"/>
              <w:jc w:val="left"/>
              <w:rPr>
                <w:rFonts w:ascii="Times New Roman" w:hAnsi="Times New Roman" w:cs="Times New Roman" w:eastAsia="Times New Roman" w:hint="default"/>
                <w:sz w:val="18"/>
                <w:szCs w:val="18"/>
              </w:rPr>
            </w:pPr>
            <w:r>
              <w:rPr>
                <w:rFonts w:ascii="Times New Roman"/>
                <w:sz w:val="18"/>
              </w:rPr>
              <w:t>15,276,107.08</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6" w:right="0"/>
              <w:jc w:val="left"/>
              <w:rPr>
                <w:rFonts w:ascii="Times New Roman" w:hAnsi="Times New Roman" w:cs="Times New Roman" w:eastAsia="Times New Roman" w:hint="default"/>
                <w:sz w:val="18"/>
                <w:szCs w:val="18"/>
              </w:rPr>
            </w:pPr>
            <w:r>
              <w:rPr>
                <w:rFonts w:ascii="Times New Roman"/>
                <w:sz w:val="18"/>
              </w:rPr>
              <w:t>16,067,868.28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41,299,426.23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66,673,822.70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45,951,901.90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19,279,005.55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6,634,094.08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9,933,056.90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2,711,854.57</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173,204,156.38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本期计提、收回或转回的坏账准备情况" w:id="367"/>
      <w:bookmarkEnd w:id="367"/>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0"/>
        <w:gridCol w:w="1088"/>
        <w:gridCol w:w="1332"/>
        <w:gridCol w:w="1452"/>
        <w:gridCol w:w="1198"/>
        <w:gridCol w:w="1347"/>
        <w:gridCol w:w="1574"/>
      </w:tblGrid>
      <w:tr>
        <w:trPr>
          <w:trHeight w:val="401"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05"/>
              <w:jc w:val="left"/>
              <w:rPr>
                <w:rFonts w:ascii="宋体" w:hAnsi="宋体" w:cs="宋体" w:eastAsia="宋体" w:hint="default"/>
                <w:sz w:val="18"/>
                <w:szCs w:val="18"/>
              </w:rPr>
            </w:pPr>
            <w:r>
              <w:rPr>
                <w:rFonts w:ascii="宋体" w:hAnsi="宋体" w:cs="宋体" w:eastAsia="宋体" w:hint="default"/>
                <w:sz w:val="18"/>
                <w:szCs w:val="18"/>
              </w:rPr>
              <w:t>按组合计提坏账准 备</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19,923,163.1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3,022,294.87</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833,000.00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16,067,868.28</w:t>
            </w:r>
          </w:p>
        </w:tc>
      </w:tr>
      <w:tr>
        <w:trPr>
          <w:trHeight w:val="715"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19,923,163.1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3,022,294.87</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833,000.00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16,067,868.28</w:t>
            </w:r>
          </w:p>
        </w:tc>
      </w:tr>
    </w:tbl>
    <w:p>
      <w:pPr>
        <w:pStyle w:val="BodyText"/>
        <w:spacing w:line="240" w:lineRule="auto" w:before="49"/>
        <w:ind w:right="1133"/>
        <w:jc w:val="left"/>
      </w:pPr>
      <w:r>
        <w:rPr/>
        <w:t>其中本期坏账准备转回或收回金额重要的：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河北省公共资源交易中心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1,856,332.00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退回保证金</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唐山市生态环境局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退回保证金</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德州市公共资源交易中心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退回保证金</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石家庄市公共资源交易中心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退回保证金</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2,397,072.00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按欠款方归集的期末余额前五名的其他应收款情况" w:id="368"/>
      <w:bookmarkEnd w:id="368"/>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r>
        <w:rPr/>
        <w:pict>
          <v:group style="position:absolute;margin-left:373.98999pt;margin-top:190.159988pt;width:79.150pt;height:20.65pt;mso-position-horizontal-relative:page;mso-position-vertical-relative:page;z-index:-1057552" coordorigin="7480,3803" coordsize="1583,413">
            <v:group style="position:absolute;left:7491;top:3814;width:2;height:392" coordorigin="7491,3814" coordsize="2,392">
              <v:shape style="position:absolute;left:7491;top:3814;width:2;height:392" coordorigin="7491,3814" coordsize="0,392" path="m7491,3814l7491,4205e" filled="false" stroked="true" strokeweight="1.08pt" strokecolor="#ffffff">
                <v:path arrowok="t"/>
              </v:shape>
            </v:group>
            <v:group style="position:absolute;left:7501;top:3814;width:1561;height:392" coordorigin="7501,3814" coordsize="1561,392">
              <v:shape style="position:absolute;left:7501;top:3814;width:1561;height:392" coordorigin="7501,3814" coordsize="1561,392" path="m7501,4205l9062,4205,9062,3814,7501,3814,7501,4205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595"/>
        <w:gridCol w:w="1021"/>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29"/>
              <w:jc w:val="left"/>
              <w:rPr>
                <w:rFonts w:ascii="宋体" w:hAnsi="宋体" w:cs="宋体" w:eastAsia="宋体" w:hint="default"/>
                <w:sz w:val="18"/>
                <w:szCs w:val="18"/>
              </w:rPr>
            </w:pPr>
            <w:r>
              <w:rPr>
                <w:rFonts w:ascii="宋体" w:hAnsi="宋体" w:cs="宋体" w:eastAsia="宋体" w:hint="default"/>
                <w:sz w:val="18"/>
                <w:szCs w:val="18"/>
              </w:rPr>
              <w:t>河北先河正合环境科 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33,236,126.59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14,428,799.98</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18,807,326.61</w:t>
            </w:r>
          </w:p>
        </w:tc>
        <w:tc>
          <w:tcPr>
            <w:tcW w:w="1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29" w:right="0"/>
              <w:jc w:val="left"/>
              <w:rPr>
                <w:rFonts w:ascii="Times New Roman" w:hAnsi="Times New Roman" w:cs="Times New Roman" w:eastAsia="Times New Roman" w:hint="default"/>
                <w:sz w:val="18"/>
                <w:szCs w:val="18"/>
              </w:rPr>
            </w:pPr>
            <w:r>
              <w:rPr>
                <w:rFonts w:ascii="Times New Roman"/>
                <w:sz w:val="18"/>
              </w:rPr>
              <w:t>19.19%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29"/>
              <w:jc w:val="left"/>
              <w:rPr>
                <w:rFonts w:ascii="宋体" w:hAnsi="宋体" w:cs="宋体" w:eastAsia="宋体" w:hint="default"/>
                <w:sz w:val="18"/>
                <w:szCs w:val="18"/>
              </w:rPr>
            </w:pPr>
            <w:r>
              <w:rPr>
                <w:rFonts w:ascii="宋体" w:hAnsi="宋体" w:cs="宋体" w:eastAsia="宋体" w:hint="default"/>
                <w:sz w:val="18"/>
                <w:szCs w:val="18"/>
              </w:rPr>
              <w:t>重庆冀华环保科技发 展有限公司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1,600,000.00</w:t>
            </w:r>
            <w:r>
              <w:rPr>
                <w:rFonts w:ascii="宋体" w:hAnsi="宋体" w:cs="宋体" w:eastAsia="宋体" w:hint="default"/>
                <w:sz w:val="18"/>
                <w:szCs w:val="18"/>
              </w:rPr>
              <w:t>；</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17,800,000.00</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4,900,000.00</w:t>
            </w:r>
          </w:p>
        </w:tc>
        <w:tc>
          <w:tcPr>
            <w:tcW w:w="1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tabs>
                <w:tab w:pos="1029" w:val="left" w:leader="none"/>
              </w:tabs>
              <w:spacing w:line="240" w:lineRule="auto"/>
              <w:ind w:left="-1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14.03%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9"/>
              <w:jc w:val="left"/>
              <w:rPr>
                <w:rFonts w:ascii="宋体" w:hAnsi="宋体" w:cs="宋体" w:eastAsia="宋体" w:hint="default"/>
                <w:sz w:val="18"/>
                <w:szCs w:val="18"/>
              </w:rPr>
            </w:pPr>
            <w:r>
              <w:rPr>
                <w:rFonts w:ascii="宋体" w:hAnsi="宋体" w:cs="宋体" w:eastAsia="宋体" w:hint="default"/>
                <w:sz w:val="18"/>
                <w:szCs w:val="18"/>
              </w:rPr>
              <w:t>河北先河正源环境治 理技术有限公司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24,143,310.45</w:t>
            </w:r>
          </w:p>
        </w:tc>
        <w:tc>
          <w:tcPr>
            <w:tcW w:w="1551"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1"/>
              <w:ind w:left="23"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45,784.94</w:t>
            </w:r>
            <w:r>
              <w:rPr>
                <w:rFonts w:ascii="宋体" w:hAnsi="宋体" w:cs="宋体" w:eastAsia="宋体" w:hint="default"/>
                <w:sz w:val="18"/>
                <w:szCs w:val="18"/>
              </w:rPr>
              <w:t>；</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24,097,525.51</w:t>
            </w:r>
          </w:p>
        </w:tc>
        <w:tc>
          <w:tcPr>
            <w:tcW w:w="1616"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17" w:right="0"/>
              <w:jc w:val="left"/>
              <w:rPr>
                <w:rFonts w:ascii="Times New Roman" w:hAnsi="Times New Roman" w:cs="Times New Roman" w:eastAsia="Times New Roman" w:hint="default"/>
                <w:sz w:val="18"/>
                <w:szCs w:val="18"/>
              </w:rPr>
            </w:pPr>
            <w:r>
              <w:rPr>
                <w:rFonts w:ascii="Times New Roman"/>
                <w:sz w:val="18"/>
              </w:rPr>
              <w:t>13.94%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9"/>
              <w:jc w:val="left"/>
              <w:rPr>
                <w:rFonts w:ascii="宋体" w:hAnsi="宋体" w:cs="宋体" w:eastAsia="宋体" w:hint="default"/>
                <w:sz w:val="18"/>
                <w:szCs w:val="18"/>
              </w:rPr>
            </w:pPr>
            <w:r>
              <w:rPr>
                <w:rFonts w:ascii="宋体" w:hAnsi="宋体" w:cs="宋体" w:eastAsia="宋体" w:hint="default"/>
                <w:sz w:val="18"/>
                <w:szCs w:val="18"/>
              </w:rPr>
              <w:t>北京卫家环境技术有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12,570,829.85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366,813.23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1,046,908.00</w:t>
            </w:r>
            <w:r>
              <w:rPr>
                <w:rFonts w:ascii="宋体" w:hAnsi="宋体" w:cs="宋体" w:eastAsia="宋体" w:hint="default"/>
                <w:sz w:val="18"/>
                <w:szCs w:val="18"/>
              </w:rPr>
              <w:t>；</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11,157,108.62</w:t>
            </w:r>
          </w:p>
        </w:tc>
        <w:tc>
          <w:tcPr>
            <w:tcW w:w="59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102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7.26%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广西先得环保科技有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8,766,088.00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103,016,354.89</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9" w:right="0"/>
              <w:jc w:val="left"/>
              <w:rPr>
                <w:rFonts w:ascii="Times New Roman" w:hAnsi="Times New Roman" w:cs="Times New Roman" w:eastAsia="Times New Roman" w:hint="default"/>
                <w:sz w:val="18"/>
                <w:szCs w:val="18"/>
              </w:rPr>
            </w:pPr>
            <w:r>
              <w:rPr>
                <w:rFonts w:ascii="Times New Roman"/>
                <w:sz w:val="18"/>
              </w:rPr>
              <w:t>59.48%</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pict>
          <v:group style="position:absolute;margin-left:373.98999pt;margin-top:-135.336319pt;width:80.350pt;height:43.5pt;mso-position-horizontal-relative:page;mso-position-vertical-relative:paragraph;z-index:-1057528" coordorigin="7480,-2707" coordsize="1607,870">
            <v:group style="position:absolute;left:7480;top:-2707;width:1607;height:468" coordorigin="7480,-2707" coordsize="1607,468">
              <v:shape style="position:absolute;left:7480;top:-2707;width:1607;height:468" coordorigin="7480,-2707" coordsize="1607,468" path="m7480,-2239l9086,-2239,9086,-2707,7480,-2707,7480,-2239xe" filled="true" fillcolor="#ffffff" stroked="false">
                <v:path arrowok="t"/>
                <v:fill type="solid"/>
              </v:shape>
            </v:group>
            <v:group style="position:absolute;left:7491;top:-2239;width:2;height:392" coordorigin="7491,-2239" coordsize="2,392">
              <v:shape style="position:absolute;left:7491;top:-2239;width:2;height:392" coordorigin="7491,-2239" coordsize="0,392" path="m7491,-2239l7491,-1848e" filled="false" stroked="true" strokeweight="1.08pt" strokecolor="#ffffff">
                <v:path arrowok="t"/>
              </v:shape>
            </v:group>
            <v:group style="position:absolute;left:7501;top:-2239;width:1561;height:392" coordorigin="7501,-2239" coordsize="1561,392">
              <v:shape style="position:absolute;left:7501;top:-2239;width:1561;height:392" coordorigin="7501,-2239" coordsize="1561,392" path="m7501,-1848l9062,-1848,9062,-2239,7501,-2239,7501,-1848xe" filled="true" fillcolor="#ffffff" stroked="false">
                <v:path arrowok="t"/>
                <v:fill type="solid"/>
              </v:shape>
            </v:group>
            <w10:wrap type="none"/>
          </v:group>
        </w:pict>
      </w:r>
      <w:bookmarkStart w:name="3、长期股权投资" w:id="369"/>
      <w:bookmarkEnd w:id="369"/>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494,276,948.90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494,276,948.90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512,276,948.90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512,276,948.90</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494,276,948.90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494,276,948.90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512,276,948.90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512,276,948.90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对子公司投资" w:id="370"/>
      <w:bookmarkEnd w:id="370"/>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3"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1"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北京先河中润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河北先河金瑞 环保设施运营 服务有限公司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2,250,000.00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山东先河环保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8,000,000.00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四川先河环保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50,000,000.00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河北先河正源 环境治理技术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27,000,000.00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河北正态环境 检测有限公司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重庆冀华环保 科技发展有限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6,000,000.00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68"/>
              <w:jc w:val="left"/>
              <w:rPr>
                <w:rFonts w:ascii="Times New Roman" w:hAnsi="Times New Roman" w:cs="Times New Roman" w:eastAsia="Times New Roman" w:hint="default"/>
                <w:sz w:val="18"/>
                <w:szCs w:val="18"/>
              </w:rPr>
            </w:pPr>
            <w:r>
              <w:rPr>
                <w:rFonts w:ascii="Times New Roman"/>
                <w:sz w:val="18"/>
              </w:rPr>
              <w:t>SAILHERO</w:t>
            </w:r>
            <w:r>
              <w:rPr>
                <w:rFonts w:ascii="Times New Roman"/>
                <w:spacing w:val="-3"/>
                <w:sz w:val="18"/>
              </w:rPr>
              <w:t> </w:t>
            </w:r>
            <w:r>
              <w:rPr>
                <w:rFonts w:ascii="Times New Roman"/>
                <w:sz w:val="18"/>
              </w:rPr>
              <w:t>US</w:t>
            </w:r>
            <w:r>
              <w:rPr>
                <w:rFonts w:ascii="Times New Roman"/>
                <w:w w:val="99"/>
                <w:sz w:val="18"/>
              </w:rPr>
              <w:t> </w:t>
            </w:r>
            <w:r>
              <w:rPr>
                <w:rFonts w:ascii="Times New Roman"/>
                <w:sz w:val="18"/>
              </w:rPr>
              <w:t>HOLDING</w:t>
            </w:r>
            <w:r>
              <w:rPr>
                <w:rFonts w:ascii="Times New Roman"/>
                <w:w w:val="99"/>
                <w:sz w:val="18"/>
              </w:rPr>
              <w:t> </w:t>
            </w:r>
            <w:r>
              <w:rPr>
                <w:rFonts w:ascii="Times New Roman"/>
                <w:sz w:val="18"/>
              </w:rPr>
              <w:t>INC.</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83,826,948.90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83,826,948.90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广东科迪隆科 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207,200,000.00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广西先得环保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56,800,000.00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56,800,000.00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四川久环环境 技术有限责任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19,200,000.00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河北先河正阳 环保设备销售 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河北先河正达 环保技术服务 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河北先河正合 环境科技有限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40,000,000.00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广州市云景信 息科技有限公 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6,765,402.94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6,765,402.94</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河北先进环保 产业创新中心 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512,276,948.9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6,765,402.94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24,765,402.94</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494,276,948.90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1133"/>
        <w:jc w:val="left"/>
        <w:rPr>
          <w:b w:val="0"/>
          <w:bCs w:val="0"/>
        </w:rPr>
      </w:pPr>
      <w:bookmarkStart w:name="（2）其他说明" w:id="371"/>
      <w:bookmarkEnd w:id="371"/>
      <w:r>
        <w:rPr>
          <w:b w:val="0"/>
          <w:bCs w:val="0"/>
        </w:rPr>
      </w:r>
      <w:r>
        <w:rPr/>
        <w:t>（</w:t>
      </w:r>
      <w:r>
        <w:rPr>
          <w:rFonts w:ascii="Times New Roman" w:hAnsi="Times New Roman" w:cs="Times New Roman" w:eastAsia="Times New Roman" w:hint="default"/>
        </w:rPr>
        <w:t>2</w:t>
      </w:r>
      <w:r>
        <w:rPr/>
        <w:t>）其他说明</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22" w:firstLine="324"/>
        <w:jc w:val="left"/>
      </w:pPr>
      <w:r>
        <w:rPr>
          <w:spacing w:val="-1"/>
        </w:rPr>
        <w:t>本公司对河北先河正阳环保设备销售有限公司、河北先河正达环保技术服务有限公司和河北先进环保产业创新中心有限</w:t>
      </w:r>
      <w:r>
        <w:rPr/>
        <w:t> 公司均未实际出资。</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4、营业收入和营业成本" w:id="372"/>
      <w:bookmarkEnd w:id="372"/>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1,087,573,173.09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526,455,586.07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965,844,731.64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462,320,397.46</w:t>
            </w:r>
          </w:p>
        </w:tc>
      </w:tr>
      <w:tr>
        <w:trPr>
          <w:trHeight w:val="404"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1,614,242.85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310,500.30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1,169,286.12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310,500.30</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1,089,187,415.94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526,766,086.37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967,014,017.76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462,630,897.76</w:t>
            </w:r>
          </w:p>
        </w:tc>
      </w:tr>
    </w:tbl>
    <w:p>
      <w:pPr>
        <w:pStyle w:val="BodyText"/>
        <w:spacing w:line="240" w:lineRule="auto" w:before="49"/>
        <w:ind w:right="1133"/>
        <w:jc w:val="left"/>
      </w:pPr>
      <w:r>
        <w:rPr/>
        <w:t>是否已执行新收入准则</w:t>
      </w:r>
    </w:p>
    <w:p>
      <w:pPr>
        <w:pStyle w:val="BodyText"/>
        <w:spacing w:line="338" w:lineRule="auto" w:before="117"/>
        <w:ind w:right="928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5、投资收益" w:id="373"/>
      <w:bookmarkEnd w:id="373"/>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19,203,200.00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18,939,096.00</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-472,224.52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18,730,975.48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18,939,096.00</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十五、补充资料" w:id="374"/>
      <w:bookmarkEnd w:id="374"/>
      <w:r>
        <w:rPr>
          <w:b w:val="0"/>
          <w:bCs w:val="0"/>
        </w:rPr>
      </w:r>
      <w:r>
        <w:rPr/>
        <w:t>十五、补充资料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当期非经常性损益明细表" w:id="375"/>
      <w:bookmarkEnd w:id="375"/>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322,394.38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11,994,814.16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-972,600.55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148,586.95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2,034,349.36</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336,956.62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9,121,888.96</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净资产收益率及每股收益" w:id="376"/>
      <w:bookmarkEnd w:id="376"/>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2"/>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0.48</w:t>
            </w:r>
          </w:p>
        </w:tc>
      </w:tr>
      <w:tr>
        <w:trPr>
          <w:trHeight w:val="71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0.46</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3、境内外会计准则下会计数据差异" w:id="377"/>
      <w:bookmarkEnd w:id="377"/>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同时按照国际会计准则与按中国会计准则披露的财务报告中净利润和净资产差异情况" w:id="378"/>
      <w:bookmarkEnd w:id="378"/>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同时按照境外会计准则与按中国会计准则披露的财务报告中净利润和净资产差异情况" w:id="379"/>
      <w:bookmarkEnd w:id="379"/>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117"/>
        <w:jc w:val="center"/>
        <w:rPr>
          <w:b w:val="0"/>
          <w:bCs w:val="0"/>
        </w:rPr>
      </w:pPr>
      <w:bookmarkStart w:name="第十三节备查文件目录" w:id="380"/>
      <w:bookmarkEnd w:id="380"/>
      <w:r>
        <w:rPr>
          <w:b w:val="0"/>
          <w:bCs w:val="0"/>
        </w:rPr>
      </w:r>
      <w:bookmarkStart w:name="_bookmark12" w:id="381"/>
      <w:bookmarkEnd w:id="381"/>
      <w:r>
        <w:rPr>
          <w:b w:val="0"/>
          <w:bCs w:val="0"/>
        </w:rPr>
      </w:r>
      <w:r>
        <w:rPr/>
        <w:t>第十三节备查文件目录</w:t>
      </w:r>
      <w:r>
        <w:rPr>
          <w:b w:val="0"/>
          <w:bCs w:val="0"/>
        </w:rPr>
      </w:r>
    </w:p>
    <w:p>
      <w:pPr>
        <w:spacing w:line="240" w:lineRule="auto" w:before="9"/>
        <w:rPr>
          <w:rFonts w:ascii="宋体" w:hAnsi="宋体" w:cs="宋体" w:eastAsia="宋体" w:hint="default"/>
          <w:b/>
          <w:bCs/>
          <w:sz w:val="42"/>
          <w:szCs w:val="42"/>
        </w:rPr>
      </w:pPr>
    </w:p>
    <w:p>
      <w:pPr>
        <w:pStyle w:val="BodyText"/>
        <w:spacing w:line="240" w:lineRule="auto"/>
        <w:ind w:right="1133"/>
        <w:jc w:val="left"/>
      </w:pPr>
      <w:r>
        <w:rPr/>
        <w:t>（一）载有法定代表人李玉国先生、主管会计工作负责人李国壁先生、会计机构负责人王才宁先生签名盖章的财务报表。</w:t>
      </w:r>
    </w:p>
    <w:p>
      <w:pPr>
        <w:pStyle w:val="BodyText"/>
        <w:spacing w:line="240" w:lineRule="auto" w:before="76"/>
        <w:ind w:right="1133"/>
        <w:jc w:val="left"/>
      </w:pPr>
      <w:r>
        <w:rPr/>
        <w:t>（二）载有利安达会计师事务所（特殊普通合伙）盖章、注册会计师邱淦泳、许海丽签名并盖章的审计报告原件。</w:t>
      </w:r>
    </w:p>
    <w:p>
      <w:pPr>
        <w:pStyle w:val="BodyText"/>
        <w:spacing w:line="676" w:lineRule="auto" w:before="76"/>
        <w:ind w:right="3734"/>
        <w:jc w:val="left"/>
      </w:pPr>
      <w:r>
        <w:rPr/>
        <w:t>（三）报告期内在中国证监会指定网站上公开披露过的所有公司文件的正本及公告原稿。 以上文件置备于公司证券部，地址为石家庄市高新区湘江道</w:t>
      </w:r>
      <w:r>
        <w:rPr>
          <w:rFonts w:ascii="Times New Roman" w:hAnsi="Times New Roman" w:cs="Times New Roman" w:eastAsia="Times New Roman" w:hint="default"/>
        </w:rPr>
        <w:t>251</w:t>
      </w:r>
      <w:r>
        <w:rPr/>
        <w:t>号</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BodyText"/>
        <w:spacing w:line="477" w:lineRule="auto"/>
        <w:ind w:left="5734" w:right="2670"/>
        <w:jc w:val="center"/>
      </w:pPr>
      <w:r>
        <w:rPr/>
        <w:t>河北先河环保科技股份有限公司 法定代表人：李玉国 二〇二〇年四月二十八日</w:t>
      </w:r>
    </w:p>
    <w:sectPr>
      <w:pgSz w:w="11910" w:h="16840"/>
      <w:pgMar w:header="745"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8584" type="#_x0000_t75" stroked="false">
          <v:imagedata r:id="rId1" o:title=""/>
        </v:shape>
      </w:pict>
    </w:r>
    <w:r>
      <w:rPr/>
      <w:pict>
        <v:shape style="position:absolute;margin-left:533.099976pt;margin-top:795.637939pt;width:6.5pt;height:11pt;mso-position-horizontal-relative:page;mso-position-vertical-relative:page;z-index:-10585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8536" type="#_x0000_t75" stroked="false">
          <v:imagedata r:id="rId1" o:title=""/>
        </v:shape>
      </w:pict>
    </w:r>
    <w:r>
      <w:rPr/>
      <w:pict>
        <v:shape style="position:absolute;margin-left:527.659973pt;margin-top:781.933899pt;width:13.15pt;height:11pt;mso-position-horizontal-relative:page;mso-position-vertical-relative:page;z-index:-10585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8488" type="#_x0000_t75" stroked="false">
          <v:imagedata r:id="rId1" o:title=""/>
        </v:shape>
      </w:pict>
    </w:r>
    <w:r>
      <w:rPr/>
      <w:pict>
        <v:shape style="position:absolute;margin-left:524.099976pt;margin-top:781.933899pt;width:15.7pt;height:11pt;mso-position-horizontal-relative:page;mso-position-vertical-relative:page;z-index:-105846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8440" type="#_x0000_t75" stroked="false">
          <v:imagedata r:id="rId1" o:title=""/>
        </v:shape>
      </w:pict>
    </w:r>
    <w:r>
      <w:rPr/>
      <w:pict>
        <v:shape style="position:absolute;margin-left:523.099976pt;margin-top:781.933899pt;width:17.7pt;height:11pt;mso-position-horizontal-relative:page;mso-position-vertical-relative:page;z-index:-10584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8392" type="#_x0000_t75" stroked="false">
          <v:imagedata r:id="rId1" o:title=""/>
        </v:shape>
      </w:pict>
    </w:r>
    <w:r>
      <w:rPr/>
      <w:pict>
        <v:shape style="position:absolute;margin-left:523.460022pt;margin-top:781.933899pt;width:17.3pt;height:11pt;mso-position-horizontal-relative:page;mso-position-vertical-relative:page;z-index:-1058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8344" type="#_x0000_t75" stroked="false">
          <v:imagedata r:id="rId1" o:title=""/>
        </v:shape>
      </w:pict>
    </w:r>
    <w:r>
      <w:rPr/>
      <w:pict>
        <v:shape style="position:absolute;margin-left:523.460022pt;margin-top:781.933899pt;width:17.3pt;height:11pt;mso-position-horizontal-relative:page;mso-position-vertical-relative:page;z-index:-1058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8296" type="#_x0000_t75" stroked="false">
          <v:imagedata r:id="rId1" o:title=""/>
        </v:shape>
      </w:pict>
    </w:r>
    <w:r>
      <w:rPr/>
      <w:pict>
        <v:shape style="position:absolute;margin-left:523.099976pt;margin-top:781.933899pt;width:17.7pt;height:11pt;mso-position-horizontal-relative:page;mso-position-vertical-relative:page;z-index:-10582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1058608" type="#_x0000_t202" filled="false" stroked="false">
          <v:textbox inset="0,0,0,0">
            <w:txbxContent>
              <w:p>
                <w:pPr>
                  <w:pStyle w:val="BodyText"/>
                  <w:spacing w:line="214" w:lineRule="exact"/>
                  <w:ind w:left="20" w:right="0"/>
                  <w:jc w:val="left"/>
                </w:pPr>
                <w:r>
                  <w:rPr/>
                  <w:t>河北先河环保科技股份有限公司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8"/>
      <w:ind w:left="152"/>
    </w:pPr>
    <w:rPr>
      <w:rFonts w:ascii="宋体" w:hAnsi="宋体" w:eastAsia="宋体"/>
      <w:sz w:val="28"/>
      <w:szCs w:val="2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133"/>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spacing w:before="76"/>
      <w:ind w:left="51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sailhero.com.cn/" TargetMode="External"/><Relationship Id="rId10" Type="http://schemas.openxmlformats.org/officeDocument/2006/relationships/hyperlink" Target="mailto:xhhbzq@sailhero.com.cn"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河北先河环保科技股份有限公司</dc:creator>
  <dc:title>河北先河环保科技股份有限公司2019年年度报告全文</dc:title>
  <dcterms:created xsi:type="dcterms:W3CDTF">2020-05-19T14:00:23Z</dcterms:created>
  <dcterms:modified xsi:type="dcterms:W3CDTF">2020-05-19T14:00:23Z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2020-04-28T00:00:00Z</vt:filetime>
  </property>
  <property fmtid="{D5CDD505-2E9C-101B-9397-08002B2CF9AE}" pid="3" name="Creator">
    <vt:lpwstr>Microsoft® Office Word 2007</vt:lpwstr>
  </property>
  <property fmtid="{D5CDD505-2E9C-101B-9397-08002B2CF9AE}" pid="4" name="LastSaved">
    <vt:filetime>2020-05-19T00:00:00Z</vt:filetime>
  </property>
</Properties>
</file>